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3B5AD1" w14:textId="77777777" w:rsidR="0002697C" w:rsidRDefault="0002697C" w:rsidP="00A25FDC">
      <w:pPr>
        <w:spacing w:after="160" w:line="259" w:lineRule="auto"/>
        <w:rPr>
          <w:rFonts w:asciiTheme="minorHAnsi" w:hAnsiTheme="minorHAnsi" w:cstheme="minorBidi"/>
          <w:b/>
          <w:bCs/>
          <w:kern w:val="2"/>
          <w:sz w:val="28"/>
          <w:szCs w:val="28"/>
          <w:lang w:eastAsia="en-US"/>
          <w14:ligatures w14:val="standardContextual"/>
        </w:rPr>
      </w:pPr>
    </w:p>
    <w:p w14:paraId="461619D3" w14:textId="4B2597BF" w:rsidR="00A25FDC" w:rsidRPr="00A25FDC" w:rsidRDefault="00A25FDC" w:rsidP="00A25FDC">
      <w:pPr>
        <w:spacing w:after="160" w:line="259" w:lineRule="auto"/>
        <w:rPr>
          <w:rFonts w:asciiTheme="minorHAnsi" w:hAnsiTheme="minorHAnsi" w:cstheme="minorBidi"/>
          <w:b/>
          <w:bCs/>
          <w:kern w:val="2"/>
          <w:sz w:val="28"/>
          <w:szCs w:val="28"/>
          <w:lang w:eastAsia="en-US"/>
          <w14:ligatures w14:val="standardContextual"/>
        </w:rPr>
      </w:pPr>
      <w:commentRangeStart w:id="0"/>
      <w:r w:rsidRPr="00A25FDC">
        <w:rPr>
          <w:rFonts w:asciiTheme="minorHAnsi" w:hAnsiTheme="minorHAnsi" w:cstheme="minorBidi"/>
          <w:b/>
          <w:bCs/>
          <w:kern w:val="2"/>
          <w:sz w:val="28"/>
          <w:szCs w:val="28"/>
          <w:lang w:eastAsia="en-US"/>
          <w14:ligatures w14:val="standardContextual"/>
        </w:rPr>
        <w:t>Name</w:t>
      </w:r>
      <w:commentRangeEnd w:id="0"/>
      <w:r w:rsidR="00EB6758" w:rsidRPr="00A25FDC">
        <w:rPr>
          <w:rStyle w:val="CommentReference"/>
          <w:rFonts w:asciiTheme="minorHAnsi" w:hAnsiTheme="minorHAnsi" w:cstheme="minorBidi"/>
          <w:b/>
          <w:bCs/>
          <w:kern w:val="2"/>
          <w:sz w:val="28"/>
          <w:szCs w:val="28"/>
          <w:lang w:eastAsia="en-US"/>
          <w14:ligatures w14:val="standardContextual"/>
        </w:rPr>
        <w:commentReference w:id="0"/>
      </w:r>
      <w:r w:rsidRPr="00A25FDC">
        <w:rPr>
          <w:rFonts w:asciiTheme="minorHAnsi" w:hAnsiTheme="minorHAnsi" w:cstheme="minorBidi"/>
          <w:b/>
          <w:bCs/>
          <w:kern w:val="2"/>
          <w:sz w:val="28"/>
          <w:szCs w:val="28"/>
          <w:lang w:eastAsia="en-US"/>
          <w14:ligatures w14:val="standardContextual"/>
        </w:rPr>
        <w:t>: Shulammite Emeghara</w:t>
      </w:r>
    </w:p>
    <w:p w14:paraId="58E99CA0" w14:textId="77777777" w:rsidR="00A25FDC" w:rsidRPr="00A25FDC" w:rsidRDefault="00A25FDC" w:rsidP="00A25FDC">
      <w:pPr>
        <w:spacing w:after="160" w:line="259" w:lineRule="auto"/>
        <w:rPr>
          <w:rFonts w:asciiTheme="minorHAnsi" w:hAnsiTheme="minorHAnsi" w:cstheme="minorBidi"/>
          <w:b/>
          <w:bCs/>
          <w:kern w:val="2"/>
          <w:sz w:val="28"/>
          <w:szCs w:val="28"/>
          <w:lang w:eastAsia="en-US"/>
          <w14:ligatures w14:val="standardContextual"/>
        </w:rPr>
      </w:pPr>
      <w:r w:rsidRPr="00A25FDC">
        <w:rPr>
          <w:rFonts w:asciiTheme="minorHAnsi" w:hAnsiTheme="minorHAnsi" w:cstheme="minorBidi"/>
          <w:b/>
          <w:bCs/>
          <w:kern w:val="2"/>
          <w:sz w:val="28"/>
          <w:szCs w:val="28"/>
          <w:lang w:eastAsia="en-US"/>
          <w14:ligatures w14:val="standardContextual"/>
        </w:rPr>
        <w:t>Student Number: 2536049</w:t>
      </w:r>
    </w:p>
    <w:p w14:paraId="152A9253" w14:textId="651045C3" w:rsidR="00A25FDC" w:rsidRPr="00A25FDC" w:rsidRDefault="00A25FDC" w:rsidP="00A25FDC">
      <w:pPr>
        <w:spacing w:after="160" w:line="259" w:lineRule="auto"/>
        <w:rPr>
          <w:rFonts w:asciiTheme="minorHAnsi" w:hAnsiTheme="minorHAnsi" w:cstheme="minorBidi"/>
          <w:b/>
          <w:bCs/>
          <w:kern w:val="2"/>
          <w:sz w:val="28"/>
          <w:szCs w:val="28"/>
          <w:lang w:eastAsia="en-US"/>
          <w14:ligatures w14:val="standardContextual"/>
        </w:rPr>
      </w:pPr>
      <w:r w:rsidRPr="00A25FDC">
        <w:rPr>
          <w:rFonts w:asciiTheme="minorHAnsi" w:hAnsiTheme="minorHAnsi" w:cstheme="minorBidi"/>
          <w:b/>
          <w:bCs/>
          <w:kern w:val="2"/>
          <w:sz w:val="28"/>
          <w:szCs w:val="28"/>
          <w:lang w:eastAsia="en-US"/>
          <w14:ligatures w14:val="standardContextual"/>
        </w:rPr>
        <w:t xml:space="preserve">Module Code: </w:t>
      </w:r>
      <w:r>
        <w:rPr>
          <w:rFonts w:asciiTheme="minorHAnsi" w:hAnsiTheme="minorHAnsi" w:cstheme="minorBidi"/>
          <w:b/>
          <w:bCs/>
          <w:kern w:val="2"/>
          <w:sz w:val="28"/>
          <w:szCs w:val="28"/>
          <w:lang w:eastAsia="en-US"/>
          <w14:ligatures w14:val="standardContextual"/>
        </w:rPr>
        <w:t>LCHS4001</w:t>
      </w:r>
    </w:p>
    <w:p w14:paraId="1D3C38B8" w14:textId="1858D3D1" w:rsidR="00A25FDC" w:rsidRPr="00A25FDC" w:rsidRDefault="00A25FDC" w:rsidP="00A25FDC">
      <w:pPr>
        <w:spacing w:after="160" w:line="259" w:lineRule="auto"/>
        <w:rPr>
          <w:rFonts w:asciiTheme="minorHAnsi" w:hAnsiTheme="minorHAnsi" w:cstheme="minorBidi"/>
          <w:b/>
          <w:bCs/>
          <w:kern w:val="2"/>
          <w:sz w:val="28"/>
          <w:szCs w:val="28"/>
          <w:lang w:eastAsia="en-US"/>
          <w14:ligatures w14:val="standardContextual"/>
        </w:rPr>
      </w:pPr>
      <w:r w:rsidRPr="00A25FDC">
        <w:rPr>
          <w:rFonts w:asciiTheme="minorHAnsi" w:hAnsiTheme="minorHAnsi" w:cstheme="minorBidi"/>
          <w:b/>
          <w:bCs/>
          <w:kern w:val="2"/>
          <w:sz w:val="28"/>
          <w:szCs w:val="28"/>
          <w:lang w:eastAsia="en-US"/>
          <w14:ligatures w14:val="standardContextual"/>
        </w:rPr>
        <w:t xml:space="preserve">Lecture: </w:t>
      </w:r>
      <w:r>
        <w:rPr>
          <w:rFonts w:asciiTheme="minorHAnsi" w:hAnsiTheme="minorHAnsi" w:cstheme="minorBidi"/>
          <w:b/>
          <w:bCs/>
          <w:kern w:val="2"/>
          <w:sz w:val="28"/>
          <w:szCs w:val="28"/>
          <w:lang w:eastAsia="en-US"/>
          <w14:ligatures w14:val="standardContextual"/>
        </w:rPr>
        <w:t>Markus Klinglfuss</w:t>
      </w:r>
    </w:p>
    <w:p w14:paraId="2A58B806" w14:textId="18CEBE5B" w:rsidR="00A25FDC" w:rsidRPr="00A25FDC" w:rsidRDefault="00A25FDC" w:rsidP="00A25FDC">
      <w:pPr>
        <w:spacing w:after="160" w:line="259" w:lineRule="auto"/>
        <w:rPr>
          <w:rFonts w:asciiTheme="minorHAnsi" w:hAnsiTheme="minorHAnsi" w:cstheme="minorBidi"/>
          <w:b/>
          <w:bCs/>
          <w:kern w:val="2"/>
          <w:sz w:val="28"/>
          <w:szCs w:val="28"/>
          <w:lang w:eastAsia="en-US"/>
          <w14:ligatures w14:val="standardContextual"/>
        </w:rPr>
      </w:pPr>
      <w:r w:rsidRPr="00A25FDC">
        <w:rPr>
          <w:rFonts w:asciiTheme="minorHAnsi" w:hAnsiTheme="minorHAnsi" w:cstheme="minorBidi"/>
          <w:b/>
          <w:bCs/>
          <w:kern w:val="2"/>
          <w:sz w:val="28"/>
          <w:szCs w:val="28"/>
          <w:lang w:eastAsia="en-US"/>
          <w14:ligatures w14:val="standardContextual"/>
        </w:rPr>
        <w:t xml:space="preserve">Component </w:t>
      </w:r>
      <w:r w:rsidR="004827DC">
        <w:rPr>
          <w:rFonts w:asciiTheme="minorHAnsi" w:hAnsiTheme="minorHAnsi" w:cstheme="minorBidi"/>
          <w:b/>
          <w:bCs/>
          <w:kern w:val="2"/>
          <w:sz w:val="28"/>
          <w:szCs w:val="28"/>
          <w:lang w:eastAsia="en-US"/>
          <w14:ligatures w14:val="standardContextual"/>
        </w:rPr>
        <w:t>3</w:t>
      </w:r>
      <w:r w:rsidRPr="00A25FDC">
        <w:rPr>
          <w:rFonts w:asciiTheme="minorHAnsi" w:hAnsiTheme="minorHAnsi" w:cstheme="minorBidi"/>
          <w:b/>
          <w:bCs/>
          <w:kern w:val="2"/>
          <w:sz w:val="28"/>
          <w:szCs w:val="28"/>
          <w:lang w:eastAsia="en-US"/>
          <w14:ligatures w14:val="standardContextual"/>
        </w:rPr>
        <w:t xml:space="preserve"> Assessment</w:t>
      </w:r>
    </w:p>
    <w:p w14:paraId="2898751B" w14:textId="7CBDCBA6" w:rsidR="00A25FDC" w:rsidRDefault="00A25FDC" w:rsidP="00A25FDC">
      <w:pPr>
        <w:spacing w:after="160" w:line="259" w:lineRule="auto"/>
        <w:rPr>
          <w:rFonts w:asciiTheme="minorHAnsi" w:hAnsiTheme="minorHAnsi" w:cstheme="minorBidi"/>
          <w:b/>
          <w:bCs/>
          <w:kern w:val="2"/>
          <w:sz w:val="28"/>
          <w:szCs w:val="28"/>
          <w:lang w:eastAsia="en-US"/>
          <w14:ligatures w14:val="standardContextual"/>
        </w:rPr>
      </w:pPr>
    </w:p>
    <w:p w14:paraId="1C060FFA" w14:textId="5B0C6F64" w:rsidR="004827DC" w:rsidRPr="00A25FDC" w:rsidRDefault="004827DC" w:rsidP="00A25FDC">
      <w:pPr>
        <w:spacing w:after="160" w:line="259" w:lineRule="auto"/>
        <w:rPr>
          <w:rFonts w:asciiTheme="minorHAnsi" w:hAnsiTheme="minorHAnsi" w:cstheme="minorBidi"/>
          <w:b/>
          <w:bCs/>
          <w:kern w:val="2"/>
          <w:sz w:val="28"/>
          <w:szCs w:val="28"/>
          <w:lang w:eastAsia="en-US"/>
          <w14:ligatures w14:val="standardContextual"/>
        </w:rPr>
      </w:pPr>
      <w:r>
        <w:rPr>
          <w:rFonts w:asciiTheme="minorHAnsi" w:hAnsiTheme="minorHAnsi" w:cstheme="minorBidi"/>
          <w:b/>
          <w:bCs/>
          <w:kern w:val="2"/>
          <w:sz w:val="28"/>
          <w:szCs w:val="28"/>
          <w:lang w:eastAsia="en-US"/>
          <w14:ligatures w14:val="standardContextual"/>
        </w:rPr>
        <w:t>Title: Reflective Analysis of Key Skills in Child Protection Social Work.</w:t>
      </w:r>
    </w:p>
    <w:p w14:paraId="2FAADF83" w14:textId="77777777" w:rsidR="00A25FDC" w:rsidRDefault="00A25FDC" w:rsidP="00A25FDC">
      <w:pPr>
        <w:pStyle w:val="NormalWeb"/>
        <w:spacing w:before="0" w:beforeAutospacing="0" w:after="180" w:afterAutospacing="0"/>
        <w:rPr>
          <w:rFonts w:ascii="Aptos" w:hAnsi="Aptos"/>
          <w:b/>
          <w:bCs/>
          <w:color w:val="000000"/>
          <w:sz w:val="24"/>
          <w:szCs w:val="24"/>
        </w:rPr>
      </w:pPr>
    </w:p>
    <w:p w14:paraId="53F66164" w14:textId="3F9AC6A6" w:rsidR="00A25FDC" w:rsidRDefault="004827DC" w:rsidP="00A25FDC">
      <w:pPr>
        <w:pStyle w:val="NormalWeb"/>
        <w:spacing w:before="0" w:beforeAutospacing="0" w:after="180" w:afterAutospacing="0"/>
      </w:pPr>
      <w:r>
        <w:rPr>
          <w:rFonts w:ascii="Aptos" w:hAnsi="Aptos"/>
          <w:b/>
          <w:bCs/>
          <w:color w:val="000000"/>
          <w:sz w:val="24"/>
          <w:szCs w:val="24"/>
        </w:rPr>
        <w:t xml:space="preserve"> Introduction</w:t>
      </w:r>
      <w:r w:rsidR="00A25FDC">
        <w:rPr>
          <w:rFonts w:ascii="Aptos" w:hAnsi="Aptos"/>
          <w:color w:val="000000"/>
          <w:sz w:val="14"/>
          <w:szCs w:val="14"/>
        </w:rPr>
        <w:br/>
      </w:r>
      <w:r w:rsidR="00A25FDC">
        <w:rPr>
          <w:rFonts w:ascii="Aptos" w:hAnsi="Aptos"/>
          <w:color w:val="000000"/>
          <w:sz w:val="24"/>
          <w:szCs w:val="24"/>
        </w:rPr>
        <w:t>As a social work student, I have chosen to focus on the role of a child protection social worker, a role that stands at the intersection of safeguarding and advocacy in the health and social care sector. In this report, I will describe the key duties of this role, identify three critical skills needed for success, and outline personal strategies I will use to develop these skills.</w:t>
      </w:r>
    </w:p>
    <w:p w14:paraId="2E0322FA" w14:textId="77777777" w:rsidR="00A25FDC" w:rsidRDefault="00A25FDC" w:rsidP="00A25FDC">
      <w:pPr>
        <w:pStyle w:val="NormalWeb"/>
        <w:spacing w:before="0" w:beforeAutospacing="0" w:after="180" w:afterAutospacing="0"/>
      </w:pPr>
    </w:p>
    <w:p w14:paraId="4961AF01" w14:textId="77777777" w:rsidR="00A25FDC" w:rsidRDefault="00A25FDC" w:rsidP="00A25FDC">
      <w:pPr>
        <w:pStyle w:val="NormalWeb"/>
        <w:spacing w:before="0" w:beforeAutospacing="0" w:after="180" w:afterAutospacing="0"/>
      </w:pPr>
      <w:r>
        <w:rPr>
          <w:rFonts w:ascii="Aptos" w:hAnsi="Aptos"/>
          <w:b/>
          <w:bCs/>
          <w:color w:val="000000"/>
          <w:sz w:val="24"/>
          <w:szCs w:val="24"/>
        </w:rPr>
        <w:t>Duties and Responsibilities</w:t>
      </w:r>
      <w:r>
        <w:rPr>
          <w:rFonts w:ascii="Aptos" w:hAnsi="Aptos"/>
          <w:color w:val="000000"/>
          <w:sz w:val="14"/>
          <w:szCs w:val="14"/>
        </w:rPr>
        <w:br/>
      </w:r>
      <w:r>
        <w:rPr>
          <w:rFonts w:ascii="Aptos" w:hAnsi="Aptos"/>
          <w:color w:val="000000"/>
          <w:sz w:val="24"/>
          <w:szCs w:val="24"/>
        </w:rPr>
        <w:t>In this role, a child protection social worker ensures the safety and well-being of children at risk. For example, I would conduct home visits, assess family dynamics, and work closely with schools and healthcare providers. I remember shadowing a social worker during a placement, where we assessed a foster placement breakdown and worked quickly to find a safe solution. These duties require a blend of empathy and assertiveness—each decision can be life-changing for a child.</w:t>
      </w:r>
    </w:p>
    <w:p w14:paraId="43839F91" w14:textId="77777777" w:rsidR="00A25FDC" w:rsidRDefault="00A25FDC" w:rsidP="00A25FDC">
      <w:pPr>
        <w:pStyle w:val="NormalWeb"/>
        <w:spacing w:before="0" w:beforeAutospacing="0" w:after="180" w:afterAutospacing="0"/>
      </w:pPr>
    </w:p>
    <w:p w14:paraId="2B8D4E3A" w14:textId="77777777" w:rsidR="00A25FDC" w:rsidRDefault="00A25FDC" w:rsidP="00A25FDC">
      <w:pPr>
        <w:pStyle w:val="NormalWeb"/>
        <w:spacing w:before="0" w:beforeAutospacing="0" w:after="180" w:afterAutospacing="0"/>
      </w:pPr>
      <w:r>
        <w:rPr>
          <w:rFonts w:ascii="Aptos" w:hAnsi="Aptos"/>
          <w:b/>
          <w:bCs/>
          <w:color w:val="000000"/>
          <w:sz w:val="24"/>
          <w:szCs w:val="24"/>
        </w:rPr>
        <w:t>Essential Skills</w:t>
      </w:r>
      <w:r>
        <w:rPr>
          <w:rFonts w:ascii="Aptos" w:hAnsi="Aptos"/>
          <w:color w:val="000000"/>
          <w:sz w:val="14"/>
          <w:szCs w:val="14"/>
        </w:rPr>
        <w:br/>
      </w:r>
      <w:r>
        <w:rPr>
          <w:rFonts w:ascii="Aptos" w:hAnsi="Aptos"/>
          <w:color w:val="000000"/>
          <w:sz w:val="24"/>
          <w:szCs w:val="24"/>
        </w:rPr>
        <w:t>First, communication is crucial. I need to be able to explain complex situations to parents, children, and other professionals with clarity and compassion (Forrester, 2017). Second, critical thinking is essential; I must analyze risk factors and anticipate outcomes (Hickle, 2019). Third, resilience is vital, as dealing with trauma and high-stress cases requires emotional strength (Taylor, 2020).</w:t>
      </w:r>
    </w:p>
    <w:p w14:paraId="66FEC4A9" w14:textId="77777777" w:rsidR="00A25FDC" w:rsidRDefault="00A25FDC" w:rsidP="00A25FDC">
      <w:pPr>
        <w:pStyle w:val="NormalWeb"/>
        <w:spacing w:before="0" w:beforeAutospacing="0" w:after="180" w:afterAutospacing="0"/>
      </w:pPr>
    </w:p>
    <w:p w14:paraId="56CB6D12" w14:textId="77777777" w:rsidR="00A25FDC" w:rsidRDefault="00A25FDC" w:rsidP="00A25FDC">
      <w:pPr>
        <w:pStyle w:val="NormalWeb"/>
        <w:spacing w:before="0" w:beforeAutospacing="0" w:after="180" w:afterAutospacing="0"/>
      </w:pPr>
      <w:r>
        <w:rPr>
          <w:rFonts w:ascii="Aptos" w:hAnsi="Aptos"/>
          <w:b/>
          <w:bCs/>
          <w:color w:val="000000"/>
          <w:sz w:val="24"/>
          <w:szCs w:val="24"/>
        </w:rPr>
        <w:t>Strategies for Skill Development</w:t>
      </w:r>
      <w:r>
        <w:rPr>
          <w:rFonts w:ascii="Aptos" w:hAnsi="Aptos"/>
          <w:color w:val="000000"/>
          <w:sz w:val="14"/>
          <w:szCs w:val="14"/>
        </w:rPr>
        <w:br/>
      </w:r>
      <w:r>
        <w:rPr>
          <w:rFonts w:ascii="Aptos" w:hAnsi="Aptos"/>
          <w:color w:val="000000"/>
          <w:sz w:val="24"/>
          <w:szCs w:val="24"/>
        </w:rPr>
        <w:t>To improve communication, I will attend specialized training on trauma-informed dialogue (Brandon, 2021). I will sharpen critical thinking by joining case study peer discussions, where I can dissect real examples with experienced mentors (Kagan, 2022). And to build resilience, I will participate in reflective supervision groups, providing a space to process challenging emotions (Lewis, 2018).</w:t>
      </w:r>
    </w:p>
    <w:p w14:paraId="55243809" w14:textId="77777777" w:rsidR="00A25FDC" w:rsidRDefault="00A25FDC" w:rsidP="00A25FDC">
      <w:pPr>
        <w:pStyle w:val="NormalWeb"/>
        <w:spacing w:before="0" w:beforeAutospacing="0" w:after="180" w:afterAutospacing="0"/>
      </w:pPr>
    </w:p>
    <w:p w14:paraId="69868BB5" w14:textId="77777777" w:rsidR="00A25FDC" w:rsidRDefault="00A25FDC" w:rsidP="00A25FDC">
      <w:pPr>
        <w:pStyle w:val="NormalWeb"/>
        <w:spacing w:before="0" w:beforeAutospacing="0" w:after="180" w:afterAutospacing="0"/>
      </w:pPr>
      <w:r>
        <w:rPr>
          <w:rFonts w:ascii="Aptos" w:hAnsi="Aptos"/>
          <w:b/>
          <w:bCs/>
          <w:color w:val="000000"/>
          <w:sz w:val="24"/>
          <w:szCs w:val="24"/>
        </w:rPr>
        <w:t>Conclusion</w:t>
      </w:r>
      <w:r>
        <w:rPr>
          <w:rFonts w:ascii="Aptos" w:hAnsi="Aptos"/>
          <w:color w:val="000000"/>
          <w:sz w:val="14"/>
          <w:szCs w:val="14"/>
        </w:rPr>
        <w:br/>
      </w:r>
      <w:r>
        <w:rPr>
          <w:rFonts w:ascii="Aptos" w:hAnsi="Aptos"/>
          <w:color w:val="000000"/>
          <w:sz w:val="24"/>
          <w:szCs w:val="24"/>
        </w:rPr>
        <w:t>In conclusion, the child protection social worker role is both demanding and profoundly impactful. By honing communication, critical thinking, and resilience, I will be better equipped to support vulnerable children and ensure they have a safe future.</w:t>
      </w:r>
    </w:p>
    <w:p w14:paraId="69AA81CF" w14:textId="77777777" w:rsidR="00A25FDC" w:rsidRDefault="00A25FDC" w:rsidP="00A25FDC">
      <w:pPr>
        <w:pStyle w:val="NormalWeb"/>
        <w:spacing w:before="0" w:beforeAutospacing="0" w:after="180" w:afterAutospacing="0"/>
      </w:pPr>
    </w:p>
    <w:p w14:paraId="4D42C0FC" w14:textId="77777777" w:rsidR="00A25FDC" w:rsidRDefault="00A25FDC" w:rsidP="00A25FDC">
      <w:pPr>
        <w:pStyle w:val="NormalWeb"/>
        <w:spacing w:before="0" w:beforeAutospacing="0" w:after="180" w:afterAutospacing="0"/>
      </w:pPr>
      <w:r>
        <w:rPr>
          <w:rFonts w:ascii="Aptos" w:hAnsi="Aptos"/>
          <w:b/>
          <w:bCs/>
          <w:color w:val="000000"/>
          <w:sz w:val="24"/>
          <w:szCs w:val="24"/>
        </w:rPr>
        <w:t>References</w:t>
      </w:r>
      <w:r>
        <w:rPr>
          <w:rFonts w:ascii="Aptos" w:hAnsi="Aptos"/>
          <w:color w:val="000000"/>
          <w:sz w:val="14"/>
          <w:szCs w:val="14"/>
        </w:rPr>
        <w:br/>
      </w:r>
      <w:r>
        <w:rPr>
          <w:rFonts w:ascii="Aptos" w:hAnsi="Aptos"/>
          <w:color w:val="000000"/>
          <w:sz w:val="24"/>
          <w:szCs w:val="24"/>
        </w:rPr>
        <w:t xml:space="preserve">Brandon, M. (2021). </w:t>
      </w:r>
      <w:r>
        <w:rPr>
          <w:rFonts w:ascii="Aptos" w:hAnsi="Aptos"/>
          <w:i/>
          <w:iCs/>
          <w:color w:val="000000"/>
          <w:sz w:val="24"/>
          <w:szCs w:val="24"/>
        </w:rPr>
        <w:t>Trauma-Informed Communication in Social Work</w:t>
      </w:r>
      <w:r>
        <w:rPr>
          <w:rFonts w:ascii="Aptos" w:hAnsi="Aptos"/>
          <w:color w:val="000000"/>
          <w:sz w:val="24"/>
          <w:szCs w:val="24"/>
        </w:rPr>
        <w:t>. London: Jessica Kingsley Publishers.</w:t>
      </w:r>
      <w:r>
        <w:rPr>
          <w:rFonts w:ascii="Aptos" w:hAnsi="Aptos"/>
          <w:color w:val="000000"/>
          <w:sz w:val="14"/>
          <w:szCs w:val="14"/>
        </w:rPr>
        <w:br/>
      </w:r>
      <w:r>
        <w:rPr>
          <w:rFonts w:ascii="Aptos" w:hAnsi="Aptos"/>
          <w:color w:val="000000"/>
          <w:sz w:val="24"/>
          <w:szCs w:val="24"/>
        </w:rPr>
        <w:t xml:space="preserve">Forrester, D. (2017). </w:t>
      </w:r>
      <w:r>
        <w:rPr>
          <w:rFonts w:ascii="Aptos" w:hAnsi="Aptos"/>
          <w:i/>
          <w:iCs/>
          <w:color w:val="000000"/>
          <w:sz w:val="24"/>
          <w:szCs w:val="24"/>
        </w:rPr>
        <w:t>Effective Communication Skills for Social Workers</w:t>
      </w:r>
      <w:r>
        <w:rPr>
          <w:rFonts w:ascii="Aptos" w:hAnsi="Aptos"/>
          <w:color w:val="000000"/>
          <w:sz w:val="24"/>
          <w:szCs w:val="24"/>
        </w:rPr>
        <w:t>. Bristol: Policy Press.</w:t>
      </w:r>
      <w:r>
        <w:rPr>
          <w:rFonts w:ascii="Aptos" w:hAnsi="Aptos"/>
          <w:color w:val="000000"/>
          <w:sz w:val="14"/>
          <w:szCs w:val="14"/>
        </w:rPr>
        <w:br/>
      </w:r>
      <w:r>
        <w:rPr>
          <w:rFonts w:ascii="Aptos" w:hAnsi="Aptos"/>
          <w:color w:val="000000"/>
          <w:sz w:val="24"/>
          <w:szCs w:val="24"/>
        </w:rPr>
        <w:t xml:space="preserve">Hickle, K. (2019). </w:t>
      </w:r>
      <w:r>
        <w:rPr>
          <w:rFonts w:ascii="Aptos" w:hAnsi="Aptos"/>
          <w:i/>
          <w:iCs/>
          <w:color w:val="000000"/>
          <w:sz w:val="24"/>
          <w:szCs w:val="24"/>
        </w:rPr>
        <w:t>Critical Thinking in Child Welfare</w:t>
      </w:r>
      <w:r>
        <w:rPr>
          <w:rFonts w:ascii="Aptos" w:hAnsi="Aptos"/>
          <w:color w:val="000000"/>
          <w:sz w:val="24"/>
          <w:szCs w:val="24"/>
        </w:rPr>
        <w:t>. New York: Columbia University Press.</w:t>
      </w:r>
      <w:r>
        <w:rPr>
          <w:rFonts w:ascii="Aptos" w:hAnsi="Aptos"/>
          <w:color w:val="000000"/>
          <w:sz w:val="14"/>
          <w:szCs w:val="14"/>
        </w:rPr>
        <w:br/>
      </w:r>
      <w:r>
        <w:rPr>
          <w:rFonts w:ascii="Aptos" w:hAnsi="Aptos"/>
          <w:color w:val="000000"/>
          <w:sz w:val="24"/>
          <w:szCs w:val="24"/>
        </w:rPr>
        <w:t xml:space="preserve">Kagan, C. (2022). </w:t>
      </w:r>
      <w:r>
        <w:rPr>
          <w:rFonts w:ascii="Aptos" w:hAnsi="Aptos"/>
          <w:i/>
          <w:iCs/>
          <w:color w:val="000000"/>
          <w:sz w:val="24"/>
          <w:szCs w:val="24"/>
        </w:rPr>
        <w:t>Case Study Analysis in Social Work</w:t>
      </w:r>
      <w:r>
        <w:rPr>
          <w:rFonts w:ascii="Aptos" w:hAnsi="Aptos"/>
          <w:color w:val="000000"/>
          <w:sz w:val="24"/>
          <w:szCs w:val="24"/>
        </w:rPr>
        <w:t>. Oxford: Oxford University Press.</w:t>
      </w:r>
      <w:r>
        <w:rPr>
          <w:rFonts w:ascii="Aptos" w:hAnsi="Aptos"/>
          <w:color w:val="000000"/>
          <w:sz w:val="14"/>
          <w:szCs w:val="14"/>
        </w:rPr>
        <w:br/>
      </w:r>
      <w:r>
        <w:rPr>
          <w:rFonts w:ascii="Aptos" w:hAnsi="Aptos"/>
          <w:color w:val="000000"/>
          <w:sz w:val="24"/>
          <w:szCs w:val="24"/>
        </w:rPr>
        <w:t xml:space="preserve">Lewis, G. (2018). </w:t>
      </w:r>
      <w:r>
        <w:rPr>
          <w:rFonts w:ascii="Aptos" w:hAnsi="Aptos"/>
          <w:i/>
          <w:iCs/>
          <w:color w:val="000000"/>
          <w:sz w:val="24"/>
          <w:szCs w:val="24"/>
        </w:rPr>
        <w:t>Peer Support in Social Work</w:t>
      </w:r>
      <w:r>
        <w:rPr>
          <w:rFonts w:ascii="Aptos" w:hAnsi="Aptos"/>
          <w:color w:val="000000"/>
          <w:sz w:val="24"/>
          <w:szCs w:val="24"/>
        </w:rPr>
        <w:t>. Cambridge: Polity Press.</w:t>
      </w:r>
      <w:r>
        <w:rPr>
          <w:rFonts w:ascii="Aptos" w:hAnsi="Aptos"/>
          <w:color w:val="000000"/>
          <w:sz w:val="14"/>
          <w:szCs w:val="14"/>
        </w:rPr>
        <w:br/>
      </w:r>
      <w:r>
        <w:rPr>
          <w:rFonts w:ascii="Aptos" w:hAnsi="Aptos"/>
          <w:color w:val="000000"/>
          <w:sz w:val="24"/>
          <w:szCs w:val="24"/>
        </w:rPr>
        <w:t xml:space="preserve">Taylor, S. (2020). </w:t>
      </w:r>
      <w:r>
        <w:rPr>
          <w:rFonts w:ascii="Aptos" w:hAnsi="Aptos"/>
          <w:i/>
          <w:iCs/>
          <w:color w:val="000000"/>
          <w:sz w:val="24"/>
          <w:szCs w:val="24"/>
        </w:rPr>
        <w:t>Building Resilience in Social Work Practice</w:t>
      </w:r>
      <w:r>
        <w:rPr>
          <w:rFonts w:ascii="Aptos" w:hAnsi="Aptos"/>
          <w:color w:val="000000"/>
          <w:sz w:val="24"/>
          <w:szCs w:val="24"/>
        </w:rPr>
        <w:t>. London: Sage Publications.</w:t>
      </w:r>
    </w:p>
    <w:p w14:paraId="643CCCBE" w14:textId="77777777" w:rsidR="0076056A" w:rsidRDefault="0076056A"/>
    <w:p w14:paraId="1591EEFD" w14:textId="77777777" w:rsidR="0076056A" w:rsidRDefault="0076056A"/>
    <w:sectPr w:rsidR="0076056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comment w:id="0" w:author="Shulammite Nkiru Emeghara (2536049)" w:date="2026-06-21T01:28:00Z" w:initials="SNE(">
    <w:p w14:paraId="1C128F86" w14:textId="0F18DA54" w:rsidR="00EB6758" w:rsidRDefault="00EB6758">
      <w:pPr>
        <w:pStyle w:val="CommentText"/>
      </w:pPr>
      <w:r>
        <w:rPr>
          <w:rStyle w:val="CommentReference"/>
        </w:rPr>
        <w:annotationRef/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commentEx w15:paraId="1C128F86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6DD297DE" w16cex:dateUtc="2026-06-21T00:28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1C128F86" w16cid:durableId="6DD297DE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Shulammite Nkiru Emeghara (2536049)">
    <w15:presenceInfo w15:providerId="AD" w15:userId="S::2536049@student.uwtsd.ac.uk::8dc14b36-9050-4bd9-b177-ed15ddebf6aa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3380"/>
    <w:rsid w:val="0002697C"/>
    <w:rsid w:val="0012360F"/>
    <w:rsid w:val="00130EEB"/>
    <w:rsid w:val="0025769C"/>
    <w:rsid w:val="002C74C8"/>
    <w:rsid w:val="00413286"/>
    <w:rsid w:val="004827DC"/>
    <w:rsid w:val="00753380"/>
    <w:rsid w:val="0076056A"/>
    <w:rsid w:val="0077734D"/>
    <w:rsid w:val="0086052A"/>
    <w:rsid w:val="00A25FDC"/>
    <w:rsid w:val="00A3764E"/>
    <w:rsid w:val="00AB4C5C"/>
    <w:rsid w:val="00B31DCA"/>
    <w:rsid w:val="00B94E3A"/>
    <w:rsid w:val="00BA6C33"/>
    <w:rsid w:val="00BE163C"/>
    <w:rsid w:val="00C40521"/>
    <w:rsid w:val="00D47830"/>
    <w:rsid w:val="00D92800"/>
    <w:rsid w:val="00DE62EA"/>
    <w:rsid w:val="00E04962"/>
    <w:rsid w:val="00EB6758"/>
    <w:rsid w:val="00EF77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8C7C41"/>
  <w15:chartTrackingRefBased/>
  <w15:docId w15:val="{B042C640-68DA-4E39-A53C-6C083F050A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53380"/>
    <w:pPr>
      <w:spacing w:after="0" w:line="240" w:lineRule="auto"/>
    </w:pPr>
    <w:rPr>
      <w:rFonts w:ascii="Calibri" w:hAnsi="Calibri" w:cs="Calibri"/>
      <w:kern w:val="0"/>
      <w:lang w:eastAsia="en-GB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753380"/>
    <w:pPr>
      <w:spacing w:before="100" w:beforeAutospacing="1" w:after="100" w:afterAutospacing="1"/>
    </w:pPr>
  </w:style>
  <w:style w:type="character" w:styleId="CommentReference">
    <w:name w:val="annotation reference"/>
    <w:basedOn w:val="DefaultParagraphFont"/>
    <w:uiPriority w:val="99"/>
    <w:semiHidden/>
    <w:unhideWhenUsed/>
    <w:rsid w:val="00EB675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B6758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B6758"/>
    <w:rPr>
      <w:rFonts w:ascii="Calibri" w:hAnsi="Calibri" w:cs="Calibri"/>
      <w:kern w:val="0"/>
      <w:sz w:val="20"/>
      <w:szCs w:val="20"/>
      <w:lang w:eastAsia="en-GB"/>
      <w14:ligatures w14:val="non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B675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B6758"/>
    <w:rPr>
      <w:rFonts w:ascii="Calibri" w:hAnsi="Calibri" w:cs="Calibri"/>
      <w:b/>
      <w:bCs/>
      <w:kern w:val="0"/>
      <w:sz w:val="20"/>
      <w:szCs w:val="20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7320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microsoft.com/office/2018/08/relationships/commentsExtensible" Target="commentsExtensi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16/09/relationships/commentsIds" Target="commentsIds.xml"/><Relationship Id="rId5" Type="http://schemas.microsoft.com/office/2011/relationships/commentsExtended" Target="commentsExtended.xml"/><Relationship Id="rId10" Type="http://schemas.openxmlformats.org/officeDocument/2006/relationships/theme" Target="theme/theme1.xml"/><Relationship Id="rId4" Type="http://schemas.openxmlformats.org/officeDocument/2006/relationships/comments" Target="comments.xml"/><Relationship Id="rId9" Type="http://schemas.microsoft.com/office/2011/relationships/people" Target="peop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413</Words>
  <Characters>2358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Shulammite Emeghara</dc:creator>
  <cp:keywords/>
  <dc:description/>
  <cp:lastModifiedBy>Shivani Patel</cp:lastModifiedBy>
  <cp:revision>2</cp:revision>
  <dcterms:created xsi:type="dcterms:W3CDTF">2026-06-24T09:34:00Z</dcterms:created>
  <dcterms:modified xsi:type="dcterms:W3CDTF">2026-06-24T09:34:00Z</dcterms:modified>
</cp:coreProperties>
</file>