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spacing w:before="384" w:beforeLines="160" w:after="384" w:afterLines="160"/>
        <w:jc w:val="center"/>
        <w:rPr>
          <w:sz w:val="32"/>
          <w:szCs w:val="32"/>
        </w:rPr>
      </w:pPr>
      <w:bookmarkStart w:id="0" w:name="_Toc164081872"/>
    </w:p>
    <w:p>
      <w:pPr>
        <w:pStyle w:val="2"/>
        <w:spacing w:before="384" w:beforeLines="160" w:after="384" w:afterLines="160"/>
        <w:jc w:val="center"/>
        <w:rPr>
          <w:sz w:val="32"/>
          <w:szCs w:val="32"/>
        </w:rPr>
      </w:pPr>
    </w:p>
    <w:bookmarkEnd w:id="0"/>
    <w:p>
      <w:pPr>
        <w:spacing w:before="384" w:beforeLines="160" w:after="384" w:afterLines="160"/>
        <w:jc w:val="center"/>
        <w:rPr>
          <w:b/>
          <w:bCs/>
          <w:sz w:val="30"/>
          <w:szCs w:val="30"/>
        </w:rPr>
      </w:pPr>
      <w:r>
        <w:rPr>
          <w:b/>
          <w:bCs/>
          <w:sz w:val="30"/>
          <w:szCs w:val="30"/>
        </w:rPr>
        <w:t>Research Proposal Report</w:t>
      </w:r>
    </w:p>
    <w:p>
      <w:pPr>
        <w:spacing w:after="0"/>
        <w:jc w:val="center"/>
        <w:rPr>
          <w:rFonts w:hint="default" w:eastAsiaTheme="minorHAnsi"/>
          <w:lang w:val="en-US" w:eastAsia="zh-CN"/>
        </w:rPr>
      </w:pPr>
      <w:r>
        <w:rPr>
          <w:rFonts w:hint="eastAsia"/>
          <w:lang w:val="en-US" w:eastAsia="zh-CN"/>
        </w:rPr>
        <w:t xml:space="preserve">                             Student</w:t>
      </w:r>
      <w:r>
        <w:t xml:space="preserve"> Name</w:t>
      </w:r>
      <w:r>
        <w:rPr>
          <w:rFonts w:hint="eastAsia"/>
          <w:lang w:val="en-US" w:eastAsia="zh-CN"/>
        </w:rPr>
        <w:t>:Lei Gui(2316346)</w:t>
      </w:r>
    </w:p>
    <w:p>
      <w:pPr>
        <w:spacing w:after="0"/>
        <w:ind w:firstLine="3840" w:firstLineChars="1600"/>
        <w:jc w:val="both"/>
        <w:rPr>
          <w:rFonts w:hint="default"/>
          <w:lang w:val="en-US" w:eastAsia="zh-CN"/>
        </w:rPr>
      </w:pPr>
      <w:r>
        <w:t>Date</w:t>
      </w:r>
      <w:r>
        <w:rPr>
          <w:rFonts w:hint="eastAsia"/>
          <w:lang w:val="en-US" w:eastAsia="zh-CN"/>
        </w:rPr>
        <w:t>: 19/04/2024</w:t>
      </w:r>
    </w:p>
    <w:p>
      <w:pPr>
        <w:spacing w:after="0" w:line="240" w:lineRule="auto"/>
      </w:pPr>
      <w:r>
        <w:br w:type="page"/>
      </w:r>
    </w:p>
    <w:sdt>
      <w:sdtPr>
        <w:id w:val="338131796"/>
        <w:docPartObj>
          <w:docPartGallery w:val="Table of Contents"/>
          <w:docPartUnique/>
        </w:docPartObj>
      </w:sdtPr>
      <w:sdtEndPr>
        <w:rPr>
          <w:rFonts w:ascii="Times New Roman" w:hAnsi="Times New Roman" w:cs="Times New Roman" w:eastAsiaTheme="minorHAnsi"/>
          <w:b/>
          <w:bCs/>
          <w:color w:val="auto"/>
          <w:sz w:val="24"/>
          <w:szCs w:val="22"/>
        </w:rPr>
      </w:sdtEndPr>
      <w:sdtContent>
        <w:p>
          <w:pPr>
            <w:pStyle w:val="22"/>
            <w:jc w:val="center"/>
          </w:pPr>
          <w:r>
            <w:rPr>
              <w:rFonts w:ascii="Times New Roman" w:hAnsi="Times New Roman" w:cs="Times New Roman"/>
              <w:b/>
              <w:color w:val="000000" w:themeColor="text1"/>
              <w:sz w:val="24"/>
              <w14:textFill>
                <w14:solidFill>
                  <w14:schemeClr w14:val="tx1"/>
                </w14:solidFill>
              </w14:textFill>
            </w:rPr>
            <w:t>Contents</w:t>
          </w:r>
        </w:p>
        <w:p>
          <w:pPr>
            <w:pStyle w:val="7"/>
            <w:tabs>
              <w:tab w:val="right" w:leader="dot" w:pos="9016"/>
            </w:tabs>
          </w:pPr>
          <w:r>
            <w:fldChar w:fldCharType="begin"/>
          </w:r>
          <w:r>
            <w:instrText xml:space="preserve"> TOC \o "1-3" \h \z \u </w:instrText>
          </w:r>
          <w:r>
            <w:fldChar w:fldCharType="separate"/>
          </w:r>
          <w:r>
            <w:fldChar w:fldCharType="begin"/>
          </w:r>
          <w:r>
            <w:instrText xml:space="preserve"> HYPERLINK \l "_Toc164081872" </w:instrText>
          </w:r>
          <w:r>
            <w:fldChar w:fldCharType="separate"/>
          </w:r>
          <w:r>
            <w:rPr>
              <w:rStyle w:val="13"/>
            </w:rPr>
            <w:t>Business Research</w:t>
          </w:r>
          <w:r>
            <w:tab/>
          </w:r>
          <w:r>
            <w:fldChar w:fldCharType="begin"/>
          </w:r>
          <w:r>
            <w:instrText xml:space="preserve"> PAGEREF _Toc164081872 \h </w:instrText>
          </w:r>
          <w:r>
            <w:fldChar w:fldCharType="separate"/>
          </w:r>
          <w:r>
            <w:t>1</w:t>
          </w:r>
          <w:r>
            <w:fldChar w:fldCharType="end"/>
          </w:r>
          <w:r>
            <w:fldChar w:fldCharType="end"/>
          </w:r>
        </w:p>
        <w:p>
          <w:pPr>
            <w:pStyle w:val="8"/>
            <w:tabs>
              <w:tab w:val="right" w:leader="dot" w:pos="9016"/>
            </w:tabs>
          </w:pPr>
          <w:r>
            <w:fldChar w:fldCharType="begin"/>
          </w:r>
          <w:r>
            <w:instrText xml:space="preserve"> HYPERLINK \l "_Toc164081873" </w:instrText>
          </w:r>
          <w:r>
            <w:fldChar w:fldCharType="separate"/>
          </w:r>
          <w:r>
            <w:rPr>
              <w:rStyle w:val="13"/>
            </w:rPr>
            <w:t>Business Research</w:t>
          </w:r>
          <w:r>
            <w:tab/>
          </w:r>
          <w:r>
            <w:fldChar w:fldCharType="begin"/>
          </w:r>
          <w:r>
            <w:instrText xml:space="preserve"> PAGEREF _Toc164081873 \h </w:instrText>
          </w:r>
          <w:r>
            <w:fldChar w:fldCharType="separate"/>
          </w:r>
          <w:r>
            <w:t>3</w:t>
          </w:r>
          <w:r>
            <w:fldChar w:fldCharType="end"/>
          </w:r>
          <w:r>
            <w:fldChar w:fldCharType="end"/>
          </w:r>
        </w:p>
        <w:p>
          <w:pPr>
            <w:pStyle w:val="7"/>
            <w:tabs>
              <w:tab w:val="right" w:leader="dot" w:pos="9016"/>
            </w:tabs>
          </w:pPr>
          <w:r>
            <w:fldChar w:fldCharType="begin"/>
          </w:r>
          <w:r>
            <w:instrText xml:space="preserve"> HYPERLINK \l "_Toc164081874" </w:instrText>
          </w:r>
          <w:r>
            <w:fldChar w:fldCharType="separate"/>
          </w:r>
          <w:r>
            <w:rPr>
              <w:rStyle w:val="13"/>
            </w:rPr>
            <w:t>Research Topic</w:t>
          </w:r>
          <w:r>
            <w:tab/>
          </w:r>
          <w:r>
            <w:fldChar w:fldCharType="begin"/>
          </w:r>
          <w:r>
            <w:instrText xml:space="preserve"> PAGEREF _Toc164081874 \h </w:instrText>
          </w:r>
          <w:r>
            <w:fldChar w:fldCharType="separate"/>
          </w:r>
          <w:r>
            <w:t>3</w:t>
          </w:r>
          <w:r>
            <w:fldChar w:fldCharType="end"/>
          </w:r>
          <w:r>
            <w:fldChar w:fldCharType="end"/>
          </w:r>
        </w:p>
        <w:p>
          <w:pPr>
            <w:pStyle w:val="7"/>
            <w:tabs>
              <w:tab w:val="right" w:leader="dot" w:pos="9016"/>
            </w:tabs>
          </w:pPr>
          <w:r>
            <w:fldChar w:fldCharType="begin"/>
          </w:r>
          <w:r>
            <w:instrText xml:space="preserve"> HYPERLINK \l "_Toc164081875" </w:instrText>
          </w:r>
          <w:r>
            <w:fldChar w:fldCharType="separate"/>
          </w:r>
          <w:r>
            <w:rPr>
              <w:rStyle w:val="13"/>
            </w:rPr>
            <w:t>Research Rationale</w:t>
          </w:r>
          <w:r>
            <w:tab/>
          </w:r>
          <w:r>
            <w:fldChar w:fldCharType="begin"/>
          </w:r>
          <w:r>
            <w:instrText xml:space="preserve"> PAGEREF _Toc164081875 \h </w:instrText>
          </w:r>
          <w:r>
            <w:fldChar w:fldCharType="separate"/>
          </w:r>
          <w:r>
            <w:t>3</w:t>
          </w:r>
          <w:r>
            <w:fldChar w:fldCharType="end"/>
          </w:r>
          <w:r>
            <w:fldChar w:fldCharType="end"/>
          </w:r>
        </w:p>
        <w:p>
          <w:pPr>
            <w:pStyle w:val="7"/>
            <w:tabs>
              <w:tab w:val="right" w:leader="dot" w:pos="9016"/>
            </w:tabs>
          </w:pPr>
          <w:r>
            <w:fldChar w:fldCharType="begin"/>
          </w:r>
          <w:r>
            <w:instrText xml:space="preserve"> HYPERLINK \l "_Toc164081876" </w:instrText>
          </w:r>
          <w:r>
            <w:fldChar w:fldCharType="separate"/>
          </w:r>
          <w:r>
            <w:rPr>
              <w:rStyle w:val="13"/>
            </w:rPr>
            <w:t>Key Literature</w:t>
          </w:r>
          <w:r>
            <w:tab/>
          </w:r>
          <w:r>
            <w:fldChar w:fldCharType="begin"/>
          </w:r>
          <w:r>
            <w:instrText xml:space="preserve"> PAGEREF _Toc164081876 \h </w:instrText>
          </w:r>
          <w:r>
            <w:fldChar w:fldCharType="separate"/>
          </w:r>
          <w:r>
            <w:t>5</w:t>
          </w:r>
          <w:r>
            <w:fldChar w:fldCharType="end"/>
          </w:r>
          <w:r>
            <w:fldChar w:fldCharType="end"/>
          </w:r>
        </w:p>
        <w:p>
          <w:pPr>
            <w:pStyle w:val="7"/>
            <w:tabs>
              <w:tab w:val="right" w:leader="dot" w:pos="9016"/>
            </w:tabs>
          </w:pPr>
          <w:r>
            <w:fldChar w:fldCharType="begin"/>
          </w:r>
          <w:r>
            <w:instrText xml:space="preserve"> HYPERLINK \l "_Toc164081877" </w:instrText>
          </w:r>
          <w:r>
            <w:fldChar w:fldCharType="separate"/>
          </w:r>
          <w:r>
            <w:rPr>
              <w:rStyle w:val="13"/>
            </w:rPr>
            <w:t>Research Aims and Objectives</w:t>
          </w:r>
          <w:r>
            <w:tab/>
          </w:r>
          <w:r>
            <w:rPr>
              <w:rFonts w:hint="eastAsia"/>
              <w:lang w:val="en-US" w:eastAsia="zh-CN"/>
            </w:rPr>
            <w:t>9</w:t>
          </w:r>
          <w:r>
            <w:fldChar w:fldCharType="end"/>
          </w:r>
        </w:p>
        <w:p>
          <w:pPr>
            <w:pStyle w:val="7"/>
            <w:tabs>
              <w:tab w:val="right" w:leader="dot" w:pos="9016"/>
            </w:tabs>
            <w:rPr>
              <w:rFonts w:hint="eastAsia" w:eastAsiaTheme="minorHAnsi"/>
              <w:lang w:val="en-US" w:eastAsia="zh-CN"/>
            </w:rPr>
          </w:pPr>
          <w:r>
            <w:fldChar w:fldCharType="begin"/>
          </w:r>
          <w:r>
            <w:instrText xml:space="preserve"> HYPERLINK \l "_Toc164081878" </w:instrText>
          </w:r>
          <w:r>
            <w:fldChar w:fldCharType="separate"/>
          </w:r>
          <w:r>
            <w:rPr>
              <w:rStyle w:val="13"/>
            </w:rPr>
            <w:t>Research Questions</w:t>
          </w:r>
          <w:r>
            <w:tab/>
          </w:r>
          <w:r>
            <w:rPr>
              <w:rFonts w:hint="eastAsia"/>
              <w:lang w:val="en-US" w:eastAsia="zh-CN"/>
            </w:rPr>
            <w:t>1</w:t>
          </w:r>
          <w:r>
            <w:fldChar w:fldCharType="end"/>
          </w:r>
          <w:r>
            <w:rPr>
              <w:rFonts w:hint="eastAsia"/>
              <w:lang w:val="en-US" w:eastAsia="zh-CN"/>
            </w:rPr>
            <w:t>0</w:t>
          </w:r>
        </w:p>
        <w:p>
          <w:pPr>
            <w:pStyle w:val="7"/>
            <w:tabs>
              <w:tab w:val="right" w:leader="dot" w:pos="9016"/>
            </w:tabs>
          </w:pPr>
          <w:r>
            <w:fldChar w:fldCharType="begin"/>
          </w:r>
          <w:r>
            <w:instrText xml:space="preserve"> HYPERLINK \l "_Toc164081879" </w:instrText>
          </w:r>
          <w:r>
            <w:fldChar w:fldCharType="separate"/>
          </w:r>
          <w:r>
            <w:rPr>
              <w:rStyle w:val="13"/>
            </w:rPr>
            <w:t>Proposed Paradigm and Methodology</w:t>
          </w:r>
          <w:r>
            <w:tab/>
          </w:r>
          <w:r>
            <w:fldChar w:fldCharType="begin"/>
          </w:r>
          <w:r>
            <w:instrText xml:space="preserve"> PAGEREF _Toc164081879 \h </w:instrText>
          </w:r>
          <w:r>
            <w:fldChar w:fldCharType="separate"/>
          </w:r>
          <w:r>
            <w:t>11</w:t>
          </w:r>
          <w:r>
            <w:fldChar w:fldCharType="end"/>
          </w:r>
          <w:r>
            <w:fldChar w:fldCharType="end"/>
          </w:r>
        </w:p>
        <w:p>
          <w:pPr>
            <w:pStyle w:val="7"/>
            <w:tabs>
              <w:tab w:val="right" w:leader="dot" w:pos="9016"/>
            </w:tabs>
            <w:rPr>
              <w:rFonts w:hint="eastAsia" w:eastAsiaTheme="minorHAnsi"/>
              <w:lang w:val="en-US" w:eastAsia="zh-CN"/>
            </w:rPr>
          </w:pPr>
          <w:r>
            <w:fldChar w:fldCharType="begin"/>
          </w:r>
          <w:r>
            <w:instrText xml:space="preserve"> HYPERLINK \l "_Toc164081880" </w:instrText>
          </w:r>
          <w:r>
            <w:fldChar w:fldCharType="separate"/>
          </w:r>
          <w:r>
            <w:rPr>
              <w:rStyle w:val="13"/>
            </w:rPr>
            <w:t>Advantages and Disadvantages of Proposed Methodology</w:t>
          </w:r>
          <w:r>
            <w:tab/>
          </w:r>
          <w:r>
            <w:rPr>
              <w:rFonts w:hint="eastAsia"/>
              <w:lang w:val="en-US" w:eastAsia="zh-CN"/>
            </w:rPr>
            <w:t>1</w:t>
          </w:r>
          <w:r>
            <w:fldChar w:fldCharType="end"/>
          </w:r>
          <w:r>
            <w:rPr>
              <w:rFonts w:hint="eastAsia"/>
              <w:lang w:val="en-US" w:eastAsia="zh-CN"/>
            </w:rPr>
            <w:t>4</w:t>
          </w:r>
        </w:p>
        <w:p>
          <w:pPr>
            <w:pStyle w:val="7"/>
            <w:tabs>
              <w:tab w:val="right" w:leader="dot" w:pos="9016"/>
            </w:tabs>
            <w:rPr>
              <w:rFonts w:hint="default" w:eastAsiaTheme="minorHAnsi"/>
              <w:lang w:val="en-US" w:eastAsia="zh-CN"/>
            </w:rPr>
          </w:pPr>
          <w:r>
            <w:fldChar w:fldCharType="begin"/>
          </w:r>
          <w:r>
            <w:instrText xml:space="preserve"> HYPERLINK \l "_Toc164081881" </w:instrText>
          </w:r>
          <w:r>
            <w:fldChar w:fldCharType="separate"/>
          </w:r>
          <w:r>
            <w:rPr>
              <w:rStyle w:val="13"/>
            </w:rPr>
            <w:t>Effective Tools and Methods for Data Collection</w:t>
          </w:r>
          <w:r>
            <w:tab/>
          </w:r>
          <w:r>
            <w:rPr>
              <w:rFonts w:hint="eastAsia"/>
              <w:lang w:val="en-US" w:eastAsia="zh-CN"/>
            </w:rPr>
            <w:t>1</w:t>
          </w:r>
          <w:r>
            <w:fldChar w:fldCharType="end"/>
          </w:r>
          <w:r>
            <w:rPr>
              <w:rFonts w:hint="eastAsia"/>
              <w:lang w:val="en-US" w:eastAsia="zh-CN"/>
            </w:rPr>
            <w:t>6</w:t>
          </w:r>
        </w:p>
        <w:p>
          <w:pPr>
            <w:pStyle w:val="7"/>
            <w:tabs>
              <w:tab w:val="right" w:leader="dot" w:pos="9016"/>
            </w:tabs>
            <w:rPr>
              <w:rFonts w:hint="eastAsia" w:eastAsiaTheme="minorHAnsi"/>
              <w:lang w:val="en-US" w:eastAsia="zh-CN"/>
            </w:rPr>
          </w:pPr>
          <w:r>
            <w:fldChar w:fldCharType="begin"/>
          </w:r>
          <w:r>
            <w:instrText xml:space="preserve"> HYPERLINK \l "_Toc164081882" </w:instrText>
          </w:r>
          <w:r>
            <w:fldChar w:fldCharType="separate"/>
          </w:r>
          <w:r>
            <w:rPr>
              <w:rStyle w:val="13"/>
            </w:rPr>
            <w:t>Resource Implications and Needs</w:t>
          </w:r>
          <w:r>
            <w:tab/>
          </w:r>
          <w:r>
            <w:rPr>
              <w:rFonts w:hint="eastAsia"/>
              <w:lang w:val="en-US" w:eastAsia="zh-CN"/>
            </w:rPr>
            <w:t>1</w:t>
          </w:r>
          <w:r>
            <w:fldChar w:fldCharType="end"/>
          </w:r>
          <w:r>
            <w:rPr>
              <w:rFonts w:hint="eastAsia"/>
              <w:lang w:val="en-US" w:eastAsia="zh-CN"/>
            </w:rPr>
            <w:t>7</w:t>
          </w:r>
        </w:p>
        <w:p>
          <w:pPr>
            <w:pStyle w:val="7"/>
            <w:tabs>
              <w:tab w:val="right" w:leader="dot" w:pos="9016"/>
            </w:tabs>
            <w:rPr>
              <w:rFonts w:hint="eastAsia" w:eastAsiaTheme="minorHAnsi"/>
              <w:lang w:val="en-US" w:eastAsia="zh-CN"/>
            </w:rPr>
          </w:pPr>
          <w:r>
            <w:fldChar w:fldCharType="begin"/>
          </w:r>
          <w:r>
            <w:instrText xml:space="preserve"> HYPERLINK \l "_Toc164081883" </w:instrText>
          </w:r>
          <w:r>
            <w:fldChar w:fldCharType="separate"/>
          </w:r>
          <w:r>
            <w:rPr>
              <w:rStyle w:val="13"/>
            </w:rPr>
            <w:t>Time Plan</w:t>
          </w:r>
          <w:r>
            <w:tab/>
          </w:r>
          <w:r>
            <w:rPr>
              <w:rFonts w:hint="eastAsia"/>
              <w:lang w:val="en-US" w:eastAsia="zh-CN"/>
            </w:rPr>
            <w:t>1</w:t>
          </w:r>
          <w:r>
            <w:fldChar w:fldCharType="end"/>
          </w:r>
          <w:r>
            <w:rPr>
              <w:rFonts w:hint="eastAsia"/>
              <w:lang w:val="en-US" w:eastAsia="zh-CN"/>
            </w:rPr>
            <w:t>8</w:t>
          </w:r>
        </w:p>
        <w:p>
          <w:pPr>
            <w:pStyle w:val="7"/>
            <w:tabs>
              <w:tab w:val="right" w:leader="dot" w:pos="9016"/>
            </w:tabs>
            <w:rPr>
              <w:rFonts w:hint="eastAsia" w:eastAsiaTheme="minorHAnsi"/>
              <w:lang w:val="en-US" w:eastAsia="zh-CN"/>
            </w:rPr>
          </w:pPr>
          <w:r>
            <w:fldChar w:fldCharType="begin"/>
          </w:r>
          <w:r>
            <w:instrText xml:space="preserve"> HYPERLINK \l "_Toc164081884" </w:instrText>
          </w:r>
          <w:r>
            <w:fldChar w:fldCharType="separate"/>
          </w:r>
          <w:r>
            <w:rPr>
              <w:rStyle w:val="13"/>
            </w:rPr>
            <w:t>Ethical Considerations</w:t>
          </w:r>
          <w:r>
            <w:tab/>
          </w:r>
          <w:r>
            <w:rPr>
              <w:rFonts w:hint="eastAsia"/>
              <w:lang w:val="en-US" w:eastAsia="zh-CN"/>
            </w:rPr>
            <w:t>1</w:t>
          </w:r>
          <w:r>
            <w:fldChar w:fldCharType="end"/>
          </w:r>
          <w:r>
            <w:rPr>
              <w:rFonts w:hint="eastAsia"/>
              <w:lang w:val="en-US" w:eastAsia="zh-CN"/>
            </w:rPr>
            <w:t>9</w:t>
          </w:r>
          <w:bookmarkStart w:id="12" w:name="_GoBack"/>
          <w:bookmarkEnd w:id="12"/>
        </w:p>
        <w:p>
          <w:pPr>
            <w:pStyle w:val="7"/>
            <w:tabs>
              <w:tab w:val="right" w:leader="dot" w:pos="9016"/>
            </w:tabs>
            <w:rPr>
              <w:rFonts w:hint="eastAsia" w:eastAsiaTheme="minorHAnsi"/>
              <w:lang w:val="en-US" w:eastAsia="zh-CN"/>
            </w:rPr>
          </w:pPr>
          <w:r>
            <w:fldChar w:fldCharType="begin"/>
          </w:r>
          <w:r>
            <w:instrText xml:space="preserve"> HYPERLINK \l "_Toc164081885" </w:instrText>
          </w:r>
          <w:r>
            <w:fldChar w:fldCharType="separate"/>
          </w:r>
          <w:r>
            <w:rPr>
              <w:rStyle w:val="13"/>
            </w:rPr>
            <w:t>References</w:t>
          </w:r>
          <w:r>
            <w:tab/>
          </w:r>
          <w:r>
            <w:rPr>
              <w:rFonts w:hint="eastAsia"/>
              <w:lang w:val="en-US" w:eastAsia="zh-CN"/>
            </w:rPr>
            <w:t>2</w:t>
          </w:r>
          <w:r>
            <w:fldChar w:fldCharType="end"/>
          </w:r>
          <w:r>
            <w:rPr>
              <w:rFonts w:hint="eastAsia"/>
              <w:lang w:val="en-US" w:eastAsia="zh-CN"/>
            </w:rPr>
            <w:t>1</w:t>
          </w:r>
        </w:p>
        <w:p>
          <w:r>
            <w:rPr>
              <w:b/>
              <w:bCs/>
            </w:rPr>
            <w:fldChar w:fldCharType="end"/>
          </w:r>
        </w:p>
      </w:sdtContent>
    </w:sdt>
    <w:p>
      <w:pPr>
        <w:spacing w:before="384" w:beforeLines="160" w:after="384" w:afterLines="160"/>
        <w:jc w:val="center"/>
      </w:pPr>
      <w:r>
        <w:br w:type="page"/>
      </w:r>
    </w:p>
    <w:p>
      <w:pPr>
        <w:pStyle w:val="2"/>
        <w:spacing w:before="384" w:beforeLines="160" w:after="384" w:afterLines="160"/>
      </w:pPr>
      <w:bookmarkStart w:id="1" w:name="_Toc164081874"/>
      <w:r>
        <w:t>Research Topic</w:t>
      </w:r>
      <w:bookmarkEnd w:id="1"/>
    </w:p>
    <w:p>
      <w:bookmarkStart w:id="2" w:name="_Toc164081875"/>
      <w:r>
        <w:t>Exploring the Adoption of ESG (Environmental, Social, and Governance) Practices in Corporate Decision Making: A Quantitative Approach</w:t>
      </w:r>
    </w:p>
    <w:p>
      <w:pPr>
        <w:pStyle w:val="2"/>
      </w:pPr>
      <w:r>
        <w:t>Research Rationale</w:t>
      </w:r>
      <w:bookmarkEnd w:id="2"/>
    </w:p>
    <w:p>
      <w:r>
        <w:tab/>
      </w:r>
      <w:r>
        <w:t>ESG practices have become increasingly important in addressing pressing societal and environmental challenges such as climate change and social inequality through corporate accountability which is why this study is important because understanding how companies integrate ESG considerations into their decision-making processes is crucial for promoting sustainable and responsible business practices as investors and other stakeholders are placing greater emphasis on ESG performance as a measure of corporate responsibility and long-term sustainability (Pollman, 2022; Yébenes, 2024). Researching the adoption of ESG practices helps in understanding the drivers behind these expectations and how companies respond to them because companies that effectively adopt and integrate ESG practices into their strategies can gain a competitive advantage by attracting socially conscious investors and enhancing their brand reputation while also mitigating risks associated with environmental and social issues (Bai et al., 2024). Investigating the strategic implications of ESG adoption can also provide valuable insights for firms seeking to differentiate themselves in the marketplace which is even more important now as the regulatory environment surrounding ESG reporting and disclosure is evolving rapidly with governments and regulatory bodies implementing new requirements and guidelines which means that researching the adoption of ESG practices can help in assessing compliance with existing regulations and anticipating future regulatory changes thereby informing corporate governance and risk management strategies (Hong et al., 2024). Incorporating ESG considerations into decision making can contribute to the long-term sustainability and resilience of companies by fostering innovation and reducing costs while also enhancing relationships with stakeholders as understanding the factors that facilitate or hinder the adoption of ESG practices can help in developing frameworks and best practices for sustainable business management (Rastogi et al., 2024). Moreover, the integration of ESG practices also holds significant implications for financial performance and stakeholder engagement because empirical analysis can help researchers to investigate the relationship between ESG performance and financial outcomes by offering insights into the potential impact on profitability and risk management for a business alongside its shareholder value which is important because understanding how stakeholders including investors and customers alongside employees and regulators can influence ESG adoption will provide valuable perspectives on the importance of accountability and trust in corporate governance (Hu et al., 2024; Cho et al., 2024). Investigating industry-specific dynamics and cross-cultural differences in ESG adoption through this research study can offer nuanced insights into sectoral trends as well as the challenges and opportunities as comparative analyses across regions and countries will illuminate the influence of regulatory and institutional factors on ESG integration strategies and stakeholder engagement practices (Candio, 2024; Morri et al., 2024). Meanwhile, focusing on small and medium enterprises (SMEs) can uncover the unique challenges faced by these businesses in adopting ESG practices while also identifying scalable solutions and support mechanisms to facilitate integration and sustainability efforts for these small firms as research in this area can also contribute to enhancing corporate governance mechanisms and risk management strategies as examining the role of corporate boards and executive leadership alongside other governance structures in overseeing ESG initiatives will help scholars to identify governance best practices that promote sustainable value creation and long-term resilience (Ryu et al., 2024). Overall, this study will explore how various companies can identify and assess any ESG-related risks while implementing ESG measures which has policy implications as it can help desig</w:t>
      </w:r>
      <w:r>
        <w:t>n management frameworks and decision-making processes for business firms implementing ESG.</w:t>
      </w:r>
    </w:p>
    <w:p>
      <w:pPr>
        <w:pStyle w:val="2"/>
      </w:pPr>
      <w:bookmarkStart w:id="3" w:name="_Toc164081876"/>
      <w:r>
        <w:t>Key Literature</w:t>
      </w:r>
      <w:bookmarkEnd w:id="3"/>
    </w:p>
    <w:p>
      <w:pPr>
        <w:spacing w:before="384" w:beforeLines="160" w:after="384" w:afterLines="160"/>
      </w:pPr>
      <w:r>
        <w:tab/>
      </w:r>
      <w:r>
        <w:t xml:space="preserve">When it comes to ESG, key issues raised in the current literature are the shape of current trends with respect to ESG in an attempt to understand and explain the shift in the narrative around the business world which now focuses on social and environmental responsibility by implementing ESG measures. The review by Menon (2021) discusses the meaning behind ESG and CSR before explaining the various aspects of ESG, its measurement and its impacts in recent relevant literature that analyzes the growing interest of investors in ESG and how this is influencing investment strategies around the business world. This literature survey discusses the historical significance given to the concept of shareholder primacy alongside the idea that businesses only had social responsibility to shareholders and that the purpose of a business was limited to a maximization of profits for shareholders. Within this social responsibility lay the supposition that shareholders would realistically do what was best for society but since the shareholders were the primary decision makers with ethically justifiable total control over the business, it was their discretion to decide how to best help society. This mindset, according to Firlej (2023) and Lipton et al. (2022), was challenged by concepts like ESG and CSR because they refute the primacy of shareholders and present an alternative opinion stating that a business also has responsibility to the society, the community, and to the environment which means that the business must make socially and environmentally sound decisions even if they do not always align with the best interests of the shareholders. Another review by Gesso &amp; Lodhi (2024) also talks about the shift from shareholder primacy towards value maximization for all shareholders with the emergence of CSR and ESG as frequently used measures for social and environmental responsibility. However, other than the stakeholder theory that primarily challenged shareholder primacy, there are also other theories discussed by Gesso &amp; Lodhi (2023) that are important to discuss when describing the theoretical framework that guides research and progress in the field of ESG measurement and reporting. The legitimacy theory claims that business organizations may pursue disclosure of ESG goals and measures to their customers in order to win social legitimacy and to gain popular public support by showing that they are implementing environmentally sustainable practices which is also discussed by Khamisu et al. (2024) who describe the various motivators for implementing ESG practices in business. Similarly, Gesso &amp; Lodhi (2023) also discuss that an institutional theory names institutional pressure as the primary factor behind disclosure of ESG goals and measures by business firms as organizations often pay attention to ESG simply due to a pressure to conform to social institutions. However, the main theoretical framework guiding work in ESG is the stakeholder theory as placing other stakeholders on the pedestal of importance for a business system alongside shareholders, as described by Allegaert (2019) became known as the stakeholder value maximization perspective which then grew stronger as more academics and practitioners engaged in this theory and described how a business could focus on alternative measures to increase their net present value while giving importance to the needs of all their stakeholders. </w:t>
      </w:r>
    </w:p>
    <w:p>
      <w:pPr>
        <w:spacing w:before="384" w:beforeLines="160" w:after="384" w:afterLines="160"/>
        <w:ind w:firstLine="720"/>
      </w:pPr>
      <w:r>
        <w:t>Other than a theoretical and descriptive understanding of how ESG works and why business organizations, there are also key issues discussed in current literature regarding the most frequently used methods to calculate ESG scores and why these scores are demanded by different stakeholders. The review by Liu et al. (2024) also describes how ESG is measured through a range of ESG databases that all provide information about the ESG scores of a firm in order to cater to a growing demand with respect to these scores. Providers of ESG scores create an aggregate by combining scores for the E, S and G pillars by analyzing the public documents of a company alongside the reported CSR values and other data sources which is then used to create a final score published on the database according to Rau &amp; Yu (2024). Another study by Oh et al. (2024) also details that customers who are interested in knowing the ESG score of a company they are buying from can visit the database and check the ESG score of that company to ensure that they are taking their business to socially and environmentally aware companies. A growing demand for these databases confirms that there is an ongoing trend to expect companies to willfully disclose their ESG goals and align with the societal expectation to be environmentally aware and socially responsible.</w:t>
      </w:r>
    </w:p>
    <w:p>
      <w:pPr>
        <w:spacing w:before="384" w:beforeLines="160" w:after="384" w:afterLines="160"/>
        <w:ind w:firstLine="720"/>
      </w:pPr>
      <w:r>
        <w:t>Implementing ESG measures in order to attain favorable scores on one of the ESG databases also has other impacts besides the often-prioritized goal of legitimization and popular public support as the financial performance of a firm can also be mediated by whether that firm is taking ESG measures seriously (Chen &amp; Xie, 2022; DasGupta, 2022). A study by Jinga (2021) and another by Chou et al. (2023) reveal that as most nations around the world have put forth their “carbon neutral” goals, it has become increasingly important for business firms operating within these countries to show greater environmental responsibility and ascribe to the evolving regulatory and legal standards with respect to environmental sustainability. Chen et al. (2023) have reported that ESG performance is positively interrelated with the financial performance of a corporate firm and the relationship between ESG performance and financial performance is especially significant for large-scale companies while there is also a clear impact on small-scale companies based on data from more than 24 thousand firms. Since the regression coefficient calculated by Chen et al. (2023) for the relationship between the ESG performance and the financial performance of a firm is considerably positive, it confirms that when a business organization carries out ESG reporting and implements ESG measures intended to give the firm a high ESG score, the financial performance of the firm also improves. Results by these studies show that the emergence and the continued flourishing of concepts like CSR and ESG have become inevitable in a world where responsible investment is valued, and sustainable development has become a normalized and widely accepted concept in economies around the globe. However, this relationship can be bi-directional as the financial performance and financial flexibility of a firm may also become a causative factor for whether a business firm will be able to implement ESG initiatives in the first place (Voorhees et al., 2022). A study by Naseer et al. (2024) confirms that both the climate change risk perceived by a business firm and the financial flexibility of the firm can be deciding factors for the probability of a firm to invest in ESG measures or pursue a high ESG score for legitimacy within its consumer base. According to this study and another study by Chen et al. (2022), if a firm has a higher climate change risk, they are more likely to divert their focus towards environmental sustainability and would therefore be more likely to invest in ESG measures which would enhance their overall ESG performance as a result. Interestingly, climate change risk has a negative effect on firm value which pushes the firm towards more ESG initiatives and makes them more susceptible to the global shift in business narratives regarding responsible investment. Naseer et al. (2024) also report that the financial flexibility of a firm is a mediating factor for the relationship between climate change risk and ESG performance as the financial flexibility of the firm can increase firm value and reduce the climate change risk by encouraging better ESG performance. Overall, these studies show that while design and implementation of ESG measures in a business organization can enhance its financial performance, the financial flexibility of a firm can also enhance the ESG performance of a firm which means that these two factors have a positive bi-directional relationship.</w:t>
      </w:r>
    </w:p>
    <w:p>
      <w:pPr>
        <w:spacing w:before="384" w:beforeLines="160" w:after="384" w:afterLines="160"/>
        <w:ind w:firstLine="720"/>
      </w:pPr>
      <w:r>
        <w:t xml:space="preserve">Apart from the financial performance of a business organization, investment trends in the business world of today are also impacted by ESG measures and ESG performance by a firm as the concept of responsible investment dictates that favorable ESG performance and high ESG scores by a firm should attract more investors towards the firm (Assaf et al., 2024). The studies by Jin (2022) and Nakajima (2021) investigated the relationship between ESG performance and the investment patterns seen at a business organization to report that good ESG performance had a significant positive correlation with the earnings-driven investment or capital investment. However, Yu et al. (2024) also reported that ESG performance had a negative correlation with environmental investment which means that high ESG scores by business organizations were unable to motivate investors to invest more heavily based on purely environmental intentions which is why this study can be used to create a model of investment in which both capital investment and environmental investment are suggested in order to strike a balance between the financial responsibilities and the environmental responsibilities associated with a firm. ESG performance can also have a moderating role on the corporate governance and the firm value of a business organization because good corporate governance is believed to solidify investor confidence and bring favorable economic outcomes and high ESG scores can mediate this relationship between corporate governance and firm value (Quintiliani, 2024; Chang &amp; Lee, 2022). Results from Bukari et al. (2024) exhibited a multifaceted mixture of results as some aspects of corporate governance like board diversity in terms of gender and foreign nationals, board structural attributes like independent boards, and board size of a business firm had a positive correlation with firm value while other aspects of corporate governance like CEO duality showed a negative correlation with firm value. However, Zhang et al. (2020) confirmed that ESG performance had a substantial positive impact as the mediator of this relationship between corporate governance and firm value showing that good ESG performance of a firm can become the deciding factor for good corporate governance and, as a result, good firm value. </w:t>
      </w:r>
    </w:p>
    <w:p>
      <w:pPr>
        <w:pStyle w:val="2"/>
      </w:pPr>
      <w:bookmarkStart w:id="4" w:name="_Toc164081877"/>
      <w:r>
        <w:t>Research Aims and Objectives</w:t>
      </w:r>
      <w:bookmarkEnd w:id="4"/>
    </w:p>
    <w:p>
      <w:pPr>
        <w:spacing w:before="384" w:beforeLines="160" w:after="384" w:afterLines="160"/>
      </w:pPr>
      <w:r>
        <w:tab/>
      </w:r>
      <w:r>
        <w:t>The primary aim of this research is to investigate the adoption of ESG practices in corporate decision-making at Unilever UK while focusing on understanding the various drivers, challenges and outcomes that are associated with ESG integration in a business firm, and this aim can be further divided into objectives as follows:</w:t>
      </w:r>
    </w:p>
    <w:p>
      <w:pPr>
        <w:pStyle w:val="19"/>
        <w:numPr>
          <w:ilvl w:val="0"/>
          <w:numId w:val="1"/>
        </w:numPr>
      </w:pPr>
      <w:bookmarkStart w:id="5" w:name="_Toc164081878"/>
      <w:r>
        <w:t>Exploring the factors that motivate companies to incorporate ESG considerations into their decision-making processes like the regulatory pressures and stakeholder expectations which would encourage ESG practices within competitive dynamics driven by ethical imperatives.</w:t>
      </w:r>
    </w:p>
    <w:p>
      <w:pPr>
        <w:pStyle w:val="19"/>
        <w:numPr>
          <w:ilvl w:val="0"/>
          <w:numId w:val="1"/>
        </w:numPr>
      </w:pPr>
      <w:r>
        <w:t>Investigating the relationship between ESG performance and financial outcomes by analyzing how ESG initiatives influence firm profitability and stock performance through their impact on risk management practices.</w:t>
      </w:r>
    </w:p>
    <w:p>
      <w:pPr>
        <w:pStyle w:val="19"/>
        <w:numPr>
          <w:ilvl w:val="0"/>
          <w:numId w:val="1"/>
        </w:numPr>
      </w:pPr>
      <w:r>
        <w:t>Understanding the role of stakeholders such as investors and customers alongside employees and regulators in driving ESG adoption and influencing corporate behavior and governance practices that become indicators of good ESG performance.</w:t>
      </w:r>
    </w:p>
    <w:p>
      <w:pPr>
        <w:pStyle w:val="19"/>
        <w:numPr>
          <w:ilvl w:val="0"/>
          <w:numId w:val="1"/>
        </w:numPr>
      </w:pPr>
      <w:r>
        <w:t>Assessing the effectiveness of corporate governance mechanisms like board oversight and executive leadership in overseeing ESG initiatives while also ensuring transparency and accountability in ESG reporting to stakeholders.</w:t>
      </w:r>
    </w:p>
    <w:p>
      <w:pPr>
        <w:pStyle w:val="19"/>
        <w:numPr>
          <w:ilvl w:val="0"/>
          <w:numId w:val="1"/>
        </w:numPr>
      </w:pPr>
      <w:r>
        <w:t>Comparing ESG adoption trends across industries and sectors by examining sectoral best practices alongside industry-specific challenges and opportunities for integrating ESG considerations into business strategies and operations.</w:t>
      </w:r>
    </w:p>
    <w:p>
      <w:pPr>
        <w:pStyle w:val="2"/>
      </w:pPr>
      <w:r>
        <w:t>Research Questions</w:t>
      </w:r>
      <w:bookmarkEnd w:id="5"/>
    </w:p>
    <w:p>
      <w:pPr>
        <w:spacing w:before="384" w:beforeLines="160" w:after="384" w:afterLines="160"/>
      </w:pPr>
      <w:r>
        <w:rPr>
          <w:b/>
          <w:bCs/>
        </w:rPr>
        <w:tab/>
      </w:r>
      <w:r>
        <w:t>The primary research question for this study is the determining factors and common methods for adoption of ESG practices in the decision-making for companies alongside an assessment of the implications of these ESG practices on both the financial performance and the stakeholder engagement at the firm. In order to answer this research question, various sub-questions will be answered in the study which will include:</w:t>
      </w:r>
    </w:p>
    <w:p>
      <w:pPr>
        <w:pStyle w:val="19"/>
        <w:numPr>
          <w:ilvl w:val="0"/>
          <w:numId w:val="2"/>
        </w:numPr>
      </w:pPr>
      <w:bookmarkStart w:id="6" w:name="_Toc164081879"/>
      <w:r>
        <w:t>What are the key motivations and drivers behind the adoption of ESG practices at Unilever UK?</w:t>
      </w:r>
    </w:p>
    <w:p>
      <w:pPr>
        <w:pStyle w:val="19"/>
        <w:numPr>
          <w:ilvl w:val="0"/>
          <w:numId w:val="2"/>
        </w:numPr>
      </w:pPr>
      <w:r>
        <w:t>How does ESG integration impact financial performance metrics such as profitability as well as stock performance and risk management in the perspective of Unilever UK employees?</w:t>
      </w:r>
    </w:p>
    <w:p>
      <w:pPr>
        <w:pStyle w:val="19"/>
        <w:numPr>
          <w:ilvl w:val="0"/>
          <w:numId w:val="2"/>
        </w:numPr>
      </w:pPr>
      <w:r>
        <w:t>What role do stakeholders play in influencing and shaping ESG strategies and governance practices within Unilever UK?</w:t>
      </w:r>
    </w:p>
    <w:p>
      <w:pPr>
        <w:pStyle w:val="19"/>
        <w:numPr>
          <w:ilvl w:val="0"/>
          <w:numId w:val="2"/>
        </w:numPr>
      </w:pPr>
      <w:r>
        <w:t>How effective are corporate governance mechanisms in overseeing and ensuring accountability for ESG initiatives at Unilever UK?</w:t>
      </w:r>
    </w:p>
    <w:p>
      <w:pPr>
        <w:pStyle w:val="19"/>
        <w:numPr>
          <w:ilvl w:val="0"/>
          <w:numId w:val="2"/>
        </w:numPr>
      </w:pPr>
      <w:r>
        <w:t>What are the various industry-specific dynamics and sectoral differences in ESG adoption, and what lessons can be learned from leading organizations in different sectors?</w:t>
      </w:r>
    </w:p>
    <w:p>
      <w:pPr>
        <w:pStyle w:val="2"/>
      </w:pPr>
      <w:r>
        <w:t>Proposed Paradigm and Methodology</w:t>
      </w:r>
      <w:bookmarkEnd w:id="6"/>
    </w:p>
    <w:p>
      <w:r>
        <w:tab/>
      </w:r>
      <w:r>
        <w:t xml:space="preserve">The proposed paradigm for this research study is a quantitative approach that will rely on the numerical analysis of survey data because this approach will allow for an analysis of both the theoretical and descriptive details of the causative factors and impacts of ESG practices through literature review while the numerical data from quantitative research will provide credible insight on the financial performance metrics and stakeholder perceptions regarding these ESG practices. For this study, a purposive sampling strategy will be employed to select participants who have worked in Unilever UK which is a company well known for their ESG initiatives. A total of 100 employees who are working at the company at various levels of leadership will be recruited for the study and will be asked to complete a survey which will ask pointed questions about the adoption of ESG practices at their company. Before the survey is conducted, the employees who agree to be participants in the study will be briefed about ESG initiatives in general and those ESG initiatives that Unilever UK has conducted specifically in order to provide them with a context for the study and to gain informed consent before the survey results are obtained and analyzed. </w:t>
      </w:r>
    </w:p>
    <w:p>
      <w:r>
        <w:tab/>
      </w:r>
      <w:r>
        <w:t xml:space="preserve">A structured survey will be developed to collect the required quantitative data on ESG practices and financial performance metrics which will include questions related to ESG initiatives and governance structures alongside sustainability reporting and financial indicators like return on equity and stock performance. There will be a total of 28 questions with the first 3 questions asking about the demographic details of the respondent including their gender, their company branch and the location of their workplace to categorize it based on urban or rural settings. The remaining 15 questions will have a 5-point Likert scale where 1 = Strongly Disagree, 2 = Disagree, 3 = Neutral, 4 = Agree, and 5 = Strongly Agree. Out of these 25 questions, the first five will ask the employee about the ESG practices in their company to assess ESG integration checking whether the company management has inculcated ESG considerations into their organizational decision-making. The next five questions will assess the financial performance and stakeholder engagement at the company by asking the employees whether ESG initiatives have positively impacted the financial performance and stakeholder engagement at the company while the five questions after these will be about the challenges and outcomes that came to the company culture and brand reputation after ESG initiatives were implemented. While information about the financial performance of Unilever UK in the aftermath of the integration of ESG practices will be collected through this, the next five questions in the survey will collect information about stakeholder engagement and will ask questions about how different stakeholders influence the adoption of ESG strategies at Unilever UK according to the employees while the final set of five questions will ask the respondents about the industry-specific challenges or advantages of adopting ESG in the context of Unilever UK with a special focus on the lessons that can be learned from Unilever UK in terms of designing ESG strategies for other organizations working in a similar industry with a similarly large consumer base. </w:t>
      </w:r>
    </w:p>
    <w:p>
      <w:pPr>
        <w:ind w:firstLine="720"/>
      </w:pPr>
      <w:r>
        <w:t>This survey will be distributed electronically to Unilever employees with follow-up reminders to maximize response rates while contact information for survey participants will be obtained from publicly available sources or industry databases and once the survey has been used to collect data the descriptive statistics will be used to summarize the distribution of ESG practices and financial performance metrics across the sample followed by a bivariate correlation analysis like Pearson correlation coefficient which will be conducted to examine the relationships between different ESG factors and financial performance indicators followed by multiple regression analysis which will be used to assess the impact of ESG practices on financial outcomes while controlling for potential confounding variables like the industry sector and company size as well as the market conditions. Regression analysis will be used to assess the influence of ESG practices on financial outcomes while controlling for potential confounding factors and multiple regression models will be employed to analyze how variables such as industry sector and company size alongside stakeholder engagement interact with ESG adoption to predict variations in financial performance as this analysis will allow us to identify significant predictors of financial success associated with ESG integration and subgroup analyses will also be conducted to compare responses across different company characteristics like company size or stakeholder groups like investors or customers to identify variations in perceptions and experiences related to ESG practices which will finally be followed by hypothesis testing that will be used to evaluate specific research hypotheses related to the relationship between ESG adoption and financial performance, based on statistical significance levels calculated through p-values.</w:t>
      </w:r>
    </w:p>
    <w:p>
      <w:pPr>
        <w:pStyle w:val="2"/>
        <w:spacing w:before="384" w:beforeLines="160" w:after="384" w:afterLines="160"/>
      </w:pPr>
      <w:bookmarkStart w:id="7" w:name="_Toc164081880"/>
      <w:r>
        <w:t>Advantages and Disadvantages of Proposed Methodology</w:t>
      </w:r>
      <w:bookmarkEnd w:id="7"/>
    </w:p>
    <w:p>
      <w:r>
        <w:tab/>
      </w:r>
      <w:r>
        <w:t>One major advantage of employing a quantitative approach is the opportunity for triangulation as gathering data from multiple sources and using different methods can allow researchers to cross-validate findings (Dawadi et al., 2021; Rahman, 2020) and enhance the credibility and reliability of the study which means that triangulation helps mitigate potential biases inherent in any single method by ensuring a more robust interpretation of research outcomes (Bans-Akutey &amp; Tiimub, 2021; Maggetti, 2020) which also allows for complementarity of findings as even though quantitative analysis can reveal broad trends and correlations between ESG practices and financial performance metrics, qualitative insights provide depth and context by exploring the motivations and challenges alongside the detailed strategies behind ESG adoption within organizations which gives a synergy that enhances the richness of the research findings and enables a more comprehensive exploration of research questions (Taherdoost, 2021). Another key advantage of this approach is the flexibility and versatility it offers in research design as using a sequential or concurrent mixed-methods design can help researchers to tailor the data collection and analysis processes to the specific needs of the research context because sequential designs allow for iterative exploration but quantitative results can be understood as more definitive and specific in terms of the correlation of different factors (Efthymiou et al., 2023). Similarly, the quantitative approach enhances the practical relevance of research outcomes by integrating insights from both the literature and the survey results quantifying the experiences of the employees as it allows researchers to generate actionable recommendations that bridge theory and practice which is particularly important in the context of sustainable business management and corporate governance where findings can inform strategic decision making and policy development that go on to become industry best practices (Strijker, 2020).</w:t>
      </w:r>
    </w:p>
    <w:p>
      <w:r>
        <w:tab/>
      </w:r>
      <w:r>
        <w:t>As far as the disadvantages of this methodology are concerned, one notable disadvantage is the increased complexity and resource intensiveness associated with conducting quantitative research because designing the right survey questions and then categorizing the results for adequate analysis of correlation between identified variables requires careful planning and coordination alongside expertise in both methodologies which means that researchers may need to allocate more time and resources to data collection and analysis leading to a complicated interpretation which can be demanding in terms of budget and personnel (Knappertsbusch et al., 2021). One more poor potential outcome for this approach is related to risk of methodological bias or inconsistency as different data collection methods may yield divergent findings or interpretations leading to challenges in synthesizing and reconciling disparate results (Manzoor, 2020) which is why ensuring methodological rigor and consistency across the research design is essential to mitigate bias and enhance the validity of research outcomes while quantitative approach may also pose challenges in terms of data integration and analysis as it requires sophisticated analytical techniques to synthesize findings effectively (Nanthagopan, 2021; Harrison et al., 2020) which means that researchers need to carefully plan how to merge and interpret diverse data sets by ensuring that insights from the surveys are integrated coherently and meaningfully as managing large and diverse data sets from mixed-methods research can be overwhelming which may lead researchers to encounter logistical challenges in organizing and storing data before analyzing this data across different formats and sources which is why adequate data management strategies and technological tools are essential to facilitate efficient data handling and analysis (Stern et al., 2021). The final major disadvantage of a quantitative approach is that it may introduce complexities in reporting and dissemination of research findings as presenting integrated insights from a survey in a coherent and accessible manner requires clear communication and narrative synthesis which is why researchers need to ensure that research outcomes from the research method used in this study are effectively communicated to diverse stakeholders including academic audiences and practitioners alongside policymakers and industry professionals.</w:t>
      </w:r>
    </w:p>
    <w:p>
      <w:pPr>
        <w:pStyle w:val="2"/>
      </w:pPr>
      <w:bookmarkStart w:id="8" w:name="_Toc164081881"/>
      <w:r>
        <w:t>Effective Tools and Methods for Data Collection</w:t>
      </w:r>
      <w:bookmarkEnd w:id="8"/>
    </w:p>
    <w:p>
      <w:pPr>
        <w:rPr>
          <w:b/>
          <w:bCs/>
        </w:rPr>
      </w:pPr>
      <w:bookmarkStart w:id="9" w:name="_Toc164081882"/>
      <w:r>
        <w:rPr>
          <w:b/>
          <w:bCs/>
        </w:rPr>
        <w:t>1. Surveys</w:t>
      </w:r>
    </w:p>
    <w:p>
      <w:r>
        <w:tab/>
      </w:r>
      <w:r>
        <w:t>Surveys will involve administering structured questionnaires to a sample of participants to collect quantitative data through online survey platforms like Google Forms or Qualtrics facilitate survey creation and distribution while also helping in response tracking which will be effective as surveys are efficient for collecting standardized data from a large sample allowing for statistical analysis and generalizability of findings even though response rates can be variable and the depth of insights may be limited compared to qualitative methods.</w:t>
      </w:r>
    </w:p>
    <w:p>
      <w:pPr>
        <w:rPr>
          <w:b/>
          <w:bCs/>
        </w:rPr>
      </w:pPr>
      <w:r>
        <w:rPr>
          <w:b/>
          <w:bCs/>
        </w:rPr>
        <w:t>2. Financial Data Analysis</w:t>
      </w:r>
    </w:p>
    <w:p>
      <w:r>
        <w:tab/>
      </w:r>
      <w:r>
        <w:t>Analysis of financial performance metrics like return on equity and stock performance from publicly available databases like Bloomberg to assess the impact of ESG practices on financial outcomes will be done through statistical software like SPSS for quantitative data analysis and visualization of financial data which will be effective because financial data analysis provides objective measures of performance even if it may lack contextual understanding without qualitative insights into underlying ESG strategies and governance structures.</w:t>
      </w:r>
    </w:p>
    <w:p>
      <w:pPr>
        <w:rPr>
          <w:b/>
          <w:bCs/>
        </w:rPr>
      </w:pPr>
      <w:r>
        <w:rPr>
          <w:rFonts w:hint="eastAsia"/>
          <w:b/>
          <w:bCs/>
          <w:lang w:val="en-US" w:eastAsia="zh-CN"/>
        </w:rPr>
        <w:t>3</w:t>
      </w:r>
      <w:r>
        <w:rPr>
          <w:b/>
          <w:bCs/>
        </w:rPr>
        <w:t>. Stakeholder Mapping and Engagement</w:t>
      </w:r>
    </w:p>
    <w:p>
      <w:r>
        <w:tab/>
      </w:r>
      <w:r>
        <w:t>Identification and mapping of the key stakeholders like investors as well as customers and regulators involved in or affected by ESG initiatives and conducting targeted engagement activities like focus groups or forums to gather diverse perspectives will be carried out through stakeholder mapping templates and engagement platforms like Miro or Slack for collaboration and communication with stakeholders which will be an effective strategy as stakeholder engagement methods enhance inclusivity and relevance of data collection even though it requires careful management of diverse perspectives and interests.</w:t>
      </w:r>
    </w:p>
    <w:p>
      <w:pPr>
        <w:pStyle w:val="2"/>
      </w:pPr>
      <w:r>
        <w:t>Resource Implications and Needs</w:t>
      </w:r>
      <w:bookmarkEnd w:id="9"/>
    </w:p>
    <w:p>
      <w:r>
        <w:tab/>
      </w:r>
      <w:r>
        <w:t>Securing adequate research funding is crucial to cover expenses related to data collection and analysis as well as the dissemination of findings which is why the funding in this study will be allocated for survey administration and participant incentives for interviews alongside software licenses like survey platforms or statistical analysis tools and access to relevant databases for financial data analysis. Implementing appropriate technological solutions is also essential for efficient data management and analysis at the end of this study which will include secure data management systems compliant with data protection regulations and collaboration tools for efficient team communication and data sharing alongside access to necessary software tools for data analysis like statistical packages and qualitative analysis software. Proper time management is also essential for the successful execution of this study which is why it will be noted that scheduling and coordinating survey administration followed by participant recruitment efforts and conducting qualitative interviews with key informants will require dedicated time alongside data cleaning and coding followed by a thorough analysis of both quantitative and qualitative data that will also be time-intensive tasks. Project management activities including team meetings and progress tracking alongside adherence to project timelines will therefore be integrated into the study timeline because effective resource allocation and management strategies will be employed to optimize resource utilization throughout the research process which will include detailed budget planning with itemized expenses and contingency funds followed by careful timeline management to meet project milestones and deadlines and proactive risk assessment to identify and mitigate potential challenges.</w:t>
      </w:r>
    </w:p>
    <w:p>
      <w:pPr>
        <w:rPr>
          <w:b/>
          <w:bCs/>
        </w:rPr>
      </w:pPr>
      <w:bookmarkStart w:id="10" w:name="_Toc164081884"/>
      <w:r>
        <w:rPr>
          <w:b/>
          <w:bCs/>
        </w:rPr>
        <w:t>Time Plan</w:t>
      </w:r>
    </w:p>
    <w:p>
      <w:r>
        <w:rPr>
          <w:b/>
          <w:bCs/>
        </w:rPr>
        <w:t>Month 1: Preparatory Phase</w:t>
      </w:r>
    </w:p>
    <w:p>
      <w:pPr>
        <w:numPr>
          <w:ilvl w:val="0"/>
          <w:numId w:val="3"/>
        </w:numPr>
      </w:pPr>
      <w:r>
        <w:rPr>
          <w:b/>
          <w:bCs/>
        </w:rPr>
        <w:t>Week 1-2: Project Initiation</w:t>
      </w:r>
    </w:p>
    <w:p>
      <w:pPr>
        <w:numPr>
          <w:ilvl w:val="1"/>
          <w:numId w:val="3"/>
        </w:numPr>
      </w:pPr>
      <w:r>
        <w:t>Finalize research proposal and study design</w:t>
      </w:r>
    </w:p>
    <w:p>
      <w:pPr>
        <w:numPr>
          <w:ilvl w:val="1"/>
          <w:numId w:val="3"/>
        </w:numPr>
      </w:pPr>
      <w:r>
        <w:t>Obtain necessary approvals regarding ethics and funding</w:t>
      </w:r>
    </w:p>
    <w:p>
      <w:pPr>
        <w:numPr>
          <w:ilvl w:val="0"/>
          <w:numId w:val="3"/>
        </w:numPr>
      </w:pPr>
      <w:r>
        <w:rPr>
          <w:b/>
          <w:bCs/>
        </w:rPr>
        <w:t>Week 3-4: Planning and Resource Allocation</w:t>
      </w:r>
    </w:p>
    <w:p>
      <w:pPr>
        <w:numPr>
          <w:ilvl w:val="1"/>
          <w:numId w:val="3"/>
        </w:numPr>
      </w:pPr>
      <w:r>
        <w:t>Develop detailed budget and allocate resources</w:t>
      </w:r>
    </w:p>
    <w:p>
      <w:pPr>
        <w:numPr>
          <w:ilvl w:val="1"/>
          <w:numId w:val="3"/>
        </w:numPr>
      </w:pPr>
      <w:r>
        <w:t>Assemble research team and assign roles and responsibilities</w:t>
      </w:r>
    </w:p>
    <w:p>
      <w:r>
        <w:rPr>
          <w:b/>
          <w:bCs/>
        </w:rPr>
        <w:t>Month 2: Data Collection</w:t>
      </w:r>
    </w:p>
    <w:p>
      <w:pPr>
        <w:numPr>
          <w:ilvl w:val="0"/>
          <w:numId w:val="4"/>
        </w:numPr>
      </w:pPr>
      <w:r>
        <w:rPr>
          <w:b/>
          <w:bCs/>
        </w:rPr>
        <w:t>Week 1-2: Survey Development and Pilot Testing</w:t>
      </w:r>
    </w:p>
    <w:p>
      <w:pPr>
        <w:numPr>
          <w:ilvl w:val="1"/>
          <w:numId w:val="4"/>
        </w:numPr>
      </w:pPr>
      <w:r>
        <w:t>Develop survey instrument for quantitative data collection</w:t>
      </w:r>
    </w:p>
    <w:p>
      <w:pPr>
        <w:numPr>
          <w:ilvl w:val="1"/>
          <w:numId w:val="4"/>
        </w:numPr>
      </w:pPr>
      <w:r>
        <w:t>Pilot test survey and make necessary revisions</w:t>
      </w:r>
    </w:p>
    <w:p>
      <w:pPr>
        <w:numPr>
          <w:ilvl w:val="0"/>
          <w:numId w:val="4"/>
        </w:numPr>
      </w:pPr>
      <w:r>
        <w:rPr>
          <w:b/>
          <w:bCs/>
        </w:rPr>
        <w:t>Week 3-4: Quantitative Data Collection</w:t>
      </w:r>
    </w:p>
    <w:p>
      <w:pPr>
        <w:numPr>
          <w:ilvl w:val="1"/>
          <w:numId w:val="4"/>
        </w:numPr>
      </w:pPr>
      <w:r>
        <w:t>Administer surveys to selected sample of companies</w:t>
      </w:r>
    </w:p>
    <w:p>
      <w:pPr>
        <w:numPr>
          <w:ilvl w:val="1"/>
          <w:numId w:val="4"/>
        </w:numPr>
      </w:pPr>
      <w:r>
        <w:t>Monitor response rates and follow up with non-respondents</w:t>
      </w:r>
    </w:p>
    <w:p>
      <w:r>
        <w:rPr>
          <w:b/>
          <w:bCs/>
        </w:rPr>
        <w:t>Month 3: Reporting and Dissemination</w:t>
      </w:r>
    </w:p>
    <w:p>
      <w:pPr>
        <w:numPr>
          <w:ilvl w:val="0"/>
          <w:numId w:val="5"/>
        </w:numPr>
      </w:pPr>
      <w:r>
        <w:rPr>
          <w:b/>
          <w:bCs/>
        </w:rPr>
        <w:t>Week 1-2: Integration of Findings</w:t>
      </w:r>
    </w:p>
    <w:p>
      <w:pPr>
        <w:numPr>
          <w:ilvl w:val="1"/>
          <w:numId w:val="5"/>
        </w:numPr>
      </w:pPr>
      <w:r>
        <w:t>Describe the analytical results of the survey</w:t>
      </w:r>
    </w:p>
    <w:p>
      <w:pPr>
        <w:numPr>
          <w:ilvl w:val="1"/>
          <w:numId w:val="5"/>
        </w:numPr>
      </w:pPr>
      <w:r>
        <w:t>Synthesize integrated insights and preliminary interpretations</w:t>
      </w:r>
    </w:p>
    <w:p>
      <w:pPr>
        <w:numPr>
          <w:ilvl w:val="0"/>
          <w:numId w:val="5"/>
        </w:numPr>
      </w:pPr>
      <w:r>
        <w:rPr>
          <w:b/>
          <w:bCs/>
        </w:rPr>
        <w:t>Week 3-4: Finalize Research Outputs and Stakeholder Engagement</w:t>
      </w:r>
    </w:p>
    <w:p>
      <w:pPr>
        <w:numPr>
          <w:ilvl w:val="1"/>
          <w:numId w:val="5"/>
        </w:numPr>
      </w:pPr>
      <w:r>
        <w:t>Prepare research report including methodology as well as findings and discussion.</w:t>
      </w:r>
    </w:p>
    <w:p>
      <w:pPr>
        <w:numPr>
          <w:ilvl w:val="1"/>
          <w:numId w:val="5"/>
        </w:numPr>
      </w:pPr>
      <w:r>
        <w:t>Prepare presentations and materials for dissemination</w:t>
      </w:r>
    </w:p>
    <w:p>
      <w:pPr>
        <w:pStyle w:val="2"/>
      </w:pPr>
      <w:r>
        <w:t>Ethical Considerations</w:t>
      </w:r>
      <w:bookmarkEnd w:id="10"/>
      <w:r>
        <w:t xml:space="preserve"> </w:t>
      </w:r>
    </w:p>
    <w:p>
      <w:pPr>
        <w:spacing w:before="384" w:beforeLines="160" w:after="384" w:afterLines="160"/>
      </w:pPr>
      <w:r>
        <w:tab/>
      </w:r>
      <w:r>
        <w:t>The primary ethical concern is that ensuring participant confidentiality and privacy is paramount which is why researchers must obtain informed consent from all participants after clearly explaining the purpose of the study alongside potential risks and benefits as well as their rights regarding participation and withdrawal because confidentiality measures should be implemented to protect participant identities and sensitive data collected during surveys or interviews. Researchers also need to prioritize the ethical treatment of research subjects which involves minimizing any potential harm or discomfort to participants throughout the study as sensitivity to cultural differences and power dynamics alongside the potential vulnerabilities of different participants is crucial in conducting respectful and ethical research (Bobel et al., 2022). There is also an ethical requirement to maintain integrity and transparency in data collection and analysis followed by factual reporting as researchers should adhere to professional standards and guidelines for conducting research while ensuring honesty and accuracy in representing findings which is why any conflicts of interest or biases should be disclosed and managed appropriately. Researchers should also consider the broader societal implications of their study which includes promoting the principles of social responsibility and sustainability within the research process itself as engaging with stakeholders in a collaborative and inclusive manner before disseminating research outcomes in accessible formats to relevant audiences can contribute to positive social impact as ethical considerations extend to the responsible use of resources and the promotion of academic integrity which means that researchers should adhere to ethical guidelines established by institutional review boards (IRBs) or ethics committees and comply with relevant legal and regulatory frameworks governing research practices.</w:t>
      </w:r>
      <w:r>
        <w:br w:type="page"/>
      </w:r>
    </w:p>
    <w:p>
      <w:pPr>
        <w:pStyle w:val="2"/>
        <w:jc w:val="center"/>
      </w:pPr>
      <w:bookmarkStart w:id="11" w:name="_Toc164081885"/>
      <w:r>
        <w:t>References</w:t>
      </w:r>
      <w:bookmarkEnd w:id="11"/>
    </w:p>
    <w:p>
      <w:pPr>
        <w:spacing w:before="384" w:beforeLines="160" w:after="384" w:afterLines="160"/>
        <w:ind w:left="720" w:hanging="720"/>
      </w:pPr>
      <w:r>
        <w:t>Allegaert, P. J. (2019). Codetermination and ESG: Viable alternatives to shareholder primacy?. </w:t>
      </w:r>
      <w:r>
        <w:rPr>
          <w:i/>
          <w:iCs/>
        </w:rPr>
        <w:t>NYUJ Int'l L. &amp; Pol.</w:t>
      </w:r>
      <w:r>
        <w:t>, </w:t>
      </w:r>
      <w:r>
        <w:rPr>
          <w:i/>
          <w:iCs/>
        </w:rPr>
        <w:t>52</w:t>
      </w:r>
      <w:r>
        <w:t>, 641. https://www.nyujilp.org/wp-content/uploads/2020/07/NYI206-1.pdf</w:t>
      </w:r>
    </w:p>
    <w:p>
      <w:pPr>
        <w:spacing w:before="384" w:beforeLines="160" w:after="384" w:afterLines="160"/>
        <w:ind w:left="720" w:hanging="720"/>
      </w:pPr>
      <w:r>
        <w:t>Assaf, C., Monne, J., Harriet, L., &amp; Meunier, L. (2024). ESG investing: Does one score fit all investors’ preferences?. </w:t>
      </w:r>
      <w:r>
        <w:rPr>
          <w:i/>
          <w:iCs/>
        </w:rPr>
        <w:t>Journal of Cleaner Production</w:t>
      </w:r>
      <w:r>
        <w:t>, 141094. https://doi.org/10.1016/j.jclepro.2024.141094</w:t>
      </w:r>
    </w:p>
    <w:p>
      <w:pPr>
        <w:spacing w:before="384" w:beforeLines="160" w:after="384" w:afterLines="160"/>
        <w:ind w:left="720" w:hanging="720"/>
      </w:pPr>
      <w:r>
        <w:t>Bai, F., Shang, M., &amp; Huang, Y. (2024). Corporate culture and ESG performance: Empirical evidence from China. </w:t>
      </w:r>
      <w:r>
        <w:rPr>
          <w:i/>
          <w:iCs/>
        </w:rPr>
        <w:t>Journal of Cleaner Production</w:t>
      </w:r>
      <w:r>
        <w:t>, </w:t>
      </w:r>
      <w:r>
        <w:rPr>
          <w:i/>
          <w:iCs/>
        </w:rPr>
        <w:t>437</w:t>
      </w:r>
      <w:r>
        <w:t>, 140732. https://doi.org/10.1016/j.jclepro.2024.140732</w:t>
      </w:r>
    </w:p>
    <w:p>
      <w:pPr>
        <w:spacing w:before="384" w:beforeLines="160" w:after="384" w:afterLines="160"/>
        <w:ind w:left="720" w:hanging="720"/>
      </w:pPr>
      <w:r>
        <w:t>Bans-Akutey, A., &amp; Tiimub, B. M. (2021). Triangulation in research. </w:t>
      </w:r>
      <w:r>
        <w:rPr>
          <w:i/>
          <w:iCs/>
        </w:rPr>
        <w:t>Academia Letters</w:t>
      </w:r>
      <w:r>
        <w:t>, </w:t>
      </w:r>
      <w:r>
        <w:rPr>
          <w:i/>
          <w:iCs/>
        </w:rPr>
        <w:t>2</w:t>
      </w:r>
      <w:r>
        <w:t>, 1-6. https://doi.org/10.20935/AL33922</w:t>
      </w:r>
    </w:p>
    <w:p>
      <w:pPr>
        <w:spacing w:before="384" w:beforeLines="160" w:after="384" w:afterLines="160"/>
        <w:ind w:left="720" w:hanging="720"/>
      </w:pPr>
      <w:r>
        <w:t>Bobel, M. C., Al Hinai, A., &amp; Roslani, A. C. (2022). Cultural sensitivity and ethical considerations. </w:t>
      </w:r>
      <w:r>
        <w:rPr>
          <w:i/>
          <w:iCs/>
        </w:rPr>
        <w:t>Clinics in Colon and Rectal Surgery</w:t>
      </w:r>
      <w:r>
        <w:t>, </w:t>
      </w:r>
      <w:r>
        <w:rPr>
          <w:i/>
          <w:iCs/>
        </w:rPr>
        <w:t>35</w:t>
      </w:r>
      <w:r>
        <w:t>(05), 371-375. https://doi.org/10.1055/s-0042-1746186</w:t>
      </w:r>
    </w:p>
    <w:p>
      <w:pPr>
        <w:spacing w:before="384" w:beforeLines="160" w:after="384" w:afterLines="160"/>
        <w:ind w:left="720" w:hanging="720"/>
      </w:pPr>
      <w:r>
        <w:t>Bukari, A., Agyemang, A. O., &amp; Bawuah, B. (2024). Assessing the moderating role of ESG performance on corporate governance and firm value in developing countries. </w:t>
      </w:r>
      <w:r>
        <w:rPr>
          <w:i/>
          <w:iCs/>
        </w:rPr>
        <w:t>Cogent Business &amp; Management</w:t>
      </w:r>
      <w:r>
        <w:t>, </w:t>
      </w:r>
      <w:r>
        <w:rPr>
          <w:i/>
          <w:iCs/>
        </w:rPr>
        <w:t>11</w:t>
      </w:r>
      <w:r>
        <w:t>(1), 2333941. https://doi.org/10.1080/23311975.2024.2333941</w:t>
      </w:r>
    </w:p>
    <w:p>
      <w:pPr>
        <w:spacing w:before="384" w:beforeLines="160" w:after="384" w:afterLines="160"/>
        <w:ind w:left="720" w:hanging="720"/>
      </w:pPr>
      <w:r>
        <w:t>Candio, P. (2024). The effect of ESG and CSR attitude on financial performance in Europe: A quantitative re-examination. </w:t>
      </w:r>
      <w:r>
        <w:rPr>
          <w:i/>
          <w:iCs/>
        </w:rPr>
        <w:t>Journal of Environmental Management</w:t>
      </w:r>
      <w:r>
        <w:t>, </w:t>
      </w:r>
      <w:r>
        <w:rPr>
          <w:i/>
          <w:iCs/>
        </w:rPr>
        <w:t>354</w:t>
      </w:r>
      <w:r>
        <w:t>, 120390. https://doi.org/10.1016/j.jenvman.2024.120390</w:t>
      </w:r>
    </w:p>
    <w:p>
      <w:pPr>
        <w:spacing w:before="384" w:beforeLines="160" w:after="384" w:afterLines="160"/>
        <w:ind w:left="720" w:hanging="720"/>
      </w:pPr>
      <w:r>
        <w:t>Chang, Y. J., &amp; Lee, B. H. (2022). The impact of ESG activities on firm value: Multi-level analysis of industrial characteristics. </w:t>
      </w:r>
      <w:r>
        <w:rPr>
          <w:i/>
          <w:iCs/>
        </w:rPr>
        <w:t>Sustainability</w:t>
      </w:r>
      <w:r>
        <w:t>, </w:t>
      </w:r>
      <w:r>
        <w:rPr>
          <w:i/>
          <w:iCs/>
        </w:rPr>
        <w:t>14</w:t>
      </w:r>
      <w:r>
        <w:t>(21), 14444. https://doi.org/10.3390/su142114444</w:t>
      </w:r>
    </w:p>
    <w:p>
      <w:pPr>
        <w:spacing w:before="384" w:beforeLines="160" w:after="384" w:afterLines="160"/>
        <w:ind w:left="720" w:hanging="720"/>
      </w:pPr>
      <w:r>
        <w:t>Chen, S., Song, Y., &amp; Gao, P. (2023). Environmental, social, and governance (ESG) performance and financial outcomes: Analyzing the impact of ESG on financial performance. </w:t>
      </w:r>
      <w:r>
        <w:rPr>
          <w:i/>
          <w:iCs/>
        </w:rPr>
        <w:t>Journal of Environmental Management</w:t>
      </w:r>
      <w:r>
        <w:t>, </w:t>
      </w:r>
      <w:r>
        <w:rPr>
          <w:i/>
          <w:iCs/>
        </w:rPr>
        <w:t>345</w:t>
      </w:r>
      <w:r>
        <w:t>, 118829. https://doi.org/10.1016/j.jenvman.2023.118829</w:t>
      </w:r>
    </w:p>
    <w:p>
      <w:pPr>
        <w:spacing w:before="384" w:beforeLines="160" w:after="384" w:afterLines="160"/>
        <w:ind w:left="720" w:hanging="720"/>
      </w:pPr>
      <w:r>
        <w:t>Chen, H. M., Kuo, T. C., &amp; Chen, J. L. (2022). Impacts on the ESG and financial performances of companies in the manufacturing industry based on the climate change related risks. </w:t>
      </w:r>
      <w:r>
        <w:rPr>
          <w:i/>
          <w:iCs/>
        </w:rPr>
        <w:t>Journal of Cleaner Production</w:t>
      </w:r>
      <w:r>
        <w:t>, </w:t>
      </w:r>
      <w:r>
        <w:rPr>
          <w:i/>
          <w:iCs/>
        </w:rPr>
        <w:t>380</w:t>
      </w:r>
      <w:r>
        <w:t>, 134951. https://doi.org/10.1016/j.jclepro.2022.134951</w:t>
      </w:r>
    </w:p>
    <w:p>
      <w:pPr>
        <w:spacing w:before="384" w:beforeLines="160" w:after="384" w:afterLines="160"/>
        <w:ind w:left="720" w:hanging="720"/>
      </w:pPr>
      <w:r>
        <w:t>Chen, Z., &amp; Xie, G. (2022). ESG disclosure and financial performance: Moderating role of ESG investors. </w:t>
      </w:r>
      <w:r>
        <w:rPr>
          <w:i/>
          <w:iCs/>
        </w:rPr>
        <w:t>International Review of Financial Analysis</w:t>
      </w:r>
      <w:r>
        <w:t>, </w:t>
      </w:r>
      <w:r>
        <w:rPr>
          <w:i/>
          <w:iCs/>
        </w:rPr>
        <w:t>83</w:t>
      </w:r>
      <w:r>
        <w:t>, 102291. https://doi.org/10.1016/j.irfa.2022.102291</w:t>
      </w:r>
    </w:p>
    <w:p>
      <w:pPr>
        <w:spacing w:before="384" w:beforeLines="160" w:after="384" w:afterLines="160"/>
        <w:ind w:left="720" w:hanging="720"/>
      </w:pPr>
      <w:r>
        <w:t>Cho, W., Lee, J., &amp; Park, J. (2024). Higher highs and lower lows: investor valuation of ESG and financial performance. </w:t>
      </w:r>
      <w:r>
        <w:rPr>
          <w:i/>
          <w:iCs/>
        </w:rPr>
        <w:t>Applied Economics Letters</w:t>
      </w:r>
      <w:r>
        <w:t>, 1-6. https://doi.org/10.1080/13504851.2023.2193720</w:t>
      </w:r>
    </w:p>
    <w:p>
      <w:pPr>
        <w:spacing w:before="384" w:beforeLines="160" w:after="384" w:afterLines="160"/>
        <w:ind w:left="720" w:hanging="720"/>
      </w:pPr>
      <w:r>
        <w:t>Chou, C., Clark, R., &amp; Kimbrough, S. O. (2023). What do firms say in reporting on impacts of climate change? An approach to monitoring ESG actions and environmental policy. </w:t>
      </w:r>
      <w:r>
        <w:rPr>
          <w:i/>
          <w:iCs/>
        </w:rPr>
        <w:t>Corporate Social Responsibility and Environmental Management</w:t>
      </w:r>
      <w:r>
        <w:t>, </w:t>
      </w:r>
      <w:r>
        <w:rPr>
          <w:i/>
          <w:iCs/>
        </w:rPr>
        <w:t>30</w:t>
      </w:r>
      <w:r>
        <w:t>(5), 2664-2678.  https://doi.org/10.1002/csr.2509</w:t>
      </w:r>
    </w:p>
    <w:p>
      <w:pPr>
        <w:spacing w:before="384" w:beforeLines="160" w:after="384" w:afterLines="160"/>
        <w:ind w:left="720" w:hanging="720"/>
      </w:pPr>
      <w:r>
        <w:t>DasGupta, R. (2022). Financial performance shortfall, ESG controversies, and ESG performance: Evidence from firms around the world. </w:t>
      </w:r>
      <w:r>
        <w:rPr>
          <w:i/>
          <w:iCs/>
        </w:rPr>
        <w:t>Finance Research Letters</w:t>
      </w:r>
      <w:r>
        <w:t>, </w:t>
      </w:r>
      <w:r>
        <w:rPr>
          <w:i/>
          <w:iCs/>
        </w:rPr>
        <w:t>46</w:t>
      </w:r>
      <w:r>
        <w:t>, 102487. https://doi.org/10.1016/j.frl.2021.102487</w:t>
      </w:r>
    </w:p>
    <w:p>
      <w:pPr>
        <w:spacing w:before="384" w:beforeLines="160" w:after="384" w:afterLines="160"/>
        <w:ind w:left="720" w:hanging="720"/>
      </w:pPr>
      <w:r>
        <w:t>Dawadi, S., Shrestha, S., &amp; Giri, R. A. (2021). Mixed-methods research: A discussion on its types, challenges, and criticisms. </w:t>
      </w:r>
      <w:r>
        <w:rPr>
          <w:i/>
          <w:iCs/>
        </w:rPr>
        <w:t>Journal of Practical Studies in Education</w:t>
      </w:r>
      <w:r>
        <w:t>, </w:t>
      </w:r>
      <w:r>
        <w:rPr>
          <w:i/>
          <w:iCs/>
        </w:rPr>
        <w:t>2</w:t>
      </w:r>
      <w:r>
        <w:t>(2), 25-36. https://doi.org/10.46809/jpse.v2i2.20</w:t>
      </w:r>
    </w:p>
    <w:p>
      <w:pPr>
        <w:spacing w:before="384" w:beforeLines="160" w:after="384" w:afterLines="160"/>
        <w:ind w:left="720" w:hanging="720"/>
      </w:pPr>
      <w:r>
        <w:t>Efthymiou, L., Kulshrestha, A., &amp; Kulshrestha, S. (2023). A study on sustainability and ESG in the service sector in India: Benefits, challenges, and future implications. </w:t>
      </w:r>
      <w:r>
        <w:rPr>
          <w:i/>
          <w:iCs/>
        </w:rPr>
        <w:t>Administrative Sciences</w:t>
      </w:r>
      <w:r>
        <w:t>, </w:t>
      </w:r>
      <w:r>
        <w:rPr>
          <w:i/>
          <w:iCs/>
        </w:rPr>
        <w:t>13</w:t>
      </w:r>
      <w:r>
        <w:t>(7), 165. https://doi.org/10.3390/admsci13070165</w:t>
      </w:r>
    </w:p>
    <w:p>
      <w:pPr>
        <w:spacing w:before="384" w:beforeLines="160" w:after="384" w:afterLines="160"/>
        <w:ind w:left="720" w:hanging="720"/>
      </w:pPr>
      <w:r>
        <w:t>Firlej, M. (2023). Stakeholder Primacy as a New Institutional Framework for the Entrepreneurial Market Process?. </w:t>
      </w:r>
      <w:r>
        <w:rPr>
          <w:i/>
          <w:iCs/>
        </w:rPr>
        <w:t>Social Coordination and Public Policy: Explorations in Theory and Practice</w:t>
      </w:r>
      <w:r>
        <w:t>, 147.</w:t>
      </w:r>
    </w:p>
    <w:p>
      <w:pPr>
        <w:spacing w:before="384" w:beforeLines="160" w:after="384" w:afterLines="160"/>
        <w:ind w:left="720" w:hanging="720"/>
      </w:pPr>
      <w:r>
        <w:t>Gesso, C., &amp; Lodhi, R. N. (2024). Theories underlying environmental, social and governance (ESG) disclosure: a systematic review of accounting studies. </w:t>
      </w:r>
      <w:r>
        <w:rPr>
          <w:i/>
          <w:iCs/>
        </w:rPr>
        <w:t>Journal of Accounting Literature</w:t>
      </w:r>
      <w:r>
        <w:t>. https://doi.org/10.1108/JAL-08-2023-0143</w:t>
      </w:r>
    </w:p>
    <w:p>
      <w:pPr>
        <w:spacing w:before="384" w:beforeLines="160" w:after="384" w:afterLines="160"/>
        <w:ind w:left="720" w:hanging="720"/>
      </w:pPr>
      <w:r>
        <w:t>Harrison, R. L., Reilly, T. M., &amp; Creswell, J. W. (2020). Methodological rigor in mixed methods: An application in management studies. </w:t>
      </w:r>
      <w:r>
        <w:rPr>
          <w:i/>
          <w:iCs/>
        </w:rPr>
        <w:t>Journal of mixed methods research</w:t>
      </w:r>
      <w:r>
        <w:t>, </w:t>
      </w:r>
      <w:r>
        <w:rPr>
          <w:i/>
          <w:iCs/>
        </w:rPr>
        <w:t>14</w:t>
      </w:r>
      <w:r>
        <w:t>(4), 473-495. https://doi.org/10.1177/1558689819900585</w:t>
      </w:r>
    </w:p>
    <w:p>
      <w:pPr>
        <w:spacing w:before="384" w:beforeLines="160" w:after="384" w:afterLines="160"/>
        <w:ind w:left="720" w:hanging="720"/>
      </w:pPr>
      <w:r>
        <w:t>Hong, X., Ning, M., Chen, Q., Shi, C., &amp; Wang, N. (2024). How does command-and-control environmental regulation impact firm value? A study based on ESG perspective. </w:t>
      </w:r>
      <w:r>
        <w:rPr>
          <w:i/>
          <w:iCs/>
        </w:rPr>
        <w:t>Environment, Development and Sustainability</w:t>
      </w:r>
      <w:r>
        <w:t>, 1-32. https://doi.org/10.1007/s10668-023-04366-8</w:t>
      </w:r>
    </w:p>
    <w:p>
      <w:pPr>
        <w:spacing w:before="384" w:beforeLines="160" w:after="384" w:afterLines="160"/>
        <w:ind w:left="720" w:hanging="720"/>
      </w:pPr>
      <w:r>
        <w:t>Hu, Y., Hassan, A., &amp; Atif, S. (2024). Examining the Interplay between CEPSA’s ESG Performance and Financial Performance: An Overview of the Energy Sector Transformation. </w:t>
      </w:r>
      <w:r>
        <w:rPr>
          <w:i/>
          <w:iCs/>
        </w:rPr>
        <w:t>Sustainability</w:t>
      </w:r>
      <w:r>
        <w:t>, </w:t>
      </w:r>
      <w:r>
        <w:rPr>
          <w:i/>
          <w:iCs/>
        </w:rPr>
        <w:t>16</w:t>
      </w:r>
      <w:r>
        <w:t>(7), 2772. https://doi.org/10.3390/su16072772</w:t>
      </w:r>
    </w:p>
    <w:p>
      <w:pPr>
        <w:spacing w:before="384" w:beforeLines="160" w:after="384" w:afterLines="160"/>
        <w:ind w:left="720" w:hanging="720"/>
      </w:pPr>
      <w:r>
        <w:t>Jin, I. (2022). Systematic ESG Risk and Passive ESG Investing. </w:t>
      </w:r>
      <w:r>
        <w:rPr>
          <w:i/>
          <w:iCs/>
        </w:rPr>
        <w:t>Journal of Portfolio Management</w:t>
      </w:r>
      <w:r>
        <w:t>, </w:t>
      </w:r>
      <w:r>
        <w:rPr>
          <w:i/>
          <w:iCs/>
        </w:rPr>
        <w:t>48</w:t>
      </w:r>
      <w:r>
        <w:t>(5). https://doi.org/10.3905/jpm.2022.1.344</w:t>
      </w:r>
    </w:p>
    <w:p>
      <w:pPr>
        <w:spacing w:before="384" w:beforeLines="160" w:after="384" w:afterLines="160"/>
        <w:ind w:left="720" w:hanging="720"/>
      </w:pPr>
      <w:r>
        <w:t>Jinga, P. (2021). The increasing importance of Environmental, Social and Governance (ESG) Investing in combating climate change. </w:t>
      </w:r>
      <w:r>
        <w:rPr>
          <w:i/>
          <w:iCs/>
        </w:rPr>
        <w:t>Environmental Management-Pollution, Habitat, Ecology, and Sustainability</w:t>
      </w:r>
      <w:r>
        <w:t>.</w:t>
      </w:r>
    </w:p>
    <w:p>
      <w:pPr>
        <w:spacing w:before="384" w:beforeLines="160" w:after="384" w:afterLines="160"/>
        <w:ind w:left="720" w:hanging="720"/>
      </w:pPr>
      <w:r>
        <w:t>Khamisu, M. S., Paluri, R. A., &amp; Sonwaney, V. (2024). Environmental social and governance (ESG) disclosure motives for environmentally sensitive industry: an emerging economy perspective. </w:t>
      </w:r>
      <w:r>
        <w:rPr>
          <w:i/>
          <w:iCs/>
        </w:rPr>
        <w:t>Cogent Business &amp; Management</w:t>
      </w:r>
      <w:r>
        <w:t>, </w:t>
      </w:r>
      <w:r>
        <w:rPr>
          <w:i/>
          <w:iCs/>
        </w:rPr>
        <w:t>11</w:t>
      </w:r>
      <w:r>
        <w:t>(1), 2322027. https://doi.org/10.1080/23311975.2024.2322027</w:t>
      </w:r>
    </w:p>
    <w:p>
      <w:pPr>
        <w:spacing w:before="384" w:beforeLines="160" w:after="384" w:afterLines="160"/>
        <w:ind w:left="720" w:hanging="720"/>
      </w:pPr>
      <w:r>
        <w:t>Knappertsbusch, F., Langfeldt, B., &amp; Kelle, U. (2021). Mixed-methods and multimethod research. </w:t>
      </w:r>
      <w:r>
        <w:rPr>
          <w:i/>
          <w:iCs/>
        </w:rPr>
        <w:t>Soziologie-Sociology in the German-Speaking World</w:t>
      </w:r>
      <w:r>
        <w:t>, 261-272.</w:t>
      </w:r>
    </w:p>
    <w:p>
      <w:pPr>
        <w:spacing w:before="384" w:beforeLines="160" w:after="384" w:afterLines="160"/>
        <w:ind w:left="720" w:hanging="720"/>
      </w:pPr>
      <w:r>
        <w:t>Lipton, M., Emmerich, A. O., S Schwartz, K., V Niles, S., &amp; D'Ginto, A. M. (2022). ESG, Stakeholder Governance, and the Duty of the Corporation. https://ssrn.com/abstract=4226089</w:t>
      </w:r>
    </w:p>
    <w:p>
      <w:pPr>
        <w:spacing w:before="384" w:beforeLines="160" w:after="384" w:afterLines="160"/>
        <w:ind w:left="720" w:hanging="720"/>
      </w:pPr>
      <w:r>
        <w:t>Liu, J., Yin, Z., &amp; Wang, S. (2024). ESG Rating Meaning, Function &amp; application. </w:t>
      </w:r>
      <w:r>
        <w:rPr>
          <w:i/>
          <w:iCs/>
        </w:rPr>
        <w:t>Finance &amp; Economics</w:t>
      </w:r>
      <w:r>
        <w:t>, </w:t>
      </w:r>
      <w:r>
        <w:rPr>
          <w:i/>
          <w:iCs/>
        </w:rPr>
        <w:t>1</w:t>
      </w:r>
      <w:r>
        <w:t>(5). https://doi.org/10.61173/0vwk6p23</w:t>
      </w:r>
    </w:p>
    <w:p>
      <w:pPr>
        <w:spacing w:before="384" w:beforeLines="160" w:after="384" w:afterLines="160"/>
        <w:ind w:left="720" w:hanging="720"/>
      </w:pPr>
      <w:r>
        <w:t>Maggetti, M. (2020). Mixed-methods designs. </w:t>
      </w:r>
      <w:r>
        <w:rPr>
          <w:i/>
          <w:iCs/>
        </w:rPr>
        <w:t>Handbuch Methoden der Politikwissenschaft</w:t>
      </w:r>
      <w:r>
        <w:t>, 193-210. https://doi.org/10.1007/978-3-658-16936-7_12</w:t>
      </w:r>
    </w:p>
    <w:p>
      <w:pPr>
        <w:spacing w:before="384" w:beforeLines="160" w:after="384" w:afterLines="160"/>
        <w:ind w:left="720" w:hanging="720"/>
      </w:pPr>
      <w:r>
        <w:t>Manzoor, A. (2020). Designs of mixed method research. In </w:t>
      </w:r>
      <w:r>
        <w:rPr>
          <w:i/>
          <w:iCs/>
        </w:rPr>
        <w:t>Cognitive Analytics: Concepts, Methodologies, Tools, and Applications</w:t>
      </w:r>
      <w:r>
        <w:t> (pp. 95-121). IGI Global. https://doi.org/10.4018/978-1-7998-2460-2.ch007</w:t>
      </w:r>
    </w:p>
    <w:p>
      <w:pPr>
        <w:spacing w:before="384" w:beforeLines="160" w:after="384" w:afterLines="160"/>
        <w:ind w:left="720" w:hanging="720"/>
      </w:pPr>
      <w:r>
        <w:t>Menon, R. (2021). Repairing Corporate Purpose: An Inquiry into Whether Shareholder Primacy Can Be Replaced by Sustainable Outcomes and ESG Norms in Guiding Director Duties. </w:t>
      </w:r>
      <w:r>
        <w:rPr>
          <w:i/>
          <w:iCs/>
        </w:rPr>
        <w:t>Menon, Roshni, Repairing Corporate Purpose: An Inquiry into Whether Shareholder Primacy Can Be Replaced by Sustainable Outcomes and ESG Norms in Guiding Director Duties (September 1, 2021)</w:t>
      </w:r>
      <w:r>
        <w:t>. https://ssrn.com/abstract=4075745</w:t>
      </w:r>
    </w:p>
    <w:p>
      <w:pPr>
        <w:spacing w:before="384" w:beforeLines="160" w:after="384" w:afterLines="160"/>
        <w:ind w:left="720" w:hanging="720"/>
      </w:pPr>
      <w:r>
        <w:t>Morri, G., Yang, F., &amp; Colantoni, F. (2024). Green investments, green returns: exploring the link between ESG factors and financial performance in real estate. </w:t>
      </w:r>
      <w:r>
        <w:rPr>
          <w:i/>
          <w:iCs/>
        </w:rPr>
        <w:t>Journal of Property Investment &amp; Finance</w:t>
      </w:r>
      <w:r>
        <w:t>. https://doi.org/10.1108/JPIF-09-2023-0084</w:t>
      </w:r>
    </w:p>
    <w:p>
      <w:pPr>
        <w:spacing w:before="384" w:beforeLines="160" w:after="384" w:afterLines="160"/>
        <w:ind w:left="720" w:hanging="720"/>
      </w:pPr>
      <w:r>
        <w:t>Nakajima, T., Hamori, S., He, X., Liu, G., Zhang, W., Zhang, Y., ... &amp; Nakajima, T. (2021). ESG Investment. </w:t>
      </w:r>
      <w:r>
        <w:rPr>
          <w:i/>
          <w:iCs/>
        </w:rPr>
        <w:t>ESG Investment in the Global Economy</w:t>
      </w:r>
      <w:r>
        <w:t>, 1-19. https://doi.org/10.1007/978-981-16-2990-7_1</w:t>
      </w:r>
    </w:p>
    <w:p>
      <w:pPr>
        <w:spacing w:before="384" w:beforeLines="160" w:after="384" w:afterLines="160"/>
        <w:ind w:left="720" w:hanging="720"/>
      </w:pPr>
      <w:r>
        <w:t>Nanthagopan, Y. (2021). Review and comparison of multi-method and mixed method application in research studies. </w:t>
      </w:r>
      <w:r>
        <w:rPr>
          <w:i/>
          <w:iCs/>
        </w:rPr>
        <w:t>Journal of Advanced Research</w:t>
      </w:r>
      <w:r>
        <w:t>, </w:t>
      </w:r>
      <w:r>
        <w:rPr>
          <w:i/>
          <w:iCs/>
        </w:rPr>
        <w:t>2</w:t>
      </w:r>
      <w:r>
        <w:t>(3), 55-78.</w:t>
      </w:r>
    </w:p>
    <w:p>
      <w:pPr>
        <w:spacing w:before="384" w:beforeLines="160" w:after="384" w:afterLines="160"/>
        <w:ind w:left="720" w:hanging="720"/>
      </w:pPr>
      <w:r>
        <w:t>Naseer, M. M., Khan, M. A., Bagh, T., Guo, Y., &amp; Zhu, X. (2024). Firm climate change risk and financial flexibility: Drivers of ESG performance and firm value. </w:t>
      </w:r>
      <w:r>
        <w:rPr>
          <w:i/>
          <w:iCs/>
        </w:rPr>
        <w:t>Borsa Istanbul Review</w:t>
      </w:r>
      <w:r>
        <w:t>, </w:t>
      </w:r>
      <w:r>
        <w:rPr>
          <w:i/>
          <w:iCs/>
        </w:rPr>
        <w:t>24</w:t>
      </w:r>
      <w:r>
        <w:t>(1), 106-117. https://doi.org/10.1016/j.bir.2023.11.003</w:t>
      </w:r>
    </w:p>
    <w:p>
      <w:pPr>
        <w:spacing w:before="384" w:beforeLines="160" w:after="384" w:afterLines="160"/>
        <w:ind w:left="720" w:hanging="720"/>
      </w:pPr>
      <w:r>
        <w:t>Oh, H. J., Lee, B., Ma, H. H., Jang, D., &amp; Park, S. (2024). A preliminary study for developing perceived ESG scale to measure public perception toward organizations’ ESG performance. </w:t>
      </w:r>
      <w:r>
        <w:rPr>
          <w:i/>
          <w:iCs/>
        </w:rPr>
        <w:t>Public Relations Review</w:t>
      </w:r>
      <w:r>
        <w:t>, </w:t>
      </w:r>
      <w:r>
        <w:rPr>
          <w:i/>
          <w:iCs/>
        </w:rPr>
        <w:t>50</w:t>
      </w:r>
      <w:r>
        <w:t>(1), 102398. https://doi.org/10.1016/j.pubrev.2023.102398</w:t>
      </w:r>
    </w:p>
    <w:p>
      <w:pPr>
        <w:spacing w:before="384" w:beforeLines="160" w:after="384" w:afterLines="160"/>
        <w:ind w:left="720" w:hanging="720"/>
      </w:pPr>
      <w:r>
        <w:t>Pollman, E. (2022). The making and meaning of ESG. </w:t>
      </w:r>
      <w:r>
        <w:rPr>
          <w:i/>
          <w:iCs/>
        </w:rPr>
        <w:t>U of Penn, Inst for Law &amp; Econ Research Paper</w:t>
      </w:r>
      <w:r>
        <w:t>, (22-23). https://ssrn.com/abstract=4219857</w:t>
      </w:r>
    </w:p>
    <w:p>
      <w:pPr>
        <w:spacing w:before="384" w:beforeLines="160" w:after="384" w:afterLines="160"/>
        <w:ind w:left="720" w:hanging="720"/>
      </w:pPr>
      <w:r>
        <w:t>Quintiliani, A. (2022). ESG and firm value. </w:t>
      </w:r>
      <w:r>
        <w:rPr>
          <w:i/>
          <w:iCs/>
        </w:rPr>
        <w:t>Accounting and Finance Research</w:t>
      </w:r>
      <w:r>
        <w:t>, </w:t>
      </w:r>
      <w:r>
        <w:rPr>
          <w:i/>
          <w:iCs/>
        </w:rPr>
        <w:t>11</w:t>
      </w:r>
      <w:r>
        <w:t>(4), 37. https://doi.org/10.5430/afr.v11n4p37</w:t>
      </w:r>
    </w:p>
    <w:p>
      <w:pPr>
        <w:spacing w:before="384" w:beforeLines="160" w:after="384" w:afterLines="160"/>
        <w:ind w:left="720" w:hanging="720"/>
      </w:pPr>
      <w:r>
        <w:t>Rahman, M. S. (2020). The advantages and disadvantages of using qualitative and quantitative approaches and methods in language “testing and assessment” research: A literature review. https://doi.org/10.5539/jel.v6n1p102</w:t>
      </w:r>
    </w:p>
    <w:p>
      <w:pPr>
        <w:spacing w:before="384" w:beforeLines="160" w:after="384" w:afterLines="160"/>
        <w:ind w:left="720" w:hanging="720"/>
      </w:pPr>
      <w:r>
        <w:t>Rau, P. R., &amp; Yu, T. (2024). A survey on ESG: investors, institutions and firms. </w:t>
      </w:r>
      <w:r>
        <w:rPr>
          <w:i/>
          <w:iCs/>
        </w:rPr>
        <w:t>China Finance Review International</w:t>
      </w:r>
      <w:r>
        <w:t>, </w:t>
      </w:r>
      <w:r>
        <w:rPr>
          <w:i/>
          <w:iCs/>
        </w:rPr>
        <w:t>14</w:t>
      </w:r>
      <w:r>
        <w:t>(1), 3-33. https://doi.org/10.1108/CFRI-12-2022-0260</w:t>
      </w:r>
    </w:p>
    <w:p>
      <w:pPr>
        <w:spacing w:before="384" w:beforeLines="160" w:after="384" w:afterLines="160"/>
        <w:ind w:left="720" w:hanging="720"/>
      </w:pPr>
      <w:r>
        <w:t>Rastogi, S., Singh, K., &amp; Kanoujiya, J. (2024). Firm's value and ESG: the moderating role of ownership concentration and corporate disclosures. </w:t>
      </w:r>
      <w:r>
        <w:rPr>
          <w:i/>
          <w:iCs/>
        </w:rPr>
        <w:t>Asian Review of Accounting</w:t>
      </w:r>
      <w:r>
        <w:t>, </w:t>
      </w:r>
      <w:r>
        <w:rPr>
          <w:i/>
          <w:iCs/>
        </w:rPr>
        <w:t>32</w:t>
      </w:r>
      <w:r>
        <w:t>(1), 70-90. https://doi.org/10.1108/ARA-10-2022-0266</w:t>
      </w:r>
    </w:p>
    <w:p>
      <w:pPr>
        <w:spacing w:before="384" w:beforeLines="160" w:after="384" w:afterLines="160"/>
        <w:ind w:left="720" w:hanging="720"/>
      </w:pPr>
      <w:r>
        <w:t>Ryu, S., Koedijk, K. G., Chow, V., &amp; Gao, X. (2024). Environmental, Social, and Governance (ESG) for Online Marketplaces. </w:t>
      </w:r>
      <w:r>
        <w:rPr>
          <w:i/>
          <w:iCs/>
        </w:rPr>
        <w:t>Electronic Markets</w:t>
      </w:r>
      <w:r>
        <w:t>, </w:t>
      </w:r>
      <w:r>
        <w:rPr>
          <w:i/>
          <w:iCs/>
        </w:rPr>
        <w:t>34</w:t>
      </w:r>
      <w:r>
        <w:t>(1), 1-5. https://doi.org/10.1007/s12525-024-00701-7</w:t>
      </w:r>
    </w:p>
    <w:p>
      <w:pPr>
        <w:spacing w:before="384" w:beforeLines="160" w:after="384" w:afterLines="160"/>
        <w:ind w:left="720" w:hanging="720"/>
      </w:pPr>
      <w:r>
        <w:t>Stern, C., Lizarondo, L., Carrier, J., Godfrey, C., Rieger, K., Salmond, S., ... &amp; Loveday, H. (2021). Methodological guidance for the conduct of mixed methods systematic reviews. </w:t>
      </w:r>
      <w:r>
        <w:rPr>
          <w:i/>
          <w:iCs/>
        </w:rPr>
        <w:t>JBI evidence implementation</w:t>
      </w:r>
      <w:r>
        <w:t>, </w:t>
      </w:r>
      <w:r>
        <w:rPr>
          <w:i/>
          <w:iCs/>
        </w:rPr>
        <w:t>19</w:t>
      </w:r>
      <w:r>
        <w:t>(2), 120-129. https://doi.org/10.1097/XEB.0000000000000282</w:t>
      </w:r>
    </w:p>
    <w:p>
      <w:pPr>
        <w:spacing w:before="384" w:beforeLines="160" w:after="384" w:afterLines="160"/>
        <w:ind w:left="720" w:hanging="720"/>
      </w:pPr>
      <w:r>
        <w:t>Strijker, D., Bosworth, G., &amp; Bouter, G. (2020). Research methods in rural studies: Qualitative, quantitative and mixed methods. </w:t>
      </w:r>
      <w:r>
        <w:rPr>
          <w:i/>
          <w:iCs/>
        </w:rPr>
        <w:t>Journal of Rural Studies</w:t>
      </w:r>
      <w:r>
        <w:t>, </w:t>
      </w:r>
      <w:r>
        <w:rPr>
          <w:i/>
          <w:iCs/>
        </w:rPr>
        <w:t>78</w:t>
      </w:r>
      <w:r>
        <w:t>, 262-270. https://doi.org/10.1016/j.jrurstud.2020.06.007</w:t>
      </w:r>
    </w:p>
    <w:p>
      <w:pPr>
        <w:spacing w:before="384" w:beforeLines="160" w:after="384" w:afterLines="160"/>
        <w:ind w:left="720" w:hanging="720"/>
      </w:pPr>
      <w:r>
        <w:t>Taherdoost, H. (2022). What are different research approaches? Comprehensive Review of Qualitative, quantitative, and mixed method research, their applications, types, and limitations. </w:t>
      </w:r>
      <w:r>
        <w:rPr>
          <w:i/>
          <w:iCs/>
        </w:rPr>
        <w:t>Journal of Management Science &amp; Engineering Research</w:t>
      </w:r>
      <w:r>
        <w:t>, </w:t>
      </w:r>
      <w:r>
        <w:rPr>
          <w:i/>
          <w:iCs/>
        </w:rPr>
        <w:t>5</w:t>
      </w:r>
      <w:r>
        <w:t>(1), 53-63. https://doi.org/10.30564/jmser.v5i1.4538</w:t>
      </w:r>
    </w:p>
    <w:p>
      <w:pPr>
        <w:spacing w:before="384" w:beforeLines="160" w:after="384" w:afterLines="160"/>
        <w:ind w:left="720" w:hanging="720"/>
      </w:pPr>
      <w:r>
        <w:t>Tuononen, T., Parpala, A., &amp; Lindblom-Ylänne, S. (2020). Complex interrelations between academic competences and students’ approaches to learning–mixed-methods study. </w:t>
      </w:r>
      <w:r>
        <w:rPr>
          <w:i/>
          <w:iCs/>
        </w:rPr>
        <w:t>Journal of further and higher education</w:t>
      </w:r>
      <w:r>
        <w:t>, </w:t>
      </w:r>
      <w:r>
        <w:rPr>
          <w:i/>
          <w:iCs/>
        </w:rPr>
        <w:t>44</w:t>
      </w:r>
      <w:r>
        <w:t>(8), 1080-1097. https://doi.org/10.1080/0309877X.2019.1648776</w:t>
      </w:r>
    </w:p>
    <w:p>
      <w:pPr>
        <w:spacing w:before="384" w:beforeLines="160" w:after="384" w:afterLines="160"/>
        <w:ind w:left="720" w:hanging="720"/>
      </w:pPr>
      <w:r>
        <w:t>Voorhees, P. M., Croessmann, D., &amp; LoMonaco, G. W. (2022). Roadmap to an ESG Strategy: Five Key Steps for Success in 2022. </w:t>
      </w:r>
      <w:r>
        <w:rPr>
          <w:i/>
          <w:iCs/>
        </w:rPr>
        <w:t>The Journal of Equipment Lease Financing (Online)</w:t>
      </w:r>
      <w:r>
        <w:t>, </w:t>
      </w:r>
      <w:r>
        <w:rPr>
          <w:i/>
          <w:iCs/>
        </w:rPr>
        <w:t>40</w:t>
      </w:r>
      <w:r>
        <w:t xml:space="preserve">(1), 1-11. </w:t>
      </w:r>
    </w:p>
    <w:p>
      <w:pPr>
        <w:spacing w:before="384" w:beforeLines="160" w:after="384" w:afterLines="160"/>
        <w:ind w:left="720" w:hanging="720"/>
      </w:pPr>
      <w:r>
        <w:t>Yébenes, M. (2024). Climate change, ESG criteria and recent regulation: challenges and opportunities. </w:t>
      </w:r>
      <w:r>
        <w:rPr>
          <w:i/>
          <w:iCs/>
        </w:rPr>
        <w:t>Eurasian Economic Review</w:t>
      </w:r>
      <w:r>
        <w:t>, 1-34. https://doi.org/10.1007/s40822-023-00251-x</w:t>
      </w:r>
    </w:p>
    <w:p>
      <w:pPr>
        <w:spacing w:before="384" w:beforeLines="160" w:after="384" w:afterLines="160"/>
        <w:ind w:left="720" w:hanging="720"/>
      </w:pPr>
      <w:r>
        <w:t>Young, C. K. (2022). Sustaining a Commitment to a Stakeholder Primacy Business Model. </w:t>
      </w:r>
      <w:r>
        <w:rPr>
          <w:i/>
          <w:iCs/>
        </w:rPr>
        <w:t>Compensation &amp; Benefits Review</w:t>
      </w:r>
      <w:r>
        <w:t>, </w:t>
      </w:r>
      <w:r>
        <w:rPr>
          <w:i/>
          <w:iCs/>
        </w:rPr>
        <w:t>54</w:t>
      </w:r>
      <w:r>
        <w:t>(4), 170-176. https://doi.org/10.1177/08863687221097408</w:t>
      </w:r>
    </w:p>
    <w:p>
      <w:pPr>
        <w:spacing w:before="384" w:beforeLines="160" w:after="384" w:afterLines="160"/>
        <w:ind w:left="720" w:hanging="720"/>
      </w:pPr>
      <w:r>
        <w:t>Yu, Z., Farooq, U., Alam, M. M., &amp; Dai, J. (2024). How does environmental, social, and governance (ESG) performance determine investment mix? New empirical evidence from BRICS. Borsa Istanbul Review. https://doi.org/10.1016/j.bir.2024.02.007</w:t>
      </w:r>
    </w:p>
    <w:p>
      <w:pPr>
        <w:spacing w:before="384" w:beforeLines="160" w:after="384" w:afterLines="160"/>
        <w:ind w:left="720" w:hanging="720"/>
      </w:pPr>
      <w:r>
        <w:t>Zhang, F., Qin, X., &amp; Liu, L. (2020). The interaction effect between ESG and green innovation and its impact on firm value from the perspective of information disclosure. </w:t>
      </w:r>
      <w:r>
        <w:rPr>
          <w:i/>
          <w:iCs/>
        </w:rPr>
        <w:t>Sustainability</w:t>
      </w:r>
      <w:r>
        <w:t>, </w:t>
      </w:r>
      <w:r>
        <w:rPr>
          <w:i/>
          <w:iCs/>
        </w:rPr>
        <w:t>12</w:t>
      </w:r>
      <w:r>
        <w:t>(5), 1866. https://doi.org/10.3390/su12051866</w:t>
      </w:r>
    </w:p>
    <w:p>
      <w:pPr>
        <w:spacing w:before="384" w:beforeLines="160" w:after="384" w:afterLines="160"/>
        <w:ind w:left="720" w:hanging="720"/>
      </w:pPr>
    </w:p>
    <w:sectPr>
      <w:headerReference r:id="rId5" w:type="default"/>
      <w:headerReference r:id="rId6" w:type="even"/>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151992703"/>
      <w:docPartObj>
        <w:docPartGallery w:val="autotext"/>
      </w:docPartObj>
    </w:sdtPr>
    <w:sdtEndPr>
      <w:rPr>
        <w:rStyle w:val="12"/>
      </w:rPr>
    </w:sdtEndPr>
    <w:sdtContent>
      <w:p>
        <w:pPr>
          <w:pStyle w:val="6"/>
          <w:framePr w:wrap="auto" w:vAnchor="text" w:hAnchor="margin" w:xAlign="right" w:y="1"/>
          <w:rPr>
            <w:rStyle w:val="12"/>
          </w:rPr>
        </w:pPr>
        <w:r>
          <w:rPr>
            <w:rStyle w:val="12"/>
          </w:rPr>
          <w:fldChar w:fldCharType="begin"/>
        </w:r>
        <w:r>
          <w:rPr>
            <w:rStyle w:val="12"/>
          </w:rPr>
          <w:instrText xml:space="preserve"> PAGE </w:instrText>
        </w:r>
        <w:r>
          <w:rPr>
            <w:rStyle w:val="12"/>
          </w:rPr>
          <w:fldChar w:fldCharType="separate"/>
        </w:r>
        <w:r>
          <w:rPr>
            <w:rStyle w:val="12"/>
          </w:rPr>
          <w:t>2</w:t>
        </w:r>
        <w:r>
          <w:rPr>
            <w:rStyle w:val="12"/>
          </w:rPr>
          <w:fldChar w:fldCharType="end"/>
        </w:r>
      </w:p>
    </w:sdtContent>
  </w:sdt>
  <w:p>
    <w:pPr>
      <w:pStyle w:val="6"/>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2020193219"/>
      <w:docPartObj>
        <w:docPartGallery w:val="autotext"/>
      </w:docPartObj>
    </w:sdtPr>
    <w:sdtEndPr>
      <w:rPr>
        <w:rStyle w:val="12"/>
      </w:rPr>
    </w:sdtEndPr>
    <w:sdtContent>
      <w:p>
        <w:pPr>
          <w:pStyle w:val="6"/>
          <w:framePr w:wrap="auto" w:vAnchor="text" w:hAnchor="margin" w:xAlign="right" w:y="1"/>
          <w:rPr>
            <w:rStyle w:val="12"/>
          </w:rPr>
        </w:pPr>
        <w:r>
          <w:rPr>
            <w:rStyle w:val="12"/>
          </w:rPr>
          <w:fldChar w:fldCharType="begin"/>
        </w:r>
        <w:r>
          <w:rPr>
            <w:rStyle w:val="12"/>
          </w:rPr>
          <w:instrText xml:space="preserve"> PAGE </w:instrText>
        </w:r>
        <w:r>
          <w:rPr>
            <w:rStyle w:val="12"/>
          </w:rPr>
          <w:fldChar w:fldCharType="end"/>
        </w:r>
      </w:p>
    </w:sdtContent>
  </w:sdt>
  <w:p>
    <w:pPr>
      <w:pStyle w:val="6"/>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BC93D41"/>
    <w:multiLevelType w:val="multilevel"/>
    <w:tmpl w:val="3BC93D4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51394A6C"/>
    <w:multiLevelType w:val="multilevel"/>
    <w:tmpl w:val="51394A6C"/>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5C2D6573"/>
    <w:multiLevelType w:val="multilevel"/>
    <w:tmpl w:val="5C2D6573"/>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3">
    <w:nsid w:val="5FED5E2C"/>
    <w:multiLevelType w:val="multilevel"/>
    <w:tmpl w:val="5FED5E2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
    <w:nsid w:val="707C1FC9"/>
    <w:multiLevelType w:val="multilevel"/>
    <w:tmpl w:val="707C1FC9"/>
    <w:lvl w:ilvl="0" w:tentative="0">
      <w:start w:val="1"/>
      <w:numFmt w:val="upperRoman"/>
      <w:lvlText w:val="%1."/>
      <w:lvlJc w:val="righ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hideSpellingErrors/>
  <w:hideGrammaticalErrors/>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c0NTAxNjQxNzc3szRV0lEKTi0uzszPAykwrAUA9AutPCwAAAA="/>
    <w:docVar w:name="commondata" w:val="eyJoZGlkIjoiYmIwZGVmNDljZmRlMjM0YTAyMTMwNWZhYWZlZTc4MWQifQ=="/>
  </w:docVars>
  <w:rsids>
    <w:rsidRoot w:val="00931270"/>
    <w:rsid w:val="0004407C"/>
    <w:rsid w:val="00055112"/>
    <w:rsid w:val="000A5A7B"/>
    <w:rsid w:val="000E205B"/>
    <w:rsid w:val="000F61EF"/>
    <w:rsid w:val="00156E5C"/>
    <w:rsid w:val="001D6585"/>
    <w:rsid w:val="001D787A"/>
    <w:rsid w:val="001F12BB"/>
    <w:rsid w:val="00210622"/>
    <w:rsid w:val="002556E5"/>
    <w:rsid w:val="00265DB8"/>
    <w:rsid w:val="002A7707"/>
    <w:rsid w:val="002C0211"/>
    <w:rsid w:val="002C25F5"/>
    <w:rsid w:val="002F47FF"/>
    <w:rsid w:val="00301798"/>
    <w:rsid w:val="003035E9"/>
    <w:rsid w:val="003A5A16"/>
    <w:rsid w:val="003B06F4"/>
    <w:rsid w:val="003D5484"/>
    <w:rsid w:val="00400E1A"/>
    <w:rsid w:val="00450DED"/>
    <w:rsid w:val="00463E77"/>
    <w:rsid w:val="00463FF2"/>
    <w:rsid w:val="004C3215"/>
    <w:rsid w:val="0053065A"/>
    <w:rsid w:val="00561485"/>
    <w:rsid w:val="005A6D5B"/>
    <w:rsid w:val="005C092B"/>
    <w:rsid w:val="00662076"/>
    <w:rsid w:val="00692B28"/>
    <w:rsid w:val="00695BDD"/>
    <w:rsid w:val="006D15ED"/>
    <w:rsid w:val="006E5BD2"/>
    <w:rsid w:val="00701047"/>
    <w:rsid w:val="00753E72"/>
    <w:rsid w:val="00803E8F"/>
    <w:rsid w:val="0081403C"/>
    <w:rsid w:val="008705FA"/>
    <w:rsid w:val="00871CE7"/>
    <w:rsid w:val="008974B5"/>
    <w:rsid w:val="008A7233"/>
    <w:rsid w:val="008F4EA5"/>
    <w:rsid w:val="009211FB"/>
    <w:rsid w:val="00931270"/>
    <w:rsid w:val="009A48B3"/>
    <w:rsid w:val="009C2CA6"/>
    <w:rsid w:val="00A25686"/>
    <w:rsid w:val="00A542CC"/>
    <w:rsid w:val="00A73756"/>
    <w:rsid w:val="00AA1341"/>
    <w:rsid w:val="00B162AB"/>
    <w:rsid w:val="00B92743"/>
    <w:rsid w:val="00BE63D1"/>
    <w:rsid w:val="00C71E26"/>
    <w:rsid w:val="00C74B2E"/>
    <w:rsid w:val="00CA2921"/>
    <w:rsid w:val="00D1510D"/>
    <w:rsid w:val="00D2275F"/>
    <w:rsid w:val="00D2472F"/>
    <w:rsid w:val="00D25B2D"/>
    <w:rsid w:val="00D318E8"/>
    <w:rsid w:val="00D33164"/>
    <w:rsid w:val="00D356F9"/>
    <w:rsid w:val="00D835D7"/>
    <w:rsid w:val="00DA4326"/>
    <w:rsid w:val="00DC12CC"/>
    <w:rsid w:val="00DE2CA6"/>
    <w:rsid w:val="00E025D3"/>
    <w:rsid w:val="00E145A5"/>
    <w:rsid w:val="00E37406"/>
    <w:rsid w:val="00E557DB"/>
    <w:rsid w:val="00E97A44"/>
    <w:rsid w:val="00EE3AC6"/>
    <w:rsid w:val="00EE400F"/>
    <w:rsid w:val="00EF053D"/>
    <w:rsid w:val="00F63A8D"/>
    <w:rsid w:val="00F671A0"/>
    <w:rsid w:val="00F77E41"/>
    <w:rsid w:val="00FA2A7F"/>
    <w:rsid w:val="00FC189B"/>
    <w:rsid w:val="00FC7C5C"/>
    <w:rsid w:val="00FE5B7B"/>
    <w:rsid w:val="00FF4C7F"/>
    <w:rsid w:val="035E700F"/>
    <w:rsid w:val="05CF660F"/>
    <w:rsid w:val="070D06B6"/>
    <w:rsid w:val="070F00C9"/>
    <w:rsid w:val="07F10452"/>
    <w:rsid w:val="0AAE7A41"/>
    <w:rsid w:val="0C8F3D96"/>
    <w:rsid w:val="0CE426D9"/>
    <w:rsid w:val="0D426F90"/>
    <w:rsid w:val="0E0B38F0"/>
    <w:rsid w:val="16E15BCE"/>
    <w:rsid w:val="17244A52"/>
    <w:rsid w:val="18B52DD6"/>
    <w:rsid w:val="19223474"/>
    <w:rsid w:val="1C107E1D"/>
    <w:rsid w:val="1C913B5A"/>
    <w:rsid w:val="1E831280"/>
    <w:rsid w:val="1FA31BDA"/>
    <w:rsid w:val="206511DF"/>
    <w:rsid w:val="217A696B"/>
    <w:rsid w:val="243D0B66"/>
    <w:rsid w:val="249C557D"/>
    <w:rsid w:val="28766997"/>
    <w:rsid w:val="2BBC3D43"/>
    <w:rsid w:val="2C2F4A08"/>
    <w:rsid w:val="2E652751"/>
    <w:rsid w:val="30A36FF1"/>
    <w:rsid w:val="33031AC7"/>
    <w:rsid w:val="343F6D1F"/>
    <w:rsid w:val="379F0A81"/>
    <w:rsid w:val="3AA76382"/>
    <w:rsid w:val="3AAF722D"/>
    <w:rsid w:val="3FBA6CC1"/>
    <w:rsid w:val="40955117"/>
    <w:rsid w:val="42B35F10"/>
    <w:rsid w:val="433429C6"/>
    <w:rsid w:val="43553770"/>
    <w:rsid w:val="44166896"/>
    <w:rsid w:val="44B64436"/>
    <w:rsid w:val="46FD5548"/>
    <w:rsid w:val="485B3227"/>
    <w:rsid w:val="48C264D0"/>
    <w:rsid w:val="4A9106FD"/>
    <w:rsid w:val="4D1D05E7"/>
    <w:rsid w:val="4D341814"/>
    <w:rsid w:val="53F81B19"/>
    <w:rsid w:val="54303BC8"/>
    <w:rsid w:val="569752EE"/>
    <w:rsid w:val="59EB4A06"/>
    <w:rsid w:val="5D1F0E58"/>
    <w:rsid w:val="5EDE7761"/>
    <w:rsid w:val="61167757"/>
    <w:rsid w:val="61A64714"/>
    <w:rsid w:val="6B923E7E"/>
    <w:rsid w:val="6E9C3964"/>
    <w:rsid w:val="70EC5ABB"/>
    <w:rsid w:val="72694632"/>
    <w:rsid w:val="743906F0"/>
    <w:rsid w:val="74CC21AE"/>
    <w:rsid w:val="7C3A0693"/>
    <w:rsid w:val="7E1A042F"/>
    <w:rsid w:val="7F0C1109"/>
    <w:rsid w:val="7FC20D7E"/>
    <w:rsid w:val="7FFD5912"/>
  </w:rsids>
  <m:mathPr>
    <m:mathFont m:val="Cambria Math"/>
    <m:brkBin m:val="before"/>
    <m:brkBinSub m:val="--"/>
    <m:smallFrac m:val="0"/>
    <m:dispDef/>
    <m:lMargin m:val="0"/>
    <m:rMargin m:val="0"/>
    <m:defJc m:val="centerGroup"/>
    <m:wrapIndent m:val="1440"/>
    <m:intLim m:val="subSup"/>
    <m:naryLim m:val="undOvr"/>
  </m:mathPr>
  <w:themeFontLang w:val="zh-CN"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480" w:lineRule="auto"/>
    </w:pPr>
    <w:rPr>
      <w:rFonts w:ascii="Times New Roman" w:hAnsi="Times New Roman" w:cs="Times New Roman" w:eastAsiaTheme="minorHAnsi"/>
      <w:kern w:val="0"/>
      <w:sz w:val="24"/>
      <w:szCs w:val="22"/>
      <w:lang w:val="en-US" w:eastAsia="en-US" w:bidi="ar-SA"/>
      <w14:ligatures w14:val="none"/>
    </w:rPr>
  </w:style>
  <w:style w:type="paragraph" w:styleId="2">
    <w:name w:val="heading 1"/>
    <w:basedOn w:val="1"/>
    <w:next w:val="3"/>
    <w:link w:val="15"/>
    <w:autoRedefine/>
    <w:qFormat/>
    <w:uiPriority w:val="9"/>
    <w:pPr>
      <w:spacing w:before="120" w:after="0"/>
      <w:outlineLvl w:val="0"/>
    </w:pPr>
    <w:rPr>
      <w:b/>
      <w:color w:val="000000" w:themeColor="text1"/>
      <w14:textFill>
        <w14:solidFill>
          <w14:schemeClr w14:val="tx1"/>
        </w14:solidFill>
      </w14:textFill>
    </w:rPr>
  </w:style>
  <w:style w:type="paragraph" w:styleId="4">
    <w:name w:val="heading 2"/>
    <w:basedOn w:val="1"/>
    <w:next w:val="1"/>
    <w:link w:val="16"/>
    <w:autoRedefine/>
    <w:unhideWhenUsed/>
    <w:qFormat/>
    <w:uiPriority w:val="9"/>
    <w:pPr>
      <w:jc w:val="center"/>
      <w:outlineLvl w:val="1"/>
    </w:pPr>
    <w:rPr>
      <w:b/>
    </w:rPr>
  </w:style>
  <w:style w:type="character" w:default="1" w:styleId="11">
    <w:name w:val="Default Paragraph Font"/>
    <w:autoRedefine/>
    <w:semiHidden/>
    <w:unhideWhenUsed/>
    <w:qFormat/>
    <w:uiPriority w:val="1"/>
  </w:style>
  <w:style w:type="table" w:default="1" w:styleId="10">
    <w:name w:val="Normal Table"/>
    <w:autoRedefine/>
    <w:semiHidden/>
    <w:unhideWhenUsed/>
    <w:qFormat/>
    <w:uiPriority w:val="99"/>
    <w:tblPr>
      <w:tblCellMar>
        <w:top w:w="0" w:type="dxa"/>
        <w:left w:w="108" w:type="dxa"/>
        <w:bottom w:w="0" w:type="dxa"/>
        <w:right w:w="108" w:type="dxa"/>
      </w:tblCellMar>
    </w:tblPr>
  </w:style>
  <w:style w:type="paragraph" w:styleId="3">
    <w:name w:val="No Spacing"/>
    <w:autoRedefine/>
    <w:qFormat/>
    <w:uiPriority w:val="1"/>
    <w:rPr>
      <w:rFonts w:ascii="Times New Roman" w:hAnsi="Times New Roman" w:cs="Times New Roman" w:eastAsiaTheme="minorHAnsi"/>
      <w:kern w:val="0"/>
      <w:sz w:val="24"/>
      <w:szCs w:val="22"/>
      <w:lang w:val="en-US" w:eastAsia="en-US" w:bidi="ar-SA"/>
      <w14:ligatures w14:val="none"/>
    </w:rPr>
  </w:style>
  <w:style w:type="paragraph" w:styleId="5">
    <w:name w:val="annotation text"/>
    <w:basedOn w:val="1"/>
    <w:link w:val="20"/>
    <w:autoRedefine/>
    <w:semiHidden/>
    <w:unhideWhenUsed/>
    <w:qFormat/>
    <w:uiPriority w:val="99"/>
    <w:pPr>
      <w:spacing w:line="240" w:lineRule="auto"/>
    </w:pPr>
    <w:rPr>
      <w:sz w:val="20"/>
      <w:szCs w:val="20"/>
    </w:rPr>
  </w:style>
  <w:style w:type="paragraph" w:styleId="6">
    <w:name w:val="header"/>
    <w:basedOn w:val="1"/>
    <w:link w:val="17"/>
    <w:autoRedefine/>
    <w:unhideWhenUsed/>
    <w:qFormat/>
    <w:uiPriority w:val="99"/>
    <w:pPr>
      <w:tabs>
        <w:tab w:val="center" w:pos="4513"/>
        <w:tab w:val="right" w:pos="9026"/>
      </w:tabs>
      <w:spacing w:after="0" w:line="240" w:lineRule="auto"/>
    </w:pPr>
  </w:style>
  <w:style w:type="paragraph" w:styleId="7">
    <w:name w:val="toc 1"/>
    <w:basedOn w:val="1"/>
    <w:next w:val="1"/>
    <w:autoRedefine/>
    <w:unhideWhenUsed/>
    <w:qFormat/>
    <w:uiPriority w:val="39"/>
    <w:pPr>
      <w:spacing w:after="100"/>
    </w:pPr>
  </w:style>
  <w:style w:type="paragraph" w:styleId="8">
    <w:name w:val="toc 2"/>
    <w:basedOn w:val="1"/>
    <w:next w:val="1"/>
    <w:autoRedefine/>
    <w:unhideWhenUsed/>
    <w:qFormat/>
    <w:uiPriority w:val="39"/>
    <w:pPr>
      <w:spacing w:after="100"/>
      <w:ind w:left="240"/>
    </w:pPr>
  </w:style>
  <w:style w:type="paragraph" w:styleId="9">
    <w:name w:val="annotation subject"/>
    <w:basedOn w:val="5"/>
    <w:next w:val="5"/>
    <w:link w:val="21"/>
    <w:autoRedefine/>
    <w:semiHidden/>
    <w:unhideWhenUsed/>
    <w:qFormat/>
    <w:uiPriority w:val="99"/>
    <w:rPr>
      <w:b/>
      <w:bCs/>
    </w:rPr>
  </w:style>
  <w:style w:type="character" w:styleId="12">
    <w:name w:val="page number"/>
    <w:basedOn w:val="11"/>
    <w:autoRedefine/>
    <w:semiHidden/>
    <w:unhideWhenUsed/>
    <w:qFormat/>
    <w:uiPriority w:val="99"/>
  </w:style>
  <w:style w:type="character" w:styleId="13">
    <w:name w:val="Hyperlink"/>
    <w:basedOn w:val="11"/>
    <w:autoRedefine/>
    <w:unhideWhenUsed/>
    <w:qFormat/>
    <w:uiPriority w:val="99"/>
    <w:rPr>
      <w:color w:val="0563C1" w:themeColor="hyperlink"/>
      <w:u w:val="single"/>
      <w14:textFill>
        <w14:solidFill>
          <w14:schemeClr w14:val="hlink"/>
        </w14:solidFill>
      </w14:textFill>
    </w:rPr>
  </w:style>
  <w:style w:type="character" w:styleId="14">
    <w:name w:val="annotation reference"/>
    <w:basedOn w:val="11"/>
    <w:autoRedefine/>
    <w:semiHidden/>
    <w:unhideWhenUsed/>
    <w:qFormat/>
    <w:uiPriority w:val="99"/>
    <w:rPr>
      <w:sz w:val="16"/>
      <w:szCs w:val="16"/>
    </w:rPr>
  </w:style>
  <w:style w:type="character" w:customStyle="1" w:styleId="15">
    <w:name w:val="Heading 1 Char"/>
    <w:basedOn w:val="11"/>
    <w:link w:val="2"/>
    <w:autoRedefine/>
    <w:qFormat/>
    <w:uiPriority w:val="9"/>
    <w:rPr>
      <w:rFonts w:ascii="Times New Roman" w:hAnsi="Times New Roman" w:cs="Times New Roman"/>
      <w:b/>
      <w:color w:val="000000" w:themeColor="text1"/>
      <w:kern w:val="0"/>
      <w:szCs w:val="22"/>
      <w:lang w:val="en-US"/>
      <w14:textFill>
        <w14:solidFill>
          <w14:schemeClr w14:val="tx1"/>
        </w14:solidFill>
      </w14:textFill>
      <w14:ligatures w14:val="none"/>
    </w:rPr>
  </w:style>
  <w:style w:type="character" w:customStyle="1" w:styleId="16">
    <w:name w:val="Heading 2 Char"/>
    <w:basedOn w:val="11"/>
    <w:link w:val="4"/>
    <w:autoRedefine/>
    <w:qFormat/>
    <w:uiPriority w:val="9"/>
    <w:rPr>
      <w:rFonts w:ascii="Times New Roman" w:hAnsi="Times New Roman" w:cs="Times New Roman"/>
      <w:b/>
      <w:kern w:val="0"/>
      <w:szCs w:val="22"/>
      <w:lang w:val="en-US"/>
      <w14:ligatures w14:val="none"/>
    </w:rPr>
  </w:style>
  <w:style w:type="character" w:customStyle="1" w:styleId="17">
    <w:name w:val="Header Char"/>
    <w:basedOn w:val="11"/>
    <w:link w:val="6"/>
    <w:autoRedefine/>
    <w:qFormat/>
    <w:uiPriority w:val="99"/>
    <w:rPr>
      <w:rFonts w:ascii="Times New Roman" w:hAnsi="Times New Roman" w:cs="Times New Roman"/>
      <w:kern w:val="0"/>
      <w:szCs w:val="22"/>
      <w:lang w:val="en-US"/>
      <w14:ligatures w14:val="none"/>
    </w:rPr>
  </w:style>
  <w:style w:type="character" w:customStyle="1" w:styleId="18">
    <w:name w:val="Unresolved Mention"/>
    <w:basedOn w:val="11"/>
    <w:autoRedefine/>
    <w:semiHidden/>
    <w:unhideWhenUsed/>
    <w:qFormat/>
    <w:uiPriority w:val="99"/>
    <w:rPr>
      <w:color w:val="605E5C"/>
      <w:shd w:val="clear" w:color="auto" w:fill="E1DFDD"/>
    </w:rPr>
  </w:style>
  <w:style w:type="paragraph" w:styleId="19">
    <w:name w:val="List Paragraph"/>
    <w:basedOn w:val="1"/>
    <w:autoRedefine/>
    <w:qFormat/>
    <w:uiPriority w:val="34"/>
    <w:pPr>
      <w:ind w:left="720"/>
      <w:contextualSpacing/>
    </w:pPr>
  </w:style>
  <w:style w:type="character" w:customStyle="1" w:styleId="20">
    <w:name w:val="Comment Text Char"/>
    <w:basedOn w:val="11"/>
    <w:link w:val="5"/>
    <w:autoRedefine/>
    <w:semiHidden/>
    <w:qFormat/>
    <w:uiPriority w:val="99"/>
    <w:rPr>
      <w:rFonts w:ascii="Times New Roman" w:hAnsi="Times New Roman" w:cs="Times New Roman"/>
      <w:kern w:val="0"/>
      <w:sz w:val="20"/>
      <w:szCs w:val="20"/>
      <w:lang w:val="en-US"/>
      <w14:ligatures w14:val="none"/>
    </w:rPr>
  </w:style>
  <w:style w:type="character" w:customStyle="1" w:styleId="21">
    <w:name w:val="Comment Subject Char"/>
    <w:basedOn w:val="20"/>
    <w:link w:val="9"/>
    <w:autoRedefine/>
    <w:semiHidden/>
    <w:qFormat/>
    <w:uiPriority w:val="99"/>
    <w:rPr>
      <w:rFonts w:ascii="Times New Roman" w:hAnsi="Times New Roman" w:cs="Times New Roman"/>
      <w:b/>
      <w:bCs/>
      <w:kern w:val="0"/>
      <w:sz w:val="20"/>
      <w:szCs w:val="20"/>
      <w:lang w:val="en-US"/>
      <w14:ligatures w14:val="none"/>
    </w:rPr>
  </w:style>
  <w:style w:type="paragraph" w:customStyle="1" w:styleId="22">
    <w:name w:val="TOC Heading"/>
    <w:basedOn w:val="2"/>
    <w:next w:val="1"/>
    <w:autoRedefine/>
    <w:unhideWhenUsed/>
    <w:qFormat/>
    <w:uiPriority w:val="39"/>
    <w:pPr>
      <w:keepNext/>
      <w:keepLines/>
      <w:spacing w:before="240" w:line="259" w:lineRule="auto"/>
      <w:outlineLvl w:val="9"/>
    </w:pPr>
    <w:rPr>
      <w:rFonts w:asciiTheme="majorHAnsi" w:hAnsiTheme="majorHAnsi" w:eastAsiaTheme="majorEastAsia" w:cstheme="majorBidi"/>
      <w:b w:val="0"/>
      <w:color w:val="2F5597" w:themeColor="accent1" w:themeShade="BF"/>
      <w:sz w:val="32"/>
      <w:szCs w:val="3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theme" Target="theme/theme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73F61-07C6-4E4D-BD97-29495012E01A}">
  <ds:schemaRefs/>
</ds:datastoreItem>
</file>

<file path=docProps/app.xml><?xml version="1.0" encoding="utf-8"?>
<Properties xmlns="http://schemas.openxmlformats.org/officeDocument/2006/extended-properties" xmlns:vt="http://schemas.openxmlformats.org/officeDocument/2006/docPropsVTypes">
  <Template>Normal</Template>
  <Pages>28</Pages>
  <Words>7132</Words>
  <Characters>40659</Characters>
  <Lines>338</Lines>
  <Paragraphs>95</Paragraphs>
  <TotalTime>1</TotalTime>
  <ScaleCrop>false</ScaleCrop>
  <LinksUpToDate>false</LinksUpToDate>
  <CharactersWithSpaces>47696</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LEI GUI</dc:creator>
  <dcterms:created xsi:type="dcterms:W3CDTF">2024-04-15T04:55:00Z</dcterms:created>
  <dcterms:modified xsi:type="dcterms:W3CDTF">2024-04-19T21:57:51Z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F9BEF58961814540846528B6FB60944B_13</vt:lpwstr>
  </property>
</Properties>
</file>