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4CE3E752" w:rsidR="00EB12BC" w:rsidRPr="00612EEE" w:rsidRDefault="00EB12BC" w:rsidP="00C03A91">
      <w:pPr>
        <w:tabs>
          <w:tab w:val="left" w:pos="6540"/>
        </w:tabs>
        <w:spacing w:line="360" w:lineRule="auto"/>
        <w:rPr>
          <w:rFonts w:ascii="Arial" w:hAnsi="Arial" w:cs="Arial"/>
          <w:b/>
          <w:bCs/>
          <w:sz w:val="32"/>
          <w:szCs w:val="32"/>
        </w:rPr>
      </w:pPr>
      <w:r w:rsidRPr="00612EEE">
        <w:rPr>
          <w:rFonts w:ascii="Arial" w:hAnsi="Arial" w:cs="Arial"/>
          <w:b/>
          <w:bCs/>
          <w:sz w:val="32"/>
          <w:szCs w:val="32"/>
        </w:rPr>
        <w:t>Student name:</w:t>
      </w:r>
      <w:r w:rsidR="00612EEE" w:rsidRPr="00612EEE">
        <w:rPr>
          <w:rFonts w:ascii="Arial" w:hAnsi="Arial" w:cs="Arial"/>
          <w:b/>
          <w:bCs/>
          <w:sz w:val="32"/>
          <w:szCs w:val="32"/>
        </w:rPr>
        <w:t xml:space="preserve"> Adriana Rodrigues Bissoli</w:t>
      </w:r>
    </w:p>
    <w:p w14:paraId="3C83A8A7" w14:textId="4BF9F5C5" w:rsidR="00EB12BC" w:rsidRPr="00612EEE" w:rsidRDefault="00EB12BC" w:rsidP="00C03A91">
      <w:pPr>
        <w:tabs>
          <w:tab w:val="left" w:pos="6540"/>
        </w:tabs>
        <w:spacing w:line="360" w:lineRule="auto"/>
        <w:rPr>
          <w:rFonts w:ascii="Arial" w:hAnsi="Arial" w:cs="Arial"/>
          <w:b/>
          <w:bCs/>
          <w:sz w:val="32"/>
          <w:szCs w:val="32"/>
        </w:rPr>
      </w:pPr>
      <w:r w:rsidRPr="00612EEE">
        <w:rPr>
          <w:rFonts w:ascii="Arial" w:hAnsi="Arial" w:cs="Arial"/>
          <w:b/>
          <w:bCs/>
          <w:sz w:val="32"/>
          <w:szCs w:val="32"/>
        </w:rPr>
        <w:t>Student ID:</w:t>
      </w:r>
      <w:r w:rsidR="00612EEE" w:rsidRPr="00612EEE">
        <w:rPr>
          <w:rFonts w:ascii="Arial" w:hAnsi="Arial" w:cs="Arial"/>
          <w:b/>
          <w:bCs/>
          <w:sz w:val="32"/>
          <w:szCs w:val="32"/>
        </w:rPr>
        <w:t xml:space="preserve"> 2337158</w:t>
      </w:r>
    </w:p>
    <w:p w14:paraId="1A779480" w14:textId="1E7A3283" w:rsidR="00612EEE" w:rsidRPr="00612EEE" w:rsidRDefault="00EB12BC" w:rsidP="00612EEE">
      <w:pPr>
        <w:tabs>
          <w:tab w:val="left" w:pos="6540"/>
        </w:tabs>
        <w:spacing w:line="360" w:lineRule="auto"/>
        <w:rPr>
          <w:rFonts w:ascii="Arial" w:hAnsi="Arial" w:cs="Arial"/>
          <w:b/>
          <w:bCs/>
          <w:sz w:val="32"/>
          <w:szCs w:val="32"/>
        </w:rPr>
      </w:pPr>
      <w:r w:rsidRPr="00612EEE">
        <w:rPr>
          <w:rFonts w:ascii="Arial" w:hAnsi="Arial" w:cs="Arial"/>
          <w:b/>
          <w:bCs/>
          <w:sz w:val="32"/>
          <w:szCs w:val="32"/>
        </w:rPr>
        <w:t xml:space="preserve">Module name: </w:t>
      </w:r>
      <w:r w:rsidR="00612EEE" w:rsidRPr="00612EEE">
        <w:rPr>
          <w:rFonts w:ascii="Arial" w:hAnsi="Arial" w:cs="Arial"/>
          <w:b/>
          <w:bCs/>
          <w:sz w:val="32"/>
          <w:szCs w:val="32"/>
        </w:rPr>
        <w:t>Introduction to Physiology</w:t>
      </w:r>
    </w:p>
    <w:p w14:paraId="4FD97C8C" w14:textId="6B0C1E20" w:rsidR="00EB12BC" w:rsidRPr="00612EEE" w:rsidRDefault="00EB12BC" w:rsidP="00C03A91">
      <w:pPr>
        <w:tabs>
          <w:tab w:val="left" w:pos="6540"/>
        </w:tabs>
        <w:spacing w:line="360" w:lineRule="auto"/>
        <w:rPr>
          <w:rFonts w:ascii="Arial" w:hAnsi="Arial" w:cs="Arial"/>
          <w:b/>
          <w:bCs/>
          <w:sz w:val="32"/>
          <w:szCs w:val="32"/>
        </w:rPr>
      </w:pPr>
      <w:r w:rsidRPr="00612EEE">
        <w:rPr>
          <w:rFonts w:ascii="Arial" w:hAnsi="Arial" w:cs="Arial"/>
          <w:b/>
          <w:bCs/>
          <w:sz w:val="32"/>
          <w:szCs w:val="32"/>
        </w:rPr>
        <w:t>Module code:</w:t>
      </w:r>
      <w:r w:rsidR="00612EEE" w:rsidRPr="00612EEE">
        <w:rPr>
          <w:rFonts w:ascii="Arial" w:hAnsi="Arial" w:cs="Arial"/>
          <w:b/>
          <w:bCs/>
          <w:sz w:val="32"/>
          <w:szCs w:val="32"/>
        </w:rPr>
        <w:t xml:space="preserve"> (BMHP5023)</w:t>
      </w:r>
    </w:p>
    <w:p w14:paraId="1EB8202C" w14:textId="77777777" w:rsidR="00612EEE" w:rsidRPr="00612EEE" w:rsidRDefault="00EB12BC" w:rsidP="00612EEE">
      <w:pPr>
        <w:tabs>
          <w:tab w:val="left" w:pos="6540"/>
        </w:tabs>
        <w:spacing w:line="360" w:lineRule="auto"/>
        <w:rPr>
          <w:rFonts w:ascii="Arial" w:hAnsi="Arial" w:cs="Arial"/>
          <w:b/>
          <w:bCs/>
          <w:sz w:val="32"/>
          <w:szCs w:val="32"/>
        </w:rPr>
      </w:pPr>
      <w:r w:rsidRPr="00612EEE">
        <w:rPr>
          <w:rFonts w:ascii="Arial" w:hAnsi="Arial" w:cs="Arial"/>
          <w:b/>
          <w:bCs/>
          <w:sz w:val="32"/>
          <w:szCs w:val="32"/>
        </w:rPr>
        <w:t>Lecturer name:</w:t>
      </w:r>
      <w:r w:rsidR="00612EEE" w:rsidRPr="00612EEE">
        <w:rPr>
          <w:rFonts w:ascii="Arial" w:hAnsi="Arial" w:cs="Arial"/>
          <w:b/>
          <w:bCs/>
          <w:sz w:val="32"/>
          <w:szCs w:val="32"/>
        </w:rPr>
        <w:t xml:space="preserve"> Shaila Hussain</w:t>
      </w:r>
    </w:p>
    <w:p w14:paraId="7D89BFCC" w14:textId="2D698558" w:rsidR="00612EEE" w:rsidRPr="00612EEE" w:rsidRDefault="001B7A40" w:rsidP="00612EEE">
      <w:pPr>
        <w:tabs>
          <w:tab w:val="left" w:pos="6540"/>
        </w:tabs>
        <w:spacing w:line="360" w:lineRule="auto"/>
        <w:rPr>
          <w:rFonts w:ascii="Arial" w:hAnsi="Arial" w:cs="Arial"/>
          <w:b/>
          <w:bCs/>
          <w:sz w:val="32"/>
          <w:szCs w:val="32"/>
        </w:rPr>
      </w:pPr>
      <w:r w:rsidRPr="00612EEE">
        <w:rPr>
          <w:rFonts w:ascii="Arial" w:hAnsi="Arial" w:cs="Arial"/>
          <w:b/>
          <w:bCs/>
          <w:sz w:val="32"/>
          <w:szCs w:val="32"/>
        </w:rPr>
        <w:t xml:space="preserve">Assessment: </w:t>
      </w:r>
      <w:r w:rsidR="00612EEE" w:rsidRPr="00612EEE">
        <w:rPr>
          <w:rFonts w:ascii="Arial" w:hAnsi="Arial" w:cs="Arial"/>
          <w:b/>
          <w:bCs/>
          <w:sz w:val="32"/>
          <w:szCs w:val="32"/>
        </w:rPr>
        <w:t>Case Study Report</w:t>
      </w:r>
      <w:r w:rsidR="004D7C69">
        <w:rPr>
          <w:rFonts w:ascii="Arial" w:hAnsi="Arial" w:cs="Arial"/>
          <w:b/>
          <w:bCs/>
          <w:sz w:val="32"/>
          <w:szCs w:val="32"/>
        </w:rPr>
        <w:t xml:space="preserve"> </w:t>
      </w:r>
      <w:r w:rsidR="00A40544">
        <w:rPr>
          <w:rFonts w:ascii="Arial" w:hAnsi="Arial" w:cs="Arial"/>
          <w:b/>
          <w:bCs/>
          <w:sz w:val="32"/>
          <w:szCs w:val="32"/>
        </w:rPr>
        <w:t>Diabetes type 2 M</w:t>
      </w:r>
      <w:r w:rsidR="00A12369">
        <w:rPr>
          <w:rFonts w:ascii="Arial" w:hAnsi="Arial" w:cs="Arial"/>
          <w:b/>
          <w:bCs/>
          <w:sz w:val="32"/>
          <w:szCs w:val="32"/>
        </w:rPr>
        <w:t>ellitus.</w:t>
      </w:r>
    </w:p>
    <w:p w14:paraId="288FE355" w14:textId="77777777" w:rsidR="00612EEE" w:rsidRPr="00C03A91" w:rsidRDefault="00612EEE" w:rsidP="00612EEE">
      <w:pPr>
        <w:tabs>
          <w:tab w:val="left" w:pos="6540"/>
        </w:tabs>
        <w:spacing w:line="360" w:lineRule="auto"/>
        <w:rPr>
          <w:rFonts w:ascii="Arial" w:hAnsi="Arial" w:cs="Arial"/>
          <w:sz w:val="28"/>
          <w:szCs w:val="28"/>
        </w:rPr>
      </w:pPr>
    </w:p>
    <w:p w14:paraId="53B923F4" w14:textId="3310EED9" w:rsidR="001B7A40" w:rsidRPr="00C03A91" w:rsidRDefault="001B7A40" w:rsidP="00C03A91">
      <w:pPr>
        <w:tabs>
          <w:tab w:val="left" w:pos="6540"/>
        </w:tabs>
        <w:spacing w:line="360" w:lineRule="auto"/>
        <w:rPr>
          <w:rFonts w:ascii="Arial" w:hAnsi="Arial" w:cs="Arial"/>
          <w:b/>
          <w:bCs/>
          <w:sz w:val="28"/>
          <w:szCs w:val="28"/>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6A36ACFC" w14:textId="3A69058A" w:rsidR="001A3DF6" w:rsidRDefault="001A3DF6" w:rsidP="00533330">
      <w:pPr>
        <w:pStyle w:val="Heading1"/>
      </w:pPr>
      <w:bookmarkStart w:id="0" w:name="_Toc215688890"/>
      <w:bookmarkStart w:id="1" w:name="_Toc215688962"/>
      <w:bookmarkStart w:id="2" w:name="_Toc215690928"/>
      <w:bookmarkStart w:id="3" w:name="_Toc215691254"/>
      <w:bookmarkStart w:id="4" w:name="_Toc215784410"/>
      <w:r>
        <w:lastRenderedPageBreak/>
        <w:t>Table Content</w:t>
      </w:r>
      <w:bookmarkEnd w:id="0"/>
      <w:bookmarkEnd w:id="1"/>
      <w:bookmarkEnd w:id="2"/>
      <w:bookmarkEnd w:id="3"/>
      <w:bookmarkEnd w:id="4"/>
    </w:p>
    <w:p w14:paraId="1919D595" w14:textId="77777777" w:rsidR="001A3DF6" w:rsidRDefault="001A3DF6" w:rsidP="00533330">
      <w:pPr>
        <w:pStyle w:val="Heading1"/>
      </w:pPr>
    </w:p>
    <w:sdt>
      <w:sdtPr>
        <w:rPr>
          <w:rFonts w:ascii="Times New Roman" w:eastAsiaTheme="minorHAnsi" w:hAnsi="Times New Roman" w:cstheme="minorBidi"/>
          <w:color w:val="auto"/>
          <w:sz w:val="24"/>
          <w:lang w:val="en-GB"/>
        </w:rPr>
        <w:id w:val="339435710"/>
        <w:docPartObj>
          <w:docPartGallery w:val="Table of Contents"/>
          <w:docPartUnique/>
        </w:docPartObj>
      </w:sdtPr>
      <w:sdtEndPr>
        <w:rPr>
          <w:b/>
          <w:bCs/>
          <w:noProof/>
        </w:rPr>
      </w:sdtEndPr>
      <w:sdtContent>
        <w:p w14:paraId="4878FAAA" w14:textId="3875612C" w:rsidR="00314DF8" w:rsidRDefault="00314DF8">
          <w:pPr>
            <w:pStyle w:val="TOCHeading"/>
          </w:pPr>
          <w:r>
            <w:t>Contents</w:t>
          </w:r>
        </w:p>
        <w:p w14:paraId="56A1DFB8" w14:textId="70334FBE" w:rsidR="00497A52" w:rsidRDefault="00314DF8">
          <w:pPr>
            <w:pStyle w:val="TOC1"/>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5784410" w:history="1">
            <w:r w:rsidR="00497A52" w:rsidRPr="00333F58">
              <w:rPr>
                <w:rStyle w:val="Hyperlink"/>
                <w:noProof/>
              </w:rPr>
              <w:t>Table Content</w:t>
            </w:r>
            <w:r w:rsidR="00497A52">
              <w:rPr>
                <w:noProof/>
                <w:webHidden/>
              </w:rPr>
              <w:tab/>
            </w:r>
            <w:r w:rsidR="00497A52">
              <w:rPr>
                <w:noProof/>
                <w:webHidden/>
              </w:rPr>
              <w:fldChar w:fldCharType="begin"/>
            </w:r>
            <w:r w:rsidR="00497A52">
              <w:rPr>
                <w:noProof/>
                <w:webHidden/>
              </w:rPr>
              <w:instrText xml:space="preserve"> PAGEREF _Toc215784410 \h </w:instrText>
            </w:r>
            <w:r w:rsidR="00497A52">
              <w:rPr>
                <w:noProof/>
                <w:webHidden/>
              </w:rPr>
            </w:r>
            <w:r w:rsidR="00497A52">
              <w:rPr>
                <w:noProof/>
                <w:webHidden/>
              </w:rPr>
              <w:fldChar w:fldCharType="separate"/>
            </w:r>
            <w:r w:rsidR="00BF0E3B">
              <w:rPr>
                <w:noProof/>
                <w:webHidden/>
              </w:rPr>
              <w:t>2</w:t>
            </w:r>
            <w:r w:rsidR="00497A52">
              <w:rPr>
                <w:noProof/>
                <w:webHidden/>
              </w:rPr>
              <w:fldChar w:fldCharType="end"/>
            </w:r>
          </w:hyperlink>
        </w:p>
        <w:p w14:paraId="1B108C9C" w14:textId="271A760A" w:rsidR="00497A52" w:rsidRDefault="00497A52">
          <w:pPr>
            <w:pStyle w:val="TOC1"/>
            <w:rPr>
              <w:rFonts w:asciiTheme="minorHAnsi" w:eastAsiaTheme="minorEastAsia" w:hAnsiTheme="minorHAnsi"/>
              <w:noProof/>
              <w:kern w:val="2"/>
              <w:szCs w:val="24"/>
              <w:lang w:eastAsia="en-GB"/>
              <w14:ligatures w14:val="standardContextual"/>
            </w:rPr>
          </w:pPr>
          <w:hyperlink w:anchor="_Toc215784411" w:history="1">
            <w:r w:rsidRPr="00333F58">
              <w:rPr>
                <w:rStyle w:val="Hyperlink"/>
                <w:noProof/>
              </w:rPr>
              <w:t>Introduction</w:t>
            </w:r>
            <w:r>
              <w:rPr>
                <w:noProof/>
                <w:webHidden/>
              </w:rPr>
              <w:tab/>
            </w:r>
            <w:r>
              <w:rPr>
                <w:noProof/>
                <w:webHidden/>
              </w:rPr>
              <w:fldChar w:fldCharType="begin"/>
            </w:r>
            <w:r>
              <w:rPr>
                <w:noProof/>
                <w:webHidden/>
              </w:rPr>
              <w:instrText xml:space="preserve"> PAGEREF _Toc215784411 \h </w:instrText>
            </w:r>
            <w:r>
              <w:rPr>
                <w:noProof/>
                <w:webHidden/>
              </w:rPr>
            </w:r>
            <w:r>
              <w:rPr>
                <w:noProof/>
                <w:webHidden/>
              </w:rPr>
              <w:fldChar w:fldCharType="separate"/>
            </w:r>
            <w:r w:rsidR="00BF0E3B">
              <w:rPr>
                <w:noProof/>
                <w:webHidden/>
              </w:rPr>
              <w:t>3</w:t>
            </w:r>
            <w:r>
              <w:rPr>
                <w:noProof/>
                <w:webHidden/>
              </w:rPr>
              <w:fldChar w:fldCharType="end"/>
            </w:r>
          </w:hyperlink>
        </w:p>
        <w:p w14:paraId="64EEEC53" w14:textId="54CC6D05" w:rsidR="00497A52" w:rsidRDefault="00497A5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784412" w:history="1">
            <w:r w:rsidRPr="00333F58">
              <w:rPr>
                <w:rStyle w:val="Hyperlink"/>
                <w:noProof/>
              </w:rPr>
              <w:t>What is diabetes T2DM, and the types? Risk factors associated with it.</w:t>
            </w:r>
            <w:r>
              <w:rPr>
                <w:noProof/>
                <w:webHidden/>
              </w:rPr>
              <w:tab/>
            </w:r>
            <w:r>
              <w:rPr>
                <w:noProof/>
                <w:webHidden/>
              </w:rPr>
              <w:fldChar w:fldCharType="begin"/>
            </w:r>
            <w:r>
              <w:rPr>
                <w:noProof/>
                <w:webHidden/>
              </w:rPr>
              <w:instrText xml:space="preserve"> PAGEREF _Toc215784412 \h </w:instrText>
            </w:r>
            <w:r>
              <w:rPr>
                <w:noProof/>
                <w:webHidden/>
              </w:rPr>
            </w:r>
            <w:r>
              <w:rPr>
                <w:noProof/>
                <w:webHidden/>
              </w:rPr>
              <w:fldChar w:fldCharType="separate"/>
            </w:r>
            <w:r w:rsidR="00BF0E3B">
              <w:rPr>
                <w:noProof/>
                <w:webHidden/>
              </w:rPr>
              <w:t>4</w:t>
            </w:r>
            <w:r>
              <w:rPr>
                <w:noProof/>
                <w:webHidden/>
              </w:rPr>
              <w:fldChar w:fldCharType="end"/>
            </w:r>
          </w:hyperlink>
        </w:p>
        <w:p w14:paraId="3CED1A13" w14:textId="491D3950" w:rsidR="00497A52" w:rsidRDefault="00497A5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784413" w:history="1">
            <w:r w:rsidRPr="00333F58">
              <w:rPr>
                <w:rStyle w:val="Hyperlink"/>
                <w:noProof/>
              </w:rPr>
              <w:t>Diagrams of Pathophysiology T2DM.</w:t>
            </w:r>
            <w:r>
              <w:rPr>
                <w:noProof/>
                <w:webHidden/>
              </w:rPr>
              <w:tab/>
            </w:r>
            <w:r>
              <w:rPr>
                <w:noProof/>
                <w:webHidden/>
              </w:rPr>
              <w:fldChar w:fldCharType="begin"/>
            </w:r>
            <w:r>
              <w:rPr>
                <w:noProof/>
                <w:webHidden/>
              </w:rPr>
              <w:instrText xml:space="preserve"> PAGEREF _Toc215784413 \h </w:instrText>
            </w:r>
            <w:r>
              <w:rPr>
                <w:noProof/>
                <w:webHidden/>
              </w:rPr>
            </w:r>
            <w:r>
              <w:rPr>
                <w:noProof/>
                <w:webHidden/>
              </w:rPr>
              <w:fldChar w:fldCharType="separate"/>
            </w:r>
            <w:r w:rsidR="00BF0E3B">
              <w:rPr>
                <w:noProof/>
                <w:webHidden/>
              </w:rPr>
              <w:t>4</w:t>
            </w:r>
            <w:r>
              <w:rPr>
                <w:noProof/>
                <w:webHidden/>
              </w:rPr>
              <w:fldChar w:fldCharType="end"/>
            </w:r>
          </w:hyperlink>
        </w:p>
        <w:p w14:paraId="6F0E1049" w14:textId="262DC103" w:rsidR="00497A52" w:rsidRDefault="00497A5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784414" w:history="1">
            <w:r w:rsidRPr="00333F58">
              <w:rPr>
                <w:rStyle w:val="Hyperlink"/>
                <w:noProof/>
              </w:rPr>
              <w:t>Relate it to the endocrine system.</w:t>
            </w:r>
            <w:r>
              <w:rPr>
                <w:noProof/>
                <w:webHidden/>
              </w:rPr>
              <w:tab/>
            </w:r>
            <w:r>
              <w:rPr>
                <w:noProof/>
                <w:webHidden/>
              </w:rPr>
              <w:fldChar w:fldCharType="begin"/>
            </w:r>
            <w:r>
              <w:rPr>
                <w:noProof/>
                <w:webHidden/>
              </w:rPr>
              <w:instrText xml:space="preserve"> PAGEREF _Toc215784414 \h </w:instrText>
            </w:r>
            <w:r>
              <w:rPr>
                <w:noProof/>
                <w:webHidden/>
              </w:rPr>
            </w:r>
            <w:r>
              <w:rPr>
                <w:noProof/>
                <w:webHidden/>
              </w:rPr>
              <w:fldChar w:fldCharType="separate"/>
            </w:r>
            <w:r w:rsidR="00BF0E3B">
              <w:rPr>
                <w:noProof/>
                <w:webHidden/>
              </w:rPr>
              <w:t>5</w:t>
            </w:r>
            <w:r>
              <w:rPr>
                <w:noProof/>
                <w:webHidden/>
              </w:rPr>
              <w:fldChar w:fldCharType="end"/>
            </w:r>
          </w:hyperlink>
        </w:p>
        <w:p w14:paraId="0993A201" w14:textId="270A5FE8" w:rsidR="00497A52" w:rsidRDefault="00497A5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784415" w:history="1">
            <w:r w:rsidRPr="00333F58">
              <w:rPr>
                <w:rStyle w:val="Hyperlink"/>
                <w:rFonts w:cs="Arial"/>
                <w:noProof/>
              </w:rPr>
              <w:t>Diagrams of Treatment and management of type 2 Diabetes.</w:t>
            </w:r>
            <w:r>
              <w:rPr>
                <w:noProof/>
                <w:webHidden/>
              </w:rPr>
              <w:tab/>
            </w:r>
            <w:r>
              <w:rPr>
                <w:noProof/>
                <w:webHidden/>
              </w:rPr>
              <w:fldChar w:fldCharType="begin"/>
            </w:r>
            <w:r>
              <w:rPr>
                <w:noProof/>
                <w:webHidden/>
              </w:rPr>
              <w:instrText xml:space="preserve"> PAGEREF _Toc215784415 \h </w:instrText>
            </w:r>
            <w:r>
              <w:rPr>
                <w:noProof/>
                <w:webHidden/>
              </w:rPr>
            </w:r>
            <w:r>
              <w:rPr>
                <w:noProof/>
                <w:webHidden/>
              </w:rPr>
              <w:fldChar w:fldCharType="separate"/>
            </w:r>
            <w:r w:rsidR="00BF0E3B">
              <w:rPr>
                <w:noProof/>
                <w:webHidden/>
              </w:rPr>
              <w:t>6</w:t>
            </w:r>
            <w:r>
              <w:rPr>
                <w:noProof/>
                <w:webHidden/>
              </w:rPr>
              <w:fldChar w:fldCharType="end"/>
            </w:r>
          </w:hyperlink>
        </w:p>
        <w:p w14:paraId="7FBABFF9" w14:textId="39847D30" w:rsidR="00497A52" w:rsidRDefault="00497A52">
          <w:pPr>
            <w:pStyle w:val="TOC1"/>
            <w:rPr>
              <w:rFonts w:asciiTheme="minorHAnsi" w:eastAsiaTheme="minorEastAsia" w:hAnsiTheme="minorHAnsi"/>
              <w:noProof/>
              <w:kern w:val="2"/>
              <w:szCs w:val="24"/>
              <w:lang w:eastAsia="en-GB"/>
              <w14:ligatures w14:val="standardContextual"/>
            </w:rPr>
          </w:pPr>
          <w:hyperlink w:anchor="_Toc215784416" w:history="1">
            <w:r w:rsidRPr="00333F58">
              <w:rPr>
                <w:rStyle w:val="Hyperlink"/>
                <w:rFonts w:cs="Arial"/>
                <w:noProof/>
              </w:rPr>
              <w:t>Cellular Metabolism in T2DM.</w:t>
            </w:r>
            <w:r>
              <w:rPr>
                <w:noProof/>
                <w:webHidden/>
              </w:rPr>
              <w:tab/>
            </w:r>
            <w:r>
              <w:rPr>
                <w:noProof/>
                <w:webHidden/>
              </w:rPr>
              <w:fldChar w:fldCharType="begin"/>
            </w:r>
            <w:r>
              <w:rPr>
                <w:noProof/>
                <w:webHidden/>
              </w:rPr>
              <w:instrText xml:space="preserve"> PAGEREF _Toc215784416 \h </w:instrText>
            </w:r>
            <w:r>
              <w:rPr>
                <w:noProof/>
                <w:webHidden/>
              </w:rPr>
            </w:r>
            <w:r>
              <w:rPr>
                <w:noProof/>
                <w:webHidden/>
              </w:rPr>
              <w:fldChar w:fldCharType="separate"/>
            </w:r>
            <w:r w:rsidR="00BF0E3B">
              <w:rPr>
                <w:noProof/>
                <w:webHidden/>
              </w:rPr>
              <w:t>7</w:t>
            </w:r>
            <w:r>
              <w:rPr>
                <w:noProof/>
                <w:webHidden/>
              </w:rPr>
              <w:fldChar w:fldCharType="end"/>
            </w:r>
          </w:hyperlink>
        </w:p>
        <w:p w14:paraId="3A63BBD4" w14:textId="28C92886" w:rsidR="00497A52" w:rsidRDefault="00497A5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784417" w:history="1">
            <w:r w:rsidRPr="00333F58">
              <w:rPr>
                <w:rStyle w:val="Hyperlink"/>
                <w:noProof/>
              </w:rPr>
              <w:t>Other lifestyle factors that contribute to T2DM are poor diet.</w:t>
            </w:r>
            <w:r>
              <w:rPr>
                <w:noProof/>
                <w:webHidden/>
              </w:rPr>
              <w:tab/>
            </w:r>
            <w:r>
              <w:rPr>
                <w:noProof/>
                <w:webHidden/>
              </w:rPr>
              <w:fldChar w:fldCharType="begin"/>
            </w:r>
            <w:r>
              <w:rPr>
                <w:noProof/>
                <w:webHidden/>
              </w:rPr>
              <w:instrText xml:space="preserve"> PAGEREF _Toc215784417 \h </w:instrText>
            </w:r>
            <w:r>
              <w:rPr>
                <w:noProof/>
                <w:webHidden/>
              </w:rPr>
            </w:r>
            <w:r>
              <w:rPr>
                <w:noProof/>
                <w:webHidden/>
              </w:rPr>
              <w:fldChar w:fldCharType="separate"/>
            </w:r>
            <w:r w:rsidR="00BF0E3B">
              <w:rPr>
                <w:noProof/>
                <w:webHidden/>
              </w:rPr>
              <w:t>7</w:t>
            </w:r>
            <w:r>
              <w:rPr>
                <w:noProof/>
                <w:webHidden/>
              </w:rPr>
              <w:fldChar w:fldCharType="end"/>
            </w:r>
          </w:hyperlink>
        </w:p>
        <w:p w14:paraId="1F297DF9" w14:textId="3968038D" w:rsidR="00497A52" w:rsidRDefault="00497A52">
          <w:pPr>
            <w:pStyle w:val="TOC1"/>
            <w:rPr>
              <w:rFonts w:asciiTheme="minorHAnsi" w:eastAsiaTheme="minorEastAsia" w:hAnsiTheme="minorHAnsi"/>
              <w:noProof/>
              <w:kern w:val="2"/>
              <w:szCs w:val="24"/>
              <w:lang w:eastAsia="en-GB"/>
              <w14:ligatures w14:val="standardContextual"/>
            </w:rPr>
          </w:pPr>
          <w:hyperlink w:anchor="_Toc215784418" w:history="1">
            <w:r w:rsidRPr="00333F58">
              <w:rPr>
                <w:rStyle w:val="Hyperlink"/>
                <w:rFonts w:cs="Arial"/>
                <w:noProof/>
              </w:rPr>
              <w:t>Recording and tracking blood sugar levels for T2DM.</w:t>
            </w:r>
            <w:r>
              <w:rPr>
                <w:noProof/>
                <w:webHidden/>
              </w:rPr>
              <w:tab/>
            </w:r>
            <w:r>
              <w:rPr>
                <w:noProof/>
                <w:webHidden/>
              </w:rPr>
              <w:fldChar w:fldCharType="begin"/>
            </w:r>
            <w:r>
              <w:rPr>
                <w:noProof/>
                <w:webHidden/>
              </w:rPr>
              <w:instrText xml:space="preserve"> PAGEREF _Toc215784418 \h </w:instrText>
            </w:r>
            <w:r>
              <w:rPr>
                <w:noProof/>
                <w:webHidden/>
              </w:rPr>
            </w:r>
            <w:r>
              <w:rPr>
                <w:noProof/>
                <w:webHidden/>
              </w:rPr>
              <w:fldChar w:fldCharType="separate"/>
            </w:r>
            <w:r w:rsidR="00BF0E3B">
              <w:rPr>
                <w:noProof/>
                <w:webHidden/>
              </w:rPr>
              <w:t>8</w:t>
            </w:r>
            <w:r>
              <w:rPr>
                <w:noProof/>
                <w:webHidden/>
              </w:rPr>
              <w:fldChar w:fldCharType="end"/>
            </w:r>
          </w:hyperlink>
        </w:p>
        <w:p w14:paraId="15D277A7" w14:textId="1948FB7B" w:rsidR="00497A52" w:rsidRDefault="00497A5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784419" w:history="1">
            <w:r w:rsidRPr="00333F58">
              <w:rPr>
                <w:rStyle w:val="Hyperlink"/>
                <w:rFonts w:cs="Arial"/>
                <w:noProof/>
              </w:rPr>
              <w:t>The importance of tracking and recording.</w:t>
            </w:r>
            <w:r>
              <w:rPr>
                <w:noProof/>
                <w:webHidden/>
              </w:rPr>
              <w:tab/>
            </w:r>
            <w:r>
              <w:rPr>
                <w:noProof/>
                <w:webHidden/>
              </w:rPr>
              <w:fldChar w:fldCharType="begin"/>
            </w:r>
            <w:r>
              <w:rPr>
                <w:noProof/>
                <w:webHidden/>
              </w:rPr>
              <w:instrText xml:space="preserve"> PAGEREF _Toc215784419 \h </w:instrText>
            </w:r>
            <w:r>
              <w:rPr>
                <w:noProof/>
                <w:webHidden/>
              </w:rPr>
            </w:r>
            <w:r>
              <w:rPr>
                <w:noProof/>
                <w:webHidden/>
              </w:rPr>
              <w:fldChar w:fldCharType="separate"/>
            </w:r>
            <w:r w:rsidR="00BF0E3B">
              <w:rPr>
                <w:noProof/>
                <w:webHidden/>
              </w:rPr>
              <w:t>9</w:t>
            </w:r>
            <w:r>
              <w:rPr>
                <w:noProof/>
                <w:webHidden/>
              </w:rPr>
              <w:fldChar w:fldCharType="end"/>
            </w:r>
          </w:hyperlink>
        </w:p>
        <w:p w14:paraId="4644EC01" w14:textId="18601D29" w:rsidR="00497A52" w:rsidRDefault="00497A52">
          <w:pPr>
            <w:pStyle w:val="TOC1"/>
            <w:rPr>
              <w:rFonts w:asciiTheme="minorHAnsi" w:eastAsiaTheme="minorEastAsia" w:hAnsiTheme="minorHAnsi"/>
              <w:noProof/>
              <w:kern w:val="2"/>
              <w:szCs w:val="24"/>
              <w:lang w:eastAsia="en-GB"/>
              <w14:ligatures w14:val="standardContextual"/>
            </w:rPr>
          </w:pPr>
          <w:hyperlink w:anchor="_Toc215784420" w:history="1">
            <w:r w:rsidRPr="00333F58">
              <w:rPr>
                <w:rStyle w:val="Hyperlink"/>
                <w:rFonts w:cs="Arial"/>
                <w:noProof/>
              </w:rPr>
              <w:t>Recommendations</w:t>
            </w:r>
            <w:r>
              <w:rPr>
                <w:noProof/>
                <w:webHidden/>
              </w:rPr>
              <w:tab/>
            </w:r>
            <w:r>
              <w:rPr>
                <w:noProof/>
                <w:webHidden/>
              </w:rPr>
              <w:fldChar w:fldCharType="begin"/>
            </w:r>
            <w:r>
              <w:rPr>
                <w:noProof/>
                <w:webHidden/>
              </w:rPr>
              <w:instrText xml:space="preserve"> PAGEREF _Toc215784420 \h </w:instrText>
            </w:r>
            <w:r>
              <w:rPr>
                <w:noProof/>
                <w:webHidden/>
              </w:rPr>
            </w:r>
            <w:r>
              <w:rPr>
                <w:noProof/>
                <w:webHidden/>
              </w:rPr>
              <w:fldChar w:fldCharType="separate"/>
            </w:r>
            <w:r w:rsidR="00BF0E3B">
              <w:rPr>
                <w:noProof/>
                <w:webHidden/>
              </w:rPr>
              <w:t>9</w:t>
            </w:r>
            <w:r>
              <w:rPr>
                <w:noProof/>
                <w:webHidden/>
              </w:rPr>
              <w:fldChar w:fldCharType="end"/>
            </w:r>
          </w:hyperlink>
        </w:p>
        <w:p w14:paraId="5D1EADE4" w14:textId="795EE59F" w:rsidR="00497A52" w:rsidRDefault="00497A5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784421" w:history="1">
            <w:r w:rsidRPr="00333F58">
              <w:rPr>
                <w:rStyle w:val="Hyperlink"/>
                <w:rFonts w:cs="Arial"/>
                <w:noProof/>
              </w:rPr>
              <w:t>Interventions and or lifestyle changes that an individual to manage their diabetes.</w:t>
            </w:r>
            <w:r>
              <w:rPr>
                <w:noProof/>
                <w:webHidden/>
              </w:rPr>
              <w:tab/>
            </w:r>
            <w:r>
              <w:rPr>
                <w:noProof/>
                <w:webHidden/>
              </w:rPr>
              <w:fldChar w:fldCharType="begin"/>
            </w:r>
            <w:r>
              <w:rPr>
                <w:noProof/>
                <w:webHidden/>
              </w:rPr>
              <w:instrText xml:space="preserve"> PAGEREF _Toc215784421 \h </w:instrText>
            </w:r>
            <w:r>
              <w:rPr>
                <w:noProof/>
                <w:webHidden/>
              </w:rPr>
            </w:r>
            <w:r>
              <w:rPr>
                <w:noProof/>
                <w:webHidden/>
              </w:rPr>
              <w:fldChar w:fldCharType="separate"/>
            </w:r>
            <w:r w:rsidR="00BF0E3B">
              <w:rPr>
                <w:noProof/>
                <w:webHidden/>
              </w:rPr>
              <w:t>10</w:t>
            </w:r>
            <w:r>
              <w:rPr>
                <w:noProof/>
                <w:webHidden/>
              </w:rPr>
              <w:fldChar w:fldCharType="end"/>
            </w:r>
          </w:hyperlink>
        </w:p>
        <w:p w14:paraId="7D01E143" w14:textId="20D6D32D" w:rsidR="00497A52" w:rsidRDefault="00497A52">
          <w:pPr>
            <w:pStyle w:val="TOC1"/>
            <w:rPr>
              <w:rFonts w:asciiTheme="minorHAnsi" w:eastAsiaTheme="minorEastAsia" w:hAnsiTheme="minorHAnsi"/>
              <w:noProof/>
              <w:kern w:val="2"/>
              <w:szCs w:val="24"/>
              <w:lang w:eastAsia="en-GB"/>
              <w14:ligatures w14:val="standardContextual"/>
            </w:rPr>
          </w:pPr>
          <w:hyperlink w:anchor="_Toc215784422" w:history="1">
            <w:r w:rsidRPr="00333F58">
              <w:rPr>
                <w:rStyle w:val="Hyperlink"/>
                <w:rFonts w:cs="Arial"/>
                <w:noProof/>
              </w:rPr>
              <w:t>Conclusion</w:t>
            </w:r>
            <w:r>
              <w:rPr>
                <w:noProof/>
                <w:webHidden/>
              </w:rPr>
              <w:tab/>
            </w:r>
            <w:r>
              <w:rPr>
                <w:noProof/>
                <w:webHidden/>
              </w:rPr>
              <w:fldChar w:fldCharType="begin"/>
            </w:r>
            <w:r>
              <w:rPr>
                <w:noProof/>
                <w:webHidden/>
              </w:rPr>
              <w:instrText xml:space="preserve"> PAGEREF _Toc215784422 \h </w:instrText>
            </w:r>
            <w:r>
              <w:rPr>
                <w:noProof/>
                <w:webHidden/>
              </w:rPr>
            </w:r>
            <w:r>
              <w:rPr>
                <w:noProof/>
                <w:webHidden/>
              </w:rPr>
              <w:fldChar w:fldCharType="separate"/>
            </w:r>
            <w:r w:rsidR="00BF0E3B">
              <w:rPr>
                <w:noProof/>
                <w:webHidden/>
              </w:rPr>
              <w:t>11</w:t>
            </w:r>
            <w:r>
              <w:rPr>
                <w:noProof/>
                <w:webHidden/>
              </w:rPr>
              <w:fldChar w:fldCharType="end"/>
            </w:r>
          </w:hyperlink>
        </w:p>
        <w:p w14:paraId="4C2BB496" w14:textId="27661AEF" w:rsidR="00497A52" w:rsidRDefault="00497A52">
          <w:pPr>
            <w:pStyle w:val="TOC1"/>
            <w:rPr>
              <w:rFonts w:asciiTheme="minorHAnsi" w:eastAsiaTheme="minorEastAsia" w:hAnsiTheme="minorHAnsi"/>
              <w:noProof/>
              <w:kern w:val="2"/>
              <w:szCs w:val="24"/>
              <w:lang w:eastAsia="en-GB"/>
              <w14:ligatures w14:val="standardContextual"/>
            </w:rPr>
          </w:pPr>
          <w:hyperlink w:anchor="_Toc215784423" w:history="1">
            <w:r w:rsidRPr="00333F58">
              <w:rPr>
                <w:rStyle w:val="Hyperlink"/>
                <w:noProof/>
              </w:rPr>
              <w:t>References</w:t>
            </w:r>
            <w:r>
              <w:rPr>
                <w:noProof/>
                <w:webHidden/>
              </w:rPr>
              <w:tab/>
            </w:r>
            <w:r>
              <w:rPr>
                <w:noProof/>
                <w:webHidden/>
              </w:rPr>
              <w:fldChar w:fldCharType="begin"/>
            </w:r>
            <w:r>
              <w:rPr>
                <w:noProof/>
                <w:webHidden/>
              </w:rPr>
              <w:instrText xml:space="preserve"> PAGEREF _Toc215784423 \h </w:instrText>
            </w:r>
            <w:r>
              <w:rPr>
                <w:noProof/>
                <w:webHidden/>
              </w:rPr>
            </w:r>
            <w:r>
              <w:rPr>
                <w:noProof/>
                <w:webHidden/>
              </w:rPr>
              <w:fldChar w:fldCharType="separate"/>
            </w:r>
            <w:r w:rsidR="00BF0E3B">
              <w:rPr>
                <w:noProof/>
                <w:webHidden/>
              </w:rPr>
              <w:t>12</w:t>
            </w:r>
            <w:r>
              <w:rPr>
                <w:noProof/>
                <w:webHidden/>
              </w:rPr>
              <w:fldChar w:fldCharType="end"/>
            </w:r>
          </w:hyperlink>
        </w:p>
        <w:p w14:paraId="643516C2" w14:textId="43BBB20A" w:rsidR="00314DF8" w:rsidRDefault="00314DF8" w:rsidP="00475B14">
          <w:pPr>
            <w:spacing w:line="360" w:lineRule="auto"/>
            <w:jc w:val="both"/>
          </w:pPr>
          <w:r>
            <w:rPr>
              <w:b/>
              <w:bCs/>
              <w:noProof/>
            </w:rPr>
            <w:fldChar w:fldCharType="end"/>
          </w:r>
        </w:p>
      </w:sdtContent>
    </w:sdt>
    <w:p w14:paraId="4C817E47" w14:textId="4778F727" w:rsidR="00EF3E3D" w:rsidRDefault="00EF3E3D" w:rsidP="00AC285B">
      <w:pPr>
        <w:pStyle w:val="Heading1"/>
      </w:pPr>
    </w:p>
    <w:p w14:paraId="646D5A18" w14:textId="1012D437" w:rsidR="002E0A1A" w:rsidRDefault="002E0A1A" w:rsidP="00533330">
      <w:pPr>
        <w:pStyle w:val="Heading1"/>
      </w:pPr>
    </w:p>
    <w:p w14:paraId="5F95AFC5" w14:textId="77777777" w:rsidR="001A3DF6" w:rsidRDefault="001A3DF6" w:rsidP="00533330">
      <w:pPr>
        <w:pStyle w:val="Heading1"/>
      </w:pPr>
    </w:p>
    <w:p w14:paraId="62D01766" w14:textId="77777777" w:rsidR="001A3DF6" w:rsidRDefault="001A3DF6" w:rsidP="00533330">
      <w:pPr>
        <w:pStyle w:val="Heading1"/>
      </w:pPr>
    </w:p>
    <w:p w14:paraId="0628CE4F" w14:textId="77777777" w:rsidR="001A3DF6" w:rsidRDefault="001A3DF6" w:rsidP="00533330">
      <w:pPr>
        <w:pStyle w:val="Heading1"/>
      </w:pPr>
    </w:p>
    <w:p w14:paraId="3EC4B997" w14:textId="77777777" w:rsidR="001A3DF6" w:rsidRDefault="001A3DF6" w:rsidP="00533330">
      <w:pPr>
        <w:pStyle w:val="Heading1"/>
      </w:pPr>
    </w:p>
    <w:p w14:paraId="46D51579" w14:textId="77777777" w:rsidR="001A3DF6" w:rsidRDefault="001A3DF6" w:rsidP="00533330">
      <w:pPr>
        <w:pStyle w:val="Heading1"/>
      </w:pPr>
    </w:p>
    <w:p w14:paraId="29EFB397" w14:textId="77777777" w:rsidR="001A3DF6" w:rsidRDefault="001A3DF6" w:rsidP="00533330">
      <w:pPr>
        <w:pStyle w:val="Heading1"/>
      </w:pPr>
    </w:p>
    <w:p w14:paraId="2A08F7CA" w14:textId="77777777" w:rsidR="001A3DF6" w:rsidRDefault="001A3DF6" w:rsidP="00533330">
      <w:pPr>
        <w:pStyle w:val="Heading1"/>
      </w:pPr>
    </w:p>
    <w:p w14:paraId="4696A736" w14:textId="77777777" w:rsidR="001A3DF6" w:rsidRDefault="001A3DF6" w:rsidP="00533330">
      <w:pPr>
        <w:pStyle w:val="Heading1"/>
      </w:pPr>
    </w:p>
    <w:p w14:paraId="6D83C05A" w14:textId="77777777" w:rsidR="002E0A1A" w:rsidRDefault="002E0A1A" w:rsidP="00533330">
      <w:pPr>
        <w:pStyle w:val="Heading1"/>
      </w:pPr>
      <w:bookmarkStart w:id="5" w:name="_Toc215688891"/>
      <w:bookmarkStart w:id="6" w:name="_Toc215688963"/>
    </w:p>
    <w:p w14:paraId="26335F4B" w14:textId="77777777" w:rsidR="002E0A1A" w:rsidRDefault="002E0A1A" w:rsidP="00533330">
      <w:pPr>
        <w:pStyle w:val="Heading1"/>
      </w:pPr>
    </w:p>
    <w:p w14:paraId="4BFDE9FE" w14:textId="77777777" w:rsidR="00AC285B" w:rsidRDefault="00AC285B" w:rsidP="00533330">
      <w:pPr>
        <w:pStyle w:val="Heading1"/>
      </w:pPr>
      <w:bookmarkStart w:id="7" w:name="_Toc215690438"/>
      <w:bookmarkStart w:id="8" w:name="_Toc215690929"/>
      <w:bookmarkStart w:id="9" w:name="_Toc215691255"/>
    </w:p>
    <w:p w14:paraId="4B03557C" w14:textId="584AE346" w:rsidR="0063726F" w:rsidRPr="00086587" w:rsidRDefault="000C4EDA" w:rsidP="00533330">
      <w:pPr>
        <w:pStyle w:val="Heading1"/>
      </w:pPr>
      <w:bookmarkStart w:id="10" w:name="_Toc215784411"/>
      <w:r w:rsidRPr="00086587">
        <w:t>Introduction</w:t>
      </w:r>
      <w:bookmarkEnd w:id="5"/>
      <w:bookmarkEnd w:id="6"/>
      <w:bookmarkEnd w:id="7"/>
      <w:bookmarkEnd w:id="8"/>
      <w:bookmarkEnd w:id="9"/>
      <w:bookmarkEnd w:id="10"/>
      <w:r w:rsidR="00C03A91" w:rsidRPr="00086587">
        <w:t xml:space="preserve"> </w:t>
      </w:r>
    </w:p>
    <w:p w14:paraId="06AEDAAD" w14:textId="1A1E4E0B" w:rsidR="004C2FA1" w:rsidRDefault="002B10D3" w:rsidP="004D7C69">
      <w:pPr>
        <w:tabs>
          <w:tab w:val="left" w:pos="6540"/>
        </w:tabs>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This case study report explores the key considerations for managing patients with type 2 </w:t>
      </w:r>
      <w:r w:rsidR="004D7C69">
        <w:rPr>
          <w:rFonts w:ascii="Arial" w:hAnsi="Arial" w:cs="Arial"/>
          <w:color w:val="171717" w:themeColor="background2" w:themeShade="1A"/>
          <w:sz w:val="22"/>
        </w:rPr>
        <w:t>D</w:t>
      </w:r>
      <w:r w:rsidRPr="00086587">
        <w:rPr>
          <w:rFonts w:ascii="Arial" w:hAnsi="Arial" w:cs="Arial"/>
          <w:color w:val="171717" w:themeColor="background2" w:themeShade="1A"/>
          <w:sz w:val="22"/>
        </w:rPr>
        <w:t>iabetes</w:t>
      </w:r>
      <w:r w:rsidR="004D7C69">
        <w:rPr>
          <w:rFonts w:ascii="Arial" w:hAnsi="Arial" w:cs="Arial"/>
          <w:color w:val="171717" w:themeColor="background2" w:themeShade="1A"/>
          <w:sz w:val="22"/>
        </w:rPr>
        <w:t xml:space="preserve"> Mellitus (T2DM) </w:t>
      </w:r>
      <w:r w:rsidRPr="00086587">
        <w:rPr>
          <w:rFonts w:ascii="Arial" w:hAnsi="Arial" w:cs="Arial"/>
          <w:color w:val="171717" w:themeColor="background2" w:themeShade="1A"/>
          <w:sz w:val="22"/>
        </w:rPr>
        <w:t>who attend a general practice clinic. It outlines the role of the practice nurse in supporting ongoing care, monitoring health status, and guiding patients through personalised management plans. The report explains what type 2 diabetes</w:t>
      </w:r>
      <w:r w:rsidR="004D7C69">
        <w:rPr>
          <w:rFonts w:ascii="Arial" w:hAnsi="Arial" w:cs="Arial"/>
          <w:color w:val="171717" w:themeColor="background2" w:themeShade="1A"/>
          <w:sz w:val="22"/>
        </w:rPr>
        <w:t xml:space="preserve"> (T2DM)</w:t>
      </w:r>
      <w:r w:rsidRPr="00086587">
        <w:rPr>
          <w:rFonts w:ascii="Arial" w:hAnsi="Arial" w:cs="Arial"/>
          <w:color w:val="171717" w:themeColor="background2" w:themeShade="1A"/>
          <w:sz w:val="22"/>
        </w:rPr>
        <w:t xml:space="preserve"> is and describes how the body normally regulates blood glucose levels, highlighting what happens when this process becomes impaired. It also emphasises the importance of lifestyle-based interventions such as balanced nutrition, increased physical activity, weight management, and smoking cessation in improving blood sugar control and reducing long-term risks. Recommendations are provided to help healthcare professionals deliver effective education, encourage patient engagement, and ensure regular review of treatment goals. Overall, the report underscores that well-structured care plans, supported by a collaborative approach, are essential for improving outcomes for people living with type 2 diabetes</w:t>
      </w:r>
      <w:r w:rsidR="004D7C69">
        <w:rPr>
          <w:rFonts w:ascii="Arial" w:hAnsi="Arial" w:cs="Arial"/>
          <w:color w:val="171717" w:themeColor="background2" w:themeShade="1A"/>
          <w:sz w:val="22"/>
        </w:rPr>
        <w:t xml:space="preserve"> T2DM.</w:t>
      </w:r>
    </w:p>
    <w:p w14:paraId="07A4943A" w14:textId="77777777" w:rsidR="005C02FA" w:rsidRPr="00086587" w:rsidRDefault="005C02FA" w:rsidP="00086587">
      <w:pPr>
        <w:tabs>
          <w:tab w:val="left" w:pos="6540"/>
        </w:tabs>
        <w:spacing w:line="360" w:lineRule="auto"/>
        <w:jc w:val="both"/>
        <w:rPr>
          <w:rFonts w:ascii="Arial" w:hAnsi="Arial" w:cs="Arial"/>
          <w:color w:val="171717" w:themeColor="background2" w:themeShade="1A"/>
          <w:sz w:val="22"/>
        </w:rPr>
      </w:pPr>
    </w:p>
    <w:p w14:paraId="3ECE0EB1" w14:textId="7EE541F5" w:rsidR="00FD7392" w:rsidRDefault="00FD7392" w:rsidP="005C02FA">
      <w:pPr>
        <w:pStyle w:val="Heading2"/>
      </w:pPr>
      <w:bookmarkStart w:id="11" w:name="_Toc215784412"/>
      <w:r w:rsidRPr="00475B14">
        <w:lastRenderedPageBreak/>
        <w:t>What is diabetes</w:t>
      </w:r>
      <w:r w:rsidR="002E0A1A" w:rsidRPr="00475B14">
        <w:t xml:space="preserve"> T2DM</w:t>
      </w:r>
      <w:r w:rsidRPr="00475B14">
        <w:t>, and the types? Risk factors associated with it.</w:t>
      </w:r>
      <w:bookmarkEnd w:id="11"/>
      <w:r w:rsidRPr="00475B14">
        <w:t xml:space="preserve"> </w:t>
      </w:r>
    </w:p>
    <w:p w14:paraId="47DBCCBF" w14:textId="77777777" w:rsidR="005C02FA" w:rsidRPr="005C02FA" w:rsidRDefault="005C02FA" w:rsidP="005C02FA"/>
    <w:p w14:paraId="52E7A72B" w14:textId="39F4271D" w:rsidR="00EF3E3D" w:rsidRDefault="002C2506" w:rsidP="00220077">
      <w:pPr>
        <w:spacing w:line="360" w:lineRule="auto"/>
        <w:jc w:val="both"/>
        <w:rPr>
          <w:rFonts w:ascii="Arial" w:hAnsi="Arial" w:cs="Arial"/>
          <w:color w:val="171717" w:themeColor="background2" w:themeShade="1A"/>
          <w:sz w:val="22"/>
        </w:rPr>
      </w:pPr>
      <w:r w:rsidRPr="00086587">
        <w:rPr>
          <w:rFonts w:ascii="Arial" w:hAnsi="Arial" w:cs="Arial"/>
          <w:color w:val="171717" w:themeColor="background2" w:themeShade="1A"/>
          <w:sz w:val="22"/>
        </w:rPr>
        <w:t xml:space="preserve">More than 3.2 million people in the UK are at risk of developing </w:t>
      </w:r>
      <w:r w:rsidR="003F24F9" w:rsidRPr="00086587">
        <w:rPr>
          <w:rFonts w:ascii="Arial" w:hAnsi="Arial" w:cs="Arial"/>
          <w:color w:val="171717" w:themeColor="background2" w:themeShade="1A"/>
          <w:sz w:val="22"/>
        </w:rPr>
        <w:t>Type 2 diabetes</w:t>
      </w:r>
      <w:r w:rsidR="00E53BE8" w:rsidRPr="00086587">
        <w:rPr>
          <w:rFonts w:ascii="Arial" w:hAnsi="Arial" w:cs="Arial"/>
          <w:color w:val="171717" w:themeColor="background2" w:themeShade="1A"/>
          <w:sz w:val="22"/>
        </w:rPr>
        <w:t xml:space="preserve"> (T2D</w:t>
      </w:r>
      <w:r w:rsidR="00243DC2" w:rsidRPr="00086587">
        <w:rPr>
          <w:rFonts w:ascii="Arial" w:hAnsi="Arial" w:cs="Arial"/>
          <w:color w:val="171717" w:themeColor="background2" w:themeShade="1A"/>
          <w:sz w:val="22"/>
        </w:rPr>
        <w:t>M</w:t>
      </w:r>
      <w:r w:rsidR="00E53BE8" w:rsidRPr="00086587">
        <w:rPr>
          <w:rFonts w:ascii="Arial" w:hAnsi="Arial" w:cs="Arial"/>
          <w:color w:val="171717" w:themeColor="background2" w:themeShade="1A"/>
          <w:sz w:val="22"/>
        </w:rPr>
        <w:t xml:space="preserve">) which </w:t>
      </w:r>
      <w:r w:rsidR="003F24F9" w:rsidRPr="00086587">
        <w:rPr>
          <w:rFonts w:ascii="Arial" w:hAnsi="Arial" w:cs="Arial"/>
          <w:color w:val="171717" w:themeColor="background2" w:themeShade="1A"/>
          <w:sz w:val="22"/>
        </w:rPr>
        <w:t>is a long-term condition where the body becomes resistant to insulin or cannot use it effectively, causing elevated blood glucose levels. The main forms of diabetes include type 1, type 2, gestational diabetes, and several less common secondary types. Type 2 is the most widespread and often develops gradually in adulthood. Several factors increase the likelihood of developing it, including being overweight, limited physical activity, poor diet, family history, older age, high blood pressure, and certain ethnic backgrounds. Lifestyle habits such as smoking and chronic stress can also contribute to insulin resistance and raise overall risk.</w:t>
      </w:r>
      <w:r w:rsidR="00EE0103" w:rsidRPr="00086587">
        <w:rPr>
          <w:rFonts w:ascii="Arial" w:hAnsi="Arial" w:cs="Arial"/>
          <w:color w:val="171717" w:themeColor="background2" w:themeShade="1A"/>
          <w:sz w:val="22"/>
        </w:rPr>
        <w:t xml:space="preserve"> (Diabetes UK, 202</w:t>
      </w:r>
      <w:r w:rsidR="00AC4386">
        <w:rPr>
          <w:rFonts w:ascii="Arial" w:hAnsi="Arial" w:cs="Arial"/>
          <w:color w:val="171717" w:themeColor="background2" w:themeShade="1A"/>
          <w:sz w:val="22"/>
        </w:rPr>
        <w:t>0</w:t>
      </w:r>
      <w:r w:rsidR="00EE0103" w:rsidRPr="00086587">
        <w:rPr>
          <w:rFonts w:ascii="Arial" w:hAnsi="Arial" w:cs="Arial"/>
          <w:color w:val="171717" w:themeColor="background2" w:themeShade="1A"/>
          <w:sz w:val="22"/>
        </w:rPr>
        <w:t>)</w:t>
      </w:r>
      <w:r w:rsidR="00EF3E3D">
        <w:rPr>
          <w:rFonts w:ascii="Arial" w:hAnsi="Arial" w:cs="Arial"/>
          <w:color w:val="171717" w:themeColor="background2" w:themeShade="1A"/>
          <w:sz w:val="22"/>
        </w:rPr>
        <w:t>.</w:t>
      </w:r>
    </w:p>
    <w:p w14:paraId="3FBC27DD" w14:textId="77777777" w:rsidR="00B25B43" w:rsidRDefault="00B25B43" w:rsidP="005C02FA">
      <w:pPr>
        <w:pStyle w:val="Heading2"/>
      </w:pPr>
    </w:p>
    <w:p w14:paraId="0A8528B1" w14:textId="6DA3CB53" w:rsidR="00C03A91" w:rsidRDefault="000F7E43" w:rsidP="005C02FA">
      <w:pPr>
        <w:pStyle w:val="Heading2"/>
      </w:pPr>
      <w:bookmarkStart w:id="12" w:name="_Toc215784413"/>
      <w:r w:rsidRPr="00086587">
        <w:t>D</w:t>
      </w:r>
      <w:r w:rsidR="00FD7392" w:rsidRPr="00086587">
        <w:t xml:space="preserve">iagrams </w:t>
      </w:r>
      <w:r w:rsidR="002E0A1A" w:rsidRPr="00086587">
        <w:t xml:space="preserve">of </w:t>
      </w:r>
      <w:r w:rsidR="00B04642" w:rsidRPr="00086587">
        <w:t>Pathophysiology</w:t>
      </w:r>
      <w:r w:rsidR="00FD7392" w:rsidRPr="00086587">
        <w:t xml:space="preserve"> </w:t>
      </w:r>
      <w:r w:rsidRPr="00086587">
        <w:t>T2DM.</w:t>
      </w:r>
      <w:bookmarkEnd w:id="12"/>
      <w:r w:rsidR="00FD7392" w:rsidRPr="00086587">
        <w:t xml:space="preserve"> </w:t>
      </w:r>
    </w:p>
    <w:p w14:paraId="1CE5BA6A" w14:textId="77777777" w:rsidR="005C02FA" w:rsidRPr="005C02FA" w:rsidRDefault="005C02FA" w:rsidP="005C02FA"/>
    <w:p w14:paraId="19ACD123" w14:textId="3CD40943" w:rsidR="00A6336B" w:rsidRPr="00086587" w:rsidRDefault="00A6336B" w:rsidP="00220077">
      <w:pPr>
        <w:tabs>
          <w:tab w:val="left" w:pos="6540"/>
        </w:tabs>
        <w:spacing w:line="360" w:lineRule="auto"/>
        <w:jc w:val="both"/>
        <w:rPr>
          <w:rFonts w:ascii="Arial" w:hAnsi="Arial" w:cs="Arial"/>
          <w:sz w:val="22"/>
        </w:rPr>
      </w:pPr>
      <w:r w:rsidRPr="00086587">
        <w:rPr>
          <w:rFonts w:ascii="Arial" w:hAnsi="Arial" w:cs="Arial"/>
          <w:sz w:val="22"/>
        </w:rPr>
        <w:t>The diagram shows T2DM pathophysiology, where the pancreas produces insulin, but the body’s cells become resistant to it. This reduces glucose uptake, causing blood sugar to rise. Over time, the pancreas becomes overworked and insulin production declines, illustrating how insulin dysfunction and pancreatic fatigue contribute to ongoing hyperglycaemia</w:t>
      </w:r>
      <w:r w:rsidR="00264342">
        <w:rPr>
          <w:rFonts w:ascii="Arial" w:hAnsi="Arial" w:cs="Arial"/>
          <w:sz w:val="22"/>
        </w:rPr>
        <w:t>.</w:t>
      </w:r>
    </w:p>
    <w:p w14:paraId="5D6C2AA5" w14:textId="77777777" w:rsidR="00A6336B" w:rsidRPr="00086587" w:rsidRDefault="00A6336B" w:rsidP="00086587">
      <w:pPr>
        <w:spacing w:line="360" w:lineRule="auto"/>
        <w:jc w:val="both"/>
        <w:rPr>
          <w:rFonts w:ascii="Arial" w:hAnsi="Arial" w:cs="Arial"/>
          <w:b/>
          <w:bCs/>
          <w:sz w:val="22"/>
        </w:rPr>
      </w:pPr>
    </w:p>
    <w:p w14:paraId="4C9A7E1E" w14:textId="0A4605BD" w:rsidR="002E0A1A" w:rsidRDefault="00535AAC" w:rsidP="00086587">
      <w:pPr>
        <w:tabs>
          <w:tab w:val="left" w:pos="6540"/>
        </w:tabs>
        <w:spacing w:line="360" w:lineRule="auto"/>
        <w:jc w:val="both"/>
        <w:rPr>
          <w:rFonts w:ascii="Arial" w:hAnsi="Arial" w:cs="Arial"/>
          <w:sz w:val="22"/>
        </w:rPr>
      </w:pPr>
      <w:r w:rsidRPr="00086587">
        <w:rPr>
          <w:rFonts w:ascii="Arial" w:hAnsi="Arial" w:cs="Arial"/>
          <w:noProof/>
          <w:color w:val="8EAADB" w:themeColor="accent1" w:themeTint="99"/>
          <w:sz w:val="22"/>
        </w:rPr>
        <w:drawing>
          <wp:inline distT="0" distB="0" distL="0" distR="0" wp14:anchorId="4719939C" wp14:editId="1324013E">
            <wp:extent cx="5731510" cy="3255645"/>
            <wp:effectExtent l="0" t="0" r="2540" b="1905"/>
            <wp:docPr id="1504342373" name="Picture 1" descr="Pathophysiology Of Type 2 Diabetes Mellitus In Diagram Precisely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hophysiology Of Type 2 Diabetes Mellitus In Diagram Precisely Wha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55645"/>
                    </a:xfrm>
                    <a:prstGeom prst="rect">
                      <a:avLst/>
                    </a:prstGeom>
                    <a:noFill/>
                    <a:ln>
                      <a:noFill/>
                    </a:ln>
                  </pic:spPr>
                </pic:pic>
              </a:graphicData>
            </a:graphic>
          </wp:inline>
        </w:drawing>
      </w:r>
      <w:r w:rsidR="00C00DFA" w:rsidRPr="00086587">
        <w:rPr>
          <w:rFonts w:ascii="Arial" w:hAnsi="Arial" w:cs="Arial"/>
          <w:sz w:val="22"/>
        </w:rPr>
        <w:t>(Galicia-Garcia et al., 2020)</w:t>
      </w:r>
    </w:p>
    <w:p w14:paraId="0A77370D" w14:textId="2C1D97C8" w:rsidR="005C02FA" w:rsidRPr="00086587" w:rsidRDefault="005C02FA" w:rsidP="005C02FA">
      <w:pPr>
        <w:tabs>
          <w:tab w:val="left" w:pos="6540"/>
        </w:tabs>
        <w:spacing w:line="360" w:lineRule="auto"/>
        <w:jc w:val="both"/>
        <w:rPr>
          <w:rFonts w:ascii="Arial" w:hAnsi="Arial" w:cs="Arial"/>
          <w:sz w:val="22"/>
        </w:rPr>
      </w:pPr>
    </w:p>
    <w:p w14:paraId="35B29F3A" w14:textId="0654ADA6" w:rsidR="007A7297" w:rsidRDefault="007A7297" w:rsidP="005C02FA">
      <w:pPr>
        <w:pStyle w:val="Heading2"/>
      </w:pPr>
      <w:bookmarkStart w:id="13" w:name="_Toc215784414"/>
      <w:r w:rsidRPr="005C02FA">
        <w:lastRenderedPageBreak/>
        <w:t>Relate it to the endocrine system</w:t>
      </w:r>
      <w:r w:rsidR="005C02FA" w:rsidRPr="005C02FA">
        <w:t>.</w:t>
      </w:r>
      <w:bookmarkEnd w:id="13"/>
    </w:p>
    <w:p w14:paraId="57F26D20" w14:textId="77777777" w:rsidR="00B25B43" w:rsidRPr="00B25B43" w:rsidRDefault="00B25B43" w:rsidP="00B25B43"/>
    <w:p w14:paraId="1D682126" w14:textId="07D25E27" w:rsidR="00817801" w:rsidRPr="00220077" w:rsidRDefault="008E52B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The condition known as Type 2 Diabetes Mellitus is fundamentally an endocrine disorder because it involves dysfunction in the hormone-regulating system of the body specifically the hormone Insulin, which is released by the Pancreas. In this condition, either insufficient insulin is produced or the body’s cells become resistant to insulin’s effects, preventing glucose from entering cells and causing elevated blood sugar. </w:t>
      </w:r>
    </w:p>
    <w:p w14:paraId="700A92EB" w14:textId="1E5475B9" w:rsidR="00243DC2" w:rsidRPr="00220077" w:rsidRDefault="008E52B0" w:rsidP="00FF2EA4">
      <w:pPr>
        <w:tabs>
          <w:tab w:val="left" w:pos="6540"/>
        </w:tabs>
        <w:spacing w:line="360" w:lineRule="auto"/>
        <w:rPr>
          <w:rFonts w:ascii="Arial" w:hAnsi="Arial" w:cs="Arial"/>
          <w:color w:val="171717" w:themeColor="background2" w:themeShade="1A"/>
          <w:sz w:val="22"/>
        </w:rPr>
      </w:pPr>
      <w:r w:rsidRPr="00220077">
        <w:rPr>
          <w:rFonts w:ascii="Arial" w:hAnsi="Arial" w:cs="Arial"/>
          <w:color w:val="171717" w:themeColor="background2" w:themeShade="1A"/>
          <w:sz w:val="22"/>
        </w:rPr>
        <w:t>The endocrine system’s disruption of insulin regulation leads to long-term complications affecting organs and tissues. Managing the condition often requires lifestyle modification, oral medications, and sometimes insulin therapy, all addressing the underlying hormonal and metabolic imbalance</w:t>
      </w:r>
      <w:r w:rsidR="002F4A66" w:rsidRPr="00220077">
        <w:rPr>
          <w:rFonts w:ascii="Arial" w:hAnsi="Arial" w:cs="Arial"/>
          <w:color w:val="171717" w:themeColor="background2" w:themeShade="1A"/>
          <w:sz w:val="22"/>
        </w:rPr>
        <w:t xml:space="preserve"> (Mehak Dagar et al., 2023).</w:t>
      </w:r>
      <w:r w:rsidR="002E501F" w:rsidRPr="00220077">
        <w:rPr>
          <w:rFonts w:ascii="Arial" w:hAnsi="Arial" w:cs="Arial"/>
          <w:color w:val="171717" w:themeColor="background2" w:themeShade="1A"/>
          <w:sz w:val="22"/>
        </w:rPr>
        <w:br/>
      </w:r>
    </w:p>
    <w:p w14:paraId="4E239AC7" w14:textId="65CE6D23" w:rsidR="00066CEE" w:rsidRPr="00220077" w:rsidRDefault="00066CEE"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When a person has Type 2 Diabetes, maintaining safe and effective blood sugar levels becomes more complex because the body’s usual mechanisms are disrupted. Under normal conditions, the hormone Insulin is released from the pancreas in response to rising glucose after a meal it signals cells in tissues like muscle and fat to take up this glucose for energy, while the liver stores or releases glucose to keep levels steady</w:t>
      </w:r>
      <w:r w:rsidR="00252F11" w:rsidRPr="00220077">
        <w:rPr>
          <w:rFonts w:ascii="Arial" w:hAnsi="Arial" w:cs="Arial"/>
          <w:color w:val="171717" w:themeColor="background2" w:themeShade="1A"/>
          <w:sz w:val="22"/>
        </w:rPr>
        <w:t> (CDC, 2024)</w:t>
      </w:r>
      <w:r w:rsidR="00243DC2" w:rsidRPr="00220077">
        <w:rPr>
          <w:rFonts w:ascii="Arial" w:hAnsi="Arial" w:cs="Arial"/>
          <w:color w:val="171717" w:themeColor="background2" w:themeShade="1A"/>
          <w:sz w:val="22"/>
        </w:rPr>
        <w:t>.</w:t>
      </w:r>
    </w:p>
    <w:p w14:paraId="7290E9C2" w14:textId="77777777" w:rsidR="005C7862" w:rsidRPr="00220077" w:rsidRDefault="00066CEE"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In type 2 diabetes, two major problems emerge first, the body’s cells become less responsive to insulin resistance, so glucose remains in the bloodstream instead of being taken up efficiently.</w:t>
      </w:r>
    </w:p>
    <w:p w14:paraId="5680CE50" w14:textId="77777777" w:rsidR="005C7862" w:rsidRPr="00220077" w:rsidRDefault="00066CEE"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Second, over time the pancreas cannot sustain the increased insulin production needed to overcome this resistance, so overall insulin levels may fall or be insufficient for demand. </w:t>
      </w:r>
    </w:p>
    <w:p w14:paraId="28842C5F" w14:textId="7DBF0ADB" w:rsidR="003D03EB" w:rsidRPr="00220077" w:rsidRDefault="00066CEE"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To manage blood sugar in this context, strategies focus on both improving insulin sensitivity and reducing glucose load. Lifestyle changes</w:t>
      </w:r>
      <w:r w:rsidR="00252F11" w:rsidRPr="00220077">
        <w:rPr>
          <w:rFonts w:ascii="Arial" w:hAnsi="Arial" w:cs="Arial"/>
          <w:color w:val="171717" w:themeColor="background2" w:themeShade="1A"/>
          <w:sz w:val="22"/>
        </w:rPr>
        <w:t xml:space="preserve"> </w:t>
      </w:r>
      <w:r w:rsidRPr="00220077">
        <w:rPr>
          <w:rFonts w:ascii="Arial" w:hAnsi="Arial" w:cs="Arial"/>
          <w:color w:val="171717" w:themeColor="background2" w:themeShade="1A"/>
          <w:sz w:val="22"/>
        </w:rPr>
        <w:t>such as regular physical activity, maintaining a healthy weight, and choosing complex carbohydrates</w:t>
      </w:r>
      <w:r w:rsidR="00252F11" w:rsidRPr="00220077">
        <w:rPr>
          <w:rFonts w:ascii="Arial" w:hAnsi="Arial" w:cs="Arial"/>
          <w:color w:val="171717" w:themeColor="background2" w:themeShade="1A"/>
          <w:sz w:val="22"/>
        </w:rPr>
        <w:t xml:space="preserve"> </w:t>
      </w:r>
      <w:r w:rsidRPr="00220077">
        <w:rPr>
          <w:rFonts w:ascii="Arial" w:hAnsi="Arial" w:cs="Arial"/>
          <w:color w:val="171717" w:themeColor="background2" w:themeShade="1A"/>
          <w:sz w:val="22"/>
        </w:rPr>
        <w:t>help cells respond better to insulin and reduce glucose spikes. Simultaneously, medications may be used to decrease liver glucose output, increase insulin action, or support remaining pancreatic function. By combining these approaches, blood sugar levels are brought closer to the safe range, reducing the risk of complications associated with chronic high glucose</w:t>
      </w:r>
      <w:r w:rsidR="00243DC2" w:rsidRPr="00220077">
        <w:rPr>
          <w:rFonts w:ascii="Arial" w:hAnsi="Arial" w:cs="Arial"/>
          <w:color w:val="171717" w:themeColor="background2" w:themeShade="1A"/>
          <w:sz w:val="22"/>
        </w:rPr>
        <w:t xml:space="preserve"> </w:t>
      </w:r>
      <w:r w:rsidR="004A5D7C" w:rsidRPr="00220077">
        <w:rPr>
          <w:rFonts w:ascii="Arial" w:hAnsi="Arial" w:cs="Arial"/>
          <w:color w:val="171717" w:themeColor="background2" w:themeShade="1A"/>
          <w:sz w:val="22"/>
        </w:rPr>
        <w:t>(Care Learning, 2025)</w:t>
      </w:r>
      <w:r w:rsidR="00243DC2" w:rsidRPr="00220077">
        <w:rPr>
          <w:rFonts w:ascii="Arial" w:hAnsi="Arial" w:cs="Arial"/>
          <w:color w:val="171717" w:themeColor="background2" w:themeShade="1A"/>
          <w:sz w:val="22"/>
        </w:rPr>
        <w:t>.</w:t>
      </w:r>
    </w:p>
    <w:p w14:paraId="574B9C83" w14:textId="77777777" w:rsidR="00143B27" w:rsidRPr="00220077" w:rsidRDefault="00143B27" w:rsidP="00220077">
      <w:pPr>
        <w:tabs>
          <w:tab w:val="left" w:pos="6540"/>
        </w:tabs>
        <w:spacing w:line="360" w:lineRule="auto"/>
        <w:jc w:val="both"/>
        <w:rPr>
          <w:rFonts w:ascii="Arial" w:hAnsi="Arial" w:cs="Arial"/>
          <w:color w:val="171717" w:themeColor="background2" w:themeShade="1A"/>
          <w:sz w:val="22"/>
        </w:rPr>
      </w:pPr>
    </w:p>
    <w:p w14:paraId="0B675999" w14:textId="77777777" w:rsidR="00143B27" w:rsidRPr="00220077" w:rsidRDefault="00143B27" w:rsidP="00220077">
      <w:pPr>
        <w:tabs>
          <w:tab w:val="left" w:pos="6540"/>
        </w:tabs>
        <w:spacing w:line="360" w:lineRule="auto"/>
        <w:jc w:val="both"/>
        <w:rPr>
          <w:rFonts w:ascii="Arial" w:hAnsi="Arial" w:cs="Arial"/>
          <w:color w:val="171717" w:themeColor="background2" w:themeShade="1A"/>
          <w:sz w:val="22"/>
        </w:rPr>
      </w:pPr>
    </w:p>
    <w:p w14:paraId="346067C1" w14:textId="77777777" w:rsidR="00EF3E3D" w:rsidRPr="00220077" w:rsidRDefault="00EF3E3D" w:rsidP="00220077">
      <w:pPr>
        <w:tabs>
          <w:tab w:val="left" w:pos="6540"/>
        </w:tabs>
        <w:spacing w:line="360" w:lineRule="auto"/>
        <w:jc w:val="both"/>
        <w:rPr>
          <w:rFonts w:ascii="Arial" w:hAnsi="Arial" w:cs="Arial"/>
          <w:b/>
          <w:bCs/>
          <w:sz w:val="22"/>
        </w:rPr>
      </w:pPr>
    </w:p>
    <w:p w14:paraId="23DA92B3" w14:textId="4B373E48" w:rsidR="003D03EB" w:rsidRPr="00220077" w:rsidRDefault="000F7E43" w:rsidP="00220077">
      <w:pPr>
        <w:pStyle w:val="Heading2"/>
        <w:spacing w:line="360" w:lineRule="auto"/>
        <w:jc w:val="both"/>
        <w:rPr>
          <w:rFonts w:cs="Arial"/>
        </w:rPr>
      </w:pPr>
      <w:bookmarkStart w:id="14" w:name="_Toc215690930"/>
      <w:bookmarkStart w:id="15" w:name="_Toc215691256"/>
      <w:bookmarkStart w:id="16" w:name="_Toc215784415"/>
      <w:r w:rsidRPr="00220077">
        <w:rPr>
          <w:rFonts w:cs="Arial"/>
        </w:rPr>
        <w:lastRenderedPageBreak/>
        <w:t>Di</w:t>
      </w:r>
      <w:r w:rsidR="00FD7392" w:rsidRPr="00220077">
        <w:rPr>
          <w:rFonts w:cs="Arial"/>
        </w:rPr>
        <w:t>agrams</w:t>
      </w:r>
      <w:r w:rsidRPr="00220077">
        <w:rPr>
          <w:rFonts w:cs="Arial"/>
        </w:rPr>
        <w:t xml:space="preserve"> </w:t>
      </w:r>
      <w:r w:rsidR="00B04642" w:rsidRPr="00220077">
        <w:rPr>
          <w:rFonts w:cs="Arial"/>
        </w:rPr>
        <w:t>of Treatment</w:t>
      </w:r>
      <w:r w:rsidRPr="00220077">
        <w:rPr>
          <w:rFonts w:cs="Arial"/>
        </w:rPr>
        <w:t xml:space="preserve"> and management of type 2 Diabetes.</w:t>
      </w:r>
      <w:bookmarkEnd w:id="14"/>
      <w:bookmarkEnd w:id="15"/>
      <w:bookmarkEnd w:id="16"/>
    </w:p>
    <w:p w14:paraId="4CD35048" w14:textId="77777777" w:rsidR="00AC285B" w:rsidRPr="00220077" w:rsidRDefault="00AC285B" w:rsidP="00220077">
      <w:pPr>
        <w:spacing w:line="360" w:lineRule="auto"/>
        <w:jc w:val="both"/>
        <w:rPr>
          <w:rFonts w:ascii="Arial" w:hAnsi="Arial" w:cs="Arial"/>
        </w:rPr>
      </w:pPr>
    </w:p>
    <w:p w14:paraId="684D0420" w14:textId="36E40515" w:rsidR="00DC6EDB" w:rsidRPr="00220077" w:rsidRDefault="00265D9B" w:rsidP="00220077">
      <w:pPr>
        <w:tabs>
          <w:tab w:val="left" w:pos="6540"/>
        </w:tabs>
        <w:spacing w:line="360" w:lineRule="auto"/>
        <w:ind w:left="720"/>
        <w:jc w:val="both"/>
        <w:rPr>
          <w:rFonts w:ascii="Arial" w:hAnsi="Arial" w:cs="Arial"/>
          <w:color w:val="8EAADB" w:themeColor="accent1" w:themeTint="99"/>
          <w:sz w:val="22"/>
        </w:rPr>
      </w:pPr>
      <w:r w:rsidRPr="00220077">
        <w:rPr>
          <w:rFonts w:ascii="Arial" w:hAnsi="Arial" w:cs="Arial"/>
          <w:noProof/>
          <w:sz w:val="22"/>
        </w:rPr>
        <w:drawing>
          <wp:inline distT="0" distB="0" distL="0" distR="0" wp14:anchorId="466B4BFD" wp14:editId="2B6A815C">
            <wp:extent cx="5334000" cy="3002280"/>
            <wp:effectExtent l="0" t="0" r="0" b="7620"/>
            <wp:docPr id="1861429157" name="Picture 2" descr="Management and Treatment of Type 2 Diabetes - Slide S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ement and Treatment of Type 2 Diabetes - Slide Sh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3002280"/>
                    </a:xfrm>
                    <a:prstGeom prst="rect">
                      <a:avLst/>
                    </a:prstGeom>
                    <a:noFill/>
                    <a:ln>
                      <a:noFill/>
                    </a:ln>
                  </pic:spPr>
                </pic:pic>
              </a:graphicData>
            </a:graphic>
          </wp:inline>
        </w:drawing>
      </w:r>
    </w:p>
    <w:p w14:paraId="63A5A150" w14:textId="2F76FBB8" w:rsidR="001A3DF6" w:rsidRPr="00220077" w:rsidRDefault="001A3DF6" w:rsidP="00220077">
      <w:pPr>
        <w:tabs>
          <w:tab w:val="left" w:pos="6540"/>
        </w:tabs>
        <w:spacing w:line="360" w:lineRule="auto"/>
        <w:ind w:left="720"/>
        <w:jc w:val="both"/>
        <w:rPr>
          <w:rFonts w:ascii="Arial" w:hAnsi="Arial" w:cs="Arial"/>
          <w:color w:val="000000" w:themeColor="text1"/>
          <w:sz w:val="22"/>
        </w:rPr>
      </w:pPr>
      <w:r w:rsidRPr="00220077">
        <w:rPr>
          <w:rFonts w:ascii="Arial" w:hAnsi="Arial" w:cs="Arial"/>
          <w:color w:val="000000" w:themeColor="text1"/>
          <w:sz w:val="22"/>
        </w:rPr>
        <w:t> (Kanaley et al., 2022)</w:t>
      </w:r>
    </w:p>
    <w:p w14:paraId="36C6F776" w14:textId="77777777" w:rsidR="00E53BE8" w:rsidRPr="00220077" w:rsidRDefault="00E53BE8"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Essentially, controlling a dysregulated endocrine system is an active process in Type 2 Diabetes that involves maintaining healthy blood sugar levels. It is possible to maintain blood sugar within a safe and effective range by externally doing the tasks that the body's internal hormonal system can no longer do on its own through food, exercise, medication, and regular monitoring.  </w:t>
      </w:r>
    </w:p>
    <w:p w14:paraId="494FADDD" w14:textId="77777777" w:rsidR="00711D22" w:rsidRPr="00220077" w:rsidRDefault="00C174D8" w:rsidP="00220077">
      <w:pPr>
        <w:tabs>
          <w:tab w:val="left" w:pos="6540"/>
        </w:tabs>
        <w:spacing w:line="360" w:lineRule="auto"/>
        <w:jc w:val="both"/>
        <w:rPr>
          <w:rFonts w:ascii="Arial" w:eastAsia="Times New Roman" w:hAnsi="Arial" w:cs="Arial"/>
          <w:color w:val="171717" w:themeColor="background2" w:themeShade="1A"/>
          <w:sz w:val="22"/>
          <w:lang w:eastAsia="en-GB"/>
        </w:rPr>
      </w:pPr>
      <w:r w:rsidRPr="00220077">
        <w:rPr>
          <w:rFonts w:ascii="Arial" w:eastAsia="Times New Roman" w:hAnsi="Arial" w:cs="Arial"/>
          <w:color w:val="171717" w:themeColor="background2" w:themeShade="1A"/>
          <w:sz w:val="22"/>
          <w:lang w:eastAsia="en-GB"/>
        </w:rPr>
        <w:t>In type 2 diabetes, the body struggles to regulate blood sugar because cells become resistant to insulin, the hormone that helps glucose enter cells for energy. Normally, insulin acts like a key, unlocking cells so sugar from the bloodstream can be used or stored. When resistance develops, glucose builds up in the blood instead of being absorbed efficiently. To keep levels safe, the body relies on several strategies. The pancreas may produce extra insulin at first, but over time this response weakens</w:t>
      </w:r>
      <w:r w:rsidR="00165BE7" w:rsidRPr="00220077">
        <w:rPr>
          <w:rFonts w:ascii="Arial" w:eastAsia="Times New Roman" w:hAnsi="Arial" w:cs="Arial"/>
          <w:color w:val="171717" w:themeColor="background2" w:themeShade="1A"/>
          <w:sz w:val="22"/>
          <w:lang w:eastAsia="en-GB"/>
        </w:rPr>
        <w:t xml:space="preserve"> (</w:t>
      </w:r>
      <w:proofErr w:type="spellStart"/>
      <w:r w:rsidR="00165BE7" w:rsidRPr="00220077">
        <w:rPr>
          <w:rFonts w:ascii="Arial" w:eastAsia="Times New Roman" w:hAnsi="Arial" w:cs="Arial"/>
          <w:color w:val="171717" w:themeColor="background2" w:themeShade="1A"/>
          <w:sz w:val="22"/>
          <w:lang w:eastAsia="en-GB"/>
        </w:rPr>
        <w:t>Ribu</w:t>
      </w:r>
      <w:proofErr w:type="spellEnd"/>
      <w:r w:rsidR="00165BE7" w:rsidRPr="00220077">
        <w:rPr>
          <w:rFonts w:ascii="Arial" w:eastAsia="Times New Roman" w:hAnsi="Arial" w:cs="Arial"/>
          <w:color w:val="171717" w:themeColor="background2" w:themeShade="1A"/>
          <w:sz w:val="22"/>
          <w:lang w:eastAsia="en-GB"/>
        </w:rPr>
        <w:t xml:space="preserve">, </w:t>
      </w:r>
      <w:proofErr w:type="spellStart"/>
      <w:r w:rsidR="00165BE7" w:rsidRPr="00220077">
        <w:rPr>
          <w:rFonts w:ascii="Arial" w:eastAsia="Times New Roman" w:hAnsi="Arial" w:cs="Arial"/>
          <w:color w:val="171717" w:themeColor="background2" w:themeShade="1A"/>
          <w:sz w:val="22"/>
          <w:lang w:eastAsia="en-GB"/>
        </w:rPr>
        <w:t>Rønnevig</w:t>
      </w:r>
      <w:proofErr w:type="spellEnd"/>
      <w:r w:rsidR="00165BE7" w:rsidRPr="00220077">
        <w:rPr>
          <w:rFonts w:ascii="Arial" w:eastAsia="Times New Roman" w:hAnsi="Arial" w:cs="Arial"/>
          <w:color w:val="171717" w:themeColor="background2" w:themeShade="1A"/>
          <w:sz w:val="22"/>
          <w:lang w:eastAsia="en-GB"/>
        </w:rPr>
        <w:t xml:space="preserve"> and Corbin, 2019).</w:t>
      </w:r>
      <w:r w:rsidRPr="00220077">
        <w:rPr>
          <w:rFonts w:ascii="Arial" w:eastAsia="Times New Roman" w:hAnsi="Arial" w:cs="Arial"/>
          <w:color w:val="171717" w:themeColor="background2" w:themeShade="1A"/>
          <w:sz w:val="22"/>
          <w:lang w:eastAsia="en-GB"/>
        </w:rPr>
        <w:t xml:space="preserve"> </w:t>
      </w:r>
    </w:p>
    <w:p w14:paraId="0B61EFCF" w14:textId="6CB0CBCD" w:rsidR="00DC6EDB" w:rsidRPr="00220077" w:rsidRDefault="00C174D8" w:rsidP="00220077">
      <w:pPr>
        <w:tabs>
          <w:tab w:val="left" w:pos="6540"/>
        </w:tabs>
        <w:spacing w:line="360" w:lineRule="auto"/>
        <w:jc w:val="both"/>
        <w:rPr>
          <w:rFonts w:ascii="Arial" w:eastAsia="Times New Roman" w:hAnsi="Arial" w:cs="Arial"/>
          <w:color w:val="171717" w:themeColor="background2" w:themeShade="1A"/>
          <w:sz w:val="22"/>
          <w:lang w:eastAsia="en-GB"/>
        </w:rPr>
      </w:pPr>
      <w:r w:rsidRPr="00220077">
        <w:rPr>
          <w:rFonts w:ascii="Arial" w:eastAsia="Times New Roman" w:hAnsi="Arial" w:cs="Arial"/>
          <w:color w:val="171717" w:themeColor="background2" w:themeShade="1A"/>
          <w:sz w:val="22"/>
          <w:lang w:eastAsia="en-GB"/>
        </w:rPr>
        <w:t xml:space="preserve">Lifestyle changes such as balanced eating, regular physical activity, and maintaining a healthy weight help improve how cells respond to insulin. Exercise, for example, makes muscles more sensitive to glucose uptake, lowering blood sugar naturally. Medications can also support regulation by either boosting insulin production, reducing liver glucose release, or improving insulin sensitivity. Monitoring blood sugar levels is essential, as it allows adjustments in diet, activity, or medication to prevent dangerous highs or lows. The overall goal is to maintain glucose within a range that provides energy for daily needs without causing damage to organs </w:t>
      </w:r>
      <w:r w:rsidRPr="00220077">
        <w:rPr>
          <w:rFonts w:ascii="Arial" w:eastAsia="Times New Roman" w:hAnsi="Arial" w:cs="Arial"/>
          <w:color w:val="171717" w:themeColor="background2" w:themeShade="1A"/>
          <w:sz w:val="22"/>
          <w:lang w:eastAsia="en-GB"/>
        </w:rPr>
        <w:lastRenderedPageBreak/>
        <w:t>and blood vessels. This careful balance helps protect long-term health and reduces complications linked to diabetes</w:t>
      </w:r>
      <w:r w:rsidR="00711D22" w:rsidRPr="00220077">
        <w:rPr>
          <w:rFonts w:ascii="Arial" w:eastAsia="Times New Roman" w:hAnsi="Arial" w:cs="Arial"/>
          <w:color w:val="171717" w:themeColor="background2" w:themeShade="1A"/>
          <w:sz w:val="22"/>
          <w:lang w:eastAsia="en-GB"/>
        </w:rPr>
        <w:t xml:space="preserve"> </w:t>
      </w:r>
      <w:r w:rsidR="00AC4386" w:rsidRPr="00220077">
        <w:rPr>
          <w:rFonts w:ascii="Arial" w:eastAsia="Times New Roman" w:hAnsi="Arial" w:cs="Arial"/>
          <w:color w:val="171717" w:themeColor="background2" w:themeShade="1A"/>
          <w:sz w:val="22"/>
          <w:lang w:eastAsia="en-GB"/>
        </w:rPr>
        <w:t>(Yeh, Yen and Hwu, 2023).</w:t>
      </w:r>
    </w:p>
    <w:p w14:paraId="7E5E8C97" w14:textId="77777777" w:rsidR="002E0A1A" w:rsidRPr="00220077" w:rsidRDefault="002E0A1A" w:rsidP="00220077">
      <w:pPr>
        <w:tabs>
          <w:tab w:val="left" w:pos="6540"/>
        </w:tabs>
        <w:spacing w:line="360" w:lineRule="auto"/>
        <w:jc w:val="both"/>
        <w:rPr>
          <w:rFonts w:ascii="Arial" w:hAnsi="Arial" w:cs="Arial"/>
          <w:color w:val="171717" w:themeColor="background2" w:themeShade="1A"/>
          <w:sz w:val="22"/>
        </w:rPr>
      </w:pPr>
    </w:p>
    <w:p w14:paraId="6C918D43" w14:textId="4FA76298" w:rsidR="000C4EDA" w:rsidRPr="00220077" w:rsidRDefault="007A7297" w:rsidP="00220077">
      <w:pPr>
        <w:pStyle w:val="Heading1"/>
        <w:jc w:val="both"/>
        <w:rPr>
          <w:rFonts w:cs="Arial"/>
        </w:rPr>
      </w:pPr>
      <w:bookmarkStart w:id="17" w:name="_Toc215688892"/>
      <w:bookmarkStart w:id="18" w:name="_Toc215688964"/>
      <w:bookmarkStart w:id="19" w:name="_Toc215690931"/>
      <w:bookmarkStart w:id="20" w:name="_Toc215691257"/>
      <w:bookmarkStart w:id="21" w:name="_Toc215784416"/>
      <w:r w:rsidRPr="00220077">
        <w:rPr>
          <w:rFonts w:cs="Arial"/>
        </w:rPr>
        <w:t>Cellular Metabolism</w:t>
      </w:r>
      <w:r w:rsidR="000C4EDA" w:rsidRPr="00220077">
        <w:rPr>
          <w:rFonts w:cs="Arial"/>
        </w:rPr>
        <w:t xml:space="preserve"> </w:t>
      </w:r>
      <w:r w:rsidR="000F7E43" w:rsidRPr="00220077">
        <w:rPr>
          <w:rFonts w:cs="Arial"/>
        </w:rPr>
        <w:t>in T2DM.</w:t>
      </w:r>
      <w:bookmarkEnd w:id="17"/>
      <w:bookmarkEnd w:id="18"/>
      <w:bookmarkEnd w:id="19"/>
      <w:bookmarkEnd w:id="20"/>
      <w:bookmarkEnd w:id="21"/>
    </w:p>
    <w:p w14:paraId="6A0045A1" w14:textId="758F105B" w:rsidR="00A87FEF" w:rsidRPr="00220077" w:rsidRDefault="00A87FEF"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Physical health in individuals with T2DM is heavily influenced by lifestyle factors, including activity, social interaction, nutrition, alcohol use, smoking, sleep, and co-morbid conditions.</w:t>
      </w:r>
    </w:p>
    <w:p w14:paraId="10B15751" w14:textId="1F241D06" w:rsidR="00673F39" w:rsidRPr="00220077" w:rsidRDefault="00A87FEF"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Activity levels</w:t>
      </w:r>
      <w:r w:rsidR="002F2AA3" w:rsidRPr="00220077">
        <w:rPr>
          <w:rFonts w:ascii="Arial" w:hAnsi="Arial" w:cs="Arial"/>
          <w:color w:val="171717" w:themeColor="background2" w:themeShade="1A"/>
          <w:sz w:val="22"/>
        </w:rPr>
        <w:t>,</w:t>
      </w:r>
      <w:r w:rsidRPr="00220077">
        <w:rPr>
          <w:rFonts w:ascii="Arial" w:hAnsi="Arial" w:cs="Arial"/>
          <w:color w:val="171717" w:themeColor="background2" w:themeShade="1A"/>
          <w:sz w:val="22"/>
        </w:rPr>
        <w:t xml:space="preserve"> </w:t>
      </w:r>
      <w:r w:rsidR="002F2AA3" w:rsidRPr="00220077">
        <w:rPr>
          <w:rFonts w:ascii="Arial" w:hAnsi="Arial" w:cs="Arial"/>
          <w:color w:val="171717" w:themeColor="background2" w:themeShade="1A"/>
          <w:sz w:val="22"/>
        </w:rPr>
        <w:t>r</w:t>
      </w:r>
      <w:r w:rsidRPr="00220077">
        <w:rPr>
          <w:rFonts w:ascii="Arial" w:hAnsi="Arial" w:cs="Arial"/>
          <w:color w:val="171717" w:themeColor="background2" w:themeShade="1A"/>
          <w:sz w:val="22"/>
        </w:rPr>
        <w:t>egular physical activity is beneficial for glucose regulation and insulin sensitivity. Individuals with low activity or prolonged sedentary behaviour have higher risk of developing T2DM and worsening outcomes</w:t>
      </w:r>
      <w:r w:rsidR="00733BA7" w:rsidRPr="00220077">
        <w:rPr>
          <w:rFonts w:ascii="Arial" w:hAnsi="Arial" w:cs="Arial"/>
          <w:color w:val="171717" w:themeColor="background2" w:themeShade="1A"/>
          <w:sz w:val="22"/>
        </w:rPr>
        <w:t> (Yadav, 2022)</w:t>
      </w:r>
      <w:r w:rsidR="007B4FD6" w:rsidRPr="00220077">
        <w:rPr>
          <w:rFonts w:ascii="Arial" w:hAnsi="Arial" w:cs="Arial"/>
          <w:color w:val="171717" w:themeColor="background2" w:themeShade="1A"/>
          <w:sz w:val="22"/>
        </w:rPr>
        <w:t>.</w:t>
      </w:r>
    </w:p>
    <w:p w14:paraId="641BBEB8" w14:textId="1BB52DF9" w:rsidR="00A87FEF" w:rsidRPr="00220077" w:rsidRDefault="00A87FEF"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For example, one large Chinese study found people with light physical activity were substantially more likely to have T2DM than those engaging in vigorous activity. </w:t>
      </w:r>
    </w:p>
    <w:p w14:paraId="4D478FC4" w14:textId="77777777" w:rsidR="00564E4C" w:rsidRPr="00220077" w:rsidRDefault="00A87FEF"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Therefore, encouraging moderate to vigorous activity, and breaking up long sitting periods, is essential for physical health in T2DM.</w:t>
      </w:r>
    </w:p>
    <w:p w14:paraId="419EF0CF" w14:textId="123AFBBC" w:rsidR="000F7E43" w:rsidRPr="00220077" w:rsidRDefault="00243DC2"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There are several aspect to T2DM these are 1 </w:t>
      </w:r>
      <w:r w:rsidR="00564E4C" w:rsidRPr="00220077">
        <w:rPr>
          <w:rFonts w:ascii="Arial" w:hAnsi="Arial" w:cs="Arial"/>
          <w:color w:val="171717" w:themeColor="background2" w:themeShade="1A"/>
          <w:sz w:val="22"/>
        </w:rPr>
        <w:t>S</w:t>
      </w:r>
      <w:r w:rsidR="00A87FEF" w:rsidRPr="00220077">
        <w:rPr>
          <w:rFonts w:ascii="Arial" w:hAnsi="Arial" w:cs="Arial"/>
          <w:color w:val="171717" w:themeColor="background2" w:themeShade="1A"/>
          <w:sz w:val="22"/>
        </w:rPr>
        <w:t>ocial interaction</w:t>
      </w:r>
      <w:r w:rsidR="000F7E43" w:rsidRPr="00220077">
        <w:rPr>
          <w:rFonts w:ascii="Arial" w:hAnsi="Arial" w:cs="Arial"/>
          <w:color w:val="171717" w:themeColor="background2" w:themeShade="1A"/>
          <w:sz w:val="22"/>
        </w:rPr>
        <w:t>: A</w:t>
      </w:r>
      <w:r w:rsidR="00A87FEF" w:rsidRPr="00220077">
        <w:rPr>
          <w:rFonts w:ascii="Arial" w:hAnsi="Arial" w:cs="Arial"/>
          <w:color w:val="171717" w:themeColor="background2" w:themeShade="1A"/>
          <w:sz w:val="22"/>
        </w:rPr>
        <w:t>lthough less studied than other factors, social connection is recognised in broader healthy-lifestyle indices</w:t>
      </w:r>
      <w:r w:rsidR="00564E4C" w:rsidRPr="00220077">
        <w:rPr>
          <w:rFonts w:ascii="Arial" w:hAnsi="Arial" w:cs="Arial"/>
          <w:color w:val="171717" w:themeColor="background2" w:themeShade="1A"/>
          <w:sz w:val="22"/>
        </w:rPr>
        <w:t xml:space="preserve">, </w:t>
      </w:r>
      <w:r w:rsidR="00A87FEF" w:rsidRPr="00220077">
        <w:rPr>
          <w:rFonts w:ascii="Arial" w:hAnsi="Arial" w:cs="Arial"/>
          <w:color w:val="171717" w:themeColor="background2" w:themeShade="1A"/>
          <w:sz w:val="22"/>
        </w:rPr>
        <w:t>including in one UK Biobank cohort as one of the low</w:t>
      </w:r>
      <w:r w:rsidR="00A87FEF" w:rsidRPr="00220077">
        <w:rPr>
          <w:rFonts w:ascii="Cambria Math" w:hAnsi="Cambria Math" w:cs="Cambria Math"/>
          <w:color w:val="171717" w:themeColor="background2" w:themeShade="1A"/>
          <w:sz w:val="22"/>
        </w:rPr>
        <w:t>‐</w:t>
      </w:r>
      <w:r w:rsidR="00A87FEF" w:rsidRPr="00220077">
        <w:rPr>
          <w:rFonts w:ascii="Arial" w:hAnsi="Arial" w:cs="Arial"/>
          <w:color w:val="171717" w:themeColor="background2" w:themeShade="1A"/>
          <w:sz w:val="22"/>
        </w:rPr>
        <w:t>risk behaviours that reduce mortality in people with T2DM. Good social interaction supports mental health, encourages adherence to lifestyle changes, and may indirectly improve physical health outcomes</w:t>
      </w:r>
      <w:r w:rsidR="00255096" w:rsidRPr="00220077">
        <w:rPr>
          <w:rFonts w:ascii="Arial" w:hAnsi="Arial" w:cs="Arial"/>
          <w:color w:val="171717" w:themeColor="background2" w:themeShade="1A"/>
          <w:sz w:val="22"/>
        </w:rPr>
        <w:t xml:space="preserve">  (Heath et al., 2022).</w:t>
      </w:r>
    </w:p>
    <w:p w14:paraId="1935B831" w14:textId="15F3B923" w:rsidR="004D7C69" w:rsidRPr="00220077" w:rsidRDefault="00243DC2"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2 </w:t>
      </w:r>
      <w:r w:rsidR="00A87FEF" w:rsidRPr="00220077">
        <w:rPr>
          <w:rFonts w:ascii="Arial" w:hAnsi="Arial" w:cs="Arial"/>
          <w:color w:val="171717" w:themeColor="background2" w:themeShade="1A"/>
          <w:sz w:val="22"/>
        </w:rPr>
        <w:t xml:space="preserve">Nutrition: A high-quality diet abundant in vegetables, whole grains, lean protein and low in processed meats and sugar-sweetened </w:t>
      </w:r>
      <w:r w:rsidR="00612EEE" w:rsidRPr="00220077">
        <w:rPr>
          <w:rFonts w:ascii="Arial" w:hAnsi="Arial" w:cs="Arial"/>
          <w:color w:val="171717" w:themeColor="background2" w:themeShade="1A"/>
          <w:sz w:val="22"/>
        </w:rPr>
        <w:t>beverages helps</w:t>
      </w:r>
      <w:r w:rsidR="00A87FEF" w:rsidRPr="00220077">
        <w:rPr>
          <w:rFonts w:ascii="Arial" w:hAnsi="Arial" w:cs="Arial"/>
          <w:color w:val="171717" w:themeColor="background2" w:themeShade="1A"/>
          <w:sz w:val="22"/>
        </w:rPr>
        <w:t xml:space="preserve"> in managing weight, insulin resistance and glycaemic control</w:t>
      </w:r>
      <w:r w:rsidR="004D7C69" w:rsidRPr="00220077">
        <w:rPr>
          <w:rFonts w:ascii="Arial" w:hAnsi="Arial" w:cs="Arial"/>
          <w:color w:val="171717" w:themeColor="background2" w:themeShade="1A"/>
          <w:sz w:val="22"/>
        </w:rPr>
        <w:t> (Jiménez-Cortegana et al., 2021).</w:t>
      </w:r>
    </w:p>
    <w:p w14:paraId="3CE7FC61" w14:textId="77777777" w:rsidR="004D7C69" w:rsidRPr="004D7C69" w:rsidRDefault="004D7C69" w:rsidP="004D7C69">
      <w:pPr>
        <w:tabs>
          <w:tab w:val="left" w:pos="6540"/>
        </w:tabs>
        <w:spacing w:line="360" w:lineRule="auto"/>
        <w:jc w:val="both"/>
        <w:rPr>
          <w:rFonts w:ascii="Arial" w:hAnsi="Arial" w:cs="Arial"/>
          <w:color w:val="171717" w:themeColor="background2" w:themeShade="1A"/>
          <w:sz w:val="22"/>
        </w:rPr>
      </w:pPr>
      <w:r w:rsidRPr="004D7C69">
        <w:rPr>
          <w:rFonts w:ascii="Arial" w:hAnsi="Arial" w:cs="Arial"/>
          <w:color w:val="171717" w:themeColor="background2" w:themeShade="1A"/>
          <w:sz w:val="22"/>
        </w:rPr>
        <w:t>‌</w:t>
      </w:r>
    </w:p>
    <w:p w14:paraId="6FC508F9" w14:textId="2AC9E124" w:rsidR="00673F39" w:rsidRPr="00086587" w:rsidRDefault="00673F39" w:rsidP="00086587">
      <w:pPr>
        <w:tabs>
          <w:tab w:val="left" w:pos="6540"/>
        </w:tabs>
        <w:spacing w:line="360" w:lineRule="auto"/>
        <w:jc w:val="both"/>
        <w:rPr>
          <w:rFonts w:ascii="Arial" w:hAnsi="Arial" w:cs="Arial"/>
          <w:color w:val="171717" w:themeColor="background2" w:themeShade="1A"/>
          <w:sz w:val="22"/>
        </w:rPr>
      </w:pPr>
    </w:p>
    <w:p w14:paraId="139AD527" w14:textId="55D3C6FC" w:rsidR="00A87FEF" w:rsidRPr="00086587" w:rsidRDefault="00243DC2" w:rsidP="005C02FA">
      <w:pPr>
        <w:pStyle w:val="Heading2"/>
      </w:pPr>
      <w:bookmarkStart w:id="22" w:name="_Toc215784417"/>
      <w:r w:rsidRPr="00086587">
        <w:t>Other lifestyle factors that contribute to T2DM are p</w:t>
      </w:r>
      <w:r w:rsidR="00A87FEF" w:rsidRPr="00086587">
        <w:t>oor diet</w:t>
      </w:r>
      <w:r w:rsidR="00C00DFA" w:rsidRPr="00086587">
        <w:t>.</w:t>
      </w:r>
      <w:bookmarkEnd w:id="22"/>
    </w:p>
    <w:p w14:paraId="0F38AA92" w14:textId="3C6765A9" w:rsidR="002D0F04" w:rsidRPr="00086587" w:rsidRDefault="002D0F04" w:rsidP="00086587">
      <w:pPr>
        <w:tabs>
          <w:tab w:val="left" w:pos="6540"/>
        </w:tabs>
        <w:spacing w:line="360" w:lineRule="auto"/>
        <w:jc w:val="both"/>
        <w:rPr>
          <w:rFonts w:ascii="Arial" w:hAnsi="Arial" w:cs="Arial"/>
          <w:color w:val="00B050"/>
          <w:sz w:val="22"/>
        </w:rPr>
      </w:pPr>
    </w:p>
    <w:p w14:paraId="5C30BDAA" w14:textId="77777777" w:rsidR="002D0F04" w:rsidRPr="00220077" w:rsidRDefault="00A87FEF"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Alcohol consumption: Moderate alcohol intake may in some populations correlate with lower risk, but heavy or binge drinking is harmful, especially given its impact on weight, liver and metabolic health.</w:t>
      </w:r>
      <w:r w:rsidR="002D0F04" w:rsidRPr="00220077">
        <w:rPr>
          <w:rFonts w:ascii="Arial" w:hAnsi="Arial" w:cs="Arial"/>
          <w:color w:val="171717" w:themeColor="background2" w:themeShade="1A"/>
          <w:sz w:val="22"/>
        </w:rPr>
        <w:t xml:space="preserve"> </w:t>
      </w:r>
      <w:r w:rsidRPr="00220077">
        <w:rPr>
          <w:rFonts w:ascii="Arial" w:hAnsi="Arial" w:cs="Arial"/>
          <w:color w:val="171717" w:themeColor="background2" w:themeShade="1A"/>
          <w:sz w:val="22"/>
        </w:rPr>
        <w:t>For someone with T2DM, limiting alcohol is prudent to avoid interference with glucose control and additional metabolic burden.</w:t>
      </w:r>
    </w:p>
    <w:p w14:paraId="011ED7C5" w14:textId="54E90151" w:rsidR="00A87FEF" w:rsidRPr="00220077" w:rsidRDefault="00A87FEF"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Smoking</w:t>
      </w:r>
      <w:r w:rsidR="002D0F04" w:rsidRPr="00220077">
        <w:rPr>
          <w:rFonts w:ascii="Arial" w:hAnsi="Arial" w:cs="Arial"/>
          <w:color w:val="171717" w:themeColor="background2" w:themeShade="1A"/>
          <w:sz w:val="22"/>
        </w:rPr>
        <w:t>:</w:t>
      </w:r>
      <w:r w:rsidRPr="00220077">
        <w:rPr>
          <w:rFonts w:ascii="Arial" w:hAnsi="Arial" w:cs="Arial"/>
          <w:color w:val="171717" w:themeColor="background2" w:themeShade="1A"/>
          <w:sz w:val="22"/>
        </w:rPr>
        <w:t xml:space="preserve"> is clearly associated with increased risk of T2DM and worse outcomes among those already diagnosed.</w:t>
      </w:r>
      <w:r w:rsidR="002D0F04" w:rsidRPr="00220077">
        <w:rPr>
          <w:rFonts w:ascii="Arial" w:hAnsi="Arial" w:cs="Arial"/>
          <w:color w:val="171717" w:themeColor="background2" w:themeShade="1A"/>
          <w:sz w:val="22"/>
        </w:rPr>
        <w:t xml:space="preserve"> S</w:t>
      </w:r>
      <w:r w:rsidRPr="00220077">
        <w:rPr>
          <w:rFonts w:ascii="Arial" w:hAnsi="Arial" w:cs="Arial"/>
          <w:color w:val="171717" w:themeColor="background2" w:themeShade="1A"/>
          <w:sz w:val="22"/>
        </w:rPr>
        <w:t>moking exacerbates cardiovascular risk, vascular damage and insulin resistance, thereby compounding the physical health burden.</w:t>
      </w:r>
    </w:p>
    <w:p w14:paraId="634FA3AF" w14:textId="77777777" w:rsidR="002D0F04" w:rsidRPr="00220077" w:rsidRDefault="00A87FEF"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lastRenderedPageBreak/>
        <w:t>Sleep patterns: Both poor sleep quality and abnormal sleep duration</w:t>
      </w:r>
      <w:r w:rsidR="002F2AA3" w:rsidRPr="00220077">
        <w:rPr>
          <w:rFonts w:ascii="Arial" w:hAnsi="Arial" w:cs="Arial"/>
          <w:color w:val="171717" w:themeColor="background2" w:themeShade="1A"/>
          <w:sz w:val="22"/>
        </w:rPr>
        <w:t xml:space="preserve">, </w:t>
      </w:r>
      <w:r w:rsidRPr="00220077">
        <w:rPr>
          <w:rFonts w:ascii="Arial" w:hAnsi="Arial" w:cs="Arial"/>
          <w:color w:val="171717" w:themeColor="background2" w:themeShade="1A"/>
          <w:sz w:val="22"/>
        </w:rPr>
        <w:t>too short or too long</w:t>
      </w:r>
      <w:r w:rsidR="002F2AA3" w:rsidRPr="00220077">
        <w:rPr>
          <w:rFonts w:ascii="Arial" w:hAnsi="Arial" w:cs="Arial"/>
          <w:color w:val="171717" w:themeColor="background2" w:themeShade="1A"/>
          <w:sz w:val="22"/>
        </w:rPr>
        <w:t>,</w:t>
      </w:r>
      <w:r w:rsidRPr="00220077">
        <w:rPr>
          <w:rFonts w:ascii="Arial" w:hAnsi="Arial" w:cs="Arial"/>
          <w:color w:val="171717" w:themeColor="background2" w:themeShade="1A"/>
          <w:sz w:val="22"/>
        </w:rPr>
        <w:t xml:space="preserve"> are linked to higher T2DM risk and poorer control. </w:t>
      </w:r>
      <w:r w:rsidR="00EC4279" w:rsidRPr="00220077">
        <w:rPr>
          <w:rFonts w:ascii="Arial" w:hAnsi="Arial" w:cs="Arial"/>
          <w:color w:val="171717" w:themeColor="background2" w:themeShade="1A"/>
          <w:sz w:val="22"/>
        </w:rPr>
        <w:t> </w:t>
      </w:r>
      <w:r w:rsidRPr="00220077">
        <w:rPr>
          <w:rFonts w:ascii="Arial" w:hAnsi="Arial" w:cs="Arial"/>
          <w:color w:val="171717" w:themeColor="background2" w:themeShade="1A"/>
          <w:sz w:val="22"/>
        </w:rPr>
        <w:t>Regular, adequate sleep is part of the lifestyle bundle that seems to protect against progression and complications of T2DM.</w:t>
      </w:r>
    </w:p>
    <w:p w14:paraId="1E7FEE50" w14:textId="48946243" w:rsidR="00A87FEF" w:rsidRPr="00220077" w:rsidRDefault="00A87FEF" w:rsidP="00220077">
      <w:pPr>
        <w:tabs>
          <w:tab w:val="left" w:pos="6540"/>
        </w:tabs>
        <w:spacing w:line="360" w:lineRule="auto"/>
        <w:jc w:val="both"/>
        <w:rPr>
          <w:rFonts w:ascii="Arial" w:hAnsi="Arial" w:cs="Arial"/>
          <w:color w:val="00B050"/>
          <w:sz w:val="22"/>
        </w:rPr>
      </w:pPr>
      <w:r w:rsidRPr="00220077">
        <w:rPr>
          <w:rFonts w:ascii="Arial" w:hAnsi="Arial" w:cs="Arial"/>
          <w:color w:val="171717" w:themeColor="background2" w:themeShade="1A"/>
          <w:sz w:val="22"/>
        </w:rPr>
        <w:t>Existing health conditions</w:t>
      </w:r>
      <w:r w:rsidR="002F2AA3" w:rsidRPr="00220077">
        <w:rPr>
          <w:rFonts w:ascii="Arial" w:hAnsi="Arial" w:cs="Arial"/>
          <w:color w:val="171717" w:themeColor="background2" w:themeShade="1A"/>
          <w:sz w:val="22"/>
        </w:rPr>
        <w:t>,</w:t>
      </w:r>
      <w:r w:rsidRPr="00220077">
        <w:rPr>
          <w:rFonts w:ascii="Arial" w:hAnsi="Arial" w:cs="Arial"/>
          <w:color w:val="171717" w:themeColor="background2" w:themeShade="1A"/>
          <w:sz w:val="22"/>
        </w:rPr>
        <w:t xml:space="preserve"> </w:t>
      </w:r>
      <w:r w:rsidR="00BC78A7" w:rsidRPr="00220077">
        <w:rPr>
          <w:rFonts w:ascii="Arial" w:hAnsi="Arial" w:cs="Arial"/>
          <w:color w:val="171717" w:themeColor="background2" w:themeShade="1A"/>
          <w:sz w:val="22"/>
        </w:rPr>
        <w:t>many</w:t>
      </w:r>
      <w:r w:rsidRPr="00220077">
        <w:rPr>
          <w:rFonts w:ascii="Arial" w:hAnsi="Arial" w:cs="Arial"/>
          <w:color w:val="171717" w:themeColor="background2" w:themeShade="1A"/>
          <w:sz w:val="22"/>
        </w:rPr>
        <w:t xml:space="preserve"> people with T2DM have or develop co</w:t>
      </w:r>
      <w:r w:rsidRPr="00220077">
        <w:rPr>
          <w:rFonts w:ascii="Cambria Math" w:hAnsi="Cambria Math" w:cs="Cambria Math"/>
          <w:color w:val="171717" w:themeColor="background2" w:themeShade="1A"/>
          <w:sz w:val="22"/>
        </w:rPr>
        <w:t>‐</w:t>
      </w:r>
      <w:r w:rsidRPr="00220077">
        <w:rPr>
          <w:rFonts w:ascii="Arial" w:hAnsi="Arial" w:cs="Arial"/>
          <w:color w:val="171717" w:themeColor="background2" w:themeShade="1A"/>
          <w:sz w:val="22"/>
        </w:rPr>
        <w:t>morbidities such as hypertension, dyslipidaemia, cardiovascular disease, or obesity, which compound physical health risks. Studies show that even those with similar diabetes severity had markedly better mortality outcomes when following a healthy lifestyle.</w:t>
      </w:r>
      <w:r w:rsidR="00393503" w:rsidRPr="00220077">
        <w:rPr>
          <w:rFonts w:ascii="Arial" w:hAnsi="Arial" w:cs="Arial"/>
          <w:color w:val="171717" w:themeColor="background2" w:themeShade="1A"/>
          <w:sz w:val="22"/>
        </w:rPr>
        <w:t xml:space="preserve"> In summary, for someone living with type 2 diabetes the physical health outlook is significantly shaped by how active they are, how well they eat, whether they smoke or drink excess, how well they sleep, how socially connected they are, and whether other conditions are present. Addressing these modifiable factors offers meaningful scope to improve health outcomes, rather than focusing solely on medication.</w:t>
      </w:r>
      <w:r w:rsidR="00DB6066" w:rsidRPr="00220077">
        <w:rPr>
          <w:rFonts w:ascii="Arial" w:hAnsi="Arial" w:cs="Arial"/>
          <w:color w:val="171717" w:themeColor="background2" w:themeShade="1A"/>
          <w:sz w:val="22"/>
        </w:rPr>
        <w:t xml:space="preserve"> (Ahmed, Tsiami and Khan, 2023)</w:t>
      </w:r>
      <w:r w:rsidR="00673F39" w:rsidRPr="00220077">
        <w:rPr>
          <w:rFonts w:ascii="Arial" w:hAnsi="Arial" w:cs="Arial"/>
          <w:color w:val="171717" w:themeColor="background2" w:themeShade="1A"/>
          <w:sz w:val="22"/>
        </w:rPr>
        <w:t>.</w:t>
      </w:r>
    </w:p>
    <w:p w14:paraId="679DFB51" w14:textId="227385C7" w:rsidR="00A87FEF" w:rsidRPr="00220077" w:rsidRDefault="00A87FEF" w:rsidP="00220077">
      <w:pPr>
        <w:tabs>
          <w:tab w:val="left" w:pos="6540"/>
        </w:tabs>
        <w:spacing w:line="360" w:lineRule="auto"/>
        <w:jc w:val="both"/>
        <w:rPr>
          <w:rFonts w:ascii="Arial" w:hAnsi="Arial" w:cs="Arial"/>
          <w:color w:val="8EAADB" w:themeColor="accent1" w:themeTint="99"/>
          <w:sz w:val="22"/>
        </w:rPr>
      </w:pPr>
    </w:p>
    <w:p w14:paraId="00AEA37C" w14:textId="36A38D42" w:rsidR="000C4EDA" w:rsidRPr="00220077" w:rsidRDefault="007A7297" w:rsidP="00220077">
      <w:pPr>
        <w:pStyle w:val="Heading1"/>
        <w:jc w:val="both"/>
        <w:rPr>
          <w:rFonts w:cs="Arial"/>
        </w:rPr>
      </w:pPr>
      <w:bookmarkStart w:id="23" w:name="_Toc215688893"/>
      <w:bookmarkStart w:id="24" w:name="_Toc215688965"/>
      <w:bookmarkStart w:id="25" w:name="_Toc215690932"/>
      <w:bookmarkStart w:id="26" w:name="_Toc215691258"/>
      <w:bookmarkStart w:id="27" w:name="_Toc215784418"/>
      <w:r w:rsidRPr="00220077">
        <w:rPr>
          <w:rFonts w:cs="Arial"/>
        </w:rPr>
        <w:t xml:space="preserve">Recording and tracking blood sugar levels for </w:t>
      </w:r>
      <w:bookmarkEnd w:id="23"/>
      <w:bookmarkEnd w:id="24"/>
      <w:r w:rsidR="00086587" w:rsidRPr="00220077">
        <w:rPr>
          <w:rFonts w:cs="Arial"/>
        </w:rPr>
        <w:t>T2DM.</w:t>
      </w:r>
      <w:bookmarkEnd w:id="25"/>
      <w:bookmarkEnd w:id="26"/>
      <w:bookmarkEnd w:id="27"/>
    </w:p>
    <w:p w14:paraId="73E20EC5" w14:textId="12BF0A20" w:rsidR="001B7A40" w:rsidRPr="00220077" w:rsidRDefault="007A7297"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Examine how recording and tracking blood sugar levels help individuals with Type 2 diabetes to safely manage their condition. </w:t>
      </w:r>
    </w:p>
    <w:p w14:paraId="72250934" w14:textId="4031C153" w:rsidR="00DD1F59" w:rsidRPr="00220077" w:rsidRDefault="00DD1F59"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Recording and tracking blood-sugar levels plays a key role in helping </w:t>
      </w:r>
      <w:r w:rsidR="00D23D65" w:rsidRPr="00220077">
        <w:rPr>
          <w:rFonts w:ascii="Arial" w:hAnsi="Arial" w:cs="Arial"/>
          <w:color w:val="171717" w:themeColor="background2" w:themeShade="1A"/>
          <w:sz w:val="22"/>
        </w:rPr>
        <w:t xml:space="preserve">patients </w:t>
      </w:r>
      <w:r w:rsidRPr="00220077">
        <w:rPr>
          <w:rFonts w:ascii="Arial" w:hAnsi="Arial" w:cs="Arial"/>
          <w:color w:val="171717" w:themeColor="background2" w:themeShade="1A"/>
          <w:sz w:val="22"/>
        </w:rPr>
        <w:t>with T2DM manage their condition safely and proactively. By regularly logging measurements whether through finger-pricks, a continuous glucose monitor (CGM) or a connected app an individual can observe how meals, physical activity, sleep, stress and medications influence their glucose. This insight makes self-care far more informed rather than just relying on routine lab tests.</w:t>
      </w:r>
      <w:r w:rsidR="00D23D65" w:rsidRPr="00220077">
        <w:rPr>
          <w:rFonts w:ascii="Arial" w:hAnsi="Arial" w:cs="Arial"/>
          <w:color w:val="171717" w:themeColor="background2" w:themeShade="1A"/>
          <w:sz w:val="22"/>
        </w:rPr>
        <w:t xml:space="preserve"> </w:t>
      </w:r>
      <w:r w:rsidRPr="00220077">
        <w:rPr>
          <w:rFonts w:ascii="Arial" w:hAnsi="Arial" w:cs="Arial"/>
          <w:color w:val="171717" w:themeColor="background2" w:themeShade="1A"/>
          <w:sz w:val="22"/>
        </w:rPr>
        <w:t>For example, recent meta-analysis shows that using digital self-monitoring and remote support in T2DM resulted in a significant reduction in HbA1c</w:t>
      </w:r>
      <w:r w:rsidR="002F2AA3" w:rsidRPr="00220077">
        <w:rPr>
          <w:rFonts w:ascii="Arial" w:hAnsi="Arial" w:cs="Arial"/>
          <w:color w:val="171717" w:themeColor="background2" w:themeShade="1A"/>
          <w:sz w:val="22"/>
        </w:rPr>
        <w:t>,</w:t>
      </w:r>
      <w:r w:rsidRPr="00220077">
        <w:rPr>
          <w:rFonts w:ascii="Arial" w:hAnsi="Arial" w:cs="Arial"/>
          <w:color w:val="171717" w:themeColor="background2" w:themeShade="1A"/>
          <w:sz w:val="22"/>
        </w:rPr>
        <w:t xml:space="preserve"> average blood-sugar control over roughly three months</w:t>
      </w:r>
      <w:r w:rsidR="002F2AA3" w:rsidRPr="00220077">
        <w:rPr>
          <w:rFonts w:ascii="Arial" w:hAnsi="Arial" w:cs="Arial"/>
          <w:color w:val="171717" w:themeColor="background2" w:themeShade="1A"/>
          <w:sz w:val="22"/>
        </w:rPr>
        <w:t>,</w:t>
      </w:r>
      <w:r w:rsidRPr="00220077">
        <w:rPr>
          <w:rFonts w:ascii="Arial" w:hAnsi="Arial" w:cs="Arial"/>
          <w:color w:val="171717" w:themeColor="background2" w:themeShade="1A"/>
          <w:sz w:val="22"/>
        </w:rPr>
        <w:t xml:space="preserve"> and improvements in fasting and post-meal glucose levels, compared to less frequent or no structured monitoring (Uhl et al., 2023)</w:t>
      </w:r>
      <w:r w:rsidR="00673F39" w:rsidRPr="00220077">
        <w:rPr>
          <w:rFonts w:ascii="Arial" w:hAnsi="Arial" w:cs="Arial"/>
          <w:color w:val="171717" w:themeColor="background2" w:themeShade="1A"/>
          <w:sz w:val="22"/>
        </w:rPr>
        <w:t>.</w:t>
      </w:r>
    </w:p>
    <w:p w14:paraId="0C35B665" w14:textId="4FD271B5" w:rsidR="00DB6066" w:rsidRPr="00220077" w:rsidRDefault="00DD1F59"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Meanwhile, studies comparing CGM to standard self-monitoring found modest but meaningful improvements in HbA1c (0.3 %) and increased time in range periods when blood sugar is in target, which is linked to fewer highs and lows.</w:t>
      </w:r>
    </w:p>
    <w:p w14:paraId="1433073D" w14:textId="258D9194" w:rsidR="00DD1F59" w:rsidRPr="00220077" w:rsidRDefault="00DD1F59"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In practical terms, tracking gives the person feedback loops: they might see that a certain food causes a spike, or that going for a 20-minute walk lowers their level the next morning. They also gain early warning of patterns</w:t>
      </w:r>
      <w:r w:rsidR="002F2AA3" w:rsidRPr="00220077">
        <w:rPr>
          <w:rFonts w:ascii="Arial" w:hAnsi="Arial" w:cs="Arial"/>
          <w:color w:val="171717" w:themeColor="background2" w:themeShade="1A"/>
          <w:sz w:val="22"/>
        </w:rPr>
        <w:t xml:space="preserve">, </w:t>
      </w:r>
      <w:r w:rsidRPr="00220077">
        <w:rPr>
          <w:rFonts w:ascii="Arial" w:hAnsi="Arial" w:cs="Arial"/>
          <w:color w:val="171717" w:themeColor="background2" w:themeShade="1A"/>
          <w:sz w:val="22"/>
        </w:rPr>
        <w:t>e.g., nocturnal rises or frequent lows</w:t>
      </w:r>
      <w:r w:rsidR="002F2AA3" w:rsidRPr="00220077">
        <w:rPr>
          <w:rFonts w:ascii="Arial" w:hAnsi="Arial" w:cs="Arial"/>
          <w:color w:val="171717" w:themeColor="background2" w:themeShade="1A"/>
          <w:sz w:val="22"/>
        </w:rPr>
        <w:t>,</w:t>
      </w:r>
      <w:r w:rsidRPr="00220077">
        <w:rPr>
          <w:rFonts w:ascii="Arial" w:hAnsi="Arial" w:cs="Arial"/>
          <w:color w:val="171717" w:themeColor="background2" w:themeShade="1A"/>
          <w:sz w:val="22"/>
        </w:rPr>
        <w:t xml:space="preserve"> which can prompt timely discussions with their healthcare provider about needing adjustments in medication or lifestyle. Moreover, with connected tools, data can be shared remotely with clinicians, </w:t>
      </w:r>
      <w:r w:rsidRPr="00220077">
        <w:rPr>
          <w:rFonts w:ascii="Arial" w:hAnsi="Arial" w:cs="Arial"/>
          <w:color w:val="171717" w:themeColor="background2" w:themeShade="1A"/>
          <w:sz w:val="22"/>
        </w:rPr>
        <w:lastRenderedPageBreak/>
        <w:t xml:space="preserve">improving responsiveness and reducing the risk of dangerous hypoglycaemia or hyperglycaemia. </w:t>
      </w:r>
    </w:p>
    <w:p w14:paraId="5030757E" w14:textId="5760FD73" w:rsidR="00DD1F59" w:rsidRPr="00220077" w:rsidRDefault="00DD1F59"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In short, regular tracking turns a passive chronic condition into an actively managed one</w:t>
      </w:r>
      <w:r w:rsidR="00612EEE" w:rsidRPr="00220077">
        <w:rPr>
          <w:rFonts w:ascii="Arial" w:hAnsi="Arial" w:cs="Arial"/>
          <w:color w:val="171717" w:themeColor="background2" w:themeShade="1A"/>
          <w:sz w:val="22"/>
        </w:rPr>
        <w:t xml:space="preserve"> </w:t>
      </w:r>
      <w:r w:rsidRPr="00220077">
        <w:rPr>
          <w:rFonts w:ascii="Arial" w:hAnsi="Arial" w:cs="Arial"/>
          <w:color w:val="171717" w:themeColor="background2" w:themeShade="1A"/>
          <w:sz w:val="22"/>
        </w:rPr>
        <w:t>empowering the individual, improving safety, and helping maintain or restore better glucose control over time (Morris-Murray and Frazzitta, 2024)</w:t>
      </w:r>
    </w:p>
    <w:p w14:paraId="40A9BF80" w14:textId="1F47BEA1" w:rsidR="007A7297" w:rsidRPr="00220077" w:rsidRDefault="00EB3D50" w:rsidP="00220077">
      <w:pPr>
        <w:pStyle w:val="Heading2"/>
        <w:spacing w:line="360" w:lineRule="auto"/>
        <w:jc w:val="both"/>
        <w:rPr>
          <w:rFonts w:cs="Arial"/>
        </w:rPr>
      </w:pPr>
      <w:bookmarkStart w:id="28" w:name="_Toc215784419"/>
      <w:r w:rsidRPr="00220077">
        <w:rPr>
          <w:rFonts w:cs="Arial"/>
        </w:rPr>
        <w:t>T</w:t>
      </w:r>
      <w:r w:rsidR="007A7297" w:rsidRPr="00220077">
        <w:rPr>
          <w:rFonts w:cs="Arial"/>
        </w:rPr>
        <w:t>he importance of tracking and recording</w:t>
      </w:r>
      <w:r w:rsidR="00086587" w:rsidRPr="00220077">
        <w:rPr>
          <w:rFonts w:cs="Arial"/>
        </w:rPr>
        <w:t>.</w:t>
      </w:r>
      <w:bookmarkEnd w:id="28"/>
    </w:p>
    <w:p w14:paraId="11B03E51" w14:textId="485FF26D" w:rsidR="00716B70" w:rsidRPr="00220077" w:rsidRDefault="00EB3D5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T</w:t>
      </w:r>
      <w:r w:rsidR="00716B70" w:rsidRPr="00220077">
        <w:rPr>
          <w:rFonts w:ascii="Arial" w:hAnsi="Arial" w:cs="Arial"/>
          <w:color w:val="171717" w:themeColor="background2" w:themeShade="1A"/>
          <w:sz w:val="22"/>
        </w:rPr>
        <w:t xml:space="preserve">racking and recording are vital for managing Type 2 Diabetes Mellitus because consistent self-monitoring of glucose, diet, physical activity and medication helps identify trends, informs treatment adjustments, and fosters day-to-day awareness of how lifestyle affects blood sugar. For example, technology-assisted monitoring helped participants visualise how their actions influenced glucose and motivated healthier choices. </w:t>
      </w:r>
    </w:p>
    <w:p w14:paraId="3BB4358F" w14:textId="5D710EC8" w:rsidR="00716B70" w:rsidRPr="00220077" w:rsidRDefault="00716B7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 Without such tracking, subtle deteriorations in glycaemic control may go unnoticed, delaying therapy adjustment and increasing the risk of long-term complications such as cardiovascular, renal or retinal damage. In short not recording means reduced insight, delayed responses and greater harm.</w:t>
      </w:r>
      <w:r w:rsidR="00DB76E3" w:rsidRPr="00220077">
        <w:rPr>
          <w:rFonts w:ascii="Arial" w:hAnsi="Arial" w:cs="Arial"/>
          <w:color w:val="171717" w:themeColor="background2" w:themeShade="1A"/>
          <w:sz w:val="22"/>
        </w:rPr>
        <w:t xml:space="preserve"> (Kerr et al., 2024)</w:t>
      </w:r>
      <w:r w:rsidR="00673F39" w:rsidRPr="00220077">
        <w:rPr>
          <w:rFonts w:ascii="Arial" w:hAnsi="Arial" w:cs="Arial"/>
          <w:color w:val="171717" w:themeColor="background2" w:themeShade="1A"/>
          <w:sz w:val="22"/>
        </w:rPr>
        <w:t>.</w:t>
      </w:r>
    </w:p>
    <w:p w14:paraId="189B8F71" w14:textId="77777777" w:rsidR="001B7A40" w:rsidRPr="00220077" w:rsidRDefault="001B7A40" w:rsidP="00220077">
      <w:pPr>
        <w:spacing w:line="360" w:lineRule="auto"/>
        <w:jc w:val="both"/>
        <w:rPr>
          <w:rFonts w:ascii="Arial" w:hAnsi="Arial" w:cs="Arial"/>
          <w:sz w:val="22"/>
        </w:rPr>
      </w:pPr>
    </w:p>
    <w:p w14:paraId="012D50EF" w14:textId="4726CBF7" w:rsidR="001B7A40" w:rsidRPr="00220077" w:rsidRDefault="001B7A40" w:rsidP="00220077">
      <w:pPr>
        <w:pStyle w:val="Heading1"/>
        <w:jc w:val="both"/>
        <w:rPr>
          <w:rFonts w:cs="Arial"/>
        </w:rPr>
      </w:pPr>
      <w:bookmarkStart w:id="29" w:name="_Toc215688894"/>
      <w:bookmarkStart w:id="30" w:name="_Toc215688966"/>
      <w:bookmarkStart w:id="31" w:name="_Toc215690933"/>
      <w:bookmarkStart w:id="32" w:name="_Toc215691259"/>
      <w:bookmarkStart w:id="33" w:name="_Toc215784420"/>
      <w:r w:rsidRPr="00220077">
        <w:rPr>
          <w:rFonts w:cs="Arial"/>
        </w:rPr>
        <w:t>Recommend</w:t>
      </w:r>
      <w:r w:rsidR="007A7297" w:rsidRPr="00220077">
        <w:rPr>
          <w:rFonts w:cs="Arial"/>
        </w:rPr>
        <w:t>ations</w:t>
      </w:r>
      <w:bookmarkEnd w:id="29"/>
      <w:bookmarkEnd w:id="30"/>
      <w:bookmarkEnd w:id="31"/>
      <w:bookmarkEnd w:id="32"/>
      <w:bookmarkEnd w:id="33"/>
    </w:p>
    <w:p w14:paraId="388CF7DC" w14:textId="036A0CF9" w:rsidR="001B7A40" w:rsidRPr="00220077" w:rsidRDefault="00C03A91"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Include relevant recommendations of proposed evidence-based strategies in terms of health and social care, including health promotion, to improve their overall health and well-being of the person of </w:t>
      </w:r>
      <w:r w:rsidR="007A7297" w:rsidRPr="00220077">
        <w:rPr>
          <w:rFonts w:ascii="Arial" w:hAnsi="Arial" w:cs="Arial"/>
          <w:color w:val="171717" w:themeColor="background2" w:themeShade="1A"/>
          <w:sz w:val="22"/>
        </w:rPr>
        <w:t xml:space="preserve">a person with diabetes and how lifestyle changes could improve their condition. </w:t>
      </w:r>
    </w:p>
    <w:p w14:paraId="49FD7359" w14:textId="336FA747" w:rsidR="00B03B30" w:rsidRPr="00220077" w:rsidRDefault="00D23D65"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As a GP Practice </w:t>
      </w:r>
      <w:r w:rsidR="00564E4C" w:rsidRPr="00220077">
        <w:rPr>
          <w:rFonts w:ascii="Arial" w:hAnsi="Arial" w:cs="Arial"/>
          <w:color w:val="171717" w:themeColor="background2" w:themeShade="1A"/>
          <w:sz w:val="22"/>
        </w:rPr>
        <w:t>nurse,</w:t>
      </w:r>
      <w:r w:rsidRPr="00220077">
        <w:rPr>
          <w:rFonts w:ascii="Arial" w:hAnsi="Arial" w:cs="Arial"/>
          <w:color w:val="171717" w:themeColor="background2" w:themeShade="1A"/>
          <w:sz w:val="22"/>
        </w:rPr>
        <w:t xml:space="preserve"> the </w:t>
      </w:r>
      <w:r w:rsidR="00B03B30" w:rsidRPr="00220077">
        <w:rPr>
          <w:rFonts w:ascii="Arial" w:hAnsi="Arial" w:cs="Arial"/>
          <w:color w:val="171717" w:themeColor="background2" w:themeShade="1A"/>
          <w:sz w:val="22"/>
        </w:rPr>
        <w:t>recommendations for</w:t>
      </w:r>
      <w:r w:rsidRPr="00220077">
        <w:rPr>
          <w:rFonts w:ascii="Arial" w:hAnsi="Arial" w:cs="Arial"/>
          <w:color w:val="171717" w:themeColor="background2" w:themeShade="1A"/>
          <w:sz w:val="22"/>
        </w:rPr>
        <w:t xml:space="preserve"> patients with T2DM would be to </w:t>
      </w:r>
      <w:r w:rsidR="00B03B30" w:rsidRPr="00220077">
        <w:rPr>
          <w:rFonts w:ascii="Arial" w:hAnsi="Arial" w:cs="Arial"/>
          <w:color w:val="171717" w:themeColor="background2" w:themeShade="1A"/>
          <w:sz w:val="22"/>
        </w:rPr>
        <w:t xml:space="preserve">improve overall health and wellbeing </w:t>
      </w:r>
      <w:r w:rsidRPr="00220077">
        <w:rPr>
          <w:rFonts w:ascii="Arial" w:hAnsi="Arial" w:cs="Arial"/>
          <w:color w:val="171717" w:themeColor="background2" w:themeShade="1A"/>
          <w:sz w:val="22"/>
        </w:rPr>
        <w:t>particularly</w:t>
      </w:r>
      <w:r w:rsidR="00B03B30" w:rsidRPr="00220077">
        <w:rPr>
          <w:rFonts w:ascii="Arial" w:hAnsi="Arial" w:cs="Arial"/>
          <w:color w:val="171717" w:themeColor="background2" w:themeShade="1A"/>
          <w:sz w:val="22"/>
        </w:rPr>
        <w:t xml:space="preserve"> via lifestyle change</w:t>
      </w:r>
      <w:r w:rsidR="00673F39" w:rsidRPr="00220077">
        <w:rPr>
          <w:rFonts w:ascii="Arial" w:hAnsi="Arial" w:cs="Arial"/>
          <w:color w:val="171717" w:themeColor="background2" w:themeShade="1A"/>
          <w:sz w:val="22"/>
        </w:rPr>
        <w:t>.</w:t>
      </w:r>
    </w:p>
    <w:p w14:paraId="1B3EF3F4" w14:textId="5058EAE8"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People should be supported through structured programmes that combine nutritional modification, physical activity, and behaviour-change components for example, guided self-monitoring, regular feedback and peer support. Research shows such integrated interventions can reduce HbA1c, improve weight and quality of life. </w:t>
      </w:r>
    </w:p>
    <w:p w14:paraId="69AA3CC6" w14:textId="285C9960"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Dietary advice should emphasise patterns such as the Mediterranean diet or a low-glycaemic-index/low-carbohydrate approach, increasing fibre, whole grains, legumes, vegetables and healthy fats, while reducing saturated fat, refined carbohydrates and excess energy intake. These dietary changes have been shown to improve glycaemic control and body composition. </w:t>
      </w:r>
      <w:r w:rsidR="00F56271" w:rsidRPr="00220077">
        <w:rPr>
          <w:rFonts w:ascii="Arial" w:hAnsi="Arial" w:cs="Arial"/>
          <w:color w:val="171717" w:themeColor="background2" w:themeShade="1A"/>
          <w:sz w:val="22"/>
        </w:rPr>
        <w:t>(Williams, Jones and Stephens, 2022</w:t>
      </w:r>
      <w:r w:rsidR="00EE74EF" w:rsidRPr="00220077">
        <w:rPr>
          <w:rFonts w:ascii="Arial" w:hAnsi="Arial" w:cs="Arial"/>
          <w:color w:val="171717" w:themeColor="background2" w:themeShade="1A"/>
          <w:sz w:val="22"/>
        </w:rPr>
        <w:t>).</w:t>
      </w:r>
    </w:p>
    <w:p w14:paraId="42EA5511" w14:textId="77777777" w:rsidR="00B03B30" w:rsidRPr="00220077" w:rsidRDefault="00B03B30" w:rsidP="00220077">
      <w:pPr>
        <w:tabs>
          <w:tab w:val="left" w:pos="6540"/>
        </w:tabs>
        <w:spacing w:line="360" w:lineRule="auto"/>
        <w:jc w:val="both"/>
        <w:rPr>
          <w:rFonts w:ascii="Arial" w:hAnsi="Arial" w:cs="Arial"/>
          <w:color w:val="171717" w:themeColor="background2" w:themeShade="1A"/>
          <w:sz w:val="22"/>
        </w:rPr>
      </w:pPr>
    </w:p>
    <w:p w14:paraId="671F855E" w14:textId="642D0FDD"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lastRenderedPageBreak/>
        <w:t xml:space="preserve">Physical activity should be </w:t>
      </w:r>
      <w:r w:rsidR="00F56271" w:rsidRPr="00220077">
        <w:rPr>
          <w:rFonts w:ascii="Arial" w:hAnsi="Arial" w:cs="Arial"/>
          <w:color w:val="171717" w:themeColor="background2" w:themeShade="1A"/>
          <w:sz w:val="22"/>
        </w:rPr>
        <w:t>promoted including</w:t>
      </w:r>
      <w:r w:rsidRPr="00220077">
        <w:rPr>
          <w:rFonts w:ascii="Arial" w:hAnsi="Arial" w:cs="Arial"/>
          <w:color w:val="171717" w:themeColor="background2" w:themeShade="1A"/>
          <w:sz w:val="22"/>
        </w:rPr>
        <w:t xml:space="preserve"> a combination of moderate aerobic exercise, resistance training, and daily movement and supported by health professionals or social care networks. Exercise enhances insulin sensitivity, helps manage weight and supports cardiovascular health. </w:t>
      </w:r>
    </w:p>
    <w:p w14:paraId="6ECFD444" w14:textId="6A6A37E6"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Health promotion efforts in social care should integrate social support, education, and self-management skills, addressing barriers e.g., motivation, access, literacy, and leveraging peer or family networks to reinforce change. Studies emphasise that bolstering autonomy, competence and relatedness empowers people to make sustained changes. </w:t>
      </w:r>
    </w:p>
    <w:p w14:paraId="030103A4" w14:textId="602CB7A8"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By adopting these strategies, individuals may achieve better glycaemic control, reduce medication needs, lower risk of complications and enhance quality of life</w:t>
      </w:r>
      <w:r w:rsidR="001D733C" w:rsidRPr="00220077">
        <w:rPr>
          <w:rFonts w:ascii="Arial" w:hAnsi="Arial" w:cs="Arial"/>
          <w:color w:val="171717" w:themeColor="background2" w:themeShade="1A"/>
          <w:sz w:val="22"/>
        </w:rPr>
        <w:t xml:space="preserve"> (</w:t>
      </w:r>
      <w:proofErr w:type="spellStart"/>
      <w:r w:rsidR="001D733C" w:rsidRPr="00220077">
        <w:rPr>
          <w:rFonts w:ascii="Arial" w:hAnsi="Arial" w:cs="Arial"/>
          <w:color w:val="171717" w:themeColor="background2" w:themeShade="1A"/>
          <w:sz w:val="22"/>
        </w:rPr>
        <w:t>Colagiuri</w:t>
      </w:r>
      <w:proofErr w:type="spellEnd"/>
      <w:r w:rsidR="001D733C" w:rsidRPr="00220077">
        <w:rPr>
          <w:rFonts w:ascii="Arial" w:hAnsi="Arial" w:cs="Arial"/>
          <w:color w:val="171717" w:themeColor="background2" w:themeShade="1A"/>
          <w:sz w:val="22"/>
        </w:rPr>
        <w:t xml:space="preserve"> and Ceriello, 2025)</w:t>
      </w:r>
      <w:r w:rsidR="00EE74EF" w:rsidRPr="00220077">
        <w:rPr>
          <w:rFonts w:ascii="Arial" w:hAnsi="Arial" w:cs="Arial"/>
          <w:color w:val="171717" w:themeColor="background2" w:themeShade="1A"/>
          <w:sz w:val="22"/>
        </w:rPr>
        <w:t>.</w:t>
      </w:r>
    </w:p>
    <w:p w14:paraId="54FBB05C" w14:textId="1016F642" w:rsidR="007A7297" w:rsidRPr="00220077" w:rsidRDefault="00EB3D50" w:rsidP="00220077">
      <w:pPr>
        <w:pStyle w:val="Heading2"/>
        <w:spacing w:line="360" w:lineRule="auto"/>
        <w:jc w:val="both"/>
        <w:rPr>
          <w:rFonts w:cs="Arial"/>
        </w:rPr>
      </w:pPr>
      <w:bookmarkStart w:id="34" w:name="_Toc215784421"/>
      <w:r w:rsidRPr="00220077">
        <w:rPr>
          <w:rFonts w:cs="Arial"/>
        </w:rPr>
        <w:t>I</w:t>
      </w:r>
      <w:r w:rsidR="007A7297" w:rsidRPr="00220077">
        <w:rPr>
          <w:rFonts w:cs="Arial"/>
        </w:rPr>
        <w:t>nterventions and or lifestyle changes that an individual</w:t>
      </w:r>
      <w:r w:rsidR="001A3DF6" w:rsidRPr="00220077">
        <w:rPr>
          <w:rFonts w:cs="Arial"/>
        </w:rPr>
        <w:t xml:space="preserve"> </w:t>
      </w:r>
      <w:r w:rsidR="007A7297" w:rsidRPr="00220077">
        <w:rPr>
          <w:rFonts w:cs="Arial"/>
        </w:rPr>
        <w:t>to manage their diabete</w:t>
      </w:r>
      <w:r w:rsidR="001A3DF6" w:rsidRPr="00220077">
        <w:rPr>
          <w:rFonts w:cs="Arial"/>
        </w:rPr>
        <w:t>s</w:t>
      </w:r>
      <w:r w:rsidR="007A7297" w:rsidRPr="00220077">
        <w:rPr>
          <w:rFonts w:cs="Arial"/>
        </w:rPr>
        <w:t>.</w:t>
      </w:r>
      <w:bookmarkEnd w:id="34"/>
      <w:r w:rsidR="007A7297" w:rsidRPr="00220077">
        <w:rPr>
          <w:rFonts w:cs="Arial"/>
        </w:rPr>
        <w:t xml:space="preserve"> </w:t>
      </w:r>
    </w:p>
    <w:p w14:paraId="7561DE3B" w14:textId="23899F3E" w:rsidR="00B03B30" w:rsidRPr="00220077" w:rsidRDefault="00564E4C"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I</w:t>
      </w:r>
      <w:r w:rsidR="00B03B30" w:rsidRPr="00220077">
        <w:rPr>
          <w:rFonts w:ascii="Arial" w:hAnsi="Arial" w:cs="Arial"/>
          <w:color w:val="171717" w:themeColor="background2" w:themeShade="1A"/>
          <w:sz w:val="22"/>
        </w:rPr>
        <w:t xml:space="preserve">ndividual with </w:t>
      </w:r>
      <w:r w:rsidR="00D23D65" w:rsidRPr="00220077">
        <w:rPr>
          <w:rFonts w:ascii="Arial" w:hAnsi="Arial" w:cs="Arial"/>
          <w:color w:val="171717" w:themeColor="background2" w:themeShade="1A"/>
          <w:sz w:val="22"/>
        </w:rPr>
        <w:t>T2DM</w:t>
      </w:r>
      <w:r w:rsidR="00B03B30" w:rsidRPr="00220077">
        <w:rPr>
          <w:rFonts w:ascii="Arial" w:hAnsi="Arial" w:cs="Arial"/>
          <w:color w:val="171717" w:themeColor="background2" w:themeShade="1A"/>
          <w:sz w:val="22"/>
        </w:rPr>
        <w:t xml:space="preserve"> can adopt a diet rich in vegetables, whole grains, legumes, and healthy fats (e.g., a Mediterranean-style diet) and reduce refined carbohydrates and saturated fats; this dietary approach has been shown to significantly improve glycaemic control. </w:t>
      </w:r>
    </w:p>
    <w:p w14:paraId="13E65EB9" w14:textId="2A248230"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Engage in regular physical </w:t>
      </w:r>
      <w:r w:rsidR="001D733C" w:rsidRPr="00220077">
        <w:rPr>
          <w:rFonts w:ascii="Arial" w:hAnsi="Arial" w:cs="Arial"/>
          <w:color w:val="171717" w:themeColor="background2" w:themeShade="1A"/>
          <w:sz w:val="22"/>
        </w:rPr>
        <w:t>activity aiming</w:t>
      </w:r>
      <w:r w:rsidRPr="00220077">
        <w:rPr>
          <w:rFonts w:ascii="Arial" w:hAnsi="Arial" w:cs="Arial"/>
          <w:color w:val="171717" w:themeColor="background2" w:themeShade="1A"/>
          <w:sz w:val="22"/>
        </w:rPr>
        <w:t xml:space="preserve"> for 30–60 minutes per session, at least three times per week, including both aerobic and resistance </w:t>
      </w:r>
      <w:r w:rsidR="001D733C" w:rsidRPr="00220077">
        <w:rPr>
          <w:rFonts w:ascii="Arial" w:hAnsi="Arial" w:cs="Arial"/>
          <w:color w:val="171717" w:themeColor="background2" w:themeShade="1A"/>
          <w:sz w:val="22"/>
        </w:rPr>
        <w:t>exercises which</w:t>
      </w:r>
      <w:r w:rsidRPr="00220077">
        <w:rPr>
          <w:rFonts w:ascii="Arial" w:hAnsi="Arial" w:cs="Arial"/>
          <w:color w:val="171717" w:themeColor="background2" w:themeShade="1A"/>
          <w:sz w:val="22"/>
        </w:rPr>
        <w:t xml:space="preserve"> supports improved HbA</w:t>
      </w:r>
      <w:r w:rsidR="001D733C" w:rsidRPr="00220077">
        <w:rPr>
          <w:rFonts w:ascii="Arial" w:hAnsi="Arial" w:cs="Arial"/>
          <w:color w:val="171717" w:themeColor="background2" w:themeShade="1A"/>
          <w:sz w:val="22"/>
        </w:rPr>
        <w:t xml:space="preserve">1c, </w:t>
      </w:r>
      <w:r w:rsidRPr="00220077">
        <w:rPr>
          <w:rFonts w:ascii="Arial" w:hAnsi="Arial" w:cs="Arial"/>
          <w:color w:val="171717" w:themeColor="background2" w:themeShade="1A"/>
          <w:sz w:val="22"/>
        </w:rPr>
        <w:t xml:space="preserve">fasting glucose and reduced cardiovascular risk. </w:t>
      </w:r>
    </w:p>
    <w:p w14:paraId="6A6DEFD9" w14:textId="13B92821"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Combine diet + exercise interventions (rather than one alone) for maximal </w:t>
      </w:r>
      <w:r w:rsidR="001D733C" w:rsidRPr="00220077">
        <w:rPr>
          <w:rFonts w:ascii="Arial" w:hAnsi="Arial" w:cs="Arial"/>
          <w:color w:val="171717" w:themeColor="background2" w:themeShade="1A"/>
          <w:sz w:val="22"/>
        </w:rPr>
        <w:t>benefit studies</w:t>
      </w:r>
      <w:r w:rsidRPr="00220077">
        <w:rPr>
          <w:rFonts w:ascii="Arial" w:hAnsi="Arial" w:cs="Arial"/>
          <w:color w:val="171717" w:themeColor="background2" w:themeShade="1A"/>
          <w:sz w:val="22"/>
        </w:rPr>
        <w:t xml:space="preserve"> show larger reductions in HbA</w:t>
      </w:r>
      <w:r w:rsidR="001D733C" w:rsidRPr="00220077">
        <w:rPr>
          <w:rFonts w:ascii="Arial" w:hAnsi="Arial" w:cs="Arial"/>
          <w:color w:val="171717" w:themeColor="background2" w:themeShade="1A"/>
          <w:sz w:val="22"/>
        </w:rPr>
        <w:t xml:space="preserve">1c, </w:t>
      </w:r>
      <w:r w:rsidRPr="00220077">
        <w:rPr>
          <w:rFonts w:ascii="Arial" w:hAnsi="Arial" w:cs="Arial"/>
          <w:color w:val="171717" w:themeColor="background2" w:themeShade="1A"/>
          <w:sz w:val="22"/>
        </w:rPr>
        <w:t xml:space="preserve">and weight when both are applied together. </w:t>
      </w:r>
    </w:p>
    <w:p w14:paraId="464D0C20" w14:textId="64A6BDA4" w:rsidR="00B03B30"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 xml:space="preserve">Incorporate self-management support and family involvement: exercise programmes that include self- or family-management lead to better glucose control and reduced complications. </w:t>
      </w:r>
    </w:p>
    <w:p w14:paraId="4FA38C50" w14:textId="0C6FDB39" w:rsidR="002F2AA3" w:rsidRPr="00220077" w:rsidRDefault="00B03B30" w:rsidP="00220077">
      <w:pPr>
        <w:tabs>
          <w:tab w:val="left" w:pos="6540"/>
        </w:tabs>
        <w:spacing w:line="360" w:lineRule="auto"/>
        <w:jc w:val="both"/>
        <w:rPr>
          <w:rFonts w:ascii="Arial" w:hAnsi="Arial" w:cs="Arial"/>
          <w:color w:val="171717" w:themeColor="background2" w:themeShade="1A"/>
          <w:sz w:val="22"/>
        </w:rPr>
      </w:pPr>
      <w:r w:rsidRPr="00220077">
        <w:rPr>
          <w:rFonts w:ascii="Arial" w:hAnsi="Arial" w:cs="Arial"/>
          <w:color w:val="171717" w:themeColor="background2" w:themeShade="1A"/>
          <w:sz w:val="22"/>
        </w:rPr>
        <w:t>By making these changes consistently, the individual can improve glucose levels, reduce reliance on medications, and lower the risk of complications associated with type 2 diabetes</w:t>
      </w:r>
      <w:r w:rsidR="007F439E" w:rsidRPr="00220077">
        <w:rPr>
          <w:rFonts w:ascii="Arial" w:hAnsi="Arial" w:cs="Arial"/>
          <w:color w:val="171717" w:themeColor="background2" w:themeShade="1A"/>
          <w:sz w:val="22"/>
        </w:rPr>
        <w:t> (NICE, 2022)</w:t>
      </w:r>
      <w:r w:rsidR="009A02DE" w:rsidRPr="00220077">
        <w:rPr>
          <w:rFonts w:ascii="Arial" w:hAnsi="Arial" w:cs="Arial"/>
          <w:color w:val="171717" w:themeColor="background2" w:themeShade="1A"/>
          <w:sz w:val="22"/>
        </w:rPr>
        <w:t>.</w:t>
      </w:r>
    </w:p>
    <w:p w14:paraId="04C4531D" w14:textId="77777777" w:rsidR="009A02DE" w:rsidRPr="00220077" w:rsidRDefault="009A02DE" w:rsidP="00220077">
      <w:pPr>
        <w:pStyle w:val="Heading1"/>
        <w:jc w:val="both"/>
        <w:rPr>
          <w:rFonts w:cs="Arial"/>
        </w:rPr>
      </w:pPr>
    </w:p>
    <w:p w14:paraId="16641564" w14:textId="77777777" w:rsidR="009A02DE" w:rsidRPr="00220077" w:rsidRDefault="009A02DE" w:rsidP="00220077">
      <w:pPr>
        <w:pStyle w:val="Heading1"/>
        <w:jc w:val="both"/>
        <w:rPr>
          <w:rFonts w:cs="Arial"/>
        </w:rPr>
      </w:pPr>
    </w:p>
    <w:p w14:paraId="75AAF653" w14:textId="77777777" w:rsidR="00564E4C" w:rsidRPr="00220077" w:rsidRDefault="00564E4C" w:rsidP="00220077">
      <w:pPr>
        <w:pStyle w:val="Heading1"/>
        <w:jc w:val="both"/>
        <w:rPr>
          <w:rFonts w:cs="Arial"/>
        </w:rPr>
      </w:pPr>
    </w:p>
    <w:p w14:paraId="5DDFD5AB" w14:textId="77777777" w:rsidR="00564E4C" w:rsidRPr="00220077" w:rsidRDefault="00564E4C" w:rsidP="00220077">
      <w:pPr>
        <w:pStyle w:val="Heading1"/>
        <w:jc w:val="both"/>
        <w:rPr>
          <w:rFonts w:cs="Arial"/>
        </w:rPr>
      </w:pPr>
    </w:p>
    <w:p w14:paraId="0F3D743D" w14:textId="77777777" w:rsidR="00564E4C" w:rsidRPr="00220077" w:rsidRDefault="00564E4C" w:rsidP="00220077">
      <w:pPr>
        <w:pStyle w:val="Heading1"/>
        <w:jc w:val="both"/>
        <w:rPr>
          <w:rFonts w:cs="Arial"/>
        </w:rPr>
      </w:pPr>
    </w:p>
    <w:p w14:paraId="508382B0" w14:textId="77777777" w:rsidR="00564E4C" w:rsidRPr="00220077" w:rsidRDefault="00564E4C" w:rsidP="00220077">
      <w:pPr>
        <w:pStyle w:val="Heading1"/>
        <w:jc w:val="both"/>
        <w:rPr>
          <w:rFonts w:cs="Arial"/>
        </w:rPr>
      </w:pPr>
    </w:p>
    <w:p w14:paraId="06E11458" w14:textId="77777777" w:rsidR="00C00DFA" w:rsidRPr="00220077" w:rsidRDefault="00C00DFA" w:rsidP="00220077">
      <w:pPr>
        <w:pStyle w:val="Heading1"/>
        <w:jc w:val="both"/>
        <w:rPr>
          <w:rFonts w:cs="Arial"/>
        </w:rPr>
      </w:pPr>
    </w:p>
    <w:p w14:paraId="477DCB90" w14:textId="77777777" w:rsidR="00C00DFA" w:rsidRPr="00220077" w:rsidRDefault="00C00DFA" w:rsidP="00220077">
      <w:pPr>
        <w:pStyle w:val="Heading1"/>
        <w:jc w:val="both"/>
        <w:rPr>
          <w:rFonts w:cs="Arial"/>
        </w:rPr>
      </w:pPr>
    </w:p>
    <w:p w14:paraId="096958E3" w14:textId="77777777" w:rsidR="00C00DFA" w:rsidRPr="00220077" w:rsidRDefault="00C00DFA" w:rsidP="00220077">
      <w:pPr>
        <w:pStyle w:val="Heading1"/>
        <w:jc w:val="both"/>
        <w:rPr>
          <w:rFonts w:cs="Arial"/>
        </w:rPr>
      </w:pPr>
    </w:p>
    <w:p w14:paraId="46BEC501" w14:textId="77777777" w:rsidR="00533330" w:rsidRPr="00220077" w:rsidRDefault="00533330" w:rsidP="00220077">
      <w:pPr>
        <w:pStyle w:val="Heading1"/>
        <w:jc w:val="both"/>
        <w:rPr>
          <w:rFonts w:cs="Arial"/>
        </w:rPr>
      </w:pPr>
      <w:bookmarkStart w:id="35" w:name="_Toc215688895"/>
      <w:bookmarkStart w:id="36" w:name="_Toc215688967"/>
    </w:p>
    <w:p w14:paraId="3C0CDDCB" w14:textId="77777777" w:rsidR="00533330" w:rsidRPr="00220077" w:rsidRDefault="00533330" w:rsidP="00220077">
      <w:pPr>
        <w:pStyle w:val="Heading1"/>
        <w:jc w:val="both"/>
        <w:rPr>
          <w:rFonts w:cs="Arial"/>
        </w:rPr>
      </w:pPr>
    </w:p>
    <w:p w14:paraId="6F953411" w14:textId="77777777" w:rsidR="00533330" w:rsidRPr="00220077" w:rsidRDefault="00533330" w:rsidP="00220077">
      <w:pPr>
        <w:pStyle w:val="Heading1"/>
        <w:jc w:val="both"/>
        <w:rPr>
          <w:rFonts w:cs="Arial"/>
        </w:rPr>
      </w:pPr>
    </w:p>
    <w:p w14:paraId="49EE5AC8" w14:textId="77777777" w:rsidR="00533330" w:rsidRPr="00220077" w:rsidRDefault="00533330" w:rsidP="00220077">
      <w:pPr>
        <w:pStyle w:val="Heading1"/>
        <w:jc w:val="both"/>
        <w:rPr>
          <w:rFonts w:cs="Arial"/>
        </w:rPr>
      </w:pPr>
    </w:p>
    <w:p w14:paraId="7F626E74" w14:textId="77777777" w:rsidR="00533330" w:rsidRPr="00220077" w:rsidRDefault="00533330" w:rsidP="00220077">
      <w:pPr>
        <w:pStyle w:val="Heading1"/>
        <w:jc w:val="both"/>
        <w:rPr>
          <w:rFonts w:cs="Arial"/>
        </w:rPr>
      </w:pPr>
    </w:p>
    <w:p w14:paraId="1970DE02" w14:textId="581D841F" w:rsidR="001B7A40" w:rsidRPr="00220077" w:rsidRDefault="001B7A40" w:rsidP="00220077">
      <w:pPr>
        <w:pStyle w:val="Heading1"/>
        <w:jc w:val="both"/>
        <w:rPr>
          <w:rFonts w:cs="Arial"/>
        </w:rPr>
      </w:pPr>
      <w:bookmarkStart w:id="37" w:name="_Toc215690934"/>
      <w:bookmarkStart w:id="38" w:name="_Toc215691260"/>
      <w:bookmarkStart w:id="39" w:name="_Toc215784422"/>
      <w:r w:rsidRPr="00220077">
        <w:rPr>
          <w:rFonts w:cs="Arial"/>
        </w:rPr>
        <w:t>Conclusion</w:t>
      </w:r>
      <w:bookmarkEnd w:id="35"/>
      <w:bookmarkEnd w:id="36"/>
      <w:bookmarkEnd w:id="37"/>
      <w:bookmarkEnd w:id="38"/>
      <w:bookmarkEnd w:id="39"/>
    </w:p>
    <w:p w14:paraId="08E99182" w14:textId="49C7CC6E" w:rsidR="001B7A40" w:rsidRPr="00220077" w:rsidRDefault="00D23D65" w:rsidP="00220077">
      <w:pPr>
        <w:spacing w:line="360" w:lineRule="auto"/>
        <w:jc w:val="both"/>
        <w:rPr>
          <w:rFonts w:ascii="Arial" w:hAnsi="Arial" w:cs="Arial"/>
          <w:sz w:val="22"/>
        </w:rPr>
      </w:pPr>
      <w:r w:rsidRPr="00220077">
        <w:rPr>
          <w:rFonts w:ascii="Arial" w:hAnsi="Arial" w:cs="Arial"/>
          <w:sz w:val="22"/>
        </w:rPr>
        <w:t xml:space="preserve">To conclude, </w:t>
      </w:r>
      <w:r w:rsidR="00AE5D58" w:rsidRPr="00220077">
        <w:rPr>
          <w:rFonts w:ascii="Arial" w:hAnsi="Arial" w:cs="Arial"/>
          <w:sz w:val="22"/>
        </w:rPr>
        <w:t>T</w:t>
      </w:r>
      <w:r w:rsidRPr="00220077">
        <w:rPr>
          <w:rFonts w:ascii="Arial" w:hAnsi="Arial" w:cs="Arial"/>
          <w:sz w:val="22"/>
        </w:rPr>
        <w:t xml:space="preserve">2DM </w:t>
      </w:r>
      <w:r w:rsidR="00AE5D58" w:rsidRPr="00220077">
        <w:rPr>
          <w:rFonts w:ascii="Arial" w:hAnsi="Arial" w:cs="Arial"/>
          <w:sz w:val="22"/>
        </w:rPr>
        <w:t>is a long-term condition caused by insulin resistance and impaired glucose regulation. Its management relies on a balance of medication, healthy eating, regular physical activity, and ongoing self-monitoring. Evidence from recent studies (2020–2025) highlights that lifestyle interventions such as adopting a Mediterranean-style diet, maintaining a healthy weight, and engaging in regular exercise can effectively control blood sugar and reduce complications. Empowering individuals through education, digital self-management tools, and social support further improves long-term outcomes. Overall, early intervention, consistent self-care, and collaboration between health and social care professionals are key to improving wellbeing and preventing disease progression.</w:t>
      </w:r>
    </w:p>
    <w:p w14:paraId="5BCBB22C" w14:textId="7E8A924B" w:rsidR="001B7A40" w:rsidRPr="00086587" w:rsidRDefault="001B7A40" w:rsidP="00086587">
      <w:pPr>
        <w:spacing w:line="360" w:lineRule="auto"/>
        <w:jc w:val="both"/>
        <w:rPr>
          <w:rFonts w:ascii="Arial" w:hAnsi="Arial" w:cs="Arial"/>
          <w:sz w:val="22"/>
        </w:rPr>
      </w:pPr>
      <w:r w:rsidRPr="00086587">
        <w:rPr>
          <w:rFonts w:ascii="Arial" w:hAnsi="Arial" w:cs="Arial"/>
          <w:sz w:val="22"/>
        </w:rPr>
        <w:br w:type="page"/>
      </w:r>
    </w:p>
    <w:p w14:paraId="40F036AE" w14:textId="600811B1" w:rsidR="00AC285B" w:rsidRPr="00AC285B" w:rsidRDefault="00AC285B" w:rsidP="00314DF8">
      <w:pPr>
        <w:pStyle w:val="Heading1"/>
      </w:pPr>
      <w:bookmarkStart w:id="40" w:name="_Toc215784423"/>
      <w:r w:rsidRPr="00AC285B">
        <w:lastRenderedPageBreak/>
        <w:t>References</w:t>
      </w:r>
      <w:bookmarkEnd w:id="40"/>
    </w:p>
    <w:p w14:paraId="6B197159" w14:textId="78E73F0F" w:rsidR="00EE0103" w:rsidRDefault="00EE0103" w:rsidP="00086587">
      <w:pPr>
        <w:spacing w:line="360" w:lineRule="auto"/>
        <w:jc w:val="both"/>
        <w:rPr>
          <w:rFonts w:ascii="Arial" w:hAnsi="Arial" w:cs="Arial"/>
          <w:sz w:val="22"/>
        </w:rPr>
      </w:pPr>
    </w:p>
    <w:p w14:paraId="27462D67" w14:textId="77777777" w:rsidR="002737BF" w:rsidRDefault="002737BF" w:rsidP="002737BF">
      <w:pPr>
        <w:spacing w:line="360" w:lineRule="auto"/>
        <w:jc w:val="both"/>
        <w:rPr>
          <w:rFonts w:ascii="Arial" w:hAnsi="Arial" w:cs="Arial"/>
          <w:sz w:val="22"/>
        </w:rPr>
      </w:pPr>
      <w:r w:rsidRPr="002737BF">
        <w:rPr>
          <w:rFonts w:ascii="Arial" w:hAnsi="Arial" w:cs="Arial"/>
          <w:sz w:val="22"/>
        </w:rPr>
        <w:t>Diabetes UK (2020). </w:t>
      </w:r>
      <w:r w:rsidRPr="002737BF">
        <w:rPr>
          <w:rFonts w:ascii="Arial" w:hAnsi="Arial" w:cs="Arial"/>
          <w:i/>
          <w:iCs/>
          <w:sz w:val="22"/>
        </w:rPr>
        <w:t>Diabetes Risk Factors</w:t>
      </w:r>
      <w:r w:rsidRPr="002737BF">
        <w:rPr>
          <w:rFonts w:ascii="Arial" w:hAnsi="Arial" w:cs="Arial"/>
          <w:sz w:val="22"/>
        </w:rPr>
        <w:t xml:space="preserve">. [online] Diabetes UK. Available at: </w:t>
      </w:r>
      <w:hyperlink r:id="rId12" w:history="1">
        <w:r w:rsidRPr="002737BF">
          <w:rPr>
            <w:rStyle w:val="Hyperlink"/>
            <w:rFonts w:ascii="Arial" w:hAnsi="Arial" w:cs="Arial"/>
            <w:sz w:val="22"/>
          </w:rPr>
          <w:t>https://www.diabetes.org.uk/about-diabetes/type-2-diabetes/diabetes-risk-factors</w:t>
        </w:r>
      </w:hyperlink>
      <w:r w:rsidRPr="002737BF">
        <w:rPr>
          <w:rFonts w:ascii="Arial" w:hAnsi="Arial" w:cs="Arial"/>
          <w:sz w:val="22"/>
        </w:rPr>
        <w:t>.</w:t>
      </w:r>
      <w:r>
        <w:rPr>
          <w:rFonts w:ascii="Arial" w:hAnsi="Arial" w:cs="Arial"/>
          <w:sz w:val="22"/>
        </w:rPr>
        <w:t xml:space="preserve"> </w:t>
      </w:r>
      <w:r w:rsidRPr="00086587">
        <w:rPr>
          <w:rFonts w:ascii="Arial" w:hAnsi="Arial" w:cs="Arial"/>
          <w:sz w:val="22"/>
        </w:rPr>
        <w:t>(Accessed 20</w:t>
      </w:r>
      <w:r w:rsidRPr="00086587">
        <w:rPr>
          <w:rFonts w:ascii="Arial" w:hAnsi="Arial" w:cs="Arial"/>
          <w:sz w:val="22"/>
          <w:vertAlign w:val="superscript"/>
        </w:rPr>
        <w:t>th</w:t>
      </w:r>
      <w:r w:rsidRPr="00086587">
        <w:rPr>
          <w:rFonts w:ascii="Arial" w:hAnsi="Arial" w:cs="Arial"/>
          <w:sz w:val="22"/>
        </w:rPr>
        <w:t xml:space="preserve"> November 2025).</w:t>
      </w:r>
    </w:p>
    <w:p w14:paraId="7304E39B" w14:textId="5A5F7AF3" w:rsidR="00203C95" w:rsidRPr="00086587" w:rsidRDefault="00252F11" w:rsidP="00086587">
      <w:pPr>
        <w:spacing w:line="360" w:lineRule="auto"/>
        <w:jc w:val="both"/>
        <w:rPr>
          <w:rFonts w:ascii="Arial" w:hAnsi="Arial" w:cs="Arial"/>
          <w:sz w:val="22"/>
        </w:rPr>
      </w:pPr>
      <w:r w:rsidRPr="00086587">
        <w:rPr>
          <w:rFonts w:ascii="Arial" w:hAnsi="Arial" w:cs="Arial"/>
          <w:sz w:val="22"/>
        </w:rPr>
        <w:t>CDC (2024). </w:t>
      </w:r>
      <w:r w:rsidRPr="00086587">
        <w:rPr>
          <w:rFonts w:ascii="Arial" w:hAnsi="Arial" w:cs="Arial"/>
          <w:i/>
          <w:iCs/>
          <w:sz w:val="22"/>
        </w:rPr>
        <w:t>About Insulin Resistance and Type 2 Diabetes</w:t>
      </w:r>
      <w:r w:rsidRPr="00086587">
        <w:rPr>
          <w:rFonts w:ascii="Arial" w:hAnsi="Arial" w:cs="Arial"/>
          <w:sz w:val="22"/>
        </w:rPr>
        <w:t xml:space="preserve">. [online] Diabetes. Available at: </w:t>
      </w:r>
      <w:hyperlink r:id="rId13" w:history="1">
        <w:r w:rsidR="00203C95" w:rsidRPr="00086587">
          <w:rPr>
            <w:rStyle w:val="Hyperlink"/>
            <w:rFonts w:ascii="Arial" w:hAnsi="Arial" w:cs="Arial"/>
            <w:sz w:val="22"/>
          </w:rPr>
          <w:t>https://www.cdc.gov/diabetes/about/insulin-resistance-type-2-diabetes.html</w:t>
        </w:r>
      </w:hyperlink>
      <w:r w:rsidRPr="00086587">
        <w:rPr>
          <w:rFonts w:ascii="Arial" w:hAnsi="Arial" w:cs="Arial"/>
          <w:sz w:val="22"/>
        </w:rPr>
        <w:t>.</w:t>
      </w:r>
      <w:r w:rsidR="00EE74EF" w:rsidRPr="00086587">
        <w:rPr>
          <w:rFonts w:ascii="Arial" w:hAnsi="Arial" w:cs="Arial"/>
          <w:sz w:val="22"/>
        </w:rPr>
        <w:t xml:space="preserve"> (Accessed 20</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28352DC7" w14:textId="77777777" w:rsidR="002737BF" w:rsidRDefault="00203C95" w:rsidP="00086587">
      <w:pPr>
        <w:spacing w:line="360" w:lineRule="auto"/>
        <w:jc w:val="both"/>
        <w:rPr>
          <w:rFonts w:ascii="Arial" w:hAnsi="Arial" w:cs="Arial"/>
          <w:sz w:val="22"/>
        </w:rPr>
      </w:pPr>
      <w:r w:rsidRPr="00086587">
        <w:rPr>
          <w:rFonts w:ascii="Arial" w:hAnsi="Arial" w:cs="Arial"/>
          <w:sz w:val="22"/>
        </w:rPr>
        <w:t>‌</w:t>
      </w:r>
      <w:r w:rsidR="004A5D7C" w:rsidRPr="00086587">
        <w:rPr>
          <w:rFonts w:ascii="Arial" w:hAnsi="Arial" w:cs="Arial"/>
          <w:sz w:val="22"/>
        </w:rPr>
        <w:t>Care Learning (2025). </w:t>
      </w:r>
      <w:r w:rsidR="004A5D7C" w:rsidRPr="00086587">
        <w:rPr>
          <w:rFonts w:ascii="Arial" w:hAnsi="Arial" w:cs="Arial"/>
          <w:i/>
          <w:iCs/>
          <w:sz w:val="22"/>
        </w:rPr>
        <w:t>4.1. Explain the regulation of blood sugar – Care Learning</w:t>
      </w:r>
      <w:r w:rsidR="004A5D7C" w:rsidRPr="00086587">
        <w:rPr>
          <w:rFonts w:ascii="Arial" w:hAnsi="Arial" w:cs="Arial"/>
          <w:sz w:val="22"/>
        </w:rPr>
        <w:t xml:space="preserve">. [online] Care Learning. Available at: </w:t>
      </w:r>
      <w:hyperlink r:id="rId14" w:history="1">
        <w:r w:rsidR="00E2042F" w:rsidRPr="00086587">
          <w:rPr>
            <w:rStyle w:val="Hyperlink"/>
            <w:rFonts w:ascii="Arial" w:hAnsi="Arial" w:cs="Arial"/>
            <w:sz w:val="22"/>
          </w:rPr>
          <w:t>https://carelearning.org.uk/qualifications/level-3-extended-hsc/hsccmo2-biochemistry/4-1-explain-the-regulation-of-blood-sugar/</w:t>
        </w:r>
      </w:hyperlink>
      <w:r w:rsidR="004A5D7C" w:rsidRPr="00086587">
        <w:rPr>
          <w:rFonts w:ascii="Arial" w:hAnsi="Arial" w:cs="Arial"/>
          <w:sz w:val="22"/>
        </w:rPr>
        <w:t>.</w:t>
      </w:r>
      <w:r w:rsidR="00EE74EF" w:rsidRPr="00086587">
        <w:rPr>
          <w:rFonts w:ascii="Arial" w:hAnsi="Arial" w:cs="Arial"/>
          <w:sz w:val="22"/>
        </w:rPr>
        <w:t xml:space="preserve"> (Accessed 20</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12387985" w14:textId="77777777" w:rsidR="002737BF" w:rsidRDefault="00733BA7" w:rsidP="00086587">
      <w:pPr>
        <w:spacing w:line="360" w:lineRule="auto"/>
        <w:jc w:val="both"/>
        <w:rPr>
          <w:rFonts w:ascii="Arial" w:hAnsi="Arial" w:cs="Arial"/>
          <w:sz w:val="22"/>
        </w:rPr>
      </w:pPr>
      <w:r w:rsidRPr="00086587">
        <w:rPr>
          <w:rFonts w:ascii="Arial" w:hAnsi="Arial" w:cs="Arial"/>
          <w:sz w:val="22"/>
        </w:rPr>
        <w:t>Yadav, M. (2022). Diet, sleep and exercise: The keystones of healthy lifestyle for medical students. </w:t>
      </w:r>
      <w:r w:rsidRPr="00086587">
        <w:rPr>
          <w:rFonts w:ascii="Arial" w:hAnsi="Arial" w:cs="Arial"/>
          <w:i/>
          <w:iCs/>
          <w:sz w:val="22"/>
        </w:rPr>
        <w:t>Journal of Nepal Medical Association</w:t>
      </w:r>
      <w:r w:rsidRPr="00086587">
        <w:rPr>
          <w:rFonts w:ascii="Arial" w:hAnsi="Arial" w:cs="Arial"/>
          <w:sz w:val="22"/>
        </w:rPr>
        <w:t xml:space="preserve">, [online] 60(253), pp.841–843. </w:t>
      </w:r>
      <w:proofErr w:type="spellStart"/>
      <w:proofErr w:type="gramStart"/>
      <w:r w:rsidRPr="00086587">
        <w:rPr>
          <w:rFonts w:ascii="Arial" w:hAnsi="Arial" w:cs="Arial"/>
          <w:sz w:val="22"/>
        </w:rPr>
        <w:t>doi:https</w:t>
      </w:r>
      <w:proofErr w:type="spellEnd"/>
      <w:r w:rsidRPr="00086587">
        <w:rPr>
          <w:rFonts w:ascii="Arial" w:hAnsi="Arial" w:cs="Arial"/>
          <w:sz w:val="22"/>
        </w:rPr>
        <w:t>://doi.org/10.31729/jnma.7355</w:t>
      </w:r>
      <w:proofErr w:type="gramEnd"/>
      <w:r w:rsidRPr="00086587">
        <w:rPr>
          <w:rFonts w:ascii="Arial" w:hAnsi="Arial" w:cs="Arial"/>
          <w:sz w:val="22"/>
        </w:rPr>
        <w:t>.</w:t>
      </w:r>
      <w:r w:rsidR="00EE74EF" w:rsidRPr="00086587">
        <w:rPr>
          <w:rFonts w:ascii="Arial" w:hAnsi="Arial" w:cs="Arial"/>
          <w:sz w:val="22"/>
        </w:rPr>
        <w:t xml:space="preserve"> (Accessed 21</w:t>
      </w:r>
      <w:proofErr w:type="gramStart"/>
      <w:r w:rsidR="00564E4C" w:rsidRPr="00086587">
        <w:rPr>
          <w:rFonts w:ascii="Arial" w:hAnsi="Arial" w:cs="Arial"/>
          <w:sz w:val="22"/>
          <w:vertAlign w:val="superscript"/>
        </w:rPr>
        <w:t>st</w:t>
      </w:r>
      <w:r w:rsidR="00564E4C" w:rsidRPr="00086587">
        <w:rPr>
          <w:rFonts w:ascii="Arial" w:hAnsi="Arial" w:cs="Arial"/>
          <w:sz w:val="22"/>
        </w:rPr>
        <w:t xml:space="preserve"> </w:t>
      </w:r>
      <w:r w:rsidR="00EE74EF" w:rsidRPr="00086587">
        <w:rPr>
          <w:rFonts w:ascii="Arial" w:hAnsi="Arial" w:cs="Arial"/>
          <w:sz w:val="22"/>
        </w:rPr>
        <w:t xml:space="preserve"> November</w:t>
      </w:r>
      <w:proofErr w:type="gramEnd"/>
      <w:r w:rsidR="00EE74EF" w:rsidRPr="00086587">
        <w:rPr>
          <w:rFonts w:ascii="Arial" w:hAnsi="Arial" w:cs="Arial"/>
          <w:sz w:val="22"/>
        </w:rPr>
        <w:t xml:space="preserve"> 2025).</w:t>
      </w:r>
    </w:p>
    <w:p w14:paraId="1931FB72" w14:textId="38B4FC1B" w:rsidR="00DB6066" w:rsidRPr="00086587" w:rsidRDefault="00FD494A" w:rsidP="00086587">
      <w:pPr>
        <w:spacing w:line="360" w:lineRule="auto"/>
        <w:jc w:val="both"/>
        <w:rPr>
          <w:rFonts w:ascii="Arial" w:hAnsi="Arial" w:cs="Arial"/>
          <w:sz w:val="22"/>
        </w:rPr>
      </w:pPr>
      <w:r w:rsidRPr="00086587">
        <w:rPr>
          <w:rFonts w:ascii="Arial" w:hAnsi="Arial" w:cs="Arial"/>
          <w:sz w:val="22"/>
        </w:rPr>
        <w:t xml:space="preserve"> </w:t>
      </w:r>
      <w:r w:rsidR="00DB6066" w:rsidRPr="00086587">
        <w:rPr>
          <w:rFonts w:ascii="Arial" w:hAnsi="Arial" w:cs="Arial"/>
          <w:sz w:val="22"/>
        </w:rPr>
        <w:t>Ahmed, A., Tsiami, A. and Khan, H.T.A. (2023). Effects of dietary and lifestyle management on type 2 diabetes development among ethnic minority adults living in the UK: A generational shift. </w:t>
      </w:r>
      <w:r w:rsidR="00DB6066" w:rsidRPr="00086587">
        <w:rPr>
          <w:rFonts w:ascii="Arial" w:hAnsi="Arial" w:cs="Arial"/>
          <w:i/>
          <w:iCs/>
          <w:sz w:val="22"/>
        </w:rPr>
        <w:t>International Journal of Gastronomy and Food Science</w:t>
      </w:r>
      <w:r w:rsidR="00DB6066" w:rsidRPr="00086587">
        <w:rPr>
          <w:rFonts w:ascii="Arial" w:hAnsi="Arial" w:cs="Arial"/>
          <w:sz w:val="22"/>
        </w:rPr>
        <w:t xml:space="preserve">, 31, p.100634. </w:t>
      </w:r>
      <w:proofErr w:type="spellStart"/>
      <w:proofErr w:type="gramStart"/>
      <w:r w:rsidR="00DB6066" w:rsidRPr="00086587">
        <w:rPr>
          <w:rFonts w:ascii="Arial" w:hAnsi="Arial" w:cs="Arial"/>
          <w:sz w:val="22"/>
        </w:rPr>
        <w:t>doi:https</w:t>
      </w:r>
      <w:proofErr w:type="spellEnd"/>
      <w:r w:rsidR="00DB6066" w:rsidRPr="00086587">
        <w:rPr>
          <w:rFonts w:ascii="Arial" w:hAnsi="Arial" w:cs="Arial"/>
          <w:sz w:val="22"/>
        </w:rPr>
        <w:t>://doi.org/10.1016/j.ijgfs.2022.100634</w:t>
      </w:r>
      <w:proofErr w:type="gramEnd"/>
      <w:r w:rsidR="00EE74EF" w:rsidRPr="00086587">
        <w:rPr>
          <w:rFonts w:ascii="Arial" w:hAnsi="Arial" w:cs="Arial"/>
          <w:sz w:val="22"/>
        </w:rPr>
        <w:t xml:space="preserve">. (Accessed </w:t>
      </w:r>
      <w:r w:rsidR="00564E4C" w:rsidRPr="00086587">
        <w:rPr>
          <w:rFonts w:ascii="Arial" w:hAnsi="Arial" w:cs="Arial"/>
          <w:sz w:val="22"/>
        </w:rPr>
        <w:t>21</w:t>
      </w:r>
      <w:r w:rsidR="00564E4C" w:rsidRPr="00086587">
        <w:rPr>
          <w:rFonts w:ascii="Arial" w:hAnsi="Arial" w:cs="Arial"/>
          <w:sz w:val="22"/>
          <w:vertAlign w:val="superscript"/>
        </w:rPr>
        <w:t>st</w:t>
      </w:r>
      <w:r w:rsidR="00564E4C" w:rsidRPr="00086587">
        <w:rPr>
          <w:rFonts w:ascii="Arial" w:hAnsi="Arial" w:cs="Arial"/>
          <w:sz w:val="22"/>
        </w:rPr>
        <w:t xml:space="preserve"> </w:t>
      </w:r>
      <w:r w:rsidR="00EE74EF" w:rsidRPr="00086587">
        <w:rPr>
          <w:rFonts w:ascii="Arial" w:hAnsi="Arial" w:cs="Arial"/>
          <w:sz w:val="22"/>
        </w:rPr>
        <w:t>November 2025).</w:t>
      </w:r>
    </w:p>
    <w:p w14:paraId="707ADA59" w14:textId="18300923" w:rsidR="00DD1F59" w:rsidRPr="00086587" w:rsidRDefault="00DD1F59" w:rsidP="00086587">
      <w:pPr>
        <w:spacing w:line="360" w:lineRule="auto"/>
        <w:jc w:val="both"/>
        <w:rPr>
          <w:rFonts w:ascii="Arial" w:hAnsi="Arial" w:cs="Arial"/>
          <w:sz w:val="22"/>
        </w:rPr>
      </w:pPr>
      <w:r w:rsidRPr="00086587">
        <w:rPr>
          <w:rFonts w:ascii="Arial" w:hAnsi="Arial" w:cs="Arial"/>
          <w:sz w:val="22"/>
        </w:rPr>
        <w:t>Uhl, S., Choure, A., Rouse, B., Loblack, A. and Reaven, P. (2023). Effectiveness of continuous glucose monitoring on metrics of glycemic control in type 2 diabetes mellitus: A systematic review and meta-analysis of randomized controlled trials. </w:t>
      </w:r>
      <w:r w:rsidRPr="00086587">
        <w:rPr>
          <w:rFonts w:ascii="Arial" w:hAnsi="Arial" w:cs="Arial"/>
          <w:i/>
          <w:iCs/>
          <w:sz w:val="22"/>
        </w:rPr>
        <w:t>The Journal of Clinical Endocrinology and Metabolism</w:t>
      </w:r>
      <w:r w:rsidRPr="00086587">
        <w:rPr>
          <w:rFonts w:ascii="Arial" w:hAnsi="Arial" w:cs="Arial"/>
          <w:sz w:val="22"/>
        </w:rPr>
        <w:t xml:space="preserve">, [online] 109(4), </w:t>
      </w:r>
      <w:proofErr w:type="gramStart"/>
      <w:r w:rsidRPr="00086587">
        <w:rPr>
          <w:rFonts w:ascii="Arial" w:hAnsi="Arial" w:cs="Arial"/>
          <w:sz w:val="22"/>
        </w:rPr>
        <w:t>p.dgad</w:t>
      </w:r>
      <w:proofErr w:type="gramEnd"/>
      <w:r w:rsidRPr="00086587">
        <w:rPr>
          <w:rFonts w:ascii="Arial" w:hAnsi="Arial" w:cs="Arial"/>
          <w:sz w:val="22"/>
        </w:rPr>
        <w:t xml:space="preserve">652. </w:t>
      </w:r>
      <w:proofErr w:type="spellStart"/>
      <w:proofErr w:type="gramStart"/>
      <w:r w:rsidRPr="00086587">
        <w:rPr>
          <w:rFonts w:ascii="Arial" w:hAnsi="Arial" w:cs="Arial"/>
          <w:sz w:val="22"/>
        </w:rPr>
        <w:t>doi:https</w:t>
      </w:r>
      <w:proofErr w:type="spellEnd"/>
      <w:r w:rsidRPr="00086587">
        <w:rPr>
          <w:rFonts w:ascii="Arial" w:hAnsi="Arial" w:cs="Arial"/>
          <w:sz w:val="22"/>
        </w:rPr>
        <w:t>://doi.org/10.1210/</w:t>
      </w:r>
      <w:proofErr w:type="spellStart"/>
      <w:r w:rsidRPr="00086587">
        <w:rPr>
          <w:rFonts w:ascii="Arial" w:hAnsi="Arial" w:cs="Arial"/>
          <w:sz w:val="22"/>
        </w:rPr>
        <w:t>clinem</w:t>
      </w:r>
      <w:proofErr w:type="spellEnd"/>
      <w:r w:rsidRPr="00086587">
        <w:rPr>
          <w:rFonts w:ascii="Arial" w:hAnsi="Arial" w:cs="Arial"/>
          <w:sz w:val="22"/>
        </w:rPr>
        <w:t>/dgad652</w:t>
      </w:r>
      <w:proofErr w:type="gramEnd"/>
      <w:r w:rsidRPr="00086587">
        <w:rPr>
          <w:rFonts w:ascii="Arial" w:hAnsi="Arial" w:cs="Arial"/>
          <w:sz w:val="22"/>
        </w:rPr>
        <w:t>.</w:t>
      </w:r>
      <w:r w:rsidR="00EE74EF" w:rsidRPr="00086587">
        <w:rPr>
          <w:rFonts w:ascii="Arial" w:hAnsi="Arial" w:cs="Arial"/>
          <w:sz w:val="22"/>
        </w:rPr>
        <w:t xml:space="preserve"> (Accessed </w:t>
      </w:r>
      <w:r w:rsidR="00564E4C" w:rsidRPr="00086587">
        <w:rPr>
          <w:rFonts w:ascii="Arial" w:hAnsi="Arial" w:cs="Arial"/>
          <w:sz w:val="22"/>
        </w:rPr>
        <w:t>23</w:t>
      </w:r>
      <w:proofErr w:type="gramStart"/>
      <w:r w:rsidR="00564E4C" w:rsidRPr="00086587">
        <w:rPr>
          <w:rFonts w:ascii="Arial" w:hAnsi="Arial" w:cs="Arial"/>
          <w:sz w:val="22"/>
          <w:vertAlign w:val="superscript"/>
        </w:rPr>
        <w:t>rd</w:t>
      </w:r>
      <w:r w:rsidR="00564E4C" w:rsidRPr="00086587">
        <w:rPr>
          <w:rFonts w:ascii="Arial" w:hAnsi="Arial" w:cs="Arial"/>
          <w:sz w:val="22"/>
        </w:rPr>
        <w:t xml:space="preserve"> </w:t>
      </w:r>
      <w:r w:rsidR="00EE74EF" w:rsidRPr="00086587">
        <w:rPr>
          <w:rFonts w:ascii="Arial" w:hAnsi="Arial" w:cs="Arial"/>
          <w:sz w:val="22"/>
        </w:rPr>
        <w:t xml:space="preserve"> November</w:t>
      </w:r>
      <w:proofErr w:type="gramEnd"/>
      <w:r w:rsidR="00EE74EF" w:rsidRPr="00086587">
        <w:rPr>
          <w:rFonts w:ascii="Arial" w:hAnsi="Arial" w:cs="Arial"/>
          <w:sz w:val="22"/>
        </w:rPr>
        <w:t xml:space="preserve"> 2025).</w:t>
      </w:r>
    </w:p>
    <w:p w14:paraId="0F34C393" w14:textId="1E6DD1AD" w:rsidR="00DD1F59" w:rsidRPr="00086587" w:rsidRDefault="00DD1F59" w:rsidP="00086587">
      <w:pPr>
        <w:spacing w:line="360" w:lineRule="auto"/>
        <w:jc w:val="both"/>
        <w:rPr>
          <w:rFonts w:ascii="Arial" w:hAnsi="Arial" w:cs="Arial"/>
          <w:sz w:val="22"/>
        </w:rPr>
      </w:pPr>
      <w:r w:rsidRPr="00086587">
        <w:rPr>
          <w:rFonts w:ascii="Arial" w:hAnsi="Arial" w:cs="Arial"/>
          <w:sz w:val="22"/>
        </w:rPr>
        <w:t>Morris-Murray, M. and Frazzitta, M. (2024). Using continuous glucose monitoring to measure and improve quality metrics: Updates on the Healthcare Effectiveness Data and Information Set 2024 Glucose Management Indicator measure. </w:t>
      </w:r>
      <w:r w:rsidRPr="00086587">
        <w:rPr>
          <w:rFonts w:ascii="Arial" w:hAnsi="Arial" w:cs="Arial"/>
          <w:i/>
          <w:iCs/>
          <w:sz w:val="22"/>
        </w:rPr>
        <w:t>Journal of Managed Care &amp; Specialty Pharmacy</w:t>
      </w:r>
      <w:r w:rsidRPr="00086587">
        <w:rPr>
          <w:rFonts w:ascii="Arial" w:hAnsi="Arial" w:cs="Arial"/>
          <w:sz w:val="22"/>
        </w:rPr>
        <w:t xml:space="preserve">, 30(10-b Suppl), </w:t>
      </w:r>
      <w:proofErr w:type="gramStart"/>
      <w:r w:rsidRPr="00086587">
        <w:rPr>
          <w:rFonts w:ascii="Arial" w:hAnsi="Arial" w:cs="Arial"/>
          <w:sz w:val="22"/>
        </w:rPr>
        <w:t>pp.S</w:t>
      </w:r>
      <w:proofErr w:type="gramEnd"/>
      <w:r w:rsidRPr="00086587">
        <w:rPr>
          <w:rFonts w:ascii="Arial" w:hAnsi="Arial" w:cs="Arial"/>
          <w:sz w:val="22"/>
        </w:rPr>
        <w:t xml:space="preserve">30–S39. </w:t>
      </w:r>
      <w:proofErr w:type="spellStart"/>
      <w:proofErr w:type="gramStart"/>
      <w:r w:rsidRPr="00086587">
        <w:rPr>
          <w:rFonts w:ascii="Arial" w:hAnsi="Arial" w:cs="Arial"/>
          <w:sz w:val="22"/>
        </w:rPr>
        <w:t>doi:https</w:t>
      </w:r>
      <w:proofErr w:type="spellEnd"/>
      <w:r w:rsidRPr="00086587">
        <w:rPr>
          <w:rFonts w:ascii="Arial" w:hAnsi="Arial" w:cs="Arial"/>
          <w:sz w:val="22"/>
        </w:rPr>
        <w:t>://doi.org/10.18553/jmcp.2024.30.10-b.s30</w:t>
      </w:r>
      <w:proofErr w:type="gramEnd"/>
      <w:r w:rsidRPr="00086587">
        <w:rPr>
          <w:rFonts w:ascii="Arial" w:hAnsi="Arial" w:cs="Arial"/>
          <w:sz w:val="22"/>
        </w:rPr>
        <w:t>.</w:t>
      </w:r>
      <w:r w:rsidR="00EE74EF" w:rsidRPr="00086587">
        <w:rPr>
          <w:rFonts w:ascii="Arial" w:hAnsi="Arial" w:cs="Arial"/>
          <w:sz w:val="22"/>
        </w:rPr>
        <w:t xml:space="preserve"> (Accessed </w:t>
      </w:r>
      <w:r w:rsidR="00564E4C" w:rsidRPr="00086587">
        <w:rPr>
          <w:rFonts w:ascii="Arial" w:hAnsi="Arial" w:cs="Arial"/>
          <w:sz w:val="22"/>
        </w:rPr>
        <w:t>23</w:t>
      </w:r>
      <w:proofErr w:type="gramStart"/>
      <w:r w:rsidR="00564E4C" w:rsidRPr="00086587">
        <w:rPr>
          <w:rFonts w:ascii="Arial" w:hAnsi="Arial" w:cs="Arial"/>
          <w:sz w:val="22"/>
          <w:vertAlign w:val="superscript"/>
        </w:rPr>
        <w:t>rd</w:t>
      </w:r>
      <w:r w:rsidR="00564E4C" w:rsidRPr="00086587">
        <w:rPr>
          <w:rFonts w:ascii="Arial" w:hAnsi="Arial" w:cs="Arial"/>
          <w:sz w:val="22"/>
        </w:rPr>
        <w:t xml:space="preserve"> </w:t>
      </w:r>
      <w:r w:rsidR="00EE74EF" w:rsidRPr="00086587">
        <w:rPr>
          <w:rFonts w:ascii="Arial" w:hAnsi="Arial" w:cs="Arial"/>
          <w:sz w:val="22"/>
        </w:rPr>
        <w:t xml:space="preserve"> November</w:t>
      </w:r>
      <w:proofErr w:type="gramEnd"/>
      <w:r w:rsidR="00EE74EF" w:rsidRPr="00086587">
        <w:rPr>
          <w:rFonts w:ascii="Arial" w:hAnsi="Arial" w:cs="Arial"/>
          <w:sz w:val="22"/>
        </w:rPr>
        <w:t xml:space="preserve"> 2025).</w:t>
      </w:r>
    </w:p>
    <w:p w14:paraId="72484BAF" w14:textId="60F140A6" w:rsidR="00DB76E3" w:rsidRPr="00086587" w:rsidRDefault="00DB76E3" w:rsidP="00086587">
      <w:pPr>
        <w:spacing w:line="360" w:lineRule="auto"/>
        <w:jc w:val="both"/>
        <w:rPr>
          <w:rFonts w:ascii="Arial" w:hAnsi="Arial" w:cs="Arial"/>
          <w:sz w:val="22"/>
        </w:rPr>
      </w:pPr>
      <w:r w:rsidRPr="00086587">
        <w:rPr>
          <w:rFonts w:ascii="Arial" w:hAnsi="Arial" w:cs="Arial"/>
          <w:sz w:val="22"/>
        </w:rPr>
        <w:t>Kerr, D., Ahn, D., Waki, K., Wang, J., Breznen, B. and Klonoff, D.C. (2024). Digital Interventions for Self-Management of Type 2 Diabetes Mellitus: Systematic Literature Review and Meta-Analysis. </w:t>
      </w:r>
      <w:r w:rsidRPr="00086587">
        <w:rPr>
          <w:rFonts w:ascii="Arial" w:hAnsi="Arial" w:cs="Arial"/>
          <w:i/>
          <w:iCs/>
          <w:sz w:val="22"/>
        </w:rPr>
        <w:t>Journal of Medical Internet Research</w:t>
      </w:r>
      <w:r w:rsidRPr="00086587">
        <w:rPr>
          <w:rFonts w:ascii="Arial" w:hAnsi="Arial" w:cs="Arial"/>
          <w:sz w:val="22"/>
        </w:rPr>
        <w:t xml:space="preserve">, [online] 26, p.e55757. </w:t>
      </w:r>
      <w:proofErr w:type="spellStart"/>
      <w:proofErr w:type="gramStart"/>
      <w:r w:rsidRPr="00086587">
        <w:rPr>
          <w:rFonts w:ascii="Arial" w:hAnsi="Arial" w:cs="Arial"/>
          <w:sz w:val="22"/>
        </w:rPr>
        <w:t>doi:https</w:t>
      </w:r>
      <w:proofErr w:type="spellEnd"/>
      <w:r w:rsidRPr="00086587">
        <w:rPr>
          <w:rFonts w:ascii="Arial" w:hAnsi="Arial" w:cs="Arial"/>
          <w:sz w:val="22"/>
        </w:rPr>
        <w:t>://doi.org/10.2196/55757</w:t>
      </w:r>
      <w:proofErr w:type="gramEnd"/>
      <w:r w:rsidRPr="00086587">
        <w:rPr>
          <w:rFonts w:ascii="Arial" w:hAnsi="Arial" w:cs="Arial"/>
          <w:sz w:val="22"/>
        </w:rPr>
        <w:t>.</w:t>
      </w:r>
      <w:r w:rsidR="00EE74EF" w:rsidRPr="00086587">
        <w:rPr>
          <w:rFonts w:ascii="Arial" w:hAnsi="Arial" w:cs="Arial"/>
          <w:sz w:val="22"/>
        </w:rPr>
        <w:t xml:space="preserve"> (Accessed 24</w:t>
      </w:r>
      <w:r w:rsidR="00EE74EF" w:rsidRPr="00086587">
        <w:rPr>
          <w:rFonts w:ascii="Arial" w:hAnsi="Arial" w:cs="Arial"/>
          <w:sz w:val="22"/>
          <w:vertAlign w:val="superscript"/>
        </w:rPr>
        <w:t>th</w:t>
      </w:r>
      <w:r w:rsidR="00EE74EF" w:rsidRPr="00086587">
        <w:rPr>
          <w:rFonts w:ascii="Arial" w:hAnsi="Arial" w:cs="Arial"/>
          <w:sz w:val="22"/>
        </w:rPr>
        <w:t xml:space="preserve"> November 2025).</w:t>
      </w:r>
    </w:p>
    <w:p w14:paraId="088D549F" w14:textId="2F6E65EB" w:rsidR="00CC1840" w:rsidRPr="00086587" w:rsidRDefault="00DB76E3" w:rsidP="00086587">
      <w:pPr>
        <w:spacing w:line="360" w:lineRule="auto"/>
        <w:jc w:val="both"/>
        <w:rPr>
          <w:rFonts w:ascii="Arial" w:eastAsia="Times New Roman" w:hAnsi="Arial" w:cs="Arial"/>
          <w:color w:val="000000"/>
          <w:sz w:val="22"/>
          <w:lang w:eastAsia="en-GB"/>
        </w:rPr>
      </w:pPr>
      <w:r w:rsidRPr="00086587">
        <w:rPr>
          <w:rFonts w:ascii="Arial" w:hAnsi="Arial" w:cs="Arial"/>
          <w:sz w:val="22"/>
        </w:rPr>
        <w:lastRenderedPageBreak/>
        <w:t>‌</w:t>
      </w:r>
      <w:proofErr w:type="spellStart"/>
      <w:r w:rsidR="00CC1840" w:rsidRPr="00086587">
        <w:rPr>
          <w:rFonts w:ascii="Arial" w:eastAsia="Times New Roman" w:hAnsi="Arial" w:cs="Arial"/>
          <w:color w:val="000000"/>
          <w:sz w:val="22"/>
          <w:lang w:eastAsia="en-GB"/>
        </w:rPr>
        <w:t>Colagiuri</w:t>
      </w:r>
      <w:proofErr w:type="spellEnd"/>
      <w:r w:rsidR="00CC1840" w:rsidRPr="00086587">
        <w:rPr>
          <w:rFonts w:ascii="Arial" w:eastAsia="Times New Roman" w:hAnsi="Arial" w:cs="Arial"/>
          <w:color w:val="000000"/>
          <w:sz w:val="22"/>
          <w:lang w:eastAsia="en-GB"/>
        </w:rPr>
        <w:t>, S. and Ceriello, A. (2025). 2. GLYCAEMIC CONTROL ASSESSMENT AND TARGETS IN TYPE 2 DIABETES. </w:t>
      </w:r>
      <w:r w:rsidR="00CC1840" w:rsidRPr="00086587">
        <w:rPr>
          <w:rFonts w:ascii="Arial" w:eastAsia="Times New Roman" w:hAnsi="Arial" w:cs="Arial"/>
          <w:i/>
          <w:iCs/>
          <w:color w:val="000000"/>
          <w:sz w:val="22"/>
          <w:lang w:eastAsia="en-GB"/>
        </w:rPr>
        <w:t>Diabetes Research and Clinical Practice</w:t>
      </w:r>
      <w:r w:rsidR="00CC1840" w:rsidRPr="00086587">
        <w:rPr>
          <w:rFonts w:ascii="Arial" w:eastAsia="Times New Roman" w:hAnsi="Arial" w:cs="Arial"/>
          <w:color w:val="000000"/>
          <w:sz w:val="22"/>
          <w:lang w:eastAsia="en-GB"/>
        </w:rPr>
        <w:t xml:space="preserve">, p.112146. </w:t>
      </w:r>
      <w:proofErr w:type="spellStart"/>
      <w:proofErr w:type="gramStart"/>
      <w:r w:rsidR="00CC1840" w:rsidRPr="00086587">
        <w:rPr>
          <w:rFonts w:ascii="Arial" w:eastAsia="Times New Roman" w:hAnsi="Arial" w:cs="Arial"/>
          <w:color w:val="000000"/>
          <w:sz w:val="22"/>
          <w:lang w:eastAsia="en-GB"/>
        </w:rPr>
        <w:t>doi:https</w:t>
      </w:r>
      <w:proofErr w:type="spellEnd"/>
      <w:r w:rsidR="00CC1840" w:rsidRPr="00086587">
        <w:rPr>
          <w:rFonts w:ascii="Arial" w:eastAsia="Times New Roman" w:hAnsi="Arial" w:cs="Arial"/>
          <w:color w:val="000000"/>
          <w:sz w:val="22"/>
          <w:lang w:eastAsia="en-GB"/>
        </w:rPr>
        <w:t>://doi.org/10.1016/j.diabres.2025.112146</w:t>
      </w:r>
      <w:proofErr w:type="gramEnd"/>
      <w:r w:rsidR="00CC1840" w:rsidRPr="00086587">
        <w:rPr>
          <w:rFonts w:ascii="Arial" w:eastAsia="Times New Roman" w:hAnsi="Arial" w:cs="Arial"/>
          <w:color w:val="000000"/>
          <w:sz w:val="22"/>
          <w:lang w:eastAsia="en-GB"/>
        </w:rPr>
        <w:t>.</w:t>
      </w:r>
      <w:r w:rsidR="00BC789B" w:rsidRPr="00086587">
        <w:rPr>
          <w:rFonts w:ascii="Arial" w:eastAsia="Times New Roman" w:hAnsi="Arial" w:cs="Arial"/>
          <w:color w:val="000000"/>
          <w:sz w:val="22"/>
          <w:lang w:eastAsia="en-GB"/>
        </w:rPr>
        <w:t xml:space="preserve"> (Accessed 24</w:t>
      </w:r>
      <w:r w:rsidR="00BC789B" w:rsidRPr="00086587">
        <w:rPr>
          <w:rFonts w:ascii="Arial" w:eastAsia="Times New Roman" w:hAnsi="Arial" w:cs="Arial"/>
          <w:color w:val="000000"/>
          <w:sz w:val="22"/>
          <w:vertAlign w:val="superscript"/>
          <w:lang w:eastAsia="en-GB"/>
        </w:rPr>
        <w:t>th</w:t>
      </w:r>
      <w:r w:rsidR="00BC789B" w:rsidRPr="00086587">
        <w:rPr>
          <w:rFonts w:ascii="Arial" w:eastAsia="Times New Roman" w:hAnsi="Arial" w:cs="Arial"/>
          <w:color w:val="000000"/>
          <w:sz w:val="22"/>
          <w:lang w:eastAsia="en-GB"/>
        </w:rPr>
        <w:t xml:space="preserve"> November 2025).</w:t>
      </w:r>
    </w:p>
    <w:p w14:paraId="469200AD" w14:textId="30FAFC42" w:rsidR="007F439E" w:rsidRPr="00086587" w:rsidRDefault="00CC1840" w:rsidP="00086587">
      <w:pPr>
        <w:spacing w:line="360" w:lineRule="auto"/>
        <w:jc w:val="both"/>
        <w:rPr>
          <w:rFonts w:ascii="Arial" w:hAnsi="Arial" w:cs="Arial"/>
          <w:sz w:val="22"/>
        </w:rPr>
      </w:pPr>
      <w:r w:rsidRPr="00086587">
        <w:rPr>
          <w:rFonts w:ascii="Arial" w:eastAsia="Times New Roman" w:hAnsi="Arial" w:cs="Arial"/>
          <w:color w:val="000000"/>
          <w:sz w:val="22"/>
          <w:lang w:eastAsia="en-GB"/>
        </w:rPr>
        <w:t>‌</w:t>
      </w:r>
      <w:r w:rsidR="007F439E" w:rsidRPr="00086587">
        <w:rPr>
          <w:rFonts w:ascii="Arial" w:hAnsi="Arial" w:cs="Arial"/>
          <w:sz w:val="22"/>
        </w:rPr>
        <w:t>NICE (2022). </w:t>
      </w:r>
      <w:r w:rsidR="007F439E" w:rsidRPr="00086587">
        <w:rPr>
          <w:rFonts w:ascii="Arial" w:hAnsi="Arial" w:cs="Arial"/>
          <w:i/>
          <w:iCs/>
          <w:sz w:val="22"/>
        </w:rPr>
        <w:t>Type 2 Diabetes in adults: Management</w:t>
      </w:r>
      <w:r w:rsidR="007F439E" w:rsidRPr="00086587">
        <w:rPr>
          <w:rFonts w:ascii="Arial" w:hAnsi="Arial" w:cs="Arial"/>
          <w:sz w:val="22"/>
        </w:rPr>
        <w:t xml:space="preserve">. [online] Nice.org.uk. Available at: </w:t>
      </w:r>
      <w:hyperlink r:id="rId15" w:history="1">
        <w:r w:rsidR="00C174D8" w:rsidRPr="00086587">
          <w:rPr>
            <w:rStyle w:val="Hyperlink"/>
            <w:rFonts w:ascii="Arial" w:hAnsi="Arial" w:cs="Arial"/>
            <w:sz w:val="22"/>
          </w:rPr>
          <w:t>https://www.nice.org.uk/guidance/ng28</w:t>
        </w:r>
      </w:hyperlink>
      <w:r w:rsidR="007F439E" w:rsidRPr="00086587">
        <w:rPr>
          <w:rFonts w:ascii="Arial" w:hAnsi="Arial" w:cs="Arial"/>
          <w:sz w:val="22"/>
        </w:rPr>
        <w:t>.</w:t>
      </w:r>
      <w:r w:rsidR="00BC789B" w:rsidRPr="00086587">
        <w:rPr>
          <w:rFonts w:ascii="Arial" w:hAnsi="Arial" w:cs="Arial"/>
          <w:sz w:val="22"/>
        </w:rPr>
        <w:t xml:space="preserve"> (Accessed 25</w:t>
      </w:r>
      <w:r w:rsidR="00BC789B" w:rsidRPr="00086587">
        <w:rPr>
          <w:rFonts w:ascii="Arial" w:hAnsi="Arial" w:cs="Arial"/>
          <w:sz w:val="22"/>
          <w:vertAlign w:val="superscript"/>
        </w:rPr>
        <w:t>th</w:t>
      </w:r>
      <w:r w:rsidR="00BC789B" w:rsidRPr="00086587">
        <w:rPr>
          <w:rFonts w:ascii="Arial" w:hAnsi="Arial" w:cs="Arial"/>
          <w:sz w:val="22"/>
        </w:rPr>
        <w:t xml:space="preserve"> November 2025).</w:t>
      </w:r>
    </w:p>
    <w:p w14:paraId="002A0568" w14:textId="4BEB175E" w:rsidR="00C174D8" w:rsidRPr="00086587" w:rsidRDefault="00255096" w:rsidP="00086587">
      <w:pPr>
        <w:spacing w:line="360" w:lineRule="auto"/>
        <w:jc w:val="both"/>
        <w:rPr>
          <w:rFonts w:ascii="Arial" w:eastAsia="Times New Roman" w:hAnsi="Arial" w:cs="Arial"/>
          <w:color w:val="000000"/>
          <w:sz w:val="22"/>
          <w:lang w:eastAsia="en-GB"/>
        </w:rPr>
      </w:pPr>
      <w:r w:rsidRPr="00255096">
        <w:rPr>
          <w:rFonts w:ascii="Arial" w:eastAsia="Times New Roman" w:hAnsi="Arial" w:cs="Arial"/>
          <w:color w:val="000000"/>
          <w:sz w:val="22"/>
          <w:lang w:eastAsia="en-GB"/>
        </w:rPr>
        <w:t xml:space="preserve">Heath, L., Jebb, S.A., Aveyard, P. and </w:t>
      </w:r>
      <w:proofErr w:type="spellStart"/>
      <w:r w:rsidRPr="00255096">
        <w:rPr>
          <w:rFonts w:ascii="Arial" w:eastAsia="Times New Roman" w:hAnsi="Arial" w:cs="Arial"/>
          <w:color w:val="000000"/>
          <w:sz w:val="22"/>
          <w:lang w:eastAsia="en-GB"/>
        </w:rPr>
        <w:t>Piernas</w:t>
      </w:r>
      <w:proofErr w:type="spellEnd"/>
      <w:r w:rsidRPr="00255096">
        <w:rPr>
          <w:rFonts w:ascii="Arial" w:eastAsia="Times New Roman" w:hAnsi="Arial" w:cs="Arial"/>
          <w:color w:val="000000"/>
          <w:sz w:val="22"/>
          <w:lang w:eastAsia="en-GB"/>
        </w:rPr>
        <w:t>, C. (2022). Obesity, metabolic risk and adherence to healthy lifestyle behaviours: prospective cohort study in the UK Biobank. </w:t>
      </w:r>
      <w:r w:rsidRPr="00255096">
        <w:rPr>
          <w:rFonts w:ascii="Arial" w:eastAsia="Times New Roman" w:hAnsi="Arial" w:cs="Arial"/>
          <w:i/>
          <w:iCs/>
          <w:color w:val="000000"/>
          <w:sz w:val="22"/>
          <w:lang w:eastAsia="en-GB"/>
        </w:rPr>
        <w:t>BMC Medicine</w:t>
      </w:r>
      <w:r w:rsidRPr="00255096">
        <w:rPr>
          <w:rFonts w:ascii="Arial" w:eastAsia="Times New Roman" w:hAnsi="Arial" w:cs="Arial"/>
          <w:color w:val="000000"/>
          <w:sz w:val="22"/>
          <w:lang w:eastAsia="en-GB"/>
        </w:rPr>
        <w:t xml:space="preserve">, 20(1). </w:t>
      </w:r>
      <w:proofErr w:type="spellStart"/>
      <w:proofErr w:type="gramStart"/>
      <w:r w:rsidRPr="00255096">
        <w:rPr>
          <w:rFonts w:ascii="Arial" w:eastAsia="Times New Roman" w:hAnsi="Arial" w:cs="Arial"/>
          <w:color w:val="000000"/>
          <w:sz w:val="22"/>
          <w:lang w:eastAsia="en-GB"/>
        </w:rPr>
        <w:t>doi:https</w:t>
      </w:r>
      <w:proofErr w:type="spellEnd"/>
      <w:r w:rsidRPr="00255096">
        <w:rPr>
          <w:rFonts w:ascii="Arial" w:eastAsia="Times New Roman" w:hAnsi="Arial" w:cs="Arial"/>
          <w:color w:val="000000"/>
          <w:sz w:val="22"/>
          <w:lang w:eastAsia="en-GB"/>
        </w:rPr>
        <w:t>://doi.org/10.1186/s12916-022-02236-0</w:t>
      </w:r>
      <w:proofErr w:type="gramEnd"/>
      <w:r w:rsidRPr="00255096">
        <w:rPr>
          <w:rFonts w:ascii="Arial" w:eastAsia="Times New Roman" w:hAnsi="Arial" w:cs="Arial"/>
          <w:color w:val="000000"/>
          <w:sz w:val="22"/>
          <w:lang w:eastAsia="en-GB"/>
        </w:rPr>
        <w:t>.</w:t>
      </w:r>
      <w:r>
        <w:rPr>
          <w:rFonts w:ascii="Arial" w:eastAsia="Times New Roman" w:hAnsi="Arial" w:cs="Arial"/>
          <w:color w:val="000000"/>
          <w:sz w:val="22"/>
          <w:lang w:eastAsia="en-GB"/>
        </w:rPr>
        <w:t xml:space="preserve"> </w:t>
      </w:r>
      <w:r w:rsidR="00BC789B" w:rsidRPr="00086587">
        <w:rPr>
          <w:rFonts w:ascii="Arial" w:eastAsia="Times New Roman" w:hAnsi="Arial" w:cs="Arial"/>
          <w:color w:val="000000"/>
          <w:sz w:val="22"/>
          <w:lang w:eastAsia="en-GB"/>
        </w:rPr>
        <w:t>(Accessed 25</w:t>
      </w:r>
      <w:r w:rsidR="00BC789B" w:rsidRPr="00086587">
        <w:rPr>
          <w:rFonts w:ascii="Arial" w:eastAsia="Times New Roman" w:hAnsi="Arial" w:cs="Arial"/>
          <w:color w:val="000000"/>
          <w:sz w:val="22"/>
          <w:vertAlign w:val="superscript"/>
          <w:lang w:eastAsia="en-GB"/>
        </w:rPr>
        <w:t>th</w:t>
      </w:r>
      <w:r w:rsidR="00BC789B" w:rsidRPr="00086587">
        <w:rPr>
          <w:rFonts w:ascii="Arial" w:eastAsia="Times New Roman" w:hAnsi="Arial" w:cs="Arial"/>
          <w:color w:val="000000"/>
          <w:sz w:val="22"/>
          <w:lang w:eastAsia="en-GB"/>
        </w:rPr>
        <w:t xml:space="preserve"> November 2025).</w:t>
      </w:r>
    </w:p>
    <w:p w14:paraId="3551CE6F" w14:textId="3593CB86" w:rsidR="00F56271" w:rsidRPr="00086587" w:rsidRDefault="00F56271"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Williams, D.M., Jones, H. and Stephens, J.W. (2022). Personalized Type 2 Diabetes Management: An Update on Recent Advances and Recommendations. </w:t>
      </w:r>
      <w:r w:rsidRPr="00086587">
        <w:rPr>
          <w:rFonts w:ascii="Arial" w:eastAsia="Times New Roman" w:hAnsi="Arial" w:cs="Arial"/>
          <w:i/>
          <w:iCs/>
          <w:color w:val="000000"/>
          <w:sz w:val="22"/>
          <w:lang w:eastAsia="en-GB"/>
        </w:rPr>
        <w:t>Diabetes, Metabolic Syndrome and Obesity: Targets and Therapy</w:t>
      </w:r>
      <w:r w:rsidRPr="00086587">
        <w:rPr>
          <w:rFonts w:ascii="Arial" w:eastAsia="Times New Roman" w:hAnsi="Arial" w:cs="Arial"/>
          <w:color w:val="000000"/>
          <w:sz w:val="22"/>
          <w:lang w:eastAsia="en-GB"/>
        </w:rPr>
        <w:t xml:space="preserve">, [online] Volume 15(1), pp.281–295. </w:t>
      </w:r>
      <w:proofErr w:type="spellStart"/>
      <w:proofErr w:type="gramStart"/>
      <w:r w:rsidRPr="00086587">
        <w:rPr>
          <w:rFonts w:ascii="Arial" w:eastAsia="Times New Roman" w:hAnsi="Arial" w:cs="Arial"/>
          <w:color w:val="000000"/>
          <w:sz w:val="22"/>
          <w:lang w:eastAsia="en-GB"/>
        </w:rPr>
        <w:t>doi:https</w:t>
      </w:r>
      <w:proofErr w:type="spellEnd"/>
      <w:r w:rsidRPr="00086587">
        <w:rPr>
          <w:rFonts w:ascii="Arial" w:eastAsia="Times New Roman" w:hAnsi="Arial" w:cs="Arial"/>
          <w:color w:val="000000"/>
          <w:sz w:val="22"/>
          <w:lang w:eastAsia="en-GB"/>
        </w:rPr>
        <w:t>://doi.org/10.2147/dmso.s331654</w:t>
      </w:r>
      <w:proofErr w:type="gramEnd"/>
      <w:r w:rsidRPr="00086587">
        <w:rPr>
          <w:rFonts w:ascii="Arial" w:eastAsia="Times New Roman" w:hAnsi="Arial" w:cs="Arial"/>
          <w:color w:val="000000"/>
          <w:sz w:val="22"/>
          <w:lang w:eastAsia="en-GB"/>
        </w:rPr>
        <w:t>.</w:t>
      </w:r>
      <w:r w:rsidR="00BC789B" w:rsidRPr="00086587">
        <w:rPr>
          <w:rFonts w:ascii="Arial" w:eastAsia="Times New Roman" w:hAnsi="Arial" w:cs="Arial"/>
          <w:color w:val="000000"/>
          <w:sz w:val="22"/>
          <w:lang w:eastAsia="en-GB"/>
        </w:rPr>
        <w:t xml:space="preserve"> </w:t>
      </w:r>
      <w:proofErr w:type="gramStart"/>
      <w:r w:rsidR="00BC789B" w:rsidRPr="00086587">
        <w:rPr>
          <w:rFonts w:ascii="Arial" w:eastAsia="Times New Roman" w:hAnsi="Arial" w:cs="Arial"/>
          <w:color w:val="000000"/>
          <w:sz w:val="22"/>
          <w:lang w:eastAsia="en-GB"/>
        </w:rPr>
        <w:t>( Accessed</w:t>
      </w:r>
      <w:proofErr w:type="gramEnd"/>
      <w:r w:rsidR="00BC789B" w:rsidRPr="00086587">
        <w:rPr>
          <w:rFonts w:ascii="Arial" w:eastAsia="Times New Roman" w:hAnsi="Arial" w:cs="Arial"/>
          <w:color w:val="000000"/>
          <w:sz w:val="22"/>
          <w:lang w:eastAsia="en-GB"/>
        </w:rPr>
        <w:t xml:space="preserve"> 25</w:t>
      </w:r>
      <w:r w:rsidR="00BC789B" w:rsidRPr="00086587">
        <w:rPr>
          <w:rFonts w:ascii="Arial" w:eastAsia="Times New Roman" w:hAnsi="Arial" w:cs="Arial"/>
          <w:color w:val="000000"/>
          <w:sz w:val="22"/>
          <w:vertAlign w:val="superscript"/>
          <w:lang w:eastAsia="en-GB"/>
        </w:rPr>
        <w:t>th</w:t>
      </w:r>
      <w:r w:rsidR="00BC789B" w:rsidRPr="00086587">
        <w:rPr>
          <w:rFonts w:ascii="Arial" w:eastAsia="Times New Roman" w:hAnsi="Arial" w:cs="Arial"/>
          <w:color w:val="000000"/>
          <w:sz w:val="22"/>
          <w:lang w:eastAsia="en-GB"/>
        </w:rPr>
        <w:t xml:space="preserve"> November 2025).</w:t>
      </w:r>
    </w:p>
    <w:p w14:paraId="470BDC1C" w14:textId="7985FDCB" w:rsidR="00C00DFA" w:rsidRPr="00086587" w:rsidRDefault="00C00DFA" w:rsidP="00086587">
      <w:pPr>
        <w:spacing w:line="360" w:lineRule="auto"/>
        <w:jc w:val="both"/>
        <w:rPr>
          <w:rFonts w:ascii="Arial" w:eastAsia="Times New Roman" w:hAnsi="Arial" w:cs="Arial"/>
          <w:color w:val="000000"/>
          <w:sz w:val="22"/>
          <w:lang w:eastAsia="en-GB"/>
        </w:rPr>
      </w:pPr>
      <w:r w:rsidRPr="00C00DFA">
        <w:rPr>
          <w:rFonts w:ascii="Arial" w:eastAsia="Times New Roman" w:hAnsi="Arial" w:cs="Arial"/>
          <w:color w:val="000000"/>
          <w:sz w:val="22"/>
          <w:lang w:eastAsia="en-GB"/>
        </w:rPr>
        <w:t xml:space="preserve">Galicia-Garcia, U., Benito-Vicente, A., </w:t>
      </w:r>
      <w:proofErr w:type="spellStart"/>
      <w:r w:rsidRPr="00C00DFA">
        <w:rPr>
          <w:rFonts w:ascii="Arial" w:eastAsia="Times New Roman" w:hAnsi="Arial" w:cs="Arial"/>
          <w:color w:val="000000"/>
          <w:sz w:val="22"/>
          <w:lang w:eastAsia="en-GB"/>
        </w:rPr>
        <w:t>Jebari</w:t>
      </w:r>
      <w:proofErr w:type="spellEnd"/>
      <w:r w:rsidRPr="00C00DFA">
        <w:rPr>
          <w:rFonts w:ascii="Arial" w:eastAsia="Times New Roman" w:hAnsi="Arial" w:cs="Arial"/>
          <w:color w:val="000000"/>
          <w:sz w:val="22"/>
          <w:lang w:eastAsia="en-GB"/>
        </w:rPr>
        <w:t>, S., Larrea-</w:t>
      </w:r>
      <w:proofErr w:type="spellStart"/>
      <w:r w:rsidRPr="00C00DFA">
        <w:rPr>
          <w:rFonts w:ascii="Arial" w:eastAsia="Times New Roman" w:hAnsi="Arial" w:cs="Arial"/>
          <w:color w:val="000000"/>
          <w:sz w:val="22"/>
          <w:lang w:eastAsia="en-GB"/>
        </w:rPr>
        <w:t>Sebal</w:t>
      </w:r>
      <w:proofErr w:type="spellEnd"/>
      <w:r w:rsidRPr="00C00DFA">
        <w:rPr>
          <w:rFonts w:ascii="Arial" w:eastAsia="Times New Roman" w:hAnsi="Arial" w:cs="Arial"/>
          <w:color w:val="000000"/>
          <w:sz w:val="22"/>
          <w:lang w:eastAsia="en-GB"/>
        </w:rPr>
        <w:t>, A., Siddiqi, H., Uribe, K.B., Ostolaza, H. and Martin, C. (2020). Pathophysiology of type 2 diabetes mellitus. </w:t>
      </w:r>
      <w:r w:rsidRPr="00C00DFA">
        <w:rPr>
          <w:rFonts w:ascii="Arial" w:eastAsia="Times New Roman" w:hAnsi="Arial" w:cs="Arial"/>
          <w:i/>
          <w:iCs/>
          <w:color w:val="000000"/>
          <w:sz w:val="22"/>
          <w:lang w:eastAsia="en-GB"/>
        </w:rPr>
        <w:t>International Journal of Molecular Sciences</w:t>
      </w:r>
      <w:r w:rsidRPr="00C00DFA">
        <w:rPr>
          <w:rFonts w:ascii="Arial" w:eastAsia="Times New Roman" w:hAnsi="Arial" w:cs="Arial"/>
          <w:color w:val="000000"/>
          <w:sz w:val="22"/>
          <w:lang w:eastAsia="en-GB"/>
        </w:rPr>
        <w:t>, [online] 21(17), pp.1–34. Available at: https://pmc.ncbi.nlm.nih.gov/articles/PMC7503727/.</w:t>
      </w:r>
      <w:r w:rsidRPr="00086587">
        <w:rPr>
          <w:rFonts w:ascii="Arial" w:eastAsia="Times New Roman" w:hAnsi="Arial" w:cs="Arial"/>
          <w:color w:val="000000"/>
          <w:sz w:val="22"/>
          <w:lang w:eastAsia="en-GB"/>
        </w:rPr>
        <w:t>(Accessed 3</w:t>
      </w:r>
      <w:r w:rsidRPr="00086587">
        <w:rPr>
          <w:rFonts w:ascii="Arial" w:eastAsia="Times New Roman" w:hAnsi="Arial" w:cs="Arial"/>
          <w:color w:val="000000"/>
          <w:sz w:val="22"/>
          <w:vertAlign w:val="superscript"/>
          <w:lang w:eastAsia="en-GB"/>
        </w:rPr>
        <w:t>rd</w:t>
      </w:r>
      <w:r w:rsidRPr="00086587">
        <w:rPr>
          <w:rFonts w:ascii="Arial" w:eastAsia="Times New Roman" w:hAnsi="Arial" w:cs="Arial"/>
          <w:color w:val="000000"/>
          <w:sz w:val="22"/>
          <w:lang w:eastAsia="en-GB"/>
        </w:rPr>
        <w:t xml:space="preserve"> November 2025).</w:t>
      </w:r>
    </w:p>
    <w:p w14:paraId="1E4AE918" w14:textId="134F1ADA" w:rsidR="001A3DF6" w:rsidRDefault="001A3DF6" w:rsidP="00086587">
      <w:pPr>
        <w:spacing w:line="360" w:lineRule="auto"/>
        <w:jc w:val="both"/>
        <w:rPr>
          <w:rFonts w:ascii="Arial" w:eastAsia="Times New Roman" w:hAnsi="Arial" w:cs="Arial"/>
          <w:color w:val="000000"/>
          <w:sz w:val="22"/>
          <w:lang w:eastAsia="en-GB"/>
        </w:rPr>
      </w:pPr>
      <w:r w:rsidRPr="001A3DF6">
        <w:rPr>
          <w:rFonts w:ascii="Arial" w:eastAsia="Times New Roman" w:hAnsi="Arial" w:cs="Arial"/>
          <w:color w:val="000000"/>
          <w:sz w:val="22"/>
          <w:lang w:eastAsia="en-GB"/>
        </w:rPr>
        <w:t xml:space="preserve">Kanaley, J.A., Colberg, S.R., Corcoran, M.H., Malin, S.K., Rodriguez, N.R., Crespo, C.J., Kirwan, J.P. and </w:t>
      </w:r>
      <w:proofErr w:type="spellStart"/>
      <w:r w:rsidRPr="001A3DF6">
        <w:rPr>
          <w:rFonts w:ascii="Arial" w:eastAsia="Times New Roman" w:hAnsi="Arial" w:cs="Arial"/>
          <w:color w:val="000000"/>
          <w:sz w:val="22"/>
          <w:lang w:eastAsia="en-GB"/>
        </w:rPr>
        <w:t>Zierath</w:t>
      </w:r>
      <w:proofErr w:type="spellEnd"/>
      <w:r w:rsidRPr="001A3DF6">
        <w:rPr>
          <w:rFonts w:ascii="Arial" w:eastAsia="Times New Roman" w:hAnsi="Arial" w:cs="Arial"/>
          <w:color w:val="000000"/>
          <w:sz w:val="22"/>
          <w:lang w:eastAsia="en-GB"/>
        </w:rPr>
        <w:t>, J.R. (2022). Exercise/physical activity in individuals with type 2 diabetes: A consensus statement from the American College of Sports Medicine. </w:t>
      </w:r>
      <w:r w:rsidRPr="001A3DF6">
        <w:rPr>
          <w:rFonts w:ascii="Arial" w:eastAsia="Times New Roman" w:hAnsi="Arial" w:cs="Arial"/>
          <w:i/>
          <w:iCs/>
          <w:color w:val="000000"/>
          <w:sz w:val="22"/>
          <w:lang w:eastAsia="en-GB"/>
        </w:rPr>
        <w:t>Medicine &amp; Science in Sports &amp; Exercise</w:t>
      </w:r>
      <w:r w:rsidRPr="001A3DF6">
        <w:rPr>
          <w:rFonts w:ascii="Arial" w:eastAsia="Times New Roman" w:hAnsi="Arial" w:cs="Arial"/>
          <w:color w:val="000000"/>
          <w:sz w:val="22"/>
          <w:lang w:eastAsia="en-GB"/>
        </w:rPr>
        <w:t xml:space="preserve">, [online] 54(2), pp.353–368. </w:t>
      </w:r>
      <w:proofErr w:type="spellStart"/>
      <w:proofErr w:type="gramStart"/>
      <w:r w:rsidRPr="001A3DF6">
        <w:rPr>
          <w:rFonts w:ascii="Arial" w:eastAsia="Times New Roman" w:hAnsi="Arial" w:cs="Arial"/>
          <w:color w:val="000000"/>
          <w:sz w:val="22"/>
          <w:lang w:eastAsia="en-GB"/>
        </w:rPr>
        <w:t>doi:https</w:t>
      </w:r>
      <w:proofErr w:type="spellEnd"/>
      <w:r w:rsidRPr="001A3DF6">
        <w:rPr>
          <w:rFonts w:ascii="Arial" w:eastAsia="Times New Roman" w:hAnsi="Arial" w:cs="Arial"/>
          <w:color w:val="000000"/>
          <w:sz w:val="22"/>
          <w:lang w:eastAsia="en-GB"/>
        </w:rPr>
        <w:t>://doi.org/10.1249/mss.0000000000002800</w:t>
      </w:r>
      <w:proofErr w:type="gramEnd"/>
      <w:r w:rsidRPr="001A3DF6">
        <w:rPr>
          <w:rFonts w:ascii="Arial" w:eastAsia="Times New Roman" w:hAnsi="Arial" w:cs="Arial"/>
          <w:color w:val="000000"/>
          <w:sz w:val="22"/>
          <w:lang w:eastAsia="en-GB"/>
        </w:rPr>
        <w:t>.</w:t>
      </w:r>
      <w:r w:rsidRPr="00086587">
        <w:rPr>
          <w:rFonts w:ascii="Arial" w:eastAsia="Times New Roman" w:hAnsi="Arial" w:cs="Arial"/>
          <w:color w:val="000000"/>
          <w:sz w:val="22"/>
          <w:lang w:eastAsia="en-GB"/>
        </w:rPr>
        <w:t xml:space="preserve"> (Accessed 3</w:t>
      </w:r>
      <w:r w:rsidRPr="00086587">
        <w:rPr>
          <w:rFonts w:ascii="Arial" w:eastAsia="Times New Roman" w:hAnsi="Arial" w:cs="Arial"/>
          <w:color w:val="000000"/>
          <w:sz w:val="22"/>
          <w:vertAlign w:val="superscript"/>
          <w:lang w:eastAsia="en-GB"/>
        </w:rPr>
        <w:t>rd</w:t>
      </w:r>
      <w:r w:rsidRPr="00086587">
        <w:rPr>
          <w:rFonts w:ascii="Arial" w:eastAsia="Times New Roman" w:hAnsi="Arial" w:cs="Arial"/>
          <w:color w:val="000000"/>
          <w:sz w:val="22"/>
          <w:lang w:eastAsia="en-GB"/>
        </w:rPr>
        <w:t xml:space="preserve"> November 2025).</w:t>
      </w:r>
    </w:p>
    <w:p w14:paraId="62ED7594" w14:textId="5FD180D6" w:rsidR="002F4A66" w:rsidRDefault="002F4A66" w:rsidP="002F4A66">
      <w:pPr>
        <w:spacing w:line="360" w:lineRule="auto"/>
        <w:jc w:val="both"/>
        <w:rPr>
          <w:rFonts w:ascii="Arial" w:eastAsia="Times New Roman" w:hAnsi="Arial" w:cs="Arial"/>
          <w:color w:val="000000"/>
          <w:sz w:val="22"/>
          <w:lang w:eastAsia="en-GB"/>
        </w:rPr>
      </w:pPr>
      <w:r w:rsidRPr="002F4A66">
        <w:rPr>
          <w:rFonts w:ascii="Arial" w:eastAsia="Times New Roman" w:hAnsi="Arial" w:cs="Arial"/>
          <w:color w:val="000000"/>
          <w:sz w:val="22"/>
          <w:lang w:eastAsia="en-GB"/>
        </w:rPr>
        <w:t xml:space="preserve">Mehak Dagar, Kumari, P., Agha, Singh, S., Ain, N.U., Munir, Z., Javed, T., Muhammad, Javed, S., Farwa Haider Qizilbash, KC, A., </w:t>
      </w:r>
      <w:proofErr w:type="spellStart"/>
      <w:r w:rsidRPr="002F4A66">
        <w:rPr>
          <w:rFonts w:ascii="Arial" w:eastAsia="Times New Roman" w:hAnsi="Arial" w:cs="Arial"/>
          <w:color w:val="000000"/>
          <w:sz w:val="22"/>
          <w:lang w:eastAsia="en-GB"/>
        </w:rPr>
        <w:t>Chukwuyem</w:t>
      </w:r>
      <w:proofErr w:type="spellEnd"/>
      <w:r w:rsidRPr="002F4A66">
        <w:rPr>
          <w:rFonts w:ascii="Arial" w:eastAsia="Times New Roman" w:hAnsi="Arial" w:cs="Arial"/>
          <w:color w:val="000000"/>
          <w:sz w:val="22"/>
          <w:lang w:eastAsia="en-GB"/>
        </w:rPr>
        <w:t xml:space="preserve"> Ekhator and Bellegarde, S.B. (2023). The Hidden Threat: Endocrine Disruptors and Their Impact on Insulin Resistance. </w:t>
      </w:r>
      <w:r w:rsidRPr="002F4A66">
        <w:rPr>
          <w:rFonts w:ascii="Arial" w:eastAsia="Times New Roman" w:hAnsi="Arial" w:cs="Arial"/>
          <w:i/>
          <w:iCs/>
          <w:color w:val="000000"/>
          <w:sz w:val="22"/>
          <w:lang w:eastAsia="en-GB"/>
        </w:rPr>
        <w:t>Cureus</w:t>
      </w:r>
      <w:r w:rsidRPr="002F4A66">
        <w:rPr>
          <w:rFonts w:ascii="Arial" w:eastAsia="Times New Roman" w:hAnsi="Arial" w:cs="Arial"/>
          <w:color w:val="000000"/>
          <w:sz w:val="22"/>
          <w:lang w:eastAsia="en-GB"/>
        </w:rPr>
        <w:t xml:space="preserve">. </w:t>
      </w:r>
      <w:proofErr w:type="spellStart"/>
      <w:proofErr w:type="gramStart"/>
      <w:r w:rsidRPr="002F4A66">
        <w:rPr>
          <w:rFonts w:ascii="Arial" w:eastAsia="Times New Roman" w:hAnsi="Arial" w:cs="Arial"/>
          <w:color w:val="000000"/>
          <w:sz w:val="22"/>
          <w:lang w:eastAsia="en-GB"/>
        </w:rPr>
        <w:t>doi:https</w:t>
      </w:r>
      <w:proofErr w:type="spellEnd"/>
      <w:r w:rsidRPr="002F4A66">
        <w:rPr>
          <w:rFonts w:ascii="Arial" w:eastAsia="Times New Roman" w:hAnsi="Arial" w:cs="Arial"/>
          <w:color w:val="000000"/>
          <w:sz w:val="22"/>
          <w:lang w:eastAsia="en-GB"/>
        </w:rPr>
        <w:t>://doi.org/10.7759/cureus.47282</w:t>
      </w:r>
      <w:proofErr w:type="gramEnd"/>
      <w:r w:rsidRPr="002F4A66">
        <w:rPr>
          <w:rFonts w:ascii="Arial" w:eastAsia="Times New Roman" w:hAnsi="Arial" w:cs="Arial"/>
          <w:color w:val="000000"/>
          <w:sz w:val="22"/>
          <w:lang w:eastAsia="en-GB"/>
        </w:rPr>
        <w:t>.</w:t>
      </w:r>
      <w:r w:rsidR="00165BE7">
        <w:rPr>
          <w:rFonts w:ascii="Arial" w:eastAsia="Times New Roman" w:hAnsi="Arial" w:cs="Arial"/>
          <w:color w:val="000000"/>
          <w:sz w:val="22"/>
          <w:lang w:eastAsia="en-GB"/>
        </w:rPr>
        <w:t xml:space="preserve"> (Accessed 04</w:t>
      </w:r>
      <w:r w:rsidR="00165BE7" w:rsidRPr="00165BE7">
        <w:rPr>
          <w:rFonts w:ascii="Arial" w:eastAsia="Times New Roman" w:hAnsi="Arial" w:cs="Arial"/>
          <w:color w:val="000000"/>
          <w:sz w:val="22"/>
          <w:vertAlign w:val="superscript"/>
          <w:lang w:eastAsia="en-GB"/>
        </w:rPr>
        <w:t>th</w:t>
      </w:r>
      <w:r w:rsidR="00165BE7">
        <w:rPr>
          <w:rFonts w:ascii="Arial" w:eastAsia="Times New Roman" w:hAnsi="Arial" w:cs="Arial"/>
          <w:color w:val="000000"/>
          <w:sz w:val="22"/>
          <w:lang w:eastAsia="en-GB"/>
        </w:rPr>
        <w:t xml:space="preserve"> December 2025).</w:t>
      </w:r>
    </w:p>
    <w:p w14:paraId="680873EB" w14:textId="488E4FF4" w:rsidR="00165BE7" w:rsidRDefault="00165BE7" w:rsidP="00165BE7">
      <w:pPr>
        <w:spacing w:line="360" w:lineRule="auto"/>
        <w:jc w:val="both"/>
        <w:rPr>
          <w:rFonts w:ascii="Arial" w:eastAsia="Times New Roman" w:hAnsi="Arial" w:cs="Arial"/>
          <w:color w:val="000000"/>
          <w:sz w:val="22"/>
          <w:lang w:eastAsia="en-GB"/>
        </w:rPr>
      </w:pPr>
      <w:proofErr w:type="spellStart"/>
      <w:r w:rsidRPr="00165BE7">
        <w:rPr>
          <w:rFonts w:ascii="Arial" w:eastAsia="Times New Roman" w:hAnsi="Arial" w:cs="Arial"/>
          <w:color w:val="000000"/>
          <w:sz w:val="22"/>
          <w:lang w:eastAsia="en-GB"/>
        </w:rPr>
        <w:t>Ribu</w:t>
      </w:r>
      <w:proofErr w:type="spellEnd"/>
      <w:r w:rsidRPr="00165BE7">
        <w:rPr>
          <w:rFonts w:ascii="Arial" w:eastAsia="Times New Roman" w:hAnsi="Arial" w:cs="Arial"/>
          <w:color w:val="000000"/>
          <w:sz w:val="22"/>
          <w:lang w:eastAsia="en-GB"/>
        </w:rPr>
        <w:t xml:space="preserve">, L., </w:t>
      </w:r>
      <w:proofErr w:type="spellStart"/>
      <w:r w:rsidRPr="00165BE7">
        <w:rPr>
          <w:rFonts w:ascii="Arial" w:eastAsia="Times New Roman" w:hAnsi="Arial" w:cs="Arial"/>
          <w:color w:val="000000"/>
          <w:sz w:val="22"/>
          <w:lang w:eastAsia="en-GB"/>
        </w:rPr>
        <w:t>Rønnevig</w:t>
      </w:r>
      <w:proofErr w:type="spellEnd"/>
      <w:r w:rsidRPr="00165BE7">
        <w:rPr>
          <w:rFonts w:ascii="Arial" w:eastAsia="Times New Roman" w:hAnsi="Arial" w:cs="Arial"/>
          <w:color w:val="000000"/>
          <w:sz w:val="22"/>
          <w:lang w:eastAsia="en-GB"/>
        </w:rPr>
        <w:t>, M. and Corbin, J. (2019). People with Type 2 Diabetes Struggling for self</w:t>
      </w:r>
      <w:r w:rsidRPr="00165BE7">
        <w:rPr>
          <w:rFonts w:ascii="Cambria Math" w:eastAsia="Times New Roman" w:hAnsi="Cambria Math" w:cs="Cambria Math"/>
          <w:color w:val="000000"/>
          <w:sz w:val="22"/>
          <w:lang w:eastAsia="en-GB"/>
        </w:rPr>
        <w:t>‐</w:t>
      </w:r>
      <w:r w:rsidRPr="00165BE7">
        <w:rPr>
          <w:rFonts w:ascii="Arial" w:eastAsia="Times New Roman" w:hAnsi="Arial" w:cs="Arial"/>
          <w:color w:val="000000"/>
          <w:sz w:val="22"/>
          <w:lang w:eastAsia="en-GB"/>
        </w:rPr>
        <w:t>management: a Part Study from the Randomized Controlled Trial in RENEWING HEALTH. </w:t>
      </w:r>
      <w:r w:rsidRPr="00165BE7">
        <w:rPr>
          <w:rFonts w:ascii="Arial" w:eastAsia="Times New Roman" w:hAnsi="Arial" w:cs="Arial"/>
          <w:i/>
          <w:iCs/>
          <w:color w:val="000000"/>
          <w:sz w:val="22"/>
          <w:lang w:eastAsia="en-GB"/>
        </w:rPr>
        <w:t>Nursing Open</w:t>
      </w:r>
      <w:r w:rsidRPr="00165BE7">
        <w:rPr>
          <w:rFonts w:ascii="Arial" w:eastAsia="Times New Roman" w:hAnsi="Arial" w:cs="Arial"/>
          <w:color w:val="000000"/>
          <w:sz w:val="22"/>
          <w:lang w:eastAsia="en-GB"/>
        </w:rPr>
        <w:t xml:space="preserve">, [online] 6(3). </w:t>
      </w:r>
      <w:proofErr w:type="spellStart"/>
      <w:proofErr w:type="gramStart"/>
      <w:r w:rsidRPr="00165BE7">
        <w:rPr>
          <w:rFonts w:ascii="Arial" w:eastAsia="Times New Roman" w:hAnsi="Arial" w:cs="Arial"/>
          <w:color w:val="000000"/>
          <w:sz w:val="22"/>
          <w:lang w:eastAsia="en-GB"/>
        </w:rPr>
        <w:t>doi:https</w:t>
      </w:r>
      <w:proofErr w:type="spellEnd"/>
      <w:r w:rsidRPr="00165BE7">
        <w:rPr>
          <w:rFonts w:ascii="Arial" w:eastAsia="Times New Roman" w:hAnsi="Arial" w:cs="Arial"/>
          <w:color w:val="000000"/>
          <w:sz w:val="22"/>
          <w:lang w:eastAsia="en-GB"/>
        </w:rPr>
        <w:t>://doi.org/10.1002/nop2.293</w:t>
      </w:r>
      <w:proofErr w:type="gramEnd"/>
      <w:r w:rsidRPr="00165BE7">
        <w:rPr>
          <w:rFonts w:ascii="Arial" w:eastAsia="Times New Roman" w:hAnsi="Arial" w:cs="Arial"/>
          <w:color w:val="000000"/>
          <w:sz w:val="22"/>
          <w:lang w:eastAsia="en-GB"/>
        </w:rPr>
        <w:t>.</w:t>
      </w:r>
      <w:r>
        <w:rPr>
          <w:rFonts w:ascii="Arial" w:eastAsia="Times New Roman" w:hAnsi="Arial" w:cs="Arial"/>
          <w:color w:val="000000"/>
          <w:sz w:val="22"/>
          <w:lang w:eastAsia="en-GB"/>
        </w:rPr>
        <w:t xml:space="preserve"> (Accessed 04</w:t>
      </w:r>
      <w:r w:rsidRPr="00165BE7">
        <w:rPr>
          <w:rFonts w:ascii="Arial" w:eastAsia="Times New Roman" w:hAnsi="Arial" w:cs="Arial"/>
          <w:color w:val="000000"/>
          <w:sz w:val="22"/>
          <w:vertAlign w:val="superscript"/>
          <w:lang w:eastAsia="en-GB"/>
        </w:rPr>
        <w:t>th</w:t>
      </w:r>
      <w:r>
        <w:rPr>
          <w:rFonts w:ascii="Arial" w:eastAsia="Times New Roman" w:hAnsi="Arial" w:cs="Arial"/>
          <w:color w:val="000000"/>
          <w:sz w:val="22"/>
          <w:lang w:eastAsia="en-GB"/>
        </w:rPr>
        <w:t xml:space="preserve"> December 2025).</w:t>
      </w:r>
    </w:p>
    <w:p w14:paraId="57C231E5" w14:textId="36270677" w:rsidR="00711D22" w:rsidRDefault="00711D22" w:rsidP="00711D22">
      <w:pPr>
        <w:spacing w:line="360" w:lineRule="auto"/>
        <w:jc w:val="both"/>
        <w:rPr>
          <w:rFonts w:ascii="Arial" w:eastAsia="Times New Roman" w:hAnsi="Arial" w:cs="Arial"/>
          <w:color w:val="000000"/>
          <w:sz w:val="22"/>
          <w:lang w:eastAsia="en-GB"/>
        </w:rPr>
      </w:pPr>
      <w:r w:rsidRPr="00711D22">
        <w:rPr>
          <w:rFonts w:ascii="Arial" w:eastAsia="Times New Roman" w:hAnsi="Arial" w:cs="Arial"/>
          <w:color w:val="000000"/>
          <w:sz w:val="22"/>
          <w:lang w:eastAsia="en-GB"/>
        </w:rPr>
        <w:t>Yeh, Y.K., Yen, F.-S. and Hwu, C.-M. (2023). Diet and Exercise Are a Fundamental Part of Comprehensive Care for Type 2 Diabetes. </w:t>
      </w:r>
      <w:r w:rsidRPr="00711D22">
        <w:rPr>
          <w:rFonts w:ascii="Arial" w:eastAsia="Times New Roman" w:hAnsi="Arial" w:cs="Arial"/>
          <w:i/>
          <w:iCs/>
          <w:color w:val="000000"/>
          <w:sz w:val="22"/>
          <w:lang w:eastAsia="en-GB"/>
        </w:rPr>
        <w:t>Journal of Diabetes Investigation</w:t>
      </w:r>
      <w:r w:rsidRPr="00711D22">
        <w:rPr>
          <w:rFonts w:ascii="Arial" w:eastAsia="Times New Roman" w:hAnsi="Arial" w:cs="Arial"/>
          <w:color w:val="000000"/>
          <w:sz w:val="22"/>
          <w:lang w:eastAsia="en-GB"/>
        </w:rPr>
        <w:t xml:space="preserve">, [online] 14(8), pp.936–939. </w:t>
      </w:r>
      <w:proofErr w:type="spellStart"/>
      <w:proofErr w:type="gramStart"/>
      <w:r w:rsidRPr="00711D22">
        <w:rPr>
          <w:rFonts w:ascii="Arial" w:eastAsia="Times New Roman" w:hAnsi="Arial" w:cs="Arial"/>
          <w:color w:val="000000"/>
          <w:sz w:val="22"/>
          <w:lang w:eastAsia="en-GB"/>
        </w:rPr>
        <w:t>doi:https</w:t>
      </w:r>
      <w:proofErr w:type="spellEnd"/>
      <w:r w:rsidRPr="00711D22">
        <w:rPr>
          <w:rFonts w:ascii="Arial" w:eastAsia="Times New Roman" w:hAnsi="Arial" w:cs="Arial"/>
          <w:color w:val="000000"/>
          <w:sz w:val="22"/>
          <w:lang w:eastAsia="en-GB"/>
        </w:rPr>
        <w:t>://doi.org/10.1111/jdi.14043</w:t>
      </w:r>
      <w:proofErr w:type="gramEnd"/>
      <w:r w:rsidRPr="00711D22">
        <w:rPr>
          <w:rFonts w:ascii="Arial" w:eastAsia="Times New Roman" w:hAnsi="Arial" w:cs="Arial"/>
          <w:color w:val="000000"/>
          <w:sz w:val="22"/>
          <w:lang w:eastAsia="en-GB"/>
        </w:rPr>
        <w:t>.</w:t>
      </w:r>
      <w:r>
        <w:rPr>
          <w:rFonts w:ascii="Arial" w:eastAsia="Times New Roman" w:hAnsi="Arial" w:cs="Arial"/>
          <w:color w:val="000000"/>
          <w:sz w:val="22"/>
          <w:lang w:eastAsia="en-GB"/>
        </w:rPr>
        <w:t xml:space="preserve"> (Accessed 4</w:t>
      </w:r>
      <w:r w:rsidRPr="00711D22">
        <w:rPr>
          <w:rFonts w:ascii="Arial" w:eastAsia="Times New Roman" w:hAnsi="Arial" w:cs="Arial"/>
          <w:color w:val="000000"/>
          <w:sz w:val="22"/>
          <w:vertAlign w:val="superscript"/>
          <w:lang w:eastAsia="en-GB"/>
        </w:rPr>
        <w:t>th</w:t>
      </w:r>
      <w:r>
        <w:rPr>
          <w:rFonts w:ascii="Arial" w:eastAsia="Times New Roman" w:hAnsi="Arial" w:cs="Arial"/>
          <w:color w:val="000000"/>
          <w:sz w:val="22"/>
          <w:lang w:eastAsia="en-GB"/>
        </w:rPr>
        <w:t xml:space="preserve"> December 2025).</w:t>
      </w:r>
    </w:p>
    <w:p w14:paraId="1629B2BC" w14:textId="0460F622" w:rsidR="004D7C69" w:rsidRPr="004D7C69" w:rsidRDefault="004D7C69" w:rsidP="004D7C69">
      <w:pPr>
        <w:spacing w:line="360" w:lineRule="auto"/>
        <w:jc w:val="both"/>
        <w:rPr>
          <w:rFonts w:ascii="Arial" w:eastAsia="Times New Roman" w:hAnsi="Arial" w:cs="Arial"/>
          <w:color w:val="000000"/>
          <w:sz w:val="22"/>
          <w:lang w:eastAsia="en-GB"/>
        </w:rPr>
      </w:pPr>
      <w:r w:rsidRPr="004D7C69">
        <w:rPr>
          <w:rFonts w:ascii="Arial" w:eastAsia="Times New Roman" w:hAnsi="Arial" w:cs="Arial"/>
          <w:color w:val="000000"/>
          <w:sz w:val="22"/>
          <w:lang w:eastAsia="en-GB"/>
        </w:rPr>
        <w:lastRenderedPageBreak/>
        <w:t xml:space="preserve">Jiménez-Cortegana, C., Iglesias, P., Ribalta, J., </w:t>
      </w:r>
      <w:proofErr w:type="spellStart"/>
      <w:r w:rsidRPr="004D7C69">
        <w:rPr>
          <w:rFonts w:ascii="Arial" w:eastAsia="Times New Roman" w:hAnsi="Arial" w:cs="Arial"/>
          <w:color w:val="000000"/>
          <w:sz w:val="22"/>
          <w:lang w:eastAsia="en-GB"/>
        </w:rPr>
        <w:t>Vilariño</w:t>
      </w:r>
      <w:proofErr w:type="spellEnd"/>
      <w:r w:rsidRPr="004D7C69">
        <w:rPr>
          <w:rFonts w:ascii="Arial" w:eastAsia="Times New Roman" w:hAnsi="Arial" w:cs="Arial"/>
          <w:color w:val="000000"/>
          <w:sz w:val="22"/>
          <w:lang w:eastAsia="en-GB"/>
        </w:rPr>
        <w:t>-García, T., Montañez, L., Arrieta, F., Aguilar, M., Durán, S., Obaya, J.C., Becerra, A., Pedro-</w:t>
      </w:r>
      <w:proofErr w:type="spellStart"/>
      <w:r w:rsidRPr="004D7C69">
        <w:rPr>
          <w:rFonts w:ascii="Arial" w:eastAsia="Times New Roman" w:hAnsi="Arial" w:cs="Arial"/>
          <w:color w:val="000000"/>
          <w:sz w:val="22"/>
          <w:lang w:eastAsia="en-GB"/>
        </w:rPr>
        <w:t>Botet</w:t>
      </w:r>
      <w:proofErr w:type="spellEnd"/>
      <w:r w:rsidRPr="004D7C69">
        <w:rPr>
          <w:rFonts w:ascii="Arial" w:eastAsia="Times New Roman" w:hAnsi="Arial" w:cs="Arial"/>
          <w:color w:val="000000"/>
          <w:sz w:val="22"/>
          <w:lang w:eastAsia="en-GB"/>
        </w:rPr>
        <w:t>, J. and Sánchez-</w:t>
      </w:r>
      <w:proofErr w:type="spellStart"/>
      <w:r w:rsidRPr="004D7C69">
        <w:rPr>
          <w:rFonts w:ascii="Arial" w:eastAsia="Times New Roman" w:hAnsi="Arial" w:cs="Arial"/>
          <w:color w:val="000000"/>
          <w:sz w:val="22"/>
          <w:lang w:eastAsia="en-GB"/>
        </w:rPr>
        <w:t>Margalet</w:t>
      </w:r>
      <w:proofErr w:type="spellEnd"/>
      <w:r w:rsidRPr="004D7C69">
        <w:rPr>
          <w:rFonts w:ascii="Arial" w:eastAsia="Times New Roman" w:hAnsi="Arial" w:cs="Arial"/>
          <w:color w:val="000000"/>
          <w:sz w:val="22"/>
          <w:lang w:eastAsia="en-GB"/>
        </w:rPr>
        <w:t>, V. (2021). Nutrients and Dietary Approaches in Patients with Type 2 Diabetes Mellitus and Cardiovascular Disease: A Narrative Review. </w:t>
      </w:r>
      <w:r w:rsidRPr="004D7C69">
        <w:rPr>
          <w:rFonts w:ascii="Arial" w:eastAsia="Times New Roman" w:hAnsi="Arial" w:cs="Arial"/>
          <w:i/>
          <w:iCs/>
          <w:color w:val="000000"/>
          <w:sz w:val="22"/>
          <w:lang w:eastAsia="en-GB"/>
        </w:rPr>
        <w:t>Nutrients</w:t>
      </w:r>
      <w:r w:rsidRPr="004D7C69">
        <w:rPr>
          <w:rFonts w:ascii="Arial" w:eastAsia="Times New Roman" w:hAnsi="Arial" w:cs="Arial"/>
          <w:color w:val="000000"/>
          <w:sz w:val="22"/>
          <w:lang w:eastAsia="en-GB"/>
        </w:rPr>
        <w:t xml:space="preserve">, 13(11), p.4150. </w:t>
      </w:r>
      <w:proofErr w:type="spellStart"/>
      <w:proofErr w:type="gramStart"/>
      <w:r w:rsidRPr="004D7C69">
        <w:rPr>
          <w:rFonts w:ascii="Arial" w:eastAsia="Times New Roman" w:hAnsi="Arial" w:cs="Arial"/>
          <w:color w:val="000000"/>
          <w:sz w:val="22"/>
          <w:lang w:eastAsia="en-GB"/>
        </w:rPr>
        <w:t>doi:https</w:t>
      </w:r>
      <w:proofErr w:type="spellEnd"/>
      <w:r w:rsidRPr="004D7C69">
        <w:rPr>
          <w:rFonts w:ascii="Arial" w:eastAsia="Times New Roman" w:hAnsi="Arial" w:cs="Arial"/>
          <w:color w:val="000000"/>
          <w:sz w:val="22"/>
          <w:lang w:eastAsia="en-GB"/>
        </w:rPr>
        <w:t>://doi.org/10.3390/nu13114150</w:t>
      </w:r>
      <w:proofErr w:type="gramEnd"/>
      <w:r w:rsidRPr="004D7C69">
        <w:rPr>
          <w:rFonts w:ascii="Arial" w:eastAsia="Times New Roman" w:hAnsi="Arial" w:cs="Arial"/>
          <w:color w:val="000000"/>
          <w:sz w:val="22"/>
          <w:lang w:eastAsia="en-GB"/>
        </w:rPr>
        <w:t>.</w:t>
      </w:r>
      <w:r>
        <w:rPr>
          <w:rFonts w:ascii="Arial" w:eastAsia="Times New Roman" w:hAnsi="Arial" w:cs="Arial"/>
          <w:color w:val="000000"/>
          <w:sz w:val="22"/>
          <w:lang w:eastAsia="en-GB"/>
        </w:rPr>
        <w:t xml:space="preserve"> (Accessed 04</w:t>
      </w:r>
      <w:r w:rsidRPr="004D7C69">
        <w:rPr>
          <w:rFonts w:ascii="Arial" w:eastAsia="Times New Roman" w:hAnsi="Arial" w:cs="Arial"/>
          <w:color w:val="000000"/>
          <w:sz w:val="22"/>
          <w:vertAlign w:val="superscript"/>
          <w:lang w:eastAsia="en-GB"/>
        </w:rPr>
        <w:t>th</w:t>
      </w:r>
      <w:r>
        <w:rPr>
          <w:rFonts w:ascii="Arial" w:eastAsia="Times New Roman" w:hAnsi="Arial" w:cs="Arial"/>
          <w:color w:val="000000"/>
          <w:sz w:val="22"/>
          <w:lang w:eastAsia="en-GB"/>
        </w:rPr>
        <w:t xml:space="preserve"> December 2025).</w:t>
      </w:r>
    </w:p>
    <w:p w14:paraId="58BAA57F" w14:textId="77777777" w:rsidR="004D7C69" w:rsidRPr="004D7C69" w:rsidRDefault="004D7C69" w:rsidP="004D7C69">
      <w:pPr>
        <w:spacing w:line="360" w:lineRule="auto"/>
        <w:jc w:val="both"/>
        <w:rPr>
          <w:rFonts w:ascii="Arial" w:eastAsia="Times New Roman" w:hAnsi="Arial" w:cs="Arial"/>
          <w:color w:val="000000"/>
          <w:sz w:val="22"/>
          <w:lang w:eastAsia="en-GB"/>
        </w:rPr>
      </w:pPr>
      <w:r w:rsidRPr="004D7C69">
        <w:rPr>
          <w:rFonts w:ascii="Arial" w:eastAsia="Times New Roman" w:hAnsi="Arial" w:cs="Arial"/>
          <w:color w:val="000000"/>
          <w:sz w:val="22"/>
          <w:lang w:eastAsia="en-GB"/>
        </w:rPr>
        <w:t>‌</w:t>
      </w:r>
    </w:p>
    <w:p w14:paraId="4941B0E8" w14:textId="77777777" w:rsidR="004D7C69" w:rsidRPr="00711D22" w:rsidRDefault="004D7C69" w:rsidP="00711D22">
      <w:pPr>
        <w:spacing w:line="360" w:lineRule="auto"/>
        <w:jc w:val="both"/>
        <w:rPr>
          <w:rFonts w:ascii="Arial" w:eastAsia="Times New Roman" w:hAnsi="Arial" w:cs="Arial"/>
          <w:color w:val="000000"/>
          <w:sz w:val="22"/>
          <w:lang w:eastAsia="en-GB"/>
        </w:rPr>
      </w:pPr>
    </w:p>
    <w:p w14:paraId="5000F7F4" w14:textId="77777777" w:rsidR="00711D22" w:rsidRPr="00711D22" w:rsidRDefault="00711D22" w:rsidP="00711D22">
      <w:pPr>
        <w:spacing w:line="360" w:lineRule="auto"/>
        <w:jc w:val="both"/>
        <w:rPr>
          <w:rFonts w:ascii="Arial" w:eastAsia="Times New Roman" w:hAnsi="Arial" w:cs="Arial"/>
          <w:color w:val="000000"/>
          <w:sz w:val="22"/>
          <w:lang w:eastAsia="en-GB"/>
        </w:rPr>
      </w:pPr>
      <w:r w:rsidRPr="00711D22">
        <w:rPr>
          <w:rFonts w:ascii="Arial" w:eastAsia="Times New Roman" w:hAnsi="Arial" w:cs="Arial"/>
          <w:color w:val="000000"/>
          <w:sz w:val="22"/>
          <w:lang w:eastAsia="en-GB"/>
        </w:rPr>
        <w:t>‌</w:t>
      </w:r>
    </w:p>
    <w:p w14:paraId="1015D960" w14:textId="77777777" w:rsidR="00711D22" w:rsidRPr="00165BE7" w:rsidRDefault="00711D22" w:rsidP="00165BE7">
      <w:pPr>
        <w:spacing w:line="360" w:lineRule="auto"/>
        <w:jc w:val="both"/>
        <w:rPr>
          <w:rFonts w:ascii="Arial" w:eastAsia="Times New Roman" w:hAnsi="Arial" w:cs="Arial"/>
          <w:color w:val="000000"/>
          <w:sz w:val="22"/>
          <w:lang w:eastAsia="en-GB"/>
        </w:rPr>
      </w:pPr>
    </w:p>
    <w:p w14:paraId="2753E314" w14:textId="77777777" w:rsidR="00165BE7" w:rsidRPr="00165BE7" w:rsidRDefault="00165BE7" w:rsidP="00165BE7">
      <w:pPr>
        <w:spacing w:line="360" w:lineRule="auto"/>
        <w:jc w:val="both"/>
        <w:rPr>
          <w:rFonts w:ascii="Arial" w:eastAsia="Times New Roman" w:hAnsi="Arial" w:cs="Arial"/>
          <w:color w:val="000000"/>
          <w:sz w:val="22"/>
          <w:lang w:eastAsia="en-GB"/>
        </w:rPr>
      </w:pPr>
      <w:r w:rsidRPr="00165BE7">
        <w:rPr>
          <w:rFonts w:ascii="Arial" w:eastAsia="Times New Roman" w:hAnsi="Arial" w:cs="Arial"/>
          <w:color w:val="000000"/>
          <w:sz w:val="22"/>
          <w:lang w:eastAsia="en-GB"/>
        </w:rPr>
        <w:t>‌</w:t>
      </w:r>
    </w:p>
    <w:p w14:paraId="0407FFCB" w14:textId="77777777" w:rsidR="00165BE7" w:rsidRPr="002F4A66" w:rsidRDefault="00165BE7" w:rsidP="002F4A66">
      <w:pPr>
        <w:spacing w:line="360" w:lineRule="auto"/>
        <w:jc w:val="both"/>
        <w:rPr>
          <w:rFonts w:ascii="Arial" w:eastAsia="Times New Roman" w:hAnsi="Arial" w:cs="Arial"/>
          <w:color w:val="000000"/>
          <w:sz w:val="22"/>
          <w:lang w:eastAsia="en-GB"/>
        </w:rPr>
      </w:pPr>
    </w:p>
    <w:p w14:paraId="4AC48B74" w14:textId="77777777" w:rsidR="002F4A66" w:rsidRPr="002F4A66" w:rsidRDefault="002F4A66" w:rsidP="002F4A66">
      <w:pPr>
        <w:spacing w:line="360" w:lineRule="auto"/>
        <w:jc w:val="both"/>
        <w:rPr>
          <w:rFonts w:ascii="Arial" w:eastAsia="Times New Roman" w:hAnsi="Arial" w:cs="Arial"/>
          <w:color w:val="000000"/>
          <w:sz w:val="22"/>
          <w:lang w:eastAsia="en-GB"/>
        </w:rPr>
      </w:pPr>
      <w:r w:rsidRPr="002F4A66">
        <w:rPr>
          <w:rFonts w:ascii="Arial" w:eastAsia="Times New Roman" w:hAnsi="Arial" w:cs="Arial"/>
          <w:color w:val="000000"/>
          <w:sz w:val="22"/>
          <w:lang w:eastAsia="en-GB"/>
        </w:rPr>
        <w:t>‌</w:t>
      </w:r>
    </w:p>
    <w:p w14:paraId="5307F599" w14:textId="77777777" w:rsidR="002F4A66" w:rsidRPr="001A3DF6" w:rsidRDefault="002F4A66" w:rsidP="00086587">
      <w:pPr>
        <w:spacing w:line="360" w:lineRule="auto"/>
        <w:jc w:val="both"/>
        <w:rPr>
          <w:rFonts w:ascii="Arial" w:eastAsia="Times New Roman" w:hAnsi="Arial" w:cs="Arial"/>
          <w:color w:val="000000"/>
          <w:sz w:val="22"/>
          <w:lang w:eastAsia="en-GB"/>
        </w:rPr>
      </w:pPr>
    </w:p>
    <w:p w14:paraId="3ADD0799" w14:textId="77777777" w:rsidR="001A3DF6" w:rsidRPr="001A3DF6" w:rsidRDefault="001A3DF6" w:rsidP="00086587">
      <w:pPr>
        <w:spacing w:line="360" w:lineRule="auto"/>
        <w:jc w:val="both"/>
        <w:rPr>
          <w:rFonts w:ascii="Arial" w:eastAsia="Times New Roman" w:hAnsi="Arial" w:cs="Arial"/>
          <w:color w:val="000000"/>
          <w:sz w:val="22"/>
          <w:lang w:eastAsia="en-GB"/>
        </w:rPr>
      </w:pPr>
      <w:r w:rsidRPr="001A3DF6">
        <w:rPr>
          <w:rFonts w:ascii="Arial" w:eastAsia="Times New Roman" w:hAnsi="Arial" w:cs="Arial"/>
          <w:color w:val="000000"/>
          <w:sz w:val="22"/>
          <w:lang w:eastAsia="en-GB"/>
        </w:rPr>
        <w:t>‌</w:t>
      </w:r>
    </w:p>
    <w:p w14:paraId="1027C777" w14:textId="77777777" w:rsidR="001A3DF6" w:rsidRPr="00086587" w:rsidRDefault="001A3DF6" w:rsidP="00086587">
      <w:pPr>
        <w:spacing w:line="360" w:lineRule="auto"/>
        <w:jc w:val="both"/>
        <w:rPr>
          <w:rFonts w:ascii="Arial" w:eastAsia="Times New Roman" w:hAnsi="Arial" w:cs="Arial"/>
          <w:color w:val="000000"/>
          <w:sz w:val="22"/>
          <w:lang w:eastAsia="en-GB"/>
        </w:rPr>
      </w:pPr>
    </w:p>
    <w:p w14:paraId="59C72744" w14:textId="2D07FE4E" w:rsidR="00C00DFA" w:rsidRPr="00C00DFA" w:rsidRDefault="00C00DFA" w:rsidP="00086587">
      <w:pPr>
        <w:spacing w:line="360" w:lineRule="auto"/>
        <w:jc w:val="both"/>
        <w:rPr>
          <w:rFonts w:ascii="Arial" w:eastAsia="Times New Roman" w:hAnsi="Arial" w:cs="Arial"/>
          <w:color w:val="000000"/>
          <w:sz w:val="22"/>
          <w:lang w:eastAsia="en-GB"/>
        </w:rPr>
      </w:pPr>
    </w:p>
    <w:p w14:paraId="483A3E9C" w14:textId="77777777" w:rsidR="00C00DFA" w:rsidRPr="00C00DFA" w:rsidRDefault="00C00DFA" w:rsidP="00086587">
      <w:pPr>
        <w:spacing w:line="360" w:lineRule="auto"/>
        <w:jc w:val="both"/>
        <w:rPr>
          <w:rFonts w:ascii="Arial" w:eastAsia="Times New Roman" w:hAnsi="Arial" w:cs="Arial"/>
          <w:color w:val="000000"/>
          <w:sz w:val="22"/>
          <w:lang w:eastAsia="en-GB"/>
        </w:rPr>
      </w:pPr>
      <w:r w:rsidRPr="00C00DFA">
        <w:rPr>
          <w:rFonts w:ascii="Arial" w:eastAsia="Times New Roman" w:hAnsi="Arial" w:cs="Arial"/>
          <w:color w:val="000000"/>
          <w:sz w:val="22"/>
          <w:lang w:eastAsia="en-GB"/>
        </w:rPr>
        <w:t>‌</w:t>
      </w:r>
    </w:p>
    <w:p w14:paraId="2975B0A0" w14:textId="1972F484" w:rsidR="00A6336B" w:rsidRPr="00086587" w:rsidRDefault="00A6336B" w:rsidP="00086587">
      <w:pPr>
        <w:spacing w:line="360" w:lineRule="auto"/>
        <w:jc w:val="both"/>
        <w:rPr>
          <w:rFonts w:ascii="Arial" w:eastAsia="Times New Roman" w:hAnsi="Arial" w:cs="Arial"/>
          <w:color w:val="000000"/>
          <w:sz w:val="22"/>
          <w:lang w:eastAsia="en-GB"/>
        </w:rPr>
      </w:pPr>
    </w:p>
    <w:p w14:paraId="1E6940B5" w14:textId="77777777" w:rsidR="00F56271" w:rsidRPr="00086587" w:rsidRDefault="00F56271"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w:t>
      </w:r>
    </w:p>
    <w:p w14:paraId="0D9F03A0" w14:textId="77777777" w:rsidR="00F56271" w:rsidRPr="00086587" w:rsidRDefault="00F56271" w:rsidP="00086587">
      <w:pPr>
        <w:spacing w:line="360" w:lineRule="auto"/>
        <w:jc w:val="both"/>
        <w:rPr>
          <w:rFonts w:ascii="Arial" w:eastAsia="Times New Roman" w:hAnsi="Arial" w:cs="Arial"/>
          <w:color w:val="000000"/>
          <w:sz w:val="22"/>
          <w:lang w:eastAsia="en-GB"/>
        </w:rPr>
      </w:pPr>
    </w:p>
    <w:p w14:paraId="671E147C" w14:textId="77777777" w:rsidR="00C174D8" w:rsidRPr="00086587" w:rsidRDefault="00C174D8" w:rsidP="00086587">
      <w:pPr>
        <w:spacing w:line="360" w:lineRule="auto"/>
        <w:jc w:val="both"/>
        <w:rPr>
          <w:rFonts w:ascii="Arial" w:eastAsia="Times New Roman" w:hAnsi="Arial" w:cs="Arial"/>
          <w:color w:val="000000"/>
          <w:sz w:val="22"/>
          <w:lang w:eastAsia="en-GB"/>
        </w:rPr>
      </w:pPr>
      <w:r w:rsidRPr="00086587">
        <w:rPr>
          <w:rFonts w:ascii="Arial" w:eastAsia="Times New Roman" w:hAnsi="Arial" w:cs="Arial"/>
          <w:color w:val="000000"/>
          <w:sz w:val="22"/>
          <w:lang w:eastAsia="en-GB"/>
        </w:rPr>
        <w:t>‌</w:t>
      </w:r>
    </w:p>
    <w:p w14:paraId="782A5B0B" w14:textId="77777777" w:rsidR="00C174D8" w:rsidRPr="00086587" w:rsidRDefault="00C174D8" w:rsidP="00086587">
      <w:pPr>
        <w:spacing w:line="360" w:lineRule="auto"/>
        <w:jc w:val="both"/>
        <w:rPr>
          <w:rFonts w:ascii="Arial" w:eastAsia="Times New Roman" w:hAnsi="Arial" w:cs="Arial"/>
          <w:color w:val="000000"/>
          <w:sz w:val="22"/>
          <w:lang w:eastAsia="en-GB"/>
        </w:rPr>
      </w:pPr>
    </w:p>
    <w:p w14:paraId="6A30CF00" w14:textId="77777777" w:rsidR="007F439E" w:rsidRPr="00086587" w:rsidRDefault="007F439E" w:rsidP="00086587">
      <w:pPr>
        <w:spacing w:line="360" w:lineRule="auto"/>
        <w:jc w:val="both"/>
        <w:rPr>
          <w:rFonts w:ascii="Arial" w:hAnsi="Arial" w:cs="Arial"/>
          <w:sz w:val="22"/>
        </w:rPr>
      </w:pPr>
      <w:r w:rsidRPr="00086587">
        <w:rPr>
          <w:rFonts w:ascii="Arial" w:hAnsi="Arial" w:cs="Arial"/>
          <w:sz w:val="22"/>
        </w:rPr>
        <w:t>‌</w:t>
      </w:r>
    </w:p>
    <w:p w14:paraId="70A8A2BD" w14:textId="77777777" w:rsidR="007F439E" w:rsidRPr="00086587" w:rsidRDefault="007F439E" w:rsidP="00086587">
      <w:pPr>
        <w:spacing w:line="360" w:lineRule="auto"/>
        <w:jc w:val="both"/>
        <w:rPr>
          <w:rFonts w:ascii="Arial" w:hAnsi="Arial" w:cs="Arial"/>
          <w:sz w:val="22"/>
        </w:rPr>
      </w:pPr>
    </w:p>
    <w:p w14:paraId="520E62A5" w14:textId="77777777" w:rsidR="001D733C" w:rsidRPr="00086587" w:rsidRDefault="001D733C" w:rsidP="00086587">
      <w:pPr>
        <w:spacing w:line="360" w:lineRule="auto"/>
        <w:jc w:val="both"/>
        <w:rPr>
          <w:rFonts w:ascii="Arial" w:hAnsi="Arial" w:cs="Arial"/>
          <w:sz w:val="22"/>
        </w:rPr>
      </w:pPr>
      <w:r w:rsidRPr="00086587">
        <w:rPr>
          <w:rFonts w:ascii="Arial" w:hAnsi="Arial" w:cs="Arial"/>
          <w:sz w:val="22"/>
        </w:rPr>
        <w:t>‌</w:t>
      </w:r>
    </w:p>
    <w:p w14:paraId="5A8C7C39" w14:textId="0CEB3547" w:rsidR="00DB76E3" w:rsidRPr="00086587" w:rsidRDefault="00DB76E3" w:rsidP="00086587">
      <w:pPr>
        <w:spacing w:line="360" w:lineRule="auto"/>
        <w:jc w:val="both"/>
        <w:rPr>
          <w:rFonts w:ascii="Arial" w:hAnsi="Arial" w:cs="Arial"/>
          <w:sz w:val="22"/>
        </w:rPr>
      </w:pPr>
    </w:p>
    <w:p w14:paraId="6EA37DC9" w14:textId="77777777" w:rsidR="00DB76E3" w:rsidRPr="00086587" w:rsidRDefault="00DB76E3" w:rsidP="00086587">
      <w:pPr>
        <w:spacing w:line="360" w:lineRule="auto"/>
        <w:jc w:val="both"/>
        <w:rPr>
          <w:rFonts w:ascii="Arial" w:hAnsi="Arial" w:cs="Arial"/>
          <w:sz w:val="22"/>
        </w:rPr>
      </w:pPr>
    </w:p>
    <w:p w14:paraId="763FA714" w14:textId="77777777" w:rsidR="00DD1F59" w:rsidRPr="00086587" w:rsidRDefault="00DD1F59" w:rsidP="00086587">
      <w:pPr>
        <w:spacing w:line="360" w:lineRule="auto"/>
        <w:jc w:val="both"/>
        <w:rPr>
          <w:rFonts w:ascii="Arial" w:hAnsi="Arial" w:cs="Arial"/>
          <w:sz w:val="22"/>
        </w:rPr>
      </w:pPr>
      <w:r w:rsidRPr="00086587">
        <w:rPr>
          <w:rFonts w:ascii="Arial" w:hAnsi="Arial" w:cs="Arial"/>
          <w:sz w:val="22"/>
        </w:rPr>
        <w:lastRenderedPageBreak/>
        <w:t>‌</w:t>
      </w:r>
    </w:p>
    <w:p w14:paraId="7CDAEAA3" w14:textId="77777777" w:rsidR="00DD1F59" w:rsidRPr="00086587" w:rsidRDefault="00DD1F59" w:rsidP="00086587">
      <w:pPr>
        <w:spacing w:line="360" w:lineRule="auto"/>
        <w:jc w:val="both"/>
        <w:rPr>
          <w:rFonts w:ascii="Arial" w:hAnsi="Arial" w:cs="Arial"/>
          <w:sz w:val="22"/>
        </w:rPr>
      </w:pPr>
    </w:p>
    <w:p w14:paraId="34178A69" w14:textId="77777777" w:rsidR="00DD1F59" w:rsidRPr="00086587" w:rsidRDefault="00DD1F59" w:rsidP="00086587">
      <w:pPr>
        <w:spacing w:line="360" w:lineRule="auto"/>
        <w:jc w:val="both"/>
        <w:rPr>
          <w:rFonts w:ascii="Arial" w:hAnsi="Arial" w:cs="Arial"/>
          <w:sz w:val="22"/>
        </w:rPr>
      </w:pPr>
      <w:r w:rsidRPr="00086587">
        <w:rPr>
          <w:rFonts w:ascii="Arial" w:hAnsi="Arial" w:cs="Arial"/>
          <w:sz w:val="22"/>
        </w:rPr>
        <w:t>‌</w:t>
      </w:r>
    </w:p>
    <w:p w14:paraId="66473E7E" w14:textId="77777777" w:rsidR="00DD1F59" w:rsidRPr="00086587" w:rsidRDefault="00DD1F59" w:rsidP="00086587">
      <w:pPr>
        <w:spacing w:line="360" w:lineRule="auto"/>
        <w:jc w:val="both"/>
        <w:rPr>
          <w:rFonts w:ascii="Arial" w:hAnsi="Arial" w:cs="Arial"/>
          <w:sz w:val="22"/>
        </w:rPr>
      </w:pPr>
    </w:p>
    <w:p w14:paraId="2D87F412" w14:textId="77777777" w:rsidR="00DB6066" w:rsidRPr="00086587" w:rsidRDefault="00DB6066" w:rsidP="00086587">
      <w:pPr>
        <w:spacing w:line="360" w:lineRule="auto"/>
        <w:jc w:val="both"/>
        <w:rPr>
          <w:rFonts w:ascii="Arial" w:hAnsi="Arial" w:cs="Arial"/>
          <w:sz w:val="22"/>
        </w:rPr>
      </w:pPr>
      <w:r w:rsidRPr="00086587">
        <w:rPr>
          <w:rFonts w:ascii="Arial" w:hAnsi="Arial" w:cs="Arial"/>
          <w:sz w:val="22"/>
        </w:rPr>
        <w:t>‌</w:t>
      </w:r>
    </w:p>
    <w:p w14:paraId="524A7164" w14:textId="77777777" w:rsidR="00DB6066" w:rsidRPr="00086587" w:rsidRDefault="00DB6066" w:rsidP="00086587">
      <w:pPr>
        <w:spacing w:line="360" w:lineRule="auto"/>
        <w:jc w:val="both"/>
        <w:rPr>
          <w:rFonts w:ascii="Arial" w:hAnsi="Arial" w:cs="Arial"/>
          <w:sz w:val="22"/>
        </w:rPr>
      </w:pPr>
    </w:p>
    <w:p w14:paraId="6FCE6B14" w14:textId="77777777" w:rsidR="00733BA7" w:rsidRPr="00086587" w:rsidRDefault="00733BA7" w:rsidP="00086587">
      <w:pPr>
        <w:spacing w:line="360" w:lineRule="auto"/>
        <w:jc w:val="both"/>
        <w:rPr>
          <w:rFonts w:ascii="Arial" w:hAnsi="Arial" w:cs="Arial"/>
          <w:sz w:val="22"/>
        </w:rPr>
      </w:pPr>
      <w:r w:rsidRPr="00086587">
        <w:rPr>
          <w:rFonts w:ascii="Arial" w:hAnsi="Arial" w:cs="Arial"/>
          <w:sz w:val="22"/>
        </w:rPr>
        <w:t>‌</w:t>
      </w:r>
    </w:p>
    <w:p w14:paraId="04243386" w14:textId="77777777" w:rsidR="00733BA7" w:rsidRPr="00086587" w:rsidRDefault="00733BA7" w:rsidP="00086587">
      <w:pPr>
        <w:spacing w:line="360" w:lineRule="auto"/>
        <w:jc w:val="both"/>
        <w:rPr>
          <w:rFonts w:ascii="Arial" w:hAnsi="Arial" w:cs="Arial"/>
          <w:sz w:val="22"/>
        </w:rPr>
      </w:pPr>
    </w:p>
    <w:p w14:paraId="7A4D9A2A" w14:textId="45D68779" w:rsidR="00E2042F" w:rsidRPr="00086587" w:rsidRDefault="00E2042F" w:rsidP="00086587">
      <w:pPr>
        <w:spacing w:line="360" w:lineRule="auto"/>
        <w:jc w:val="both"/>
        <w:rPr>
          <w:rFonts w:ascii="Arial" w:hAnsi="Arial" w:cs="Arial"/>
          <w:sz w:val="22"/>
        </w:rPr>
      </w:pPr>
    </w:p>
    <w:p w14:paraId="0E2023C3" w14:textId="77777777" w:rsidR="00E2042F" w:rsidRPr="00086587" w:rsidRDefault="00E2042F" w:rsidP="00086587">
      <w:pPr>
        <w:spacing w:line="360" w:lineRule="auto"/>
        <w:jc w:val="both"/>
        <w:rPr>
          <w:rFonts w:ascii="Arial" w:hAnsi="Arial" w:cs="Arial"/>
          <w:sz w:val="22"/>
        </w:rPr>
      </w:pPr>
      <w:r w:rsidRPr="00086587">
        <w:rPr>
          <w:rFonts w:ascii="Arial" w:hAnsi="Arial" w:cs="Arial"/>
          <w:sz w:val="22"/>
        </w:rPr>
        <w:t>‌</w:t>
      </w:r>
    </w:p>
    <w:p w14:paraId="73FBE0BB" w14:textId="77777777" w:rsidR="00E2042F" w:rsidRPr="00086587" w:rsidRDefault="00E2042F" w:rsidP="00086587">
      <w:pPr>
        <w:spacing w:line="360" w:lineRule="auto"/>
        <w:jc w:val="both"/>
        <w:rPr>
          <w:rFonts w:ascii="Arial" w:hAnsi="Arial" w:cs="Arial"/>
          <w:sz w:val="22"/>
        </w:rPr>
      </w:pPr>
    </w:p>
    <w:p w14:paraId="5D6D701D" w14:textId="77777777" w:rsidR="004A5D7C" w:rsidRPr="00086587" w:rsidRDefault="004A5D7C" w:rsidP="00086587">
      <w:pPr>
        <w:spacing w:line="360" w:lineRule="auto"/>
        <w:jc w:val="both"/>
        <w:rPr>
          <w:rFonts w:ascii="Arial" w:hAnsi="Arial" w:cs="Arial"/>
          <w:sz w:val="22"/>
        </w:rPr>
      </w:pPr>
      <w:r w:rsidRPr="00086587">
        <w:rPr>
          <w:rFonts w:ascii="Arial" w:hAnsi="Arial" w:cs="Arial"/>
          <w:sz w:val="22"/>
        </w:rPr>
        <w:t>‌</w:t>
      </w:r>
    </w:p>
    <w:p w14:paraId="1D9C98F0" w14:textId="4A72E778" w:rsidR="00203C95" w:rsidRPr="00086587" w:rsidRDefault="00203C95" w:rsidP="00086587">
      <w:pPr>
        <w:spacing w:line="360" w:lineRule="auto"/>
        <w:jc w:val="both"/>
        <w:rPr>
          <w:rFonts w:ascii="Arial" w:hAnsi="Arial" w:cs="Arial"/>
          <w:sz w:val="22"/>
        </w:rPr>
      </w:pPr>
    </w:p>
    <w:p w14:paraId="768CF4BB" w14:textId="77777777" w:rsidR="00203C95" w:rsidRPr="00086587" w:rsidRDefault="00203C95" w:rsidP="00086587">
      <w:pPr>
        <w:spacing w:line="360" w:lineRule="auto"/>
        <w:jc w:val="both"/>
        <w:rPr>
          <w:rFonts w:ascii="Arial" w:hAnsi="Arial" w:cs="Arial"/>
          <w:sz w:val="22"/>
        </w:rPr>
      </w:pPr>
    </w:p>
    <w:p w14:paraId="19D8E9BD" w14:textId="77777777" w:rsidR="00252F11" w:rsidRPr="00086587" w:rsidRDefault="00252F11" w:rsidP="00086587">
      <w:pPr>
        <w:spacing w:line="360" w:lineRule="auto"/>
        <w:jc w:val="both"/>
        <w:rPr>
          <w:rFonts w:ascii="Arial" w:hAnsi="Arial" w:cs="Arial"/>
          <w:sz w:val="22"/>
        </w:rPr>
      </w:pPr>
      <w:r w:rsidRPr="00086587">
        <w:rPr>
          <w:rFonts w:ascii="Arial" w:hAnsi="Arial" w:cs="Arial"/>
          <w:sz w:val="22"/>
        </w:rPr>
        <w:t>‌</w:t>
      </w:r>
    </w:p>
    <w:p w14:paraId="29BB1A37" w14:textId="77777777" w:rsidR="00252F11" w:rsidRPr="00086587" w:rsidRDefault="00252F11" w:rsidP="00086587">
      <w:pPr>
        <w:spacing w:line="360" w:lineRule="auto"/>
        <w:jc w:val="both"/>
        <w:rPr>
          <w:rFonts w:ascii="Arial" w:hAnsi="Arial" w:cs="Arial"/>
          <w:sz w:val="22"/>
        </w:rPr>
      </w:pPr>
    </w:p>
    <w:p w14:paraId="4A1E4843" w14:textId="77777777" w:rsidR="00EE0103" w:rsidRPr="00086587" w:rsidRDefault="00EE0103" w:rsidP="00086587">
      <w:pPr>
        <w:spacing w:line="360" w:lineRule="auto"/>
        <w:jc w:val="both"/>
        <w:rPr>
          <w:rFonts w:ascii="Arial" w:hAnsi="Arial" w:cs="Arial"/>
          <w:sz w:val="22"/>
        </w:rPr>
      </w:pPr>
      <w:r w:rsidRPr="00086587">
        <w:rPr>
          <w:rFonts w:ascii="Arial" w:hAnsi="Arial" w:cs="Arial"/>
          <w:sz w:val="22"/>
        </w:rPr>
        <w:t>‌</w:t>
      </w:r>
    </w:p>
    <w:p w14:paraId="3E1D82FF" w14:textId="77777777" w:rsidR="00EE0103" w:rsidRPr="00086587" w:rsidRDefault="00EE0103" w:rsidP="00086587">
      <w:pPr>
        <w:spacing w:line="360" w:lineRule="auto"/>
        <w:jc w:val="both"/>
        <w:rPr>
          <w:rFonts w:ascii="Arial" w:hAnsi="Arial" w:cs="Arial"/>
          <w:sz w:val="22"/>
        </w:rPr>
      </w:pPr>
    </w:p>
    <w:p w14:paraId="18CF26CF" w14:textId="77777777" w:rsidR="0066388C" w:rsidRPr="00086587" w:rsidRDefault="0066388C" w:rsidP="00086587">
      <w:pPr>
        <w:spacing w:line="360" w:lineRule="auto"/>
        <w:jc w:val="both"/>
        <w:rPr>
          <w:rFonts w:ascii="Arial" w:hAnsi="Arial" w:cs="Arial"/>
          <w:sz w:val="22"/>
        </w:rPr>
      </w:pPr>
      <w:r w:rsidRPr="00086587">
        <w:rPr>
          <w:rFonts w:ascii="Arial" w:hAnsi="Arial" w:cs="Arial"/>
          <w:sz w:val="22"/>
        </w:rPr>
        <w:t>‌</w:t>
      </w:r>
    </w:p>
    <w:p w14:paraId="1C1B5B6E" w14:textId="77777777" w:rsidR="001B7A40" w:rsidRPr="00086587" w:rsidRDefault="001B7A40" w:rsidP="00086587">
      <w:pPr>
        <w:spacing w:line="360" w:lineRule="auto"/>
        <w:jc w:val="both"/>
        <w:rPr>
          <w:rFonts w:ascii="Arial" w:hAnsi="Arial" w:cs="Arial"/>
          <w:sz w:val="22"/>
        </w:rPr>
      </w:pPr>
    </w:p>
    <w:sectPr w:rsidR="001B7A40" w:rsidRPr="00086587" w:rsidSect="0037028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5C8BF" w14:textId="77777777" w:rsidR="00E213F3" w:rsidRDefault="00E213F3" w:rsidP="00C03A91">
      <w:pPr>
        <w:spacing w:after="0" w:line="240" w:lineRule="auto"/>
      </w:pPr>
      <w:r>
        <w:separator/>
      </w:r>
    </w:p>
  </w:endnote>
  <w:endnote w:type="continuationSeparator" w:id="0">
    <w:p w14:paraId="47935D6E" w14:textId="77777777" w:rsidR="00E213F3" w:rsidRDefault="00E213F3"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43FF" w14:textId="77777777" w:rsidR="00E213F3" w:rsidRDefault="00E213F3" w:rsidP="00C03A91">
      <w:pPr>
        <w:spacing w:after="0" w:line="240" w:lineRule="auto"/>
      </w:pPr>
      <w:r>
        <w:separator/>
      </w:r>
    </w:p>
  </w:footnote>
  <w:footnote w:type="continuationSeparator" w:id="0">
    <w:p w14:paraId="5D84F1AE" w14:textId="77777777" w:rsidR="00E213F3" w:rsidRDefault="00E213F3"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4A41B3"/>
    <w:multiLevelType w:val="hybridMultilevel"/>
    <w:tmpl w:val="7AB84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709960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0695"/>
    <w:rsid w:val="00014D91"/>
    <w:rsid w:val="00066CEE"/>
    <w:rsid w:val="00070D43"/>
    <w:rsid w:val="00076AC0"/>
    <w:rsid w:val="00086587"/>
    <w:rsid w:val="000C4EDA"/>
    <w:rsid w:val="000E015C"/>
    <w:rsid w:val="000F7E43"/>
    <w:rsid w:val="00143B27"/>
    <w:rsid w:val="00165BE7"/>
    <w:rsid w:val="001A3DF6"/>
    <w:rsid w:val="001B7A40"/>
    <w:rsid w:val="001D733C"/>
    <w:rsid w:val="001F6DDB"/>
    <w:rsid w:val="00203C95"/>
    <w:rsid w:val="00216C85"/>
    <w:rsid w:val="00220077"/>
    <w:rsid w:val="002350A6"/>
    <w:rsid w:val="00243DC2"/>
    <w:rsid w:val="00245F3E"/>
    <w:rsid w:val="00252F11"/>
    <w:rsid w:val="00255096"/>
    <w:rsid w:val="00264342"/>
    <w:rsid w:val="00265D9B"/>
    <w:rsid w:val="002737BF"/>
    <w:rsid w:val="00273EDD"/>
    <w:rsid w:val="002B10D3"/>
    <w:rsid w:val="002C2506"/>
    <w:rsid w:val="002C3965"/>
    <w:rsid w:val="002D0F04"/>
    <w:rsid w:val="002D5EDB"/>
    <w:rsid w:val="002E0A1A"/>
    <w:rsid w:val="002E501F"/>
    <w:rsid w:val="002F2AA3"/>
    <w:rsid w:val="002F4A66"/>
    <w:rsid w:val="00314DF8"/>
    <w:rsid w:val="00321C4C"/>
    <w:rsid w:val="00343390"/>
    <w:rsid w:val="00370282"/>
    <w:rsid w:val="00393503"/>
    <w:rsid w:val="003D03EB"/>
    <w:rsid w:val="003D1F83"/>
    <w:rsid w:val="003F24F9"/>
    <w:rsid w:val="003F3890"/>
    <w:rsid w:val="004577F7"/>
    <w:rsid w:val="00475B14"/>
    <w:rsid w:val="00497A52"/>
    <w:rsid w:val="004A5D7C"/>
    <w:rsid w:val="004C2FA1"/>
    <w:rsid w:val="004D7C69"/>
    <w:rsid w:val="00501CAF"/>
    <w:rsid w:val="00502514"/>
    <w:rsid w:val="00532713"/>
    <w:rsid w:val="00533330"/>
    <w:rsid w:val="00535AAC"/>
    <w:rsid w:val="00564E4C"/>
    <w:rsid w:val="005C02FA"/>
    <w:rsid w:val="005C7862"/>
    <w:rsid w:val="005D6410"/>
    <w:rsid w:val="00612EEE"/>
    <w:rsid w:val="0063451F"/>
    <w:rsid w:val="006359D1"/>
    <w:rsid w:val="0063726F"/>
    <w:rsid w:val="00661CBB"/>
    <w:rsid w:val="0066388C"/>
    <w:rsid w:val="00670824"/>
    <w:rsid w:val="00673F39"/>
    <w:rsid w:val="00711D22"/>
    <w:rsid w:val="00716B70"/>
    <w:rsid w:val="007270E0"/>
    <w:rsid w:val="00733BA7"/>
    <w:rsid w:val="00781FC1"/>
    <w:rsid w:val="007A7297"/>
    <w:rsid w:val="007B4FD6"/>
    <w:rsid w:val="007E7745"/>
    <w:rsid w:val="007F439E"/>
    <w:rsid w:val="00817801"/>
    <w:rsid w:val="008353D4"/>
    <w:rsid w:val="00871D3A"/>
    <w:rsid w:val="0088159C"/>
    <w:rsid w:val="008E52B0"/>
    <w:rsid w:val="009A02DE"/>
    <w:rsid w:val="009D1D1E"/>
    <w:rsid w:val="009D652C"/>
    <w:rsid w:val="009F5FC7"/>
    <w:rsid w:val="00A035FD"/>
    <w:rsid w:val="00A12369"/>
    <w:rsid w:val="00A40544"/>
    <w:rsid w:val="00A6336B"/>
    <w:rsid w:val="00A66DDA"/>
    <w:rsid w:val="00A87FEF"/>
    <w:rsid w:val="00AA4DD8"/>
    <w:rsid w:val="00AC13DE"/>
    <w:rsid w:val="00AC285B"/>
    <w:rsid w:val="00AC4386"/>
    <w:rsid w:val="00AD6EA9"/>
    <w:rsid w:val="00AE5D58"/>
    <w:rsid w:val="00B03B30"/>
    <w:rsid w:val="00B04642"/>
    <w:rsid w:val="00B25B43"/>
    <w:rsid w:val="00BC789B"/>
    <w:rsid w:val="00BC78A7"/>
    <w:rsid w:val="00BF0E3B"/>
    <w:rsid w:val="00BF6F0E"/>
    <w:rsid w:val="00C00DFA"/>
    <w:rsid w:val="00C03A91"/>
    <w:rsid w:val="00C174D8"/>
    <w:rsid w:val="00C42BFA"/>
    <w:rsid w:val="00C5656B"/>
    <w:rsid w:val="00C86958"/>
    <w:rsid w:val="00C9799C"/>
    <w:rsid w:val="00CB3C16"/>
    <w:rsid w:val="00CC1148"/>
    <w:rsid w:val="00CC12A3"/>
    <w:rsid w:val="00CC1840"/>
    <w:rsid w:val="00CD2863"/>
    <w:rsid w:val="00CE7A90"/>
    <w:rsid w:val="00D23D65"/>
    <w:rsid w:val="00D7312F"/>
    <w:rsid w:val="00D73FB0"/>
    <w:rsid w:val="00DB6066"/>
    <w:rsid w:val="00DB6D4B"/>
    <w:rsid w:val="00DB76E3"/>
    <w:rsid w:val="00DC3FF9"/>
    <w:rsid w:val="00DC6EDB"/>
    <w:rsid w:val="00DD1F59"/>
    <w:rsid w:val="00E2038D"/>
    <w:rsid w:val="00E2042F"/>
    <w:rsid w:val="00E213F3"/>
    <w:rsid w:val="00E529E7"/>
    <w:rsid w:val="00E53BE8"/>
    <w:rsid w:val="00EB12BC"/>
    <w:rsid w:val="00EB3D50"/>
    <w:rsid w:val="00EC4279"/>
    <w:rsid w:val="00EE0103"/>
    <w:rsid w:val="00EE0465"/>
    <w:rsid w:val="00EE74EF"/>
    <w:rsid w:val="00EF3E3D"/>
    <w:rsid w:val="00F137E3"/>
    <w:rsid w:val="00F56271"/>
    <w:rsid w:val="00F6017C"/>
    <w:rsid w:val="00F86737"/>
    <w:rsid w:val="00FD494A"/>
    <w:rsid w:val="00FD7392"/>
    <w:rsid w:val="00FF26FB"/>
    <w:rsid w:val="00FF2E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3CBA4AD4-E2D7-4B6D-AA98-0586CBD6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3330"/>
    <w:pPr>
      <w:keepNext/>
      <w:keepLines/>
      <w:spacing w:before="240" w:after="0" w:line="360" w:lineRule="auto"/>
      <w:outlineLvl w:val="0"/>
    </w:pPr>
    <w:rPr>
      <w:rFonts w:ascii="Arial" w:eastAsiaTheme="majorEastAsia" w:hAnsi="Arial" w:cstheme="majorBidi"/>
      <w:b/>
      <w:sz w:val="22"/>
    </w:rPr>
  </w:style>
  <w:style w:type="paragraph" w:styleId="Heading2">
    <w:name w:val="heading 2"/>
    <w:basedOn w:val="Normal"/>
    <w:next w:val="Normal"/>
    <w:link w:val="Heading2Char"/>
    <w:autoRedefine/>
    <w:uiPriority w:val="9"/>
    <w:unhideWhenUsed/>
    <w:qFormat/>
    <w:rsid w:val="005C02FA"/>
    <w:pPr>
      <w:keepNext/>
      <w:keepLines/>
      <w:spacing w:before="40" w:after="0"/>
      <w:outlineLvl w:val="1"/>
    </w:pPr>
    <w:rPr>
      <w:rFonts w:ascii="Arial" w:eastAsiaTheme="majorEastAsia" w:hAnsi="Arial" w:cstheme="majorBidi"/>
      <w:b/>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330"/>
    <w:rPr>
      <w:rFonts w:ascii="Arial" w:eastAsiaTheme="majorEastAsia" w:hAnsi="Arial" w:cstheme="majorBidi"/>
      <w:b/>
      <w:sz w:val="22"/>
    </w:rPr>
  </w:style>
  <w:style w:type="character" w:customStyle="1" w:styleId="Heading2Char">
    <w:name w:val="Heading 2 Char"/>
    <w:basedOn w:val="DefaultParagraphFont"/>
    <w:link w:val="Heading2"/>
    <w:uiPriority w:val="9"/>
    <w:rsid w:val="005C02FA"/>
    <w:rPr>
      <w:rFonts w:ascii="Arial" w:eastAsiaTheme="majorEastAsia" w:hAnsi="Arial" w:cstheme="majorBidi"/>
      <w:b/>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4A5D7C"/>
    <w:rPr>
      <w:rFonts w:cs="Times New Roman"/>
      <w:szCs w:val="24"/>
    </w:rPr>
  </w:style>
  <w:style w:type="paragraph" w:styleId="TOCHeading">
    <w:name w:val="TOC Heading"/>
    <w:basedOn w:val="Heading1"/>
    <w:next w:val="Normal"/>
    <w:uiPriority w:val="39"/>
    <w:unhideWhenUsed/>
    <w:qFormat/>
    <w:rsid w:val="002E0A1A"/>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C285B"/>
    <w:pPr>
      <w:tabs>
        <w:tab w:val="right" w:leader="dot" w:pos="9016"/>
      </w:tabs>
      <w:spacing w:after="100" w:line="360" w:lineRule="auto"/>
      <w:jc w:val="both"/>
    </w:pPr>
  </w:style>
  <w:style w:type="paragraph" w:styleId="TOC2">
    <w:name w:val="toc 2"/>
    <w:basedOn w:val="Normal"/>
    <w:next w:val="Normal"/>
    <w:autoRedefine/>
    <w:uiPriority w:val="39"/>
    <w:unhideWhenUsed/>
    <w:rsid w:val="00EF3E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dc.gov/diabetes/about/insulin-resistance-type-2-diabete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abetes.org.uk/about-diabetes/type-2-diabetes/diabetes-risk-facto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nice.org.uk/guidance/ng28"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carelearning.org.uk/qualifications/level-3-extended-hsc/hsccmo2-biochemistry/4-1-explain-the-regulation-of-blood-sug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8F486-39E8-407C-9ADC-40259AA81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3551</Words>
  <Characters>20245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janio bissoli</cp:lastModifiedBy>
  <cp:revision>2</cp:revision>
  <cp:lastPrinted>2025-12-05T09:21:00Z</cp:lastPrinted>
  <dcterms:created xsi:type="dcterms:W3CDTF">2025-12-05T09:48:00Z</dcterms:created>
  <dcterms:modified xsi:type="dcterms:W3CDTF">2025-12-05T09:48:00Z</dcterms:modified>
</cp:coreProperties>
</file>