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C81C8" w14:textId="5D9BD4C0" w:rsidR="00CA1956" w:rsidRPr="00CA1956" w:rsidRDefault="00CA1956" w:rsidP="00CA1956">
      <w:pPr>
        <w:spacing w:before="100" w:beforeAutospacing="1" w:after="100" w:afterAutospacing="1"/>
        <w:outlineLvl w:val="2"/>
        <w:rPr>
          <w:rFonts w:eastAsia="Times New Roman" w:cs="Times New Roman"/>
          <w:b/>
          <w:bCs/>
          <w:color w:val="000000"/>
          <w:kern w:val="0"/>
          <w:sz w:val="27"/>
          <w:szCs w:val="27"/>
          <w:lang w:eastAsia="en-GB"/>
          <w14:ligatures w14:val="none"/>
        </w:rPr>
      </w:pPr>
      <w:r w:rsidRPr="00CA1956">
        <w:rPr>
          <w:rFonts w:eastAsia="Times New Roman" w:cs="Times New Roman"/>
          <w:b/>
          <w:bCs/>
          <w:color w:val="000000"/>
          <w:kern w:val="0"/>
          <w:sz w:val="27"/>
          <w:szCs w:val="27"/>
          <w:lang w:eastAsia="en-GB"/>
          <w14:ligatures w14:val="none"/>
        </w:rPr>
        <w:t>Teacher Well-being in Wales and the UK: A Policy-Based Approach</w:t>
      </w:r>
    </w:p>
    <w:p w14:paraId="340B95CC" w14:textId="2301807C" w:rsidR="00CA1956" w:rsidRPr="00CA1956" w:rsidRDefault="00165EF8" w:rsidP="00CA1956">
      <w:pPr>
        <w:spacing w:before="100" w:beforeAutospacing="1" w:after="100" w:afterAutospacing="1"/>
        <w:rPr>
          <w:rFonts w:eastAsia="Times New Roman" w:cs="Times New Roman"/>
          <w:color w:val="000000"/>
          <w:kern w:val="0"/>
          <w:lang w:eastAsia="en-GB"/>
          <w14:ligatures w14:val="none"/>
        </w:rPr>
      </w:pPr>
      <w:r w:rsidRPr="00165EF8">
        <w:rPr>
          <w:rFonts w:eastAsia="Times New Roman" w:cs="Times New Roman"/>
          <w:color w:val="000000"/>
          <w:kern w:val="0"/>
          <w:lang w:eastAsia="en-GB"/>
          <w14:ligatures w14:val="none"/>
        </w:rPr>
        <w:t>Hello everyone,</w:t>
      </w:r>
      <w:r w:rsidR="00CA1956" w:rsidRPr="00165EF8">
        <w:rPr>
          <w:rFonts w:eastAsia="Times New Roman" w:cs="Times New Roman"/>
          <w:color w:val="000000"/>
          <w:kern w:val="0"/>
          <w:lang w:eastAsia="en-GB"/>
          <w14:ligatures w14:val="none"/>
        </w:rPr>
        <w:t xml:space="preserve"> today I want to talk about t</w:t>
      </w:r>
      <w:r w:rsidR="00CA1956" w:rsidRPr="00CA1956">
        <w:rPr>
          <w:rFonts w:eastAsia="Times New Roman" w:cs="Times New Roman"/>
          <w:color w:val="000000"/>
          <w:kern w:val="0"/>
          <w:lang w:eastAsia="en-GB"/>
          <w14:ligatures w14:val="none"/>
        </w:rPr>
        <w:t xml:space="preserve">eacher well-being </w:t>
      </w:r>
      <w:r w:rsidR="00CA1956" w:rsidRPr="00165EF8">
        <w:rPr>
          <w:rFonts w:eastAsia="Times New Roman" w:cs="Times New Roman"/>
          <w:color w:val="000000"/>
          <w:kern w:val="0"/>
          <w:lang w:eastAsia="en-GB"/>
          <w14:ligatures w14:val="none"/>
        </w:rPr>
        <w:t>being</w:t>
      </w:r>
      <w:r w:rsidR="00CA1956" w:rsidRPr="00CA1956">
        <w:rPr>
          <w:rFonts w:eastAsia="Times New Roman" w:cs="Times New Roman"/>
          <w:color w:val="000000"/>
          <w:kern w:val="0"/>
          <w:lang w:eastAsia="en-GB"/>
          <w14:ligatures w14:val="none"/>
        </w:rPr>
        <w:t xml:space="preserve"> central to the success of any education system, not only in terms of individual health but also in supporting high-quality teaching and student outcomes. In recent years, there has been increasing recognition in Wales and across the UK of the need to address staff workload, mental health, and supportive work environments within schools. This essay outlines the legislative frameworks, policies, and practical strategies in place to support staff well-being, with an emphasis on the Welsh context.</w:t>
      </w:r>
    </w:p>
    <w:p w14:paraId="3B7E792B" w14:textId="77777777" w:rsidR="00CA1956" w:rsidRPr="00CA1956" w:rsidRDefault="00CA1956" w:rsidP="00CA1956">
      <w:pPr>
        <w:spacing w:before="100" w:beforeAutospacing="1" w:after="100" w:afterAutospacing="1"/>
        <w:outlineLvl w:val="3"/>
        <w:rPr>
          <w:rFonts w:eastAsia="Times New Roman" w:cs="Times New Roman"/>
          <w:b/>
          <w:bCs/>
          <w:color w:val="000000"/>
          <w:kern w:val="0"/>
          <w:lang w:eastAsia="en-GB"/>
          <w14:ligatures w14:val="none"/>
        </w:rPr>
      </w:pPr>
      <w:r w:rsidRPr="00CA1956">
        <w:rPr>
          <w:rFonts w:eastAsia="Times New Roman" w:cs="Times New Roman"/>
          <w:b/>
          <w:bCs/>
          <w:color w:val="000000"/>
          <w:kern w:val="0"/>
          <w:lang w:eastAsia="en-GB"/>
          <w14:ligatures w14:val="none"/>
        </w:rPr>
        <w:t>Policy and Legislative Framework in Wales</w:t>
      </w:r>
    </w:p>
    <w:p w14:paraId="7DFB3A16"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The Welsh Government (2020) identifies the support of primary school teachers' well-being as a national priority, with multiple legal and policy frameworks reinforcing this stance. Key legislation includes the </w:t>
      </w:r>
      <w:r w:rsidRPr="00CA1956">
        <w:rPr>
          <w:rFonts w:eastAsia="Times New Roman" w:cs="Times New Roman"/>
          <w:b/>
          <w:bCs/>
          <w:color w:val="000000"/>
          <w:kern w:val="0"/>
          <w:lang w:eastAsia="en-GB"/>
          <w14:ligatures w14:val="none"/>
        </w:rPr>
        <w:t>Health and Safety at Work Act (1974)</w:t>
      </w:r>
      <w:r w:rsidRPr="00CA1956">
        <w:rPr>
          <w:rFonts w:eastAsia="Times New Roman" w:cs="Times New Roman"/>
          <w:color w:val="000000"/>
          <w:kern w:val="0"/>
          <w:lang w:eastAsia="en-GB"/>
          <w14:ligatures w14:val="none"/>
        </w:rPr>
        <w:t> and the </w:t>
      </w:r>
      <w:r w:rsidRPr="00CA1956">
        <w:rPr>
          <w:rFonts w:eastAsia="Times New Roman" w:cs="Times New Roman"/>
          <w:b/>
          <w:bCs/>
          <w:color w:val="000000"/>
          <w:kern w:val="0"/>
          <w:lang w:eastAsia="en-GB"/>
          <w14:ligatures w14:val="none"/>
        </w:rPr>
        <w:t>Curriculum and Assessment (Wales) Act 2021</w:t>
      </w:r>
      <w:r w:rsidRPr="00CA1956">
        <w:rPr>
          <w:rFonts w:eastAsia="Times New Roman" w:cs="Times New Roman"/>
          <w:color w:val="000000"/>
          <w:kern w:val="0"/>
          <w:lang w:eastAsia="en-GB"/>
          <w14:ligatures w14:val="none"/>
        </w:rPr>
        <w:t>, which collectively aim to ensure safe and supportive environments for both students and staff. Central to this agenda is the </w:t>
      </w:r>
      <w:r w:rsidRPr="00CA1956">
        <w:rPr>
          <w:rFonts w:eastAsia="Times New Roman" w:cs="Times New Roman"/>
          <w:b/>
          <w:bCs/>
          <w:color w:val="000000"/>
          <w:kern w:val="0"/>
          <w:lang w:eastAsia="en-GB"/>
          <w14:ligatures w14:val="none"/>
        </w:rPr>
        <w:t>Curriculum for Wales</w:t>
      </w:r>
      <w:r w:rsidRPr="00CA1956">
        <w:rPr>
          <w:rFonts w:eastAsia="Times New Roman" w:cs="Times New Roman"/>
          <w:color w:val="000000"/>
          <w:kern w:val="0"/>
          <w:lang w:eastAsia="en-GB"/>
          <w14:ligatures w14:val="none"/>
        </w:rPr>
        <w:t>, which recognises the importance of teacher well-being as foundational to pupil success (Welsh Government, 2020).</w:t>
      </w:r>
    </w:p>
    <w:p w14:paraId="29F06B89"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The </w:t>
      </w:r>
      <w:r w:rsidRPr="00CA1956">
        <w:rPr>
          <w:rFonts w:eastAsia="Times New Roman" w:cs="Times New Roman"/>
          <w:b/>
          <w:bCs/>
          <w:color w:val="000000"/>
          <w:kern w:val="0"/>
          <w:lang w:eastAsia="en-GB"/>
          <w14:ligatures w14:val="none"/>
        </w:rPr>
        <w:t>Well-being of Future Generations (Wales) Act 2015</w:t>
      </w:r>
      <w:r w:rsidRPr="00CA1956">
        <w:rPr>
          <w:rFonts w:eastAsia="Times New Roman" w:cs="Times New Roman"/>
          <w:color w:val="000000"/>
          <w:kern w:val="0"/>
          <w:lang w:eastAsia="en-GB"/>
          <w14:ligatures w14:val="none"/>
        </w:rPr>
        <w:t> further mandates that public bodies, including schools, must consider long-term impacts on well-being in their operations (Welsh Government, 2015). In practice, this commitment is embedded through the </w:t>
      </w:r>
      <w:r w:rsidRPr="00CA1956">
        <w:rPr>
          <w:rFonts w:eastAsia="Times New Roman" w:cs="Times New Roman"/>
          <w:b/>
          <w:bCs/>
          <w:color w:val="000000"/>
          <w:kern w:val="0"/>
          <w:lang w:eastAsia="en-GB"/>
          <w14:ligatures w14:val="none"/>
        </w:rPr>
        <w:t>Education Staff Well-being Charter</w:t>
      </w:r>
      <w:r w:rsidRPr="00CA1956">
        <w:rPr>
          <w:rFonts w:eastAsia="Times New Roman" w:cs="Times New Roman"/>
          <w:color w:val="000000"/>
          <w:kern w:val="0"/>
          <w:lang w:eastAsia="en-GB"/>
          <w14:ligatures w14:val="none"/>
        </w:rPr>
        <w:t> (Welsh Government, 2021), which encourages a whole-school approach to mental health, positive culture, and effective workload management. It also supports leadership teams in fostering flexible and inclusive work environments.</w:t>
      </w:r>
    </w:p>
    <w:p w14:paraId="075A1EE5"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b/>
          <w:bCs/>
          <w:color w:val="000000"/>
          <w:kern w:val="0"/>
          <w:lang w:eastAsia="en-GB"/>
          <w14:ligatures w14:val="none"/>
        </w:rPr>
        <w:t>Estyn</w:t>
      </w:r>
      <w:r w:rsidRPr="00CA1956">
        <w:rPr>
          <w:rFonts w:eastAsia="Times New Roman" w:cs="Times New Roman"/>
          <w:color w:val="000000"/>
          <w:kern w:val="0"/>
          <w:lang w:eastAsia="en-GB"/>
          <w14:ligatures w14:val="none"/>
        </w:rPr>
        <w:t> (2023) reinforces these efforts through its inspection frameworks, which now consider staff well-being as a criterion for school effectiveness. Professional development opportunities increasingly include training in mental health awareness, resilience, and stress management—skills that equip teachers to better manage their professional responsibilities (Estyn, 2023).</w:t>
      </w:r>
    </w:p>
    <w:p w14:paraId="275FEC8B" w14:textId="77777777" w:rsidR="00CA1956" w:rsidRPr="00CA1956" w:rsidRDefault="00CA1956" w:rsidP="00CA1956">
      <w:pPr>
        <w:spacing w:before="100" w:beforeAutospacing="1" w:after="100" w:afterAutospacing="1"/>
        <w:outlineLvl w:val="3"/>
        <w:rPr>
          <w:rFonts w:eastAsia="Times New Roman" w:cs="Times New Roman"/>
          <w:b/>
          <w:bCs/>
          <w:color w:val="000000"/>
          <w:kern w:val="0"/>
          <w:lang w:eastAsia="en-GB"/>
          <w14:ligatures w14:val="none"/>
        </w:rPr>
      </w:pPr>
      <w:r w:rsidRPr="00CA1956">
        <w:rPr>
          <w:rFonts w:eastAsia="Times New Roman" w:cs="Times New Roman"/>
          <w:b/>
          <w:bCs/>
          <w:color w:val="000000"/>
          <w:kern w:val="0"/>
          <w:lang w:eastAsia="en-GB"/>
          <w14:ligatures w14:val="none"/>
        </w:rPr>
        <w:t>Relevant UK-Wide Legislation</w:t>
      </w:r>
    </w:p>
    <w:p w14:paraId="26025090"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In the broader UK context, legislation also protects the physical and mental health of teachers and early years practitioners. The </w:t>
      </w:r>
      <w:r w:rsidRPr="00CA1956">
        <w:rPr>
          <w:rFonts w:eastAsia="Times New Roman" w:cs="Times New Roman"/>
          <w:b/>
          <w:bCs/>
          <w:color w:val="000000"/>
          <w:kern w:val="0"/>
          <w:lang w:eastAsia="en-GB"/>
          <w14:ligatures w14:val="none"/>
        </w:rPr>
        <w:t>Health and Safety at Work Act (1974)</w:t>
      </w:r>
      <w:r w:rsidRPr="00CA1956">
        <w:rPr>
          <w:rFonts w:eastAsia="Times New Roman" w:cs="Times New Roman"/>
          <w:color w:val="000000"/>
          <w:kern w:val="0"/>
          <w:lang w:eastAsia="en-GB"/>
          <w14:ligatures w14:val="none"/>
        </w:rPr>
        <w:t> places a duty on employers to safeguard the welfare of their employees, including those in educational settings. Similarly, the </w:t>
      </w:r>
      <w:r w:rsidRPr="00CA1956">
        <w:rPr>
          <w:rFonts w:eastAsia="Times New Roman" w:cs="Times New Roman"/>
          <w:b/>
          <w:bCs/>
          <w:color w:val="000000"/>
          <w:kern w:val="0"/>
          <w:lang w:eastAsia="en-GB"/>
          <w14:ligatures w14:val="none"/>
        </w:rPr>
        <w:t>Children Act (1989–2004)</w:t>
      </w:r>
      <w:r w:rsidRPr="00CA1956">
        <w:rPr>
          <w:rFonts w:eastAsia="Times New Roman" w:cs="Times New Roman"/>
          <w:color w:val="000000"/>
          <w:kern w:val="0"/>
          <w:lang w:eastAsia="en-GB"/>
          <w14:ligatures w14:val="none"/>
        </w:rPr>
        <w:t> promotes safe and responsive environments for both children and practitioners, indirectly contributing to the well-being of the latter (Health and Safety Executive, 2024; Department for Education, 2021; UK Parliament, 2024).</w:t>
      </w:r>
    </w:p>
    <w:p w14:paraId="41D96367" w14:textId="77777777" w:rsidR="00CA1956" w:rsidRPr="00CA1956" w:rsidRDefault="00CA1956" w:rsidP="00CA1956">
      <w:pPr>
        <w:spacing w:before="100" w:beforeAutospacing="1" w:after="100" w:afterAutospacing="1"/>
        <w:outlineLvl w:val="3"/>
        <w:rPr>
          <w:rFonts w:eastAsia="Times New Roman" w:cs="Times New Roman"/>
          <w:b/>
          <w:bCs/>
          <w:color w:val="000000"/>
          <w:kern w:val="0"/>
          <w:lang w:eastAsia="en-GB"/>
          <w14:ligatures w14:val="none"/>
        </w:rPr>
      </w:pPr>
      <w:r w:rsidRPr="00CA1956">
        <w:rPr>
          <w:rFonts w:eastAsia="Times New Roman" w:cs="Times New Roman"/>
          <w:b/>
          <w:bCs/>
          <w:color w:val="000000"/>
          <w:kern w:val="0"/>
          <w:lang w:eastAsia="en-GB"/>
          <w14:ligatures w14:val="none"/>
        </w:rPr>
        <w:t>Addressing Workload and Burnout</w:t>
      </w:r>
    </w:p>
    <w:p w14:paraId="4BC73E02"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lastRenderedPageBreak/>
        <w:t xml:space="preserve">To tackle workload and burnout, a systemic approach is required. </w:t>
      </w:r>
      <w:proofErr w:type="spellStart"/>
      <w:r w:rsidRPr="00CA1956">
        <w:rPr>
          <w:rFonts w:eastAsia="Times New Roman" w:cs="Times New Roman"/>
          <w:color w:val="000000"/>
          <w:kern w:val="0"/>
          <w:lang w:eastAsia="en-GB"/>
          <w14:ligatures w14:val="none"/>
        </w:rPr>
        <w:t>Sugui</w:t>
      </w:r>
      <w:proofErr w:type="spellEnd"/>
      <w:r w:rsidRPr="00CA1956">
        <w:rPr>
          <w:rFonts w:eastAsia="Times New Roman" w:cs="Times New Roman"/>
          <w:color w:val="000000"/>
          <w:kern w:val="0"/>
          <w:lang w:eastAsia="en-GB"/>
          <w14:ligatures w14:val="none"/>
        </w:rPr>
        <w:t xml:space="preserve"> (2024) advocates for the application of the </w:t>
      </w:r>
      <w:r w:rsidRPr="00CA1956">
        <w:rPr>
          <w:rFonts w:eastAsia="Times New Roman" w:cs="Times New Roman"/>
          <w:b/>
          <w:bCs/>
          <w:color w:val="000000"/>
          <w:kern w:val="0"/>
          <w:lang w:eastAsia="en-GB"/>
          <w14:ligatures w14:val="none"/>
        </w:rPr>
        <w:t>McKinsey 7-S Framework</w:t>
      </w:r>
      <w:r w:rsidRPr="00CA1956">
        <w:rPr>
          <w:rFonts w:eastAsia="Times New Roman" w:cs="Times New Roman"/>
          <w:color w:val="000000"/>
          <w:kern w:val="0"/>
          <w:lang w:eastAsia="en-GB"/>
          <w14:ligatures w14:val="none"/>
        </w:rPr>
        <w:t> in schools, enabling leadership teams to identify organisational weaknesses and implement policy-aligned, sustainable solutions. In Wales, this aligns with the principles of the </w:t>
      </w:r>
      <w:r w:rsidRPr="00CA1956">
        <w:rPr>
          <w:rFonts w:eastAsia="Times New Roman" w:cs="Times New Roman"/>
          <w:b/>
          <w:bCs/>
          <w:color w:val="000000"/>
          <w:kern w:val="0"/>
          <w:lang w:eastAsia="en-GB"/>
          <w14:ligatures w14:val="none"/>
        </w:rPr>
        <w:t>Well-being of Future Generations Act</w:t>
      </w:r>
      <w:r w:rsidRPr="00CA1956">
        <w:rPr>
          <w:rFonts w:eastAsia="Times New Roman" w:cs="Times New Roman"/>
          <w:color w:val="000000"/>
          <w:kern w:val="0"/>
          <w:lang w:eastAsia="en-GB"/>
          <w14:ligatures w14:val="none"/>
        </w:rPr>
        <w:t> and the </w:t>
      </w:r>
      <w:r w:rsidRPr="00CA1956">
        <w:rPr>
          <w:rFonts w:eastAsia="Times New Roman" w:cs="Times New Roman"/>
          <w:b/>
          <w:bCs/>
          <w:color w:val="000000"/>
          <w:kern w:val="0"/>
          <w:lang w:eastAsia="en-GB"/>
          <w14:ligatures w14:val="none"/>
        </w:rPr>
        <w:t>Education Staff Well-being Charter</w:t>
      </w:r>
      <w:r w:rsidRPr="00CA1956">
        <w:rPr>
          <w:rFonts w:eastAsia="Times New Roman" w:cs="Times New Roman"/>
          <w:color w:val="000000"/>
          <w:kern w:val="0"/>
          <w:lang w:eastAsia="en-GB"/>
          <w14:ligatures w14:val="none"/>
        </w:rPr>
        <w:t> (Welsh Government, 2021).</w:t>
      </w:r>
    </w:p>
    <w:p w14:paraId="35A2B987"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The Welsh Government (2021) highlights that high workloads often result from unclear priorities. A strategic plan that ensures clarity, fair workload distribution, and collaborative planning can mitigate burnout risks. As Vargas-Rubilar et al. (2021), Gluschkoff et al. (2016), and Tharmin (2018) argue, poor delegation and unclear roles can contribute to burnout. A recommended solution involves monthly staff meetings to review and fairly distribute responsibilities, and to embed well-being leads into school structures (Welsh Government, 2024).</w:t>
      </w:r>
    </w:p>
    <w:p w14:paraId="3EB451FA"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Leadership style also plays a critical role. Humphries and Rigg (2020) suggest that inclusive, emotionally intelligent leadership enhances staff morale and reduces stress. Estyn (2024) supports this by recommending leadership training that fosters open-door policies and flexible working conditions.</w:t>
      </w:r>
    </w:p>
    <w:p w14:paraId="26B9A6CF"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 xml:space="preserve">Staffing adequacy is another key factor. Baines et al. (2007) and </w:t>
      </w:r>
      <w:proofErr w:type="spellStart"/>
      <w:r w:rsidRPr="00CA1956">
        <w:rPr>
          <w:rFonts w:eastAsia="Times New Roman" w:cs="Times New Roman"/>
          <w:color w:val="000000"/>
          <w:kern w:val="0"/>
          <w:lang w:eastAsia="en-GB"/>
          <w14:ligatures w14:val="none"/>
        </w:rPr>
        <w:t>Devchii</w:t>
      </w:r>
      <w:proofErr w:type="spellEnd"/>
      <w:r w:rsidRPr="00CA1956">
        <w:rPr>
          <w:rFonts w:eastAsia="Times New Roman" w:cs="Times New Roman"/>
          <w:color w:val="000000"/>
          <w:kern w:val="0"/>
          <w:lang w:eastAsia="en-GB"/>
          <w14:ligatures w14:val="none"/>
        </w:rPr>
        <w:t xml:space="preserve"> et al. (2010) highlight how unrealistic expectations and insufficient cover increase pressure on existing staff. Proactive staffing and the use of data to manage absence trends are essential interventions.</w:t>
      </w:r>
    </w:p>
    <w:p w14:paraId="3B411583"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Professional development also supports well-being. The </w:t>
      </w:r>
      <w:r w:rsidRPr="00CA1956">
        <w:rPr>
          <w:rFonts w:eastAsia="Times New Roman" w:cs="Times New Roman"/>
          <w:b/>
          <w:bCs/>
          <w:color w:val="000000"/>
          <w:kern w:val="0"/>
          <w:lang w:eastAsia="en-GB"/>
          <w14:ligatures w14:val="none"/>
        </w:rPr>
        <w:t>Department for Education</w:t>
      </w:r>
      <w:r w:rsidRPr="00CA1956">
        <w:rPr>
          <w:rFonts w:eastAsia="Times New Roman" w:cs="Times New Roman"/>
          <w:color w:val="000000"/>
          <w:kern w:val="0"/>
          <w:lang w:eastAsia="en-GB"/>
          <w14:ligatures w14:val="none"/>
        </w:rPr>
        <w:t> (2021) and Scott et al. (2024) stress that lack of training in workload management and resilience contributes to stress. Continuous professional development (CPD) in digital literacy, time management, and mental health first aid can address this. These recommendations align with both the </w:t>
      </w:r>
      <w:r w:rsidRPr="00CA1956">
        <w:rPr>
          <w:rFonts w:eastAsia="Times New Roman" w:cs="Times New Roman"/>
          <w:b/>
          <w:bCs/>
          <w:color w:val="000000"/>
          <w:kern w:val="0"/>
          <w:lang w:eastAsia="en-GB"/>
          <w14:ligatures w14:val="none"/>
        </w:rPr>
        <w:t>Well-being Charter</w:t>
      </w:r>
      <w:r w:rsidRPr="00CA1956">
        <w:rPr>
          <w:rFonts w:eastAsia="Times New Roman" w:cs="Times New Roman"/>
          <w:color w:val="000000"/>
          <w:kern w:val="0"/>
          <w:lang w:eastAsia="en-GB"/>
          <w14:ligatures w14:val="none"/>
        </w:rPr>
        <w:t> and professional learning pathways (Welsh Government, 2021).</w:t>
      </w:r>
    </w:p>
    <w:p w14:paraId="4AE312EA"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Singh (2013) supports the use of frameworks like the McKinsey 7-S to create holistic, strategic interventions. When combined with Welsh policy, this approach enables teachers to thrive in supportive, well-managed environments.</w:t>
      </w:r>
    </w:p>
    <w:p w14:paraId="04596A10" w14:textId="77777777" w:rsidR="00CA1956" w:rsidRPr="00CA1956" w:rsidRDefault="00CA1956" w:rsidP="00CA1956">
      <w:pPr>
        <w:spacing w:before="100" w:beforeAutospacing="1" w:after="100" w:afterAutospacing="1"/>
        <w:outlineLvl w:val="3"/>
        <w:rPr>
          <w:rFonts w:eastAsia="Times New Roman" w:cs="Times New Roman"/>
          <w:b/>
          <w:bCs/>
          <w:color w:val="000000"/>
          <w:kern w:val="0"/>
          <w:lang w:eastAsia="en-GB"/>
          <w14:ligatures w14:val="none"/>
        </w:rPr>
      </w:pPr>
      <w:r w:rsidRPr="00CA1956">
        <w:rPr>
          <w:rFonts w:eastAsia="Times New Roman" w:cs="Times New Roman"/>
          <w:b/>
          <w:bCs/>
          <w:color w:val="000000"/>
          <w:kern w:val="0"/>
          <w:lang w:eastAsia="en-GB"/>
          <w14:ligatures w14:val="none"/>
        </w:rPr>
        <w:t>Collaborative Working and Team Planning</w:t>
      </w:r>
    </w:p>
    <w:p w14:paraId="75468D20"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Collaboration also positively impacts teacher well-being. Estyn (2018) reports that teamwork and shared planning reduce stress and enhance job satisfaction. Zhai et al. (2011) support this, noting that collaborative environments allow for the sharing of ideas, resources, and strategies, which enhances teaching quality and workplace morale.</w:t>
      </w:r>
    </w:p>
    <w:p w14:paraId="2EA0F000"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National Leadership Wales emphasises that professional collaboration fosters stronger relationships and a more inclusive school culture. When teachers feel supported and valued through teamwork, their risk of burnout diminishes significantly.</w:t>
      </w:r>
    </w:p>
    <w:p w14:paraId="6F23EEB6" w14:textId="77777777" w:rsidR="00CA1956" w:rsidRPr="00CA1956" w:rsidRDefault="00CA1956" w:rsidP="00CA1956">
      <w:pPr>
        <w:spacing w:before="100" w:beforeAutospacing="1" w:after="100" w:afterAutospacing="1"/>
        <w:outlineLvl w:val="3"/>
        <w:rPr>
          <w:rFonts w:eastAsia="Times New Roman" w:cs="Times New Roman"/>
          <w:b/>
          <w:bCs/>
          <w:color w:val="000000"/>
          <w:kern w:val="0"/>
          <w:lang w:eastAsia="en-GB"/>
          <w14:ligatures w14:val="none"/>
        </w:rPr>
      </w:pPr>
      <w:r w:rsidRPr="00CA1956">
        <w:rPr>
          <w:rFonts w:eastAsia="Times New Roman" w:cs="Times New Roman"/>
          <w:b/>
          <w:bCs/>
          <w:color w:val="000000"/>
          <w:kern w:val="0"/>
          <w:lang w:eastAsia="en-GB"/>
          <w14:ligatures w14:val="none"/>
        </w:rPr>
        <w:lastRenderedPageBreak/>
        <w:t>Impact on Student Outcomes</w:t>
      </w:r>
    </w:p>
    <w:p w14:paraId="5089BD98"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The well-being of teachers directly affects students’ learning environments. According to Agyapong et al. (2022), Kyriacou (2021), and The Pennsylvania State University (2017), poor teacher well-being can reduce instructional effectiveness and negatively affect student performance.</w:t>
      </w:r>
    </w:p>
    <w:p w14:paraId="4F3B4543"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Teachers who maintain a healthy work-life balance are more engaged and better able to differentiate instruction and support student development (</w:t>
      </w:r>
      <w:proofErr w:type="spellStart"/>
      <w:r w:rsidRPr="00CA1956">
        <w:rPr>
          <w:rFonts w:eastAsia="Times New Roman" w:cs="Times New Roman"/>
          <w:color w:val="000000"/>
          <w:kern w:val="0"/>
          <w:lang w:eastAsia="en-GB"/>
          <w14:ligatures w14:val="none"/>
        </w:rPr>
        <w:t>Benevene</w:t>
      </w:r>
      <w:proofErr w:type="spellEnd"/>
      <w:r w:rsidRPr="00CA1956">
        <w:rPr>
          <w:rFonts w:eastAsia="Times New Roman" w:cs="Times New Roman"/>
          <w:color w:val="000000"/>
          <w:kern w:val="0"/>
          <w:lang w:eastAsia="en-GB"/>
          <w14:ligatures w14:val="none"/>
        </w:rPr>
        <w:t>, De Stasio, &amp; Fiorilli, 2020). Johnson (2024) and Leeds Beckett University (2018) suggest that manageable workloads enable teachers to develop stronger relationships with students, improving self-esteem and motivation.</w:t>
      </w:r>
    </w:p>
    <w:p w14:paraId="2FDCFB66"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Resilience is also key to effective classroom management. Cowley (2019) and Holmes (2005) note that stress control is essential for consistent behaviour expectations. Capel et al. (2020) agree, highlighting that self-care enhances a teacher’s capacity to remain emotionally available and supportive, even during challenging situations.</w:t>
      </w:r>
    </w:p>
    <w:p w14:paraId="4BA54CA6" w14:textId="77777777" w:rsidR="00CA1956" w:rsidRPr="00CA1956" w:rsidRDefault="00CA1956" w:rsidP="00CA1956">
      <w:pPr>
        <w:spacing w:before="100" w:beforeAutospacing="1" w:after="100" w:afterAutospacing="1"/>
        <w:outlineLvl w:val="3"/>
        <w:rPr>
          <w:rFonts w:eastAsia="Times New Roman" w:cs="Times New Roman"/>
          <w:b/>
          <w:bCs/>
          <w:color w:val="000000"/>
          <w:kern w:val="0"/>
          <w:lang w:eastAsia="en-GB"/>
          <w14:ligatures w14:val="none"/>
        </w:rPr>
      </w:pPr>
      <w:r w:rsidRPr="00CA1956">
        <w:rPr>
          <w:rFonts w:eastAsia="Times New Roman" w:cs="Times New Roman"/>
          <w:b/>
          <w:bCs/>
          <w:color w:val="000000"/>
          <w:kern w:val="0"/>
          <w:lang w:eastAsia="en-GB"/>
          <w14:ligatures w14:val="none"/>
        </w:rPr>
        <w:t>Support Systems and Resources</w:t>
      </w:r>
    </w:p>
    <w:p w14:paraId="1F7A58EB"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Teachers experiencing stress or burnout in the UK can access support from a range of sources. These include school leadership, trade unions such as the </w:t>
      </w:r>
      <w:r w:rsidRPr="00CA1956">
        <w:rPr>
          <w:rFonts w:eastAsia="Times New Roman" w:cs="Times New Roman"/>
          <w:b/>
          <w:bCs/>
          <w:color w:val="000000"/>
          <w:kern w:val="0"/>
          <w:lang w:eastAsia="en-GB"/>
          <w14:ligatures w14:val="none"/>
        </w:rPr>
        <w:t>National Education Union (NEU)</w:t>
      </w:r>
      <w:r w:rsidRPr="00CA1956">
        <w:rPr>
          <w:rFonts w:eastAsia="Times New Roman" w:cs="Times New Roman"/>
          <w:color w:val="000000"/>
          <w:kern w:val="0"/>
          <w:lang w:eastAsia="en-GB"/>
          <w14:ligatures w14:val="none"/>
        </w:rPr>
        <w:t> and </w:t>
      </w:r>
      <w:r w:rsidRPr="00CA1956">
        <w:rPr>
          <w:rFonts w:eastAsia="Times New Roman" w:cs="Times New Roman"/>
          <w:b/>
          <w:bCs/>
          <w:color w:val="000000"/>
          <w:kern w:val="0"/>
          <w:lang w:eastAsia="en-GB"/>
          <w14:ligatures w14:val="none"/>
        </w:rPr>
        <w:t>Association of Teachers and Lecturers (ATL)</w:t>
      </w:r>
      <w:r w:rsidRPr="00CA1956">
        <w:rPr>
          <w:rFonts w:eastAsia="Times New Roman" w:cs="Times New Roman"/>
          <w:color w:val="000000"/>
          <w:kern w:val="0"/>
          <w:lang w:eastAsia="en-GB"/>
          <w14:ligatures w14:val="none"/>
        </w:rPr>
        <w:t>, and mental health organisations like </w:t>
      </w:r>
      <w:r w:rsidRPr="00CA1956">
        <w:rPr>
          <w:rFonts w:eastAsia="Times New Roman" w:cs="Times New Roman"/>
          <w:b/>
          <w:bCs/>
          <w:color w:val="000000"/>
          <w:kern w:val="0"/>
          <w:lang w:eastAsia="en-GB"/>
          <w14:ligatures w14:val="none"/>
        </w:rPr>
        <w:t>Education Support</w:t>
      </w:r>
      <w:r w:rsidRPr="00CA1956">
        <w:rPr>
          <w:rFonts w:eastAsia="Times New Roman" w:cs="Times New Roman"/>
          <w:color w:val="000000"/>
          <w:kern w:val="0"/>
          <w:lang w:eastAsia="en-GB"/>
          <w14:ligatures w14:val="none"/>
        </w:rPr>
        <w:t> and </w:t>
      </w:r>
      <w:r w:rsidRPr="00CA1956">
        <w:rPr>
          <w:rFonts w:eastAsia="Times New Roman" w:cs="Times New Roman"/>
          <w:b/>
          <w:bCs/>
          <w:color w:val="000000"/>
          <w:kern w:val="0"/>
          <w:lang w:eastAsia="en-GB"/>
          <w14:ligatures w14:val="none"/>
        </w:rPr>
        <w:t>Mind</w:t>
      </w:r>
      <w:r w:rsidRPr="00CA1956">
        <w:rPr>
          <w:rFonts w:eastAsia="Times New Roman" w:cs="Times New Roman"/>
          <w:color w:val="000000"/>
          <w:kern w:val="0"/>
          <w:lang w:eastAsia="en-GB"/>
          <w14:ligatures w14:val="none"/>
        </w:rPr>
        <w:t> (Education Support, 2025; NEU, 2025; Mind, 2025). Confidential resources, including counselling and legal advice, are also widely available.</w:t>
      </w:r>
    </w:p>
    <w:p w14:paraId="33B1F654" w14:textId="77777777" w:rsidR="00CA1956" w:rsidRPr="00CA1956" w:rsidRDefault="00CA1956" w:rsidP="00CA1956">
      <w:pPr>
        <w:spacing w:before="100" w:beforeAutospacing="1" w:after="100" w:afterAutospacing="1"/>
        <w:rPr>
          <w:rFonts w:eastAsia="Times New Roman" w:cs="Times New Roman"/>
          <w:color w:val="000000"/>
          <w:kern w:val="0"/>
          <w:lang w:eastAsia="en-GB"/>
          <w14:ligatures w14:val="none"/>
        </w:rPr>
      </w:pPr>
      <w:r w:rsidRPr="00CA1956">
        <w:rPr>
          <w:rFonts w:eastAsia="Times New Roman" w:cs="Times New Roman"/>
          <w:color w:val="000000"/>
          <w:kern w:val="0"/>
          <w:lang w:eastAsia="en-GB"/>
          <w14:ligatures w14:val="none"/>
        </w:rPr>
        <w:t>From a developmental perspective, Piaget (1952) and Blake (2015) underscore the link between teacher well-being and cognitive engagement in students. A mentally healthy teacher is better equipped to maintain the enthusiasm and flexibility required for effective teaching and learning.</w:t>
      </w:r>
    </w:p>
    <w:p w14:paraId="3553211D" w14:textId="77777777" w:rsidR="00CB640E" w:rsidRDefault="00CB640E"/>
    <w:sectPr w:rsidR="00CB6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956"/>
    <w:rsid w:val="00034973"/>
    <w:rsid w:val="00061120"/>
    <w:rsid w:val="00165EF8"/>
    <w:rsid w:val="006F7670"/>
    <w:rsid w:val="007E3D89"/>
    <w:rsid w:val="00983741"/>
    <w:rsid w:val="00BB7E85"/>
    <w:rsid w:val="00CA1956"/>
    <w:rsid w:val="00CB6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E83B28"/>
  <w15:chartTrackingRefBased/>
  <w15:docId w15:val="{51114E4C-5811-4B48-8A8C-20193A501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9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19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19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A19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9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95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95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95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95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9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19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19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A19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9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9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9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9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956"/>
    <w:rPr>
      <w:rFonts w:eastAsiaTheme="majorEastAsia" w:cstheme="majorBidi"/>
      <w:color w:val="272727" w:themeColor="text1" w:themeTint="D8"/>
    </w:rPr>
  </w:style>
  <w:style w:type="paragraph" w:styleId="Title">
    <w:name w:val="Title"/>
    <w:basedOn w:val="Normal"/>
    <w:next w:val="Normal"/>
    <w:link w:val="TitleChar"/>
    <w:uiPriority w:val="10"/>
    <w:qFormat/>
    <w:rsid w:val="00CA195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9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95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9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95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A1956"/>
    <w:rPr>
      <w:i/>
      <w:iCs/>
      <w:color w:val="404040" w:themeColor="text1" w:themeTint="BF"/>
    </w:rPr>
  </w:style>
  <w:style w:type="paragraph" w:styleId="ListParagraph">
    <w:name w:val="List Paragraph"/>
    <w:basedOn w:val="Normal"/>
    <w:uiPriority w:val="34"/>
    <w:qFormat/>
    <w:rsid w:val="00CA1956"/>
    <w:pPr>
      <w:ind w:left="720"/>
      <w:contextualSpacing/>
    </w:pPr>
  </w:style>
  <w:style w:type="character" w:styleId="IntenseEmphasis">
    <w:name w:val="Intense Emphasis"/>
    <w:basedOn w:val="DefaultParagraphFont"/>
    <w:uiPriority w:val="21"/>
    <w:qFormat/>
    <w:rsid w:val="00CA1956"/>
    <w:rPr>
      <w:i/>
      <w:iCs/>
      <w:color w:val="0F4761" w:themeColor="accent1" w:themeShade="BF"/>
    </w:rPr>
  </w:style>
  <w:style w:type="paragraph" w:styleId="IntenseQuote">
    <w:name w:val="Intense Quote"/>
    <w:basedOn w:val="Normal"/>
    <w:next w:val="Normal"/>
    <w:link w:val="IntenseQuoteChar"/>
    <w:uiPriority w:val="30"/>
    <w:qFormat/>
    <w:rsid w:val="00CA19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956"/>
    <w:rPr>
      <w:i/>
      <w:iCs/>
      <w:color w:val="0F4761" w:themeColor="accent1" w:themeShade="BF"/>
    </w:rPr>
  </w:style>
  <w:style w:type="character" w:styleId="IntenseReference">
    <w:name w:val="Intense Reference"/>
    <w:basedOn w:val="DefaultParagraphFont"/>
    <w:uiPriority w:val="32"/>
    <w:qFormat/>
    <w:rsid w:val="00CA1956"/>
    <w:rPr>
      <w:b/>
      <w:bCs/>
      <w:smallCaps/>
      <w:color w:val="0F4761" w:themeColor="accent1" w:themeShade="BF"/>
      <w:spacing w:val="5"/>
    </w:rPr>
  </w:style>
  <w:style w:type="character" w:styleId="Strong">
    <w:name w:val="Strong"/>
    <w:basedOn w:val="DefaultParagraphFont"/>
    <w:uiPriority w:val="22"/>
    <w:qFormat/>
    <w:rsid w:val="00CA1956"/>
    <w:rPr>
      <w:b/>
      <w:bCs/>
    </w:rPr>
  </w:style>
  <w:style w:type="paragraph" w:styleId="NormalWeb">
    <w:name w:val="Normal (Web)"/>
    <w:basedOn w:val="Normal"/>
    <w:uiPriority w:val="99"/>
    <w:semiHidden/>
    <w:unhideWhenUsed/>
    <w:rsid w:val="00CA195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A19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7287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3</Pages>
  <Words>1097</Words>
  <Characters>6259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1</cp:revision>
  <dcterms:created xsi:type="dcterms:W3CDTF">2025-05-12T13:43:00Z</dcterms:created>
  <dcterms:modified xsi:type="dcterms:W3CDTF">2025-05-13T08:50:00Z</dcterms:modified>
</cp:coreProperties>
</file>