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1161C2" w14:textId="576D7BD3" w:rsidR="008A7774" w:rsidRPr="00CE4BAA" w:rsidRDefault="00CE4BAA" w:rsidP="00CE4BAA">
      <w:pPr>
        <w:spacing w:after="0" w:line="360" w:lineRule="atLeast"/>
        <w:outlineLvl w:val="0"/>
        <w:rPr>
          <w:rFonts w:ascii="Times New Roman" w:eastAsia="Times New Roman" w:hAnsi="Times New Roman" w:cs="Times New Roman"/>
          <w:b/>
          <w:bCs/>
          <w:kern w:val="36"/>
          <w:sz w:val="28"/>
          <w:szCs w:val="28"/>
          <w:lang w:eastAsia="en-GB"/>
        </w:rPr>
      </w:pPr>
      <w:r w:rsidRPr="00CE4BAA">
        <w:rPr>
          <w:rFonts w:ascii="Times New Roman" w:eastAsia="Times New Roman" w:hAnsi="Times New Roman" w:cs="Times New Roman"/>
          <w:b/>
          <w:bCs/>
          <w:kern w:val="36"/>
          <w:sz w:val="28"/>
          <w:szCs w:val="28"/>
          <w:lang w:eastAsia="en-GB"/>
        </w:rPr>
        <w:t>THE GEARING RATIO</w:t>
      </w:r>
    </w:p>
    <w:p w14:paraId="1E34301C" w14:textId="77777777" w:rsidR="00CE4BAA" w:rsidRPr="008A7774" w:rsidRDefault="00CE4BAA" w:rsidP="00CE4BAA">
      <w:pPr>
        <w:spacing w:after="0" w:line="360" w:lineRule="atLeast"/>
        <w:outlineLvl w:val="0"/>
        <w:rPr>
          <w:rFonts w:ascii="Times New Roman" w:eastAsia="Times New Roman" w:hAnsi="Times New Roman" w:cs="Times New Roman"/>
          <w:kern w:val="36"/>
          <w:sz w:val="24"/>
          <w:szCs w:val="24"/>
          <w:lang w:eastAsia="en-GB"/>
        </w:rPr>
      </w:pPr>
    </w:p>
    <w:p w14:paraId="4CE00D4B" w14:textId="77777777" w:rsidR="008A7774" w:rsidRPr="008A7774" w:rsidRDefault="008A7774" w:rsidP="008A7774">
      <w:pPr>
        <w:spacing w:after="360" w:line="384" w:lineRule="atLeast"/>
        <w:rPr>
          <w:rFonts w:ascii="Times New Roman" w:eastAsia="Times New Roman" w:hAnsi="Times New Roman" w:cs="Times New Roman"/>
          <w:spacing w:val="5"/>
          <w:sz w:val="24"/>
          <w:szCs w:val="24"/>
          <w:lang w:eastAsia="en-GB"/>
        </w:rPr>
      </w:pPr>
      <w:r w:rsidRPr="008A7774">
        <w:rPr>
          <w:rFonts w:ascii="Times New Roman" w:eastAsia="Times New Roman" w:hAnsi="Times New Roman" w:cs="Times New Roman"/>
          <w:spacing w:val="5"/>
          <w:sz w:val="24"/>
          <w:szCs w:val="24"/>
          <w:lang w:eastAsia="en-GB"/>
        </w:rPr>
        <w:t>The gearing ratio measures the proportion of a company's borrowed funds to its</w:t>
      </w:r>
      <w:hyperlink r:id="rId5" w:history="1">
        <w:r w:rsidRPr="008A7774">
          <w:rPr>
            <w:rFonts w:ascii="Times New Roman" w:eastAsia="Times New Roman" w:hAnsi="Times New Roman" w:cs="Times New Roman"/>
            <w:spacing w:val="5"/>
            <w:sz w:val="24"/>
            <w:szCs w:val="24"/>
            <w:lang w:eastAsia="en-GB"/>
          </w:rPr>
          <w:t xml:space="preserve"> equity</w:t>
        </w:r>
      </w:hyperlink>
      <w:r w:rsidRPr="008A7774">
        <w:rPr>
          <w:rFonts w:ascii="Times New Roman" w:eastAsia="Times New Roman" w:hAnsi="Times New Roman" w:cs="Times New Roman"/>
          <w:spacing w:val="5"/>
          <w:sz w:val="24"/>
          <w:szCs w:val="24"/>
          <w:lang w:eastAsia="en-GB"/>
        </w:rPr>
        <w:t xml:space="preserve">. The </w:t>
      </w:r>
      <w:hyperlink r:id="rId6" w:history="1">
        <w:r w:rsidRPr="008A7774">
          <w:rPr>
            <w:rFonts w:ascii="Times New Roman" w:eastAsia="Times New Roman" w:hAnsi="Times New Roman" w:cs="Times New Roman"/>
            <w:spacing w:val="5"/>
            <w:sz w:val="24"/>
            <w:szCs w:val="24"/>
            <w:lang w:eastAsia="en-GB"/>
          </w:rPr>
          <w:t>ratio</w:t>
        </w:r>
      </w:hyperlink>
      <w:r w:rsidRPr="008A7774">
        <w:rPr>
          <w:rFonts w:ascii="Times New Roman" w:eastAsia="Times New Roman" w:hAnsi="Times New Roman" w:cs="Times New Roman"/>
          <w:spacing w:val="5"/>
          <w:sz w:val="24"/>
          <w:szCs w:val="24"/>
          <w:lang w:eastAsia="en-GB"/>
        </w:rPr>
        <w:t xml:space="preserve"> indicates the </w:t>
      </w:r>
      <w:hyperlink r:id="rId7" w:history="1">
        <w:r w:rsidRPr="008A7774">
          <w:rPr>
            <w:rFonts w:ascii="Times New Roman" w:eastAsia="Times New Roman" w:hAnsi="Times New Roman" w:cs="Times New Roman"/>
            <w:spacing w:val="5"/>
            <w:sz w:val="24"/>
            <w:szCs w:val="24"/>
            <w:lang w:eastAsia="en-GB"/>
          </w:rPr>
          <w:t>financial risk</w:t>
        </w:r>
      </w:hyperlink>
      <w:r w:rsidRPr="008A7774">
        <w:rPr>
          <w:rFonts w:ascii="Times New Roman" w:eastAsia="Times New Roman" w:hAnsi="Times New Roman" w:cs="Times New Roman"/>
          <w:spacing w:val="5"/>
          <w:sz w:val="24"/>
          <w:szCs w:val="24"/>
          <w:lang w:eastAsia="en-GB"/>
        </w:rPr>
        <w:t xml:space="preserve"> to which a business is subjected, since excessive </w:t>
      </w:r>
      <w:hyperlink r:id="rId8" w:history="1">
        <w:r w:rsidRPr="008A7774">
          <w:rPr>
            <w:rFonts w:ascii="Times New Roman" w:eastAsia="Times New Roman" w:hAnsi="Times New Roman" w:cs="Times New Roman"/>
            <w:spacing w:val="5"/>
            <w:sz w:val="24"/>
            <w:szCs w:val="24"/>
            <w:lang w:eastAsia="en-GB"/>
          </w:rPr>
          <w:t>debt</w:t>
        </w:r>
      </w:hyperlink>
      <w:r w:rsidRPr="008A7774">
        <w:rPr>
          <w:rFonts w:ascii="Times New Roman" w:eastAsia="Times New Roman" w:hAnsi="Times New Roman" w:cs="Times New Roman"/>
          <w:spacing w:val="5"/>
          <w:sz w:val="24"/>
          <w:szCs w:val="24"/>
          <w:lang w:eastAsia="en-GB"/>
        </w:rPr>
        <w:t xml:space="preserve"> can lead to financial difficulties. A high gearing ratio represents a high proportion of debt to equity, while a low gearing ratio represents a low proportion of debt to equity. This ratio is similar to the </w:t>
      </w:r>
      <w:hyperlink r:id="rId9" w:history="1">
        <w:r w:rsidRPr="008A7774">
          <w:rPr>
            <w:rFonts w:ascii="Times New Roman" w:eastAsia="Times New Roman" w:hAnsi="Times New Roman" w:cs="Times New Roman"/>
            <w:spacing w:val="5"/>
            <w:sz w:val="24"/>
            <w:szCs w:val="24"/>
            <w:lang w:eastAsia="en-GB"/>
          </w:rPr>
          <w:t>debt to equity ratio</w:t>
        </w:r>
      </w:hyperlink>
      <w:r w:rsidRPr="008A7774">
        <w:rPr>
          <w:rFonts w:ascii="Times New Roman" w:eastAsia="Times New Roman" w:hAnsi="Times New Roman" w:cs="Times New Roman"/>
          <w:spacing w:val="5"/>
          <w:sz w:val="24"/>
          <w:szCs w:val="24"/>
          <w:lang w:eastAsia="en-GB"/>
        </w:rPr>
        <w:t>, except that there are a number of variations on the gearing ratio formula that can yield slightly different results.</w:t>
      </w:r>
    </w:p>
    <w:p w14:paraId="4A6ACA78" w14:textId="77777777" w:rsidR="008A7774" w:rsidRPr="008A7774" w:rsidRDefault="008A7774" w:rsidP="008A7774">
      <w:pPr>
        <w:spacing w:before="360" w:after="360" w:line="384" w:lineRule="atLeast"/>
        <w:rPr>
          <w:rFonts w:ascii="Times New Roman" w:eastAsia="Times New Roman" w:hAnsi="Times New Roman" w:cs="Times New Roman"/>
          <w:spacing w:val="5"/>
          <w:sz w:val="24"/>
          <w:szCs w:val="24"/>
          <w:lang w:eastAsia="en-GB"/>
        </w:rPr>
      </w:pPr>
      <w:r w:rsidRPr="008A7774">
        <w:rPr>
          <w:rFonts w:ascii="Times New Roman" w:eastAsia="Times New Roman" w:hAnsi="Times New Roman" w:cs="Times New Roman"/>
          <w:spacing w:val="5"/>
          <w:sz w:val="24"/>
          <w:szCs w:val="24"/>
          <w:lang w:eastAsia="en-GB"/>
        </w:rPr>
        <w:t xml:space="preserve">A high gearing ratio is indicative of a great deal of </w:t>
      </w:r>
      <w:hyperlink r:id="rId10" w:history="1">
        <w:r w:rsidRPr="008A7774">
          <w:rPr>
            <w:rFonts w:ascii="Times New Roman" w:eastAsia="Times New Roman" w:hAnsi="Times New Roman" w:cs="Times New Roman"/>
            <w:spacing w:val="5"/>
            <w:sz w:val="24"/>
            <w:szCs w:val="24"/>
            <w:lang w:eastAsia="en-GB"/>
          </w:rPr>
          <w:t>leverage</w:t>
        </w:r>
      </w:hyperlink>
      <w:r w:rsidRPr="008A7774">
        <w:rPr>
          <w:rFonts w:ascii="Times New Roman" w:eastAsia="Times New Roman" w:hAnsi="Times New Roman" w:cs="Times New Roman"/>
          <w:spacing w:val="5"/>
          <w:sz w:val="24"/>
          <w:szCs w:val="24"/>
          <w:lang w:eastAsia="en-GB"/>
        </w:rPr>
        <w:t xml:space="preserve">, where a company is using debt to pay for its continuing operations. In a business downturn, such companies may have trouble meeting their debt repayment schedules, and could risk </w:t>
      </w:r>
      <w:hyperlink r:id="rId11" w:history="1">
        <w:r w:rsidRPr="008A7774">
          <w:rPr>
            <w:rFonts w:ascii="Times New Roman" w:eastAsia="Times New Roman" w:hAnsi="Times New Roman" w:cs="Times New Roman"/>
            <w:spacing w:val="5"/>
            <w:sz w:val="24"/>
            <w:szCs w:val="24"/>
            <w:lang w:eastAsia="en-GB"/>
          </w:rPr>
          <w:t>bankruptcy</w:t>
        </w:r>
      </w:hyperlink>
      <w:r w:rsidRPr="008A7774">
        <w:rPr>
          <w:rFonts w:ascii="Times New Roman" w:eastAsia="Times New Roman" w:hAnsi="Times New Roman" w:cs="Times New Roman"/>
          <w:spacing w:val="5"/>
          <w:sz w:val="24"/>
          <w:szCs w:val="24"/>
          <w:lang w:eastAsia="en-GB"/>
        </w:rPr>
        <w:t xml:space="preserve">. The situation is especially dangerous when a company has engaged in debt arrangements with </w:t>
      </w:r>
      <w:hyperlink r:id="rId12" w:history="1">
        <w:r w:rsidRPr="008A7774">
          <w:rPr>
            <w:rFonts w:ascii="Times New Roman" w:eastAsia="Times New Roman" w:hAnsi="Times New Roman" w:cs="Times New Roman"/>
            <w:spacing w:val="5"/>
            <w:sz w:val="24"/>
            <w:szCs w:val="24"/>
            <w:lang w:eastAsia="en-GB"/>
          </w:rPr>
          <w:t>variable interest rates</w:t>
        </w:r>
      </w:hyperlink>
      <w:r w:rsidRPr="008A7774">
        <w:rPr>
          <w:rFonts w:ascii="Times New Roman" w:eastAsia="Times New Roman" w:hAnsi="Times New Roman" w:cs="Times New Roman"/>
          <w:spacing w:val="5"/>
          <w:sz w:val="24"/>
          <w:szCs w:val="24"/>
          <w:lang w:eastAsia="en-GB"/>
        </w:rPr>
        <w:t>, where a sudden increase in rates could cause serious interest payment problems.</w:t>
      </w:r>
    </w:p>
    <w:p w14:paraId="028D9EA6" w14:textId="7C391AE4" w:rsidR="008A7774" w:rsidRPr="008A7774" w:rsidRDefault="008A7774" w:rsidP="008A7774">
      <w:pPr>
        <w:spacing w:before="360" w:after="360" w:line="384" w:lineRule="atLeast"/>
        <w:rPr>
          <w:rFonts w:ascii="Times New Roman" w:eastAsia="Times New Roman" w:hAnsi="Times New Roman" w:cs="Times New Roman"/>
          <w:spacing w:val="5"/>
          <w:sz w:val="24"/>
          <w:szCs w:val="24"/>
          <w:lang w:eastAsia="en-GB"/>
        </w:rPr>
      </w:pPr>
      <w:hyperlink r:id="rId13" w:history="1">
        <w:r w:rsidRPr="008A7774">
          <w:rPr>
            <w:rFonts w:ascii="Times New Roman" w:eastAsia="Times New Roman" w:hAnsi="Times New Roman" w:cs="Times New Roman"/>
            <w:spacing w:val="5"/>
            <w:sz w:val="24"/>
            <w:szCs w:val="24"/>
            <w:lang w:eastAsia="en-GB"/>
          </w:rPr>
          <w:t>Lenders</w:t>
        </w:r>
      </w:hyperlink>
      <w:r w:rsidRPr="008A7774">
        <w:rPr>
          <w:rFonts w:ascii="Times New Roman" w:eastAsia="Times New Roman" w:hAnsi="Times New Roman" w:cs="Times New Roman"/>
          <w:spacing w:val="5"/>
          <w:sz w:val="24"/>
          <w:szCs w:val="24"/>
          <w:lang w:eastAsia="en-GB"/>
        </w:rPr>
        <w:t xml:space="preserve"> are particularly concerned about the gearing ratio, since an excessively high gearing ratio will put their </w:t>
      </w:r>
      <w:hyperlink r:id="rId14" w:history="1">
        <w:r w:rsidRPr="008A7774">
          <w:rPr>
            <w:rFonts w:ascii="Times New Roman" w:eastAsia="Times New Roman" w:hAnsi="Times New Roman" w:cs="Times New Roman"/>
            <w:spacing w:val="5"/>
            <w:sz w:val="24"/>
            <w:szCs w:val="24"/>
            <w:lang w:eastAsia="en-GB"/>
          </w:rPr>
          <w:t>loans</w:t>
        </w:r>
      </w:hyperlink>
      <w:r w:rsidRPr="008A7774">
        <w:rPr>
          <w:rFonts w:ascii="Times New Roman" w:eastAsia="Times New Roman" w:hAnsi="Times New Roman" w:cs="Times New Roman"/>
          <w:spacing w:val="5"/>
          <w:sz w:val="24"/>
          <w:szCs w:val="24"/>
          <w:lang w:eastAsia="en-GB"/>
        </w:rPr>
        <w:t xml:space="preserve"> at risk of not being repaid.  Possible requirements by lenders to counteract this problem are the use of restrictive </w:t>
      </w:r>
      <w:hyperlink r:id="rId15" w:history="1">
        <w:r w:rsidRPr="008A7774">
          <w:rPr>
            <w:rFonts w:ascii="Times New Roman" w:eastAsia="Times New Roman" w:hAnsi="Times New Roman" w:cs="Times New Roman"/>
            <w:spacing w:val="5"/>
            <w:sz w:val="24"/>
            <w:szCs w:val="24"/>
            <w:lang w:eastAsia="en-GB"/>
          </w:rPr>
          <w:t>covenants</w:t>
        </w:r>
      </w:hyperlink>
      <w:r w:rsidRPr="008A7774">
        <w:rPr>
          <w:rFonts w:ascii="Times New Roman" w:eastAsia="Times New Roman" w:hAnsi="Times New Roman" w:cs="Times New Roman"/>
          <w:spacing w:val="5"/>
          <w:sz w:val="24"/>
          <w:szCs w:val="24"/>
          <w:lang w:eastAsia="en-GB"/>
        </w:rPr>
        <w:t xml:space="preserve"> that prohibit the payment of </w:t>
      </w:r>
      <w:hyperlink r:id="rId16" w:history="1">
        <w:r w:rsidRPr="008A7774">
          <w:rPr>
            <w:rFonts w:ascii="Times New Roman" w:eastAsia="Times New Roman" w:hAnsi="Times New Roman" w:cs="Times New Roman"/>
            <w:spacing w:val="5"/>
            <w:sz w:val="24"/>
            <w:szCs w:val="24"/>
            <w:lang w:eastAsia="en-GB"/>
          </w:rPr>
          <w:t>dividends</w:t>
        </w:r>
      </w:hyperlink>
      <w:r w:rsidRPr="008A7774">
        <w:rPr>
          <w:rFonts w:ascii="Times New Roman" w:eastAsia="Times New Roman" w:hAnsi="Times New Roman" w:cs="Times New Roman"/>
          <w:spacing w:val="5"/>
          <w:sz w:val="24"/>
          <w:szCs w:val="24"/>
          <w:lang w:eastAsia="en-GB"/>
        </w:rPr>
        <w:t xml:space="preserve">, forcing excess </w:t>
      </w:r>
      <w:hyperlink r:id="rId17" w:history="1">
        <w:r w:rsidRPr="008A7774">
          <w:rPr>
            <w:rFonts w:ascii="Times New Roman" w:eastAsia="Times New Roman" w:hAnsi="Times New Roman" w:cs="Times New Roman"/>
            <w:spacing w:val="5"/>
            <w:sz w:val="24"/>
            <w:szCs w:val="24"/>
            <w:lang w:eastAsia="en-GB"/>
          </w:rPr>
          <w:t>cash flow</w:t>
        </w:r>
      </w:hyperlink>
      <w:r w:rsidRPr="008A7774">
        <w:rPr>
          <w:rFonts w:ascii="Times New Roman" w:eastAsia="Times New Roman" w:hAnsi="Times New Roman" w:cs="Times New Roman"/>
          <w:spacing w:val="5"/>
          <w:sz w:val="24"/>
          <w:szCs w:val="24"/>
          <w:lang w:eastAsia="en-GB"/>
        </w:rPr>
        <w:t xml:space="preserve"> into debt repayment, restrictions on alternative uses of cash, and a requirement for </w:t>
      </w:r>
      <w:hyperlink r:id="rId18" w:history="1">
        <w:r w:rsidRPr="008A7774">
          <w:rPr>
            <w:rFonts w:ascii="Times New Roman" w:eastAsia="Times New Roman" w:hAnsi="Times New Roman" w:cs="Times New Roman"/>
            <w:spacing w:val="5"/>
            <w:sz w:val="24"/>
            <w:szCs w:val="24"/>
            <w:lang w:eastAsia="en-GB"/>
          </w:rPr>
          <w:t>investors</w:t>
        </w:r>
      </w:hyperlink>
      <w:r w:rsidRPr="008A7774">
        <w:rPr>
          <w:rFonts w:ascii="Times New Roman" w:eastAsia="Times New Roman" w:hAnsi="Times New Roman" w:cs="Times New Roman"/>
          <w:spacing w:val="5"/>
          <w:sz w:val="24"/>
          <w:szCs w:val="24"/>
          <w:lang w:eastAsia="en-GB"/>
        </w:rPr>
        <w:t xml:space="preserve"> to put more equity into the company. </w:t>
      </w:r>
      <w:hyperlink r:id="rId19" w:history="1">
        <w:r w:rsidRPr="008A7774">
          <w:rPr>
            <w:rFonts w:ascii="Times New Roman" w:eastAsia="Times New Roman" w:hAnsi="Times New Roman" w:cs="Times New Roman"/>
            <w:spacing w:val="5"/>
            <w:sz w:val="24"/>
            <w:szCs w:val="24"/>
            <w:lang w:eastAsia="en-GB"/>
          </w:rPr>
          <w:t>Creditors</w:t>
        </w:r>
      </w:hyperlink>
      <w:r w:rsidRPr="008A7774">
        <w:rPr>
          <w:rFonts w:ascii="Times New Roman" w:eastAsia="Times New Roman" w:hAnsi="Times New Roman" w:cs="Times New Roman"/>
          <w:spacing w:val="5"/>
          <w:sz w:val="24"/>
          <w:szCs w:val="24"/>
          <w:lang w:eastAsia="en-GB"/>
        </w:rPr>
        <w:t xml:space="preserve"> have a similar concern, but are usually unable to impose changes on the </w:t>
      </w:r>
      <w:r w:rsidR="00CE4BAA" w:rsidRPr="008A7774">
        <w:rPr>
          <w:rFonts w:ascii="Times New Roman" w:eastAsia="Times New Roman" w:hAnsi="Times New Roman" w:cs="Times New Roman"/>
          <w:spacing w:val="5"/>
          <w:sz w:val="24"/>
          <w:szCs w:val="24"/>
          <w:lang w:eastAsia="en-GB"/>
        </w:rPr>
        <w:t>behaviour</w:t>
      </w:r>
      <w:r w:rsidRPr="008A7774">
        <w:rPr>
          <w:rFonts w:ascii="Times New Roman" w:eastAsia="Times New Roman" w:hAnsi="Times New Roman" w:cs="Times New Roman"/>
          <w:spacing w:val="5"/>
          <w:sz w:val="24"/>
          <w:szCs w:val="24"/>
          <w:lang w:eastAsia="en-GB"/>
        </w:rPr>
        <w:t xml:space="preserve"> of the company</w:t>
      </w:r>
    </w:p>
    <w:p w14:paraId="19B50122" w14:textId="77777777" w:rsidR="008A7774" w:rsidRPr="008A7774" w:rsidRDefault="008A7774" w:rsidP="008A7774">
      <w:pPr>
        <w:spacing w:after="300" w:line="540" w:lineRule="atLeast"/>
        <w:outlineLvl w:val="1"/>
        <w:rPr>
          <w:rFonts w:ascii="Times New Roman" w:eastAsia="Times New Roman" w:hAnsi="Times New Roman" w:cs="Times New Roman"/>
          <w:b/>
          <w:bCs/>
          <w:sz w:val="28"/>
          <w:szCs w:val="28"/>
          <w:lang w:eastAsia="en-GB"/>
        </w:rPr>
      </w:pPr>
      <w:r w:rsidRPr="008A7774">
        <w:rPr>
          <w:rFonts w:ascii="Times New Roman" w:eastAsia="Times New Roman" w:hAnsi="Times New Roman" w:cs="Times New Roman"/>
          <w:b/>
          <w:bCs/>
          <w:sz w:val="28"/>
          <w:szCs w:val="28"/>
          <w:lang w:eastAsia="en-GB"/>
        </w:rPr>
        <w:t>What is a good or bad gearing ratio?</w:t>
      </w:r>
    </w:p>
    <w:p w14:paraId="4FF9295A"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 good or bad gearing ratio is completely relative, as it is a comparison between an individual company and other companies in the same industry. However, there are some basic guidelines that can be used to identify desirable and undesirable ratios:</w:t>
      </w:r>
    </w:p>
    <w:p w14:paraId="24B43DC9" w14:textId="77777777" w:rsidR="008A7774" w:rsidRPr="008A7774" w:rsidRDefault="008A7774" w:rsidP="008A7774">
      <w:pPr>
        <w:numPr>
          <w:ilvl w:val="0"/>
          <w:numId w:val="1"/>
        </w:numPr>
        <w:spacing w:before="100" w:beforeAutospacing="1" w:after="150" w:line="360" w:lineRule="atLeast"/>
        <w:ind w:left="0"/>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 high gearing ratio is anything above 50%</w:t>
      </w:r>
    </w:p>
    <w:p w14:paraId="31B30490" w14:textId="77777777" w:rsidR="008A7774" w:rsidRPr="008A7774" w:rsidRDefault="008A7774" w:rsidP="008A7774">
      <w:pPr>
        <w:numPr>
          <w:ilvl w:val="0"/>
          <w:numId w:val="1"/>
        </w:numPr>
        <w:spacing w:before="100" w:beforeAutospacing="1" w:after="150" w:line="360" w:lineRule="atLeast"/>
        <w:ind w:left="0"/>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 low gearing ratio is anything below 25%</w:t>
      </w:r>
    </w:p>
    <w:p w14:paraId="3BC2D929" w14:textId="77777777" w:rsidR="008A7774" w:rsidRPr="008A7774" w:rsidRDefault="008A7774" w:rsidP="008A7774">
      <w:pPr>
        <w:numPr>
          <w:ilvl w:val="0"/>
          <w:numId w:val="1"/>
        </w:numPr>
        <w:spacing w:before="100" w:beforeAutospacing="1" w:after="150" w:line="360" w:lineRule="atLeast"/>
        <w:ind w:left="0"/>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An optimal gearing ratio is anything between 25% and 50%</w:t>
      </w:r>
    </w:p>
    <w:p w14:paraId="3D11D35C"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 company with a high gearing ratio will tend to use loans to pay for operational costs, which means that it could be exposed to increased risk during economic downturns or interest rate increases. This could lead to financial difficulties, and even bankruptcy.</w:t>
      </w:r>
    </w:p>
    <w:p w14:paraId="6FE6459D" w14:textId="2C3F756B" w:rsidR="008A7774" w:rsidRPr="00CE4BAA" w:rsidRDefault="008A7774" w:rsidP="008A7774">
      <w:pPr>
        <w:spacing w:after="210" w:line="240" w:lineRule="auto"/>
        <w:rPr>
          <w:rFonts w:ascii="Times New Roman" w:hAnsi="Times New Roman" w:cs="Times New Roman"/>
          <w:sz w:val="24"/>
          <w:szCs w:val="24"/>
          <w:shd w:val="clear" w:color="auto" w:fill="FFFFFF"/>
        </w:rPr>
      </w:pPr>
      <w:r w:rsidRPr="008A7774">
        <w:rPr>
          <w:rFonts w:ascii="Times New Roman" w:eastAsia="Times New Roman" w:hAnsi="Times New Roman" w:cs="Times New Roman"/>
          <w:sz w:val="24"/>
          <w:szCs w:val="24"/>
          <w:lang w:eastAsia="en-GB"/>
        </w:rPr>
        <w:lastRenderedPageBreak/>
        <w:t xml:space="preserve">A company with a low gearing ratio will generally have more conservative spending habits or operate in a cyclical industry – one that is more sensitive to economic ups and downs – so it tries to keep its debts down. Companies with </w:t>
      </w:r>
      <w:r w:rsidRPr="00CE4BAA">
        <w:rPr>
          <w:rFonts w:ascii="Times New Roman" w:hAnsi="Times New Roman" w:cs="Times New Roman"/>
          <w:sz w:val="24"/>
          <w:szCs w:val="24"/>
          <w:shd w:val="clear" w:color="auto" w:fill="FFFFFF"/>
        </w:rPr>
        <w:t>low gearing ratios maintain this by using shareholders’ equity to pay for major costs.</w:t>
      </w:r>
    </w:p>
    <w:p w14:paraId="0D9240AB" w14:textId="77777777" w:rsidR="008A7774" w:rsidRPr="008A7774" w:rsidRDefault="008A7774" w:rsidP="008A7774">
      <w:pPr>
        <w:spacing w:after="300" w:line="540" w:lineRule="atLeast"/>
        <w:outlineLvl w:val="1"/>
        <w:rPr>
          <w:rFonts w:ascii="Times New Roman" w:eastAsia="Times New Roman" w:hAnsi="Times New Roman" w:cs="Times New Roman"/>
          <w:b/>
          <w:bCs/>
          <w:sz w:val="28"/>
          <w:szCs w:val="28"/>
          <w:lang w:eastAsia="en-GB"/>
        </w:rPr>
      </w:pPr>
      <w:r w:rsidRPr="008A7774">
        <w:rPr>
          <w:rFonts w:ascii="Times New Roman" w:eastAsia="Times New Roman" w:hAnsi="Times New Roman" w:cs="Times New Roman"/>
          <w:b/>
          <w:bCs/>
          <w:sz w:val="28"/>
          <w:szCs w:val="28"/>
          <w:lang w:eastAsia="en-GB"/>
        </w:rPr>
        <w:t>Pros and cons of gearing ratios</w:t>
      </w:r>
    </w:p>
    <w:p w14:paraId="3EC78AC1" w14:textId="77777777" w:rsidR="008A7774" w:rsidRPr="008A7774" w:rsidRDefault="008A7774" w:rsidP="008A7774">
      <w:pPr>
        <w:spacing w:after="300" w:line="420" w:lineRule="atLeast"/>
        <w:outlineLvl w:val="2"/>
        <w:rPr>
          <w:rFonts w:ascii="Times New Roman" w:eastAsia="Times New Roman" w:hAnsi="Times New Roman" w:cs="Times New Roman"/>
          <w:b/>
          <w:bCs/>
          <w:sz w:val="24"/>
          <w:szCs w:val="24"/>
          <w:lang w:eastAsia="en-GB"/>
        </w:rPr>
      </w:pPr>
      <w:r w:rsidRPr="008A7774">
        <w:rPr>
          <w:rFonts w:ascii="Times New Roman" w:eastAsia="Times New Roman" w:hAnsi="Times New Roman" w:cs="Times New Roman"/>
          <w:b/>
          <w:bCs/>
          <w:sz w:val="24"/>
          <w:szCs w:val="24"/>
          <w:lang w:eastAsia="en-GB"/>
        </w:rPr>
        <w:t>Pros of gearing ratios</w:t>
      </w:r>
    </w:p>
    <w:p w14:paraId="0822F585"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A gearing ratio is a useful measure for the financial institutions that issue loans, because it can be used as a guideline for risk. When an organisation has more debt, there is a higher risk of financial troubles and even bankruptcy.</w:t>
      </w:r>
    </w:p>
    <w:p w14:paraId="403195E8"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Gearing ratios are also a convenient way for the company itself to manage its debt levels, predict future cash flow and monitor its leverage.</w:t>
      </w:r>
    </w:p>
    <w:p w14:paraId="4950ADA9" w14:textId="77777777" w:rsidR="008A7774" w:rsidRPr="008A7774" w:rsidRDefault="008A7774" w:rsidP="008A7774">
      <w:pPr>
        <w:spacing w:after="300" w:line="420" w:lineRule="atLeast"/>
        <w:outlineLvl w:val="2"/>
        <w:rPr>
          <w:rFonts w:ascii="Times New Roman" w:eastAsia="Times New Roman" w:hAnsi="Times New Roman" w:cs="Times New Roman"/>
          <w:b/>
          <w:bCs/>
          <w:sz w:val="24"/>
          <w:szCs w:val="24"/>
          <w:lang w:eastAsia="en-GB"/>
        </w:rPr>
      </w:pPr>
      <w:r w:rsidRPr="008A7774">
        <w:rPr>
          <w:rFonts w:ascii="Times New Roman" w:eastAsia="Times New Roman" w:hAnsi="Times New Roman" w:cs="Times New Roman"/>
          <w:b/>
          <w:bCs/>
          <w:sz w:val="24"/>
          <w:szCs w:val="24"/>
          <w:lang w:eastAsia="en-GB"/>
        </w:rPr>
        <w:t>Cons of gearing ratios</w:t>
      </w:r>
    </w:p>
    <w:p w14:paraId="37231811"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r w:rsidRPr="008A7774">
        <w:rPr>
          <w:rFonts w:ascii="Times New Roman" w:eastAsia="Times New Roman" w:hAnsi="Times New Roman" w:cs="Times New Roman"/>
          <w:sz w:val="24"/>
          <w:szCs w:val="24"/>
          <w:lang w:eastAsia="en-GB"/>
        </w:rPr>
        <w:t>Using a company’s gearing ratio to gauge its financial structure does have its limitations. This is because the gearing ratio could reflect a risky financial structure, but not necessarily a poor financial state. While the figure gives some insight into the company’s financials, it should always be compared against historical company ratios and competitors’ ratios</w:t>
      </w:r>
    </w:p>
    <w:p w14:paraId="19885B65" w14:textId="77777777" w:rsidR="008A7774" w:rsidRPr="008A7774" w:rsidRDefault="008A7774" w:rsidP="008A7774">
      <w:pPr>
        <w:spacing w:after="210" w:line="240" w:lineRule="auto"/>
        <w:rPr>
          <w:rFonts w:ascii="Times New Roman" w:eastAsia="Times New Roman" w:hAnsi="Times New Roman" w:cs="Times New Roman"/>
          <w:sz w:val="24"/>
          <w:szCs w:val="24"/>
          <w:lang w:eastAsia="en-GB"/>
        </w:rPr>
      </w:pPr>
    </w:p>
    <w:p w14:paraId="5185718C" w14:textId="4C066F2B" w:rsidR="008A7774" w:rsidRPr="00CE4BAA" w:rsidRDefault="00CE4BAA">
      <w:pPr>
        <w:rPr>
          <w:rFonts w:ascii="Times New Roman" w:hAnsi="Times New Roman" w:cs="Times New Roman"/>
          <w:b/>
          <w:bCs/>
          <w:sz w:val="28"/>
          <w:szCs w:val="28"/>
        </w:rPr>
      </w:pPr>
      <w:r w:rsidRPr="00CE4BAA">
        <w:rPr>
          <w:rFonts w:ascii="Times New Roman" w:hAnsi="Times New Roman" w:cs="Times New Roman"/>
          <w:b/>
          <w:bCs/>
          <w:sz w:val="28"/>
          <w:szCs w:val="28"/>
        </w:rPr>
        <w:t>Gearing</w:t>
      </w:r>
      <w:r w:rsidR="008A7774" w:rsidRPr="00CE4BAA">
        <w:rPr>
          <w:rFonts w:ascii="Times New Roman" w:hAnsi="Times New Roman" w:cs="Times New Roman"/>
          <w:b/>
          <w:bCs/>
          <w:sz w:val="28"/>
          <w:szCs w:val="28"/>
        </w:rPr>
        <w:t xml:space="preserve"> Ratio </w:t>
      </w:r>
      <w:r w:rsidRPr="00CE4BAA">
        <w:rPr>
          <w:rFonts w:ascii="Times New Roman" w:hAnsi="Times New Roman" w:cs="Times New Roman"/>
          <w:b/>
          <w:bCs/>
          <w:sz w:val="28"/>
          <w:szCs w:val="28"/>
        </w:rPr>
        <w:t>Using</w:t>
      </w:r>
      <w:r w:rsidR="008A7774" w:rsidRPr="00CE4BAA">
        <w:rPr>
          <w:rFonts w:ascii="Times New Roman" w:hAnsi="Times New Roman" w:cs="Times New Roman"/>
          <w:b/>
          <w:bCs/>
          <w:sz w:val="28"/>
          <w:szCs w:val="28"/>
        </w:rPr>
        <w:t xml:space="preserve"> Market Values</w:t>
      </w:r>
    </w:p>
    <w:p w14:paraId="6C4FC0C8" w14:textId="13A0F3FC" w:rsidR="00CE4BAA" w:rsidRPr="00CE4BAA" w:rsidRDefault="008A7774" w:rsidP="00CE4BAA">
      <w:pPr>
        <w:pStyle w:val="NormalWeb"/>
        <w:spacing w:before="0" w:beforeAutospacing="0"/>
      </w:pPr>
      <w:r w:rsidRPr="00CE4BAA">
        <w:t>There are two ways of looking at gearing depending on what information is available.</w:t>
      </w:r>
      <w:r w:rsidR="00CE4BAA">
        <w:t xml:space="preserve"> </w:t>
      </w:r>
      <w:r w:rsidRPr="00CE4BAA">
        <w:t>The best way would be to use the market values of debt and of equity</w:t>
      </w:r>
      <w:r w:rsidR="00CE4BAA" w:rsidRPr="00CE4BAA">
        <w:t xml:space="preserve">. </w:t>
      </w:r>
      <w:r w:rsidRPr="00CE4BAA">
        <w:t xml:space="preserve"> </w:t>
      </w:r>
      <w:r w:rsidR="00CE4BAA" w:rsidRPr="00CE4BAA">
        <w:rPr>
          <w:shd w:val="clear" w:color="auto" w:fill="FFFFFF"/>
        </w:rPr>
        <w:t>This is because</w:t>
      </w:r>
      <w:r w:rsidR="00CE4BAA" w:rsidRPr="00CE4BAA">
        <w:rPr>
          <w:shd w:val="clear" w:color="auto" w:fill="FFFFFF"/>
        </w:rPr>
        <w:t xml:space="preserve"> the book values in the balance sheet (especially that of equity) do not generally provide a true measure of the values in the business.</w:t>
      </w:r>
    </w:p>
    <w:p w14:paraId="4793391D" w14:textId="7B7A7B7B" w:rsidR="008A7774" w:rsidRPr="00CE4BAA" w:rsidRDefault="00CE4BAA" w:rsidP="008A7774">
      <w:pPr>
        <w:pStyle w:val="NormalWeb"/>
        <w:spacing w:before="0" w:beforeAutospacing="0"/>
      </w:pPr>
      <w:r w:rsidRPr="00CE4BAA">
        <w:t>I</w:t>
      </w:r>
      <w:r>
        <w:t>f</w:t>
      </w:r>
      <w:r w:rsidR="008A7774" w:rsidRPr="00CE4BAA">
        <w:t xml:space="preserve"> you have these</w:t>
      </w:r>
      <w:r>
        <w:t>,</w:t>
      </w:r>
      <w:bookmarkStart w:id="0" w:name="_GoBack"/>
      <w:bookmarkEnd w:id="0"/>
      <w:r w:rsidR="008A7774" w:rsidRPr="00CE4BAA">
        <w:t xml:space="preserve"> then reserves</w:t>
      </w:r>
      <w:r w:rsidRPr="00CE4BAA">
        <w:t xml:space="preserve"> / retained profits</w:t>
      </w:r>
      <w:r w:rsidR="008A7774" w:rsidRPr="00CE4BAA">
        <w:t xml:space="preserve"> are not relevant </w:t>
      </w:r>
      <w:r w:rsidRPr="00CE4BAA">
        <w:t>as</w:t>
      </w:r>
      <w:r w:rsidR="008A7774" w:rsidRPr="00CE4BAA">
        <w:t xml:space="preserve"> the market value </w:t>
      </w:r>
      <w:r w:rsidRPr="00CE4BAA">
        <w:t xml:space="preserve">per share </w:t>
      </w:r>
      <w:r w:rsidR="008A7774" w:rsidRPr="00CE4BAA">
        <w:t>is already taking these into account</w:t>
      </w:r>
      <w:r w:rsidRPr="00CE4BAA">
        <w:t>. The key reason why the market value per share is higher than the nominal value per share is because the company has been making profits in previous years,</w:t>
      </w:r>
    </w:p>
    <w:p w14:paraId="7602F59C" w14:textId="77777777" w:rsidR="008A7774" w:rsidRPr="00CE4BAA" w:rsidRDefault="008A7774" w:rsidP="008A7774">
      <w:pPr>
        <w:pStyle w:val="NormalWeb"/>
        <w:spacing w:before="0" w:beforeAutospacing="0"/>
      </w:pPr>
      <w:r w:rsidRPr="00CE4BAA">
        <w:t xml:space="preserve">If you do not have market </w:t>
      </w:r>
      <w:proofErr w:type="gramStart"/>
      <w:r w:rsidRPr="00CE4BAA">
        <w:t>values</w:t>
      </w:r>
      <w:proofErr w:type="gramEnd"/>
      <w:r w:rsidRPr="00CE4BAA">
        <w:t xml:space="preserve"> then it means we have to use balance sheet values. In this case you take the total </w:t>
      </w:r>
      <w:proofErr w:type="spellStart"/>
      <w:r w:rsidRPr="00CE4BAA">
        <w:t>shareholders</w:t>
      </w:r>
      <w:proofErr w:type="spellEnd"/>
      <w:r w:rsidRPr="00CE4BAA">
        <w:t xml:space="preserve"> funds (share capital plus all reserves).</w:t>
      </w:r>
    </w:p>
    <w:p w14:paraId="5A261A05" w14:textId="02C11447" w:rsidR="008A7774" w:rsidRDefault="008A7774"/>
    <w:sectPr w:rsidR="008A7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2713B1"/>
    <w:multiLevelType w:val="multilevel"/>
    <w:tmpl w:val="26644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774"/>
    <w:rsid w:val="008A7774"/>
    <w:rsid w:val="00CC05B0"/>
    <w:rsid w:val="00CE4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A1B14"/>
  <w15:chartTrackingRefBased/>
  <w15:docId w15:val="{F4C5B7BC-71C1-4A8C-AC9E-548839F7D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777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230798">
      <w:bodyDiv w:val="1"/>
      <w:marLeft w:val="0"/>
      <w:marRight w:val="0"/>
      <w:marTop w:val="0"/>
      <w:marBottom w:val="0"/>
      <w:divBdr>
        <w:top w:val="none" w:sz="0" w:space="0" w:color="auto"/>
        <w:left w:val="none" w:sz="0" w:space="0" w:color="auto"/>
        <w:bottom w:val="none" w:sz="0" w:space="0" w:color="auto"/>
        <w:right w:val="none" w:sz="0" w:space="0" w:color="auto"/>
      </w:divBdr>
    </w:div>
    <w:div w:id="934047798">
      <w:bodyDiv w:val="1"/>
      <w:marLeft w:val="0"/>
      <w:marRight w:val="0"/>
      <w:marTop w:val="0"/>
      <w:marBottom w:val="0"/>
      <w:divBdr>
        <w:top w:val="none" w:sz="0" w:space="0" w:color="auto"/>
        <w:left w:val="none" w:sz="0" w:space="0" w:color="auto"/>
        <w:bottom w:val="none" w:sz="0" w:space="0" w:color="auto"/>
        <w:right w:val="none" w:sz="0" w:space="0" w:color="auto"/>
      </w:divBdr>
    </w:div>
    <w:div w:id="1052464030">
      <w:bodyDiv w:val="1"/>
      <w:marLeft w:val="0"/>
      <w:marRight w:val="0"/>
      <w:marTop w:val="0"/>
      <w:marBottom w:val="0"/>
      <w:divBdr>
        <w:top w:val="none" w:sz="0" w:space="0" w:color="auto"/>
        <w:left w:val="none" w:sz="0" w:space="0" w:color="auto"/>
        <w:bottom w:val="none" w:sz="0" w:space="0" w:color="auto"/>
        <w:right w:val="none" w:sz="0" w:space="0" w:color="auto"/>
      </w:divBdr>
    </w:div>
    <w:div w:id="1927768903">
      <w:bodyDiv w:val="1"/>
      <w:marLeft w:val="0"/>
      <w:marRight w:val="0"/>
      <w:marTop w:val="0"/>
      <w:marBottom w:val="0"/>
      <w:divBdr>
        <w:top w:val="none" w:sz="0" w:space="0" w:color="auto"/>
        <w:left w:val="none" w:sz="0" w:space="0" w:color="auto"/>
        <w:bottom w:val="none" w:sz="0" w:space="0" w:color="auto"/>
        <w:right w:val="none" w:sz="0" w:space="0" w:color="auto"/>
      </w:divBdr>
      <w:divsChild>
        <w:div w:id="2062166632">
          <w:marLeft w:val="0"/>
          <w:marRight w:val="0"/>
          <w:marTop w:val="0"/>
          <w:marBottom w:val="0"/>
          <w:divBdr>
            <w:top w:val="none" w:sz="0" w:space="0" w:color="auto"/>
            <w:left w:val="none" w:sz="0" w:space="0" w:color="auto"/>
            <w:bottom w:val="none" w:sz="0" w:space="0" w:color="auto"/>
            <w:right w:val="none" w:sz="0" w:space="0" w:color="auto"/>
          </w:divBdr>
          <w:divsChild>
            <w:div w:id="165486294">
              <w:marLeft w:val="-255"/>
              <w:marRight w:val="-255"/>
              <w:marTop w:val="0"/>
              <w:marBottom w:val="0"/>
              <w:divBdr>
                <w:top w:val="none" w:sz="0" w:space="0" w:color="auto"/>
                <w:left w:val="none" w:sz="0" w:space="0" w:color="auto"/>
                <w:bottom w:val="none" w:sz="0" w:space="0" w:color="auto"/>
                <w:right w:val="none" w:sz="0" w:space="0" w:color="auto"/>
              </w:divBdr>
              <w:divsChild>
                <w:div w:id="827211150">
                  <w:marLeft w:val="0"/>
                  <w:marRight w:val="0"/>
                  <w:marTop w:val="0"/>
                  <w:marBottom w:val="0"/>
                  <w:divBdr>
                    <w:top w:val="none" w:sz="0" w:space="0" w:color="auto"/>
                    <w:left w:val="none" w:sz="0" w:space="0" w:color="auto"/>
                    <w:bottom w:val="none" w:sz="0" w:space="0" w:color="auto"/>
                    <w:right w:val="none" w:sz="0" w:space="0" w:color="auto"/>
                  </w:divBdr>
                  <w:divsChild>
                    <w:div w:id="1765178822">
                      <w:marLeft w:val="0"/>
                      <w:marRight w:val="0"/>
                      <w:marTop w:val="0"/>
                      <w:marBottom w:val="0"/>
                      <w:divBdr>
                        <w:top w:val="none" w:sz="0" w:space="0" w:color="auto"/>
                        <w:left w:val="none" w:sz="0" w:space="0" w:color="auto"/>
                        <w:bottom w:val="none" w:sz="0" w:space="0" w:color="auto"/>
                        <w:right w:val="none" w:sz="0" w:space="0" w:color="auto"/>
                      </w:divBdr>
                      <w:divsChild>
                        <w:div w:id="126048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2017/5/6/debt" TargetMode="External"/><Relationship Id="rId13" Type="http://schemas.openxmlformats.org/officeDocument/2006/relationships/hyperlink" Target="https://www.accountingtools.com/articles/2017/5/9/lender" TargetMode="External"/><Relationship Id="rId18" Type="http://schemas.openxmlformats.org/officeDocument/2006/relationships/hyperlink" Target="https://www.accountingtools.com/articles/2017/5/10/investor"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ccountingtools.com/articles/2018/1/15/financial-risk" TargetMode="External"/><Relationship Id="rId12" Type="http://schemas.openxmlformats.org/officeDocument/2006/relationships/hyperlink" Target="https://www.accountingtools.com/articles/2018/2/16/variable-interest-rate" TargetMode="External"/><Relationship Id="rId17" Type="http://schemas.openxmlformats.org/officeDocument/2006/relationships/hyperlink" Target="https://www.accountingtools.com/articles/what-is-cash-flow.html" TargetMode="External"/><Relationship Id="rId2" Type="http://schemas.openxmlformats.org/officeDocument/2006/relationships/styles" Target="styles.xml"/><Relationship Id="rId16" Type="http://schemas.openxmlformats.org/officeDocument/2006/relationships/hyperlink" Target="https://www.accountingtools.com/articles/what-are-dividend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countingtools.com/articles/2017/5/11/ratio" TargetMode="External"/><Relationship Id="rId11" Type="http://schemas.openxmlformats.org/officeDocument/2006/relationships/hyperlink" Target="https://www.accountingtools.com/articles/2017/5/10/bankruptcy" TargetMode="External"/><Relationship Id="rId5" Type="http://schemas.openxmlformats.org/officeDocument/2006/relationships/hyperlink" Target="https://www.accountingtools.com/articles/2017/5/6/equity" TargetMode="External"/><Relationship Id="rId15" Type="http://schemas.openxmlformats.org/officeDocument/2006/relationships/hyperlink" Target="https://www.accountingtools.com/articles/2017/5/4/covenant" TargetMode="External"/><Relationship Id="rId10" Type="http://schemas.openxmlformats.org/officeDocument/2006/relationships/hyperlink" Target="https://www.accountingtools.com/articles/2017/5/9/leverage" TargetMode="External"/><Relationship Id="rId19" Type="http://schemas.openxmlformats.org/officeDocument/2006/relationships/hyperlink" Target="https://www.accountingtools.com/articles/2017/5/4/creditor" TargetMode="External"/><Relationship Id="rId4" Type="http://schemas.openxmlformats.org/officeDocument/2006/relationships/webSettings" Target="webSettings.xml"/><Relationship Id="rId9" Type="http://schemas.openxmlformats.org/officeDocument/2006/relationships/hyperlink" Target="https://www.accountingtools.com/articles/2017/5/15/debt-to-equity-ratio" TargetMode="External"/><Relationship Id="rId14" Type="http://schemas.openxmlformats.org/officeDocument/2006/relationships/hyperlink" Target="https://www.accountingtools.com/articles/2017/5/13/lo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798</Words>
  <Characters>4550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2019-11-24T16:22:00Z</dcterms:created>
  <dcterms:modified xsi:type="dcterms:W3CDTF">2019-11-24T16:46:00Z</dcterms:modified>
</cp:coreProperties>
</file>