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CE5DA" w14:textId="77777777" w:rsidR="00A764A3" w:rsidRDefault="00A764A3">
      <w:pPr>
        <w:jc w:val="center"/>
        <w:rPr>
          <w:b/>
          <w:sz w:val="28"/>
          <w:szCs w:val="28"/>
        </w:rPr>
      </w:pPr>
    </w:p>
    <w:p w14:paraId="2BBAADCB" w14:textId="77777777" w:rsidR="00A764A3" w:rsidRDefault="00A764A3">
      <w:pPr>
        <w:jc w:val="center"/>
        <w:rPr>
          <w:b/>
          <w:sz w:val="28"/>
          <w:szCs w:val="28"/>
        </w:rPr>
      </w:pPr>
    </w:p>
    <w:p w14:paraId="33AA172B" w14:textId="77777777" w:rsidR="00A764A3" w:rsidRDefault="00A764A3">
      <w:pPr>
        <w:jc w:val="center"/>
        <w:rPr>
          <w:b/>
          <w:sz w:val="28"/>
          <w:szCs w:val="28"/>
        </w:rPr>
      </w:pPr>
    </w:p>
    <w:p w14:paraId="1F479EF8" w14:textId="77777777" w:rsidR="00A764A3" w:rsidRDefault="00A764A3">
      <w:pPr>
        <w:jc w:val="center"/>
        <w:rPr>
          <w:b/>
          <w:sz w:val="28"/>
          <w:szCs w:val="28"/>
        </w:rPr>
      </w:pPr>
    </w:p>
    <w:p w14:paraId="19AA5B79" w14:textId="77777777" w:rsidR="00A764A3" w:rsidRDefault="00A764A3">
      <w:pPr>
        <w:jc w:val="center"/>
        <w:rPr>
          <w:b/>
          <w:sz w:val="28"/>
          <w:szCs w:val="28"/>
        </w:rPr>
      </w:pPr>
    </w:p>
    <w:p w14:paraId="37840075" w14:textId="77777777" w:rsidR="00A764A3" w:rsidRDefault="00A764A3">
      <w:pPr>
        <w:jc w:val="center"/>
        <w:rPr>
          <w:b/>
          <w:sz w:val="28"/>
          <w:szCs w:val="28"/>
        </w:rPr>
      </w:pPr>
    </w:p>
    <w:p w14:paraId="5E1257A0" w14:textId="77777777" w:rsidR="00A764A3" w:rsidRDefault="00A764A3">
      <w:pPr>
        <w:jc w:val="center"/>
        <w:rPr>
          <w:b/>
          <w:sz w:val="28"/>
          <w:szCs w:val="28"/>
        </w:rPr>
      </w:pPr>
    </w:p>
    <w:p w14:paraId="00B88E23" w14:textId="7CC5DA0A" w:rsidR="00931B13" w:rsidRPr="00D563BE" w:rsidRDefault="00931B13">
      <w:pPr>
        <w:jc w:val="center"/>
        <w:rPr>
          <w:b/>
          <w:sz w:val="32"/>
          <w:szCs w:val="32"/>
        </w:rPr>
      </w:pPr>
      <w:r w:rsidRPr="00D563BE">
        <w:rPr>
          <w:b/>
          <w:sz w:val="32"/>
          <w:szCs w:val="32"/>
        </w:rPr>
        <w:t>Student Name: Aura</w:t>
      </w:r>
      <w:r w:rsidR="00D563BE" w:rsidRPr="00D563BE">
        <w:rPr>
          <w:b/>
          <w:sz w:val="32"/>
          <w:szCs w:val="32"/>
        </w:rPr>
        <w:t xml:space="preserve"> Ioana</w:t>
      </w:r>
      <w:r w:rsidRPr="00D563BE">
        <w:rPr>
          <w:b/>
          <w:sz w:val="32"/>
          <w:szCs w:val="32"/>
        </w:rPr>
        <w:t xml:space="preserve"> </w:t>
      </w:r>
      <w:proofErr w:type="spellStart"/>
      <w:r w:rsidRPr="00D563BE">
        <w:rPr>
          <w:b/>
          <w:sz w:val="32"/>
          <w:szCs w:val="32"/>
        </w:rPr>
        <w:t>Pan</w:t>
      </w:r>
      <w:r w:rsidR="00D563BE" w:rsidRPr="00D563BE">
        <w:rPr>
          <w:b/>
          <w:sz w:val="32"/>
          <w:szCs w:val="32"/>
        </w:rPr>
        <w:t>tiru</w:t>
      </w:r>
      <w:proofErr w:type="spellEnd"/>
    </w:p>
    <w:p w14:paraId="4331959A" w14:textId="0A85924E" w:rsidR="00A764A3" w:rsidRPr="00D563BE" w:rsidRDefault="00931B13">
      <w:pPr>
        <w:jc w:val="center"/>
        <w:rPr>
          <w:b/>
          <w:sz w:val="32"/>
          <w:szCs w:val="32"/>
        </w:rPr>
      </w:pPr>
      <w:r w:rsidRPr="00D563BE">
        <w:rPr>
          <w:b/>
          <w:sz w:val="32"/>
          <w:szCs w:val="32"/>
        </w:rPr>
        <w:t xml:space="preserve">Student number: </w:t>
      </w:r>
      <w:r w:rsidR="00D563BE">
        <w:rPr>
          <w:b/>
          <w:sz w:val="32"/>
          <w:szCs w:val="32"/>
        </w:rPr>
        <w:t>2123786</w:t>
      </w:r>
    </w:p>
    <w:p w14:paraId="60451A53" w14:textId="77777777" w:rsidR="00A764A3" w:rsidRPr="00D563BE" w:rsidRDefault="005F7478">
      <w:pPr>
        <w:jc w:val="center"/>
        <w:rPr>
          <w:b/>
          <w:sz w:val="32"/>
          <w:szCs w:val="32"/>
        </w:rPr>
      </w:pPr>
      <w:r w:rsidRPr="00D563BE">
        <w:rPr>
          <w:b/>
          <w:sz w:val="32"/>
          <w:szCs w:val="32"/>
        </w:rPr>
        <w:t>The assignment title: Planning and Delivering an International Meeting/Event.</w:t>
      </w:r>
    </w:p>
    <w:p w14:paraId="560FBE3D" w14:textId="77777777" w:rsidR="00A764A3" w:rsidRPr="00D563BE" w:rsidRDefault="005F7478">
      <w:pPr>
        <w:jc w:val="center"/>
        <w:rPr>
          <w:b/>
          <w:sz w:val="32"/>
          <w:szCs w:val="32"/>
        </w:rPr>
      </w:pPr>
      <w:r w:rsidRPr="00D563BE">
        <w:rPr>
          <w:b/>
          <w:sz w:val="32"/>
          <w:szCs w:val="32"/>
        </w:rPr>
        <w:t>The module title: International Meetings Management BMIH6007</w:t>
      </w:r>
    </w:p>
    <w:p w14:paraId="2ABC1606" w14:textId="77777777" w:rsidR="00A764A3" w:rsidRPr="00D563BE" w:rsidRDefault="005F7478">
      <w:pPr>
        <w:jc w:val="center"/>
        <w:rPr>
          <w:b/>
          <w:sz w:val="32"/>
          <w:szCs w:val="32"/>
        </w:rPr>
      </w:pPr>
      <w:r w:rsidRPr="00D563BE">
        <w:rPr>
          <w:b/>
          <w:sz w:val="32"/>
          <w:szCs w:val="32"/>
        </w:rPr>
        <w:t>Event Name: Hospitality Inclusion Summit 2025</w:t>
      </w:r>
    </w:p>
    <w:p w14:paraId="0CA5BDA6" w14:textId="77777777" w:rsidR="00A764A3" w:rsidRDefault="00A764A3">
      <w:pPr>
        <w:jc w:val="both"/>
      </w:pPr>
    </w:p>
    <w:p w14:paraId="4D693822" w14:textId="77777777" w:rsidR="00A764A3" w:rsidRDefault="005F7478">
      <w:pPr>
        <w:rPr>
          <w:b/>
        </w:rPr>
      </w:pPr>
      <w:bookmarkStart w:id="0" w:name="_heading=h.gjdgxs" w:colFirst="0" w:colLast="0"/>
      <w:bookmarkEnd w:id="0"/>
      <w:r>
        <w:br w:type="page"/>
      </w:r>
    </w:p>
    <w:p w14:paraId="589B5E58" w14:textId="77777777" w:rsidR="00A764A3" w:rsidRDefault="005F7478">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505717909"/>
        <w:docPartObj>
          <w:docPartGallery w:val="Table of Contents"/>
          <w:docPartUnique/>
        </w:docPartObj>
      </w:sdtPr>
      <w:sdtContent>
        <w:p w14:paraId="5B7F48AF" w14:textId="77777777" w:rsidR="00A764A3" w:rsidRDefault="005F7478">
          <w:pPr>
            <w:widowControl w:val="0"/>
            <w:tabs>
              <w:tab w:val="right" w:leader="dot" w:pos="12000"/>
            </w:tabs>
            <w:spacing w:before="60" w:line="240" w:lineRule="auto"/>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30j0zll">
            <w:r>
              <w:rPr>
                <w:color w:val="000000"/>
              </w:rPr>
              <w:t>1) Introduction</w:t>
            </w:r>
            <w:r>
              <w:rPr>
                <w:color w:val="000000"/>
              </w:rPr>
              <w:tab/>
              <w:t>3</w:t>
            </w:r>
          </w:hyperlink>
        </w:p>
        <w:p w14:paraId="3D143EEF"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1fob9te">
            <w:r w:rsidR="005F7478">
              <w:rPr>
                <w:color w:val="000000"/>
              </w:rPr>
              <w:t>2) The Event Cycle</w:t>
            </w:r>
            <w:r w:rsidR="005F7478">
              <w:rPr>
                <w:color w:val="000000"/>
              </w:rPr>
              <w:tab/>
              <w:t>3</w:t>
            </w:r>
          </w:hyperlink>
        </w:p>
        <w:p w14:paraId="4CBF3D1A"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3znysh7">
            <w:r w:rsidR="005F7478">
              <w:rPr>
                <w:color w:val="000000"/>
              </w:rPr>
              <w:t>3) Event Concept</w:t>
            </w:r>
            <w:r w:rsidR="005F7478">
              <w:rPr>
                <w:color w:val="000000"/>
              </w:rPr>
              <w:tab/>
              <w:t>5</w:t>
            </w:r>
          </w:hyperlink>
        </w:p>
        <w:p w14:paraId="5F97E5F6"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2et92p0">
            <w:r w:rsidR="005F7478">
              <w:rPr>
                <w:color w:val="000000"/>
              </w:rPr>
              <w:t>4) Aim and Objectives of the Event</w:t>
            </w:r>
            <w:r w:rsidR="005F7478">
              <w:rPr>
                <w:color w:val="000000"/>
              </w:rPr>
              <w:tab/>
              <w:t>6</w:t>
            </w:r>
          </w:hyperlink>
        </w:p>
        <w:p w14:paraId="615DEE33"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tyjcwt">
            <w:r w:rsidR="005F7478">
              <w:rPr>
                <w:color w:val="000000"/>
              </w:rPr>
              <w:t>5) Event Management</w:t>
            </w:r>
            <w:r w:rsidR="005F7478">
              <w:rPr>
                <w:color w:val="000000"/>
              </w:rPr>
              <w:tab/>
              <w:t>7</w:t>
            </w:r>
          </w:hyperlink>
        </w:p>
        <w:p w14:paraId="6B880094"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3dy6vkm">
            <w:r w:rsidR="005F7478">
              <w:rPr>
                <w:color w:val="000000"/>
              </w:rPr>
              <w:t>6) Event Budget</w:t>
            </w:r>
            <w:r w:rsidR="005F7478">
              <w:rPr>
                <w:color w:val="000000"/>
              </w:rPr>
              <w:tab/>
              <w:t>9</w:t>
            </w:r>
          </w:hyperlink>
        </w:p>
        <w:p w14:paraId="5B8B16BD"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1t3h5sf">
            <w:r w:rsidR="005F7478">
              <w:rPr>
                <w:color w:val="000000"/>
              </w:rPr>
              <w:t>7) Industry Trends / Issues / Impacts</w:t>
            </w:r>
            <w:r w:rsidR="005F7478">
              <w:rPr>
                <w:color w:val="000000"/>
              </w:rPr>
              <w:tab/>
              <w:t>11</w:t>
            </w:r>
          </w:hyperlink>
        </w:p>
        <w:p w14:paraId="01F43CF0"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4d34og8">
            <w:r w:rsidR="005F7478">
              <w:rPr>
                <w:color w:val="000000"/>
              </w:rPr>
              <w:t>8) Situational and Cultural Considerations</w:t>
            </w:r>
            <w:r w:rsidR="005F7478">
              <w:rPr>
                <w:color w:val="000000"/>
              </w:rPr>
              <w:tab/>
              <w:t>12</w:t>
            </w:r>
          </w:hyperlink>
        </w:p>
        <w:p w14:paraId="11D2625C" w14:textId="77777777" w:rsidR="00A764A3" w:rsidRDefault="00000000">
          <w:pPr>
            <w:widowControl w:val="0"/>
            <w:tabs>
              <w:tab w:val="right" w:leader="dot" w:pos="12000"/>
            </w:tabs>
            <w:spacing w:before="60" w:line="240" w:lineRule="auto"/>
            <w:rPr>
              <w:rFonts w:ascii="Arial" w:eastAsia="Arial" w:hAnsi="Arial" w:cs="Arial"/>
              <w:b/>
              <w:color w:val="000000"/>
              <w:sz w:val="22"/>
              <w:szCs w:val="22"/>
            </w:rPr>
          </w:pPr>
          <w:hyperlink w:anchor="_heading=h.17dp8vu">
            <w:r w:rsidR="005F7478">
              <w:rPr>
                <w:color w:val="000000"/>
              </w:rPr>
              <w:t>9) References</w:t>
            </w:r>
            <w:r w:rsidR="005F7478">
              <w:rPr>
                <w:color w:val="000000"/>
              </w:rPr>
              <w:tab/>
              <w:t>14</w:t>
            </w:r>
          </w:hyperlink>
          <w:r w:rsidR="005F7478">
            <w:fldChar w:fldCharType="end"/>
          </w:r>
        </w:p>
      </w:sdtContent>
    </w:sdt>
    <w:p w14:paraId="4F142C7B" w14:textId="77777777" w:rsidR="00A764A3" w:rsidRDefault="005F7478">
      <w:pPr>
        <w:rPr>
          <w:b/>
        </w:rPr>
      </w:pPr>
      <w:r>
        <w:br w:type="page"/>
      </w:r>
    </w:p>
    <w:p w14:paraId="53FB38FC" w14:textId="77777777" w:rsidR="00A764A3" w:rsidRDefault="005F7478">
      <w:pPr>
        <w:pStyle w:val="Heading1"/>
        <w:numPr>
          <w:ilvl w:val="0"/>
          <w:numId w:val="1"/>
        </w:numPr>
        <w:jc w:val="both"/>
        <w:rPr>
          <w:b/>
          <w:sz w:val="24"/>
          <w:szCs w:val="24"/>
        </w:rPr>
      </w:pPr>
      <w:bookmarkStart w:id="1" w:name="_heading=h.30j0zll" w:colFirst="0" w:colLast="0"/>
      <w:bookmarkEnd w:id="1"/>
      <w:r>
        <w:rPr>
          <w:b/>
          <w:sz w:val="24"/>
          <w:szCs w:val="24"/>
        </w:rPr>
        <w:lastRenderedPageBreak/>
        <w:t>Introduction</w:t>
      </w:r>
    </w:p>
    <w:p w14:paraId="67C5EE44" w14:textId="77777777" w:rsidR="00A764A3" w:rsidRDefault="005F7478">
      <w:pPr>
        <w:jc w:val="both"/>
      </w:pPr>
      <w:r>
        <w:t>Hospitality Inclusion Summit 2025 is a high-profile conference and workshop on diversity, equality, and inclusion (DEI) in the hospitality sector. The two-day event will bring together hospitality experts, HR leaders, lawmakers, business executives, and diversity activists to discuss inclusive workplaces. The summit will include keynote talks, panel discussions, hands-on workshops, and networking to advance gender equality, accessibility, and cultural representation in the industry.</w:t>
      </w:r>
    </w:p>
    <w:p w14:paraId="2F5294ED" w14:textId="77777777" w:rsidR="00A764A3" w:rsidRDefault="005F7478">
      <w:pPr>
        <w:jc w:val="both"/>
      </w:pPr>
      <w:r>
        <w:t xml:space="preserve">Hotels have one of the most diverse workforces yet uneven leadership. Women and minorities make up a considerable portion of hospitality workers, yet some groups dominate executive and managerial roles. Disability-related accessibility challenges and inadvertent bias hinder career and professional advancement. </w:t>
      </w:r>
    </w:p>
    <w:p w14:paraId="0E2802FF" w14:textId="77777777" w:rsidR="00A764A3" w:rsidRDefault="005F7478">
      <w:pPr>
        <w:jc w:val="both"/>
      </w:pPr>
      <w:r>
        <w:t xml:space="preserve">UK's Equality Act 2010 provides a solid framework for diversity and anti-discrimination, making it ideal for an industry-wide improvement conference. To make the event inclusive, </w:t>
      </w:r>
      <w:proofErr w:type="spellStart"/>
      <w:r>
        <w:t>ExCeL</w:t>
      </w:r>
      <w:proofErr w:type="spellEnd"/>
      <w:r>
        <w:t xml:space="preserve"> London or Hilton London Metropole will host it with contemporary facilities, superb transport links, and accessible aspects. International delegates may participate in London's global connectedness, enabling a wider exchange of views and best practices. The event is crucial as hotels deal with post-pandemic issues, personnel shortages, and changing employee and consumer expectations. ESG and DEI are increasingly crucial hospitality business strategies. </w:t>
      </w:r>
    </w:p>
    <w:p w14:paraId="30079B46" w14:textId="77777777" w:rsidR="00A764A3" w:rsidRDefault="005F7478">
      <w:pPr>
        <w:pStyle w:val="Heading1"/>
        <w:numPr>
          <w:ilvl w:val="0"/>
          <w:numId w:val="1"/>
        </w:numPr>
        <w:jc w:val="both"/>
        <w:rPr>
          <w:b/>
          <w:sz w:val="24"/>
          <w:szCs w:val="24"/>
        </w:rPr>
      </w:pPr>
      <w:bookmarkStart w:id="2" w:name="_heading=h.1fob9te" w:colFirst="0" w:colLast="0"/>
      <w:bookmarkEnd w:id="2"/>
      <w:r>
        <w:rPr>
          <w:b/>
          <w:sz w:val="24"/>
          <w:szCs w:val="24"/>
        </w:rPr>
        <w:t>The Event Cycle</w:t>
      </w:r>
    </w:p>
    <w:p w14:paraId="2EDC8D78" w14:textId="77777777" w:rsidR="00A764A3" w:rsidRDefault="005F7478">
      <w:pPr>
        <w:jc w:val="both"/>
      </w:pPr>
      <w:r>
        <w:t xml:space="preserve">The Event Cycle manages planning, execution, and assessment. Concepts for post-event analysis are managed. The five-stage model for event management includes initiation, planning, execution, event, and closure. </w:t>
      </w:r>
    </w:p>
    <w:p w14:paraId="5E2C018B" w14:textId="77777777" w:rsidR="00A764A3" w:rsidRDefault="005F7478">
      <w:pPr>
        <w:jc w:val="center"/>
      </w:pPr>
      <w:r>
        <w:rPr>
          <w:noProof/>
        </w:rPr>
        <w:drawing>
          <wp:inline distT="114300" distB="114300" distL="114300" distR="114300" wp14:anchorId="2148EF9F" wp14:editId="061D7537">
            <wp:extent cx="4419600" cy="185737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19600" cy="1857375"/>
                    </a:xfrm>
                    <a:prstGeom prst="rect">
                      <a:avLst/>
                    </a:prstGeom>
                    <a:ln/>
                  </pic:spPr>
                </pic:pic>
              </a:graphicData>
            </a:graphic>
          </wp:inline>
        </w:drawing>
      </w:r>
    </w:p>
    <w:p w14:paraId="5944203D" w14:textId="77777777" w:rsidR="00A764A3" w:rsidRDefault="005F7478">
      <w:pPr>
        <w:jc w:val="center"/>
        <w:rPr>
          <w:b/>
        </w:rPr>
      </w:pPr>
      <w:r>
        <w:rPr>
          <w:b/>
        </w:rPr>
        <w:lastRenderedPageBreak/>
        <w:t xml:space="preserve">Figure 1: Stages of event management </w:t>
      </w:r>
    </w:p>
    <w:p w14:paraId="2595AFD6" w14:textId="77777777" w:rsidR="00A764A3" w:rsidRDefault="005F7478">
      <w:pPr>
        <w:jc w:val="center"/>
      </w:pPr>
      <w:r>
        <w:t>(Source: EMBOK, 2020)</w:t>
      </w:r>
    </w:p>
    <w:p w14:paraId="7A8758E4" w14:textId="77777777" w:rsidR="00A764A3" w:rsidRDefault="005F7478">
      <w:pPr>
        <w:jc w:val="both"/>
      </w:pPr>
      <w:r>
        <w:rPr>
          <w:b/>
          <w:i/>
        </w:rPr>
        <w:t xml:space="preserve">Initiation Phase: </w:t>
      </w:r>
      <w:r>
        <w:t xml:space="preserve">Determine the event's goal and viability. The 2025 Hospitality Inclusion Summit covers diversity, inclusion, and accessibility. A needs assessment determines peak demand and industry gaps. </w:t>
      </w:r>
    </w:p>
    <w:p w14:paraId="356A0CDA" w14:textId="77777777" w:rsidR="00A764A3" w:rsidRDefault="005F7478">
      <w:pPr>
        <w:jc w:val="both"/>
      </w:pPr>
      <w:r>
        <w:rPr>
          <w:b/>
          <w:i/>
        </w:rPr>
        <w:t xml:space="preserve">The Planning Phase: </w:t>
      </w:r>
      <w:r>
        <w:rPr>
          <w:i/>
        </w:rPr>
        <w:t xml:space="preserve"> </w:t>
      </w:r>
      <w:r>
        <w:t xml:space="preserve">This stage encompasses logistics, budgeting, marketing, and stakeholder engagement. Accessibility, size, and facilities make </w:t>
      </w:r>
      <w:proofErr w:type="spellStart"/>
      <w:r>
        <w:t>ExCeL</w:t>
      </w:r>
      <w:proofErr w:type="spellEnd"/>
      <w:r>
        <w:t xml:space="preserve"> London and Hilton London Metropole venue options. A whole event budget includes venue, speaker, food, and tech. Credibility relies on hospitality and advocacy keynotes and panels (Rather </w:t>
      </w:r>
      <w:r>
        <w:rPr>
          <w:i/>
        </w:rPr>
        <w:t>et al</w:t>
      </w:r>
      <w:r>
        <w:t xml:space="preserve">., 2022). The guest attraction will involve internet advertisements, email outreach, and industry ties. Early-bird and corporate tickets will be decided. </w:t>
      </w:r>
    </w:p>
    <w:p w14:paraId="407BE1EF" w14:textId="77777777" w:rsidR="00A764A3" w:rsidRDefault="005F7478">
      <w:pPr>
        <w:jc w:val="both"/>
      </w:pPr>
      <w:r>
        <w:rPr>
          <w:b/>
          <w:i/>
        </w:rPr>
        <w:t>Implementation Phase</w:t>
      </w:r>
      <w:r>
        <w:rPr>
          <w:b/>
        </w:rPr>
        <w:t xml:space="preserve">: </w:t>
      </w:r>
      <w:r>
        <w:t xml:space="preserve">Finally, on-site coordination and last-minute alterations are made. Panel discussions, workshops, and networking lounges will be well-organised by event personnel. Rehearses and tech checks help speakers present. The volunteers will learn customer service, accessibility, and emergency measures. Simplifying registration counters will cut wait times and enhance client satisfaction (Ilk and Shang, 2022). </w:t>
      </w:r>
    </w:p>
    <w:p w14:paraId="6B976663" w14:textId="77777777" w:rsidR="00A764A3" w:rsidRDefault="005F7478">
      <w:pPr>
        <w:jc w:val="both"/>
      </w:pPr>
      <w:r>
        <w:rPr>
          <w:b/>
          <w:i/>
        </w:rPr>
        <w:t>Event Execution</w:t>
      </w:r>
      <w:r>
        <w:rPr>
          <w:b/>
        </w:rPr>
        <w:t xml:space="preserve">: </w:t>
      </w:r>
      <w:r>
        <w:t>As usual, the two-day summit will include keynotes, panels, and workshops. Breakout seminars on gender equality, neurodiversity, and unconscious prejudice will foster deep discussions. Mobile event apps will provide live Q&amp;A, session reminders, and networking. Event staff will monitor audience involvement, speaker performance, and logistics to guarantee smooth operations.</w:t>
      </w:r>
    </w:p>
    <w:p w14:paraId="2A3FD8A1" w14:textId="77777777" w:rsidR="00A764A3" w:rsidRDefault="005F7478">
      <w:pPr>
        <w:jc w:val="both"/>
      </w:pPr>
      <w:r>
        <w:rPr>
          <w:b/>
          <w:i/>
        </w:rPr>
        <w:t>Closure &amp; Evaluation Phase</w:t>
      </w:r>
      <w:r>
        <w:rPr>
          <w:b/>
        </w:rPr>
        <w:t xml:space="preserve">: </w:t>
      </w:r>
      <w:r>
        <w:t xml:space="preserve">Post-event activities include feedback, performance assessment, and money reconciliation. </w:t>
      </w:r>
      <w:proofErr w:type="spellStart"/>
      <w:r>
        <w:t>Summitgoers</w:t>
      </w:r>
      <w:proofErr w:type="spellEnd"/>
      <w:r>
        <w:t xml:space="preserve"> will evaluate the summit's speakers, effectiveness, and experience. Attendance, sponsor satisfaction, and media interest will be measured. Post-event reports will assess strengths and development prospects. </w:t>
      </w:r>
    </w:p>
    <w:p w14:paraId="6E666B48" w14:textId="77777777" w:rsidR="00A764A3" w:rsidRDefault="005F7478">
      <w:pPr>
        <w:pStyle w:val="Heading1"/>
        <w:numPr>
          <w:ilvl w:val="0"/>
          <w:numId w:val="1"/>
        </w:numPr>
        <w:jc w:val="both"/>
        <w:rPr>
          <w:b/>
          <w:sz w:val="24"/>
          <w:szCs w:val="24"/>
        </w:rPr>
      </w:pPr>
      <w:bookmarkStart w:id="3" w:name="_heading=h.3znysh7" w:colFirst="0" w:colLast="0"/>
      <w:bookmarkEnd w:id="3"/>
      <w:r>
        <w:rPr>
          <w:b/>
          <w:sz w:val="24"/>
          <w:szCs w:val="24"/>
        </w:rPr>
        <w:t>Event Concept</w:t>
      </w:r>
    </w:p>
    <w:p w14:paraId="6A2E9E58" w14:textId="77777777" w:rsidR="00A764A3" w:rsidRDefault="005F7478">
      <w:pPr>
        <w:jc w:val="both"/>
      </w:pPr>
      <w:r>
        <w:t xml:space="preserve">The Hospitality Inclusion Summit 2025 will be well-structured and engaging, encouraging knowledge-sharing, networking, and professional growth. </w:t>
      </w:r>
    </w:p>
    <w:p w14:paraId="197D731B" w14:textId="77777777" w:rsidR="00A764A3" w:rsidRDefault="005F7478">
      <w:pPr>
        <w:jc w:val="both"/>
      </w:pPr>
      <w:r>
        <w:rPr>
          <w:b/>
        </w:rPr>
        <w:t xml:space="preserve">Day 1: Opening and Keynote Sessions: </w:t>
      </w:r>
      <w:r>
        <w:t xml:space="preserve">Delegates can check in, acquire event materials, network during registration, and welcome refreshments. The summit host will present its goals and establish </w:t>
      </w:r>
      <w:r>
        <w:lastRenderedPageBreak/>
        <w:t xml:space="preserve">the tone for the talks. An industry expert will discuss diversity and inclusion in hospitality in the first keynote, using successful examples (Falk and </w:t>
      </w:r>
      <w:proofErr w:type="spellStart"/>
      <w:r>
        <w:t>Hagsten</w:t>
      </w:r>
      <w:proofErr w:type="spellEnd"/>
      <w:r>
        <w:t xml:space="preserve">, 2022). Then, panellists from renowned hotel chains and tourist organisations will debate how to close the gender gap in hospitality leadership. After a brief networking break, they will join an unconscious bias class with interactive activities to identify and overcome prejudice in recruiting, promotions, and workplace interactions. Lunch will include topic-specific tables for focused discussions and networking. The day will begin with a hospitality accessible case study presentation including inclusive policy best practices. Next, a workplace neurodiversity breakout session will examine how to make workplaces welcoming for people with different cognitive abilities. The day will end with a pleasant networking event in the Diversity Networking Lounge to meet colleagues, industry leaders, and potential collaborators. </w:t>
      </w:r>
    </w:p>
    <w:p w14:paraId="7CB5A42D" w14:textId="77777777" w:rsidR="00A764A3" w:rsidRDefault="005F7478">
      <w:pPr>
        <w:jc w:val="both"/>
      </w:pPr>
      <w:r>
        <w:rPr>
          <w:b/>
        </w:rPr>
        <w:t xml:space="preserve">Day 2: Interactive Learning and Policy Discussions: </w:t>
      </w:r>
      <w:r>
        <w:t xml:space="preserve">On day two, guided meditation or mild exercise will be arranged to improve workplace well-being. The inaugural session will discuss HR executives' role in fostering an inclusive hospitality culture and provide practical strategies for incorporating diversity into business principles. The former will advise on equitable employment, while the latter on hospitality ethics and sustainability. During midmorning breaks, participants may visit exposition booths showcasing innovative workplace inclusion tools and solutions. In the late morning, lawyers and business executives will discuss policy conformity with the UK's Equality Act 2010 which will include the prohibition of discrimination, harassment, and victimisation based on nine "protected characteristics": age, disability, gender reassignment, marriage and civil partnership, pregnancy and maternity, race, religion or belief, sex, and sexual orientation (Government of UK, 2010). After another networking lunch, a roundtable discussion on enterprise diversity program accomplishments will follow. </w:t>
      </w:r>
    </w:p>
    <w:p w14:paraId="5F685C97" w14:textId="77777777" w:rsidR="00A764A3" w:rsidRDefault="005F7478">
      <w:pPr>
        <w:pStyle w:val="Heading1"/>
        <w:numPr>
          <w:ilvl w:val="0"/>
          <w:numId w:val="1"/>
        </w:numPr>
        <w:jc w:val="both"/>
        <w:rPr>
          <w:b/>
          <w:sz w:val="24"/>
          <w:szCs w:val="24"/>
        </w:rPr>
      </w:pPr>
      <w:bookmarkStart w:id="4" w:name="_heading=h.2et92p0" w:colFirst="0" w:colLast="0"/>
      <w:bookmarkEnd w:id="4"/>
      <w:r>
        <w:rPr>
          <w:b/>
          <w:sz w:val="24"/>
          <w:szCs w:val="24"/>
        </w:rPr>
        <w:t>Aim and Objectives of the Event</w:t>
      </w:r>
    </w:p>
    <w:p w14:paraId="41B4EBA4" w14:textId="77777777" w:rsidR="00A764A3" w:rsidRDefault="005F7478">
      <w:pPr>
        <w:jc w:val="both"/>
      </w:pPr>
      <w:r>
        <w:t>The Hospitality Inclusion Summit 2025 aims to promote diversity, equality, and inclusion (DEI) in the hospitality sector by encouraging meaningful discussion, sharing best practices, and giving professionals concrete tools to build more inclusive workplaces. The summit promotes systemic change and company alignment with the UK Equality Act 2010 and global ESG goals via keynote talks, panel discussions, workshops, and networking.</w:t>
      </w:r>
    </w:p>
    <w:tbl>
      <w:tblPr>
        <w:tblStyle w:val="a5"/>
        <w:tblW w:w="9360"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1725"/>
        <w:gridCol w:w="2233"/>
        <w:gridCol w:w="1794"/>
        <w:gridCol w:w="1545"/>
        <w:gridCol w:w="2063"/>
      </w:tblGrid>
      <w:tr w:rsidR="00A764A3" w14:paraId="03343220" w14:textId="77777777">
        <w:trPr>
          <w:cantSplit/>
          <w:trHeight w:val="360"/>
          <w:tblHeader/>
        </w:trPr>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4C0C3CD" w14:textId="77777777" w:rsidR="00A764A3" w:rsidRDefault="005F7478">
            <w:pPr>
              <w:widowControl w:val="0"/>
              <w:jc w:val="both"/>
            </w:pPr>
            <w:r>
              <w:rPr>
                <w:b/>
              </w:rPr>
              <w:lastRenderedPageBreak/>
              <w:t>Specific</w:t>
            </w:r>
          </w:p>
        </w:tc>
        <w:tc>
          <w:tcPr>
            <w:tcW w:w="223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224656B" w14:textId="77777777" w:rsidR="00A764A3" w:rsidRDefault="005F7478">
            <w:pPr>
              <w:widowControl w:val="0"/>
              <w:jc w:val="both"/>
            </w:pPr>
            <w:r>
              <w:rPr>
                <w:b/>
              </w:rPr>
              <w:t>Measurable</w:t>
            </w:r>
          </w:p>
        </w:tc>
        <w:tc>
          <w:tcPr>
            <w:tcW w:w="1794"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49537A76" w14:textId="77777777" w:rsidR="00A764A3" w:rsidRDefault="005F7478">
            <w:pPr>
              <w:widowControl w:val="0"/>
              <w:jc w:val="both"/>
            </w:pPr>
            <w:r>
              <w:rPr>
                <w:b/>
              </w:rPr>
              <w:t>Achievable</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28DCA60" w14:textId="77777777" w:rsidR="00A764A3" w:rsidRDefault="005F7478">
            <w:pPr>
              <w:widowControl w:val="0"/>
              <w:jc w:val="both"/>
            </w:pPr>
            <w:r>
              <w:rPr>
                <w:b/>
              </w:rPr>
              <w:t>Relevant</w:t>
            </w:r>
          </w:p>
        </w:tc>
        <w:tc>
          <w:tcPr>
            <w:tcW w:w="206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499969F" w14:textId="77777777" w:rsidR="00A764A3" w:rsidRDefault="005F7478">
            <w:pPr>
              <w:widowControl w:val="0"/>
              <w:jc w:val="both"/>
            </w:pPr>
            <w:r>
              <w:rPr>
                <w:b/>
              </w:rPr>
              <w:t>Time-Bound</w:t>
            </w:r>
          </w:p>
        </w:tc>
      </w:tr>
      <w:tr w:rsidR="00A764A3" w14:paraId="0D2AD41D" w14:textId="77777777">
        <w:trPr>
          <w:cantSplit/>
          <w:trHeight w:val="1755"/>
          <w:tblHeader/>
        </w:trPr>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473995F" w14:textId="77777777" w:rsidR="00A764A3" w:rsidRDefault="005F7478">
            <w:pPr>
              <w:widowControl w:val="0"/>
              <w:jc w:val="both"/>
            </w:pPr>
            <w:r>
              <w:t>Deliver three keynote sessions and four panel discussions addressing diversity, inclusion, and accessibility challenges in the hospitality sector.</w:t>
            </w:r>
          </w:p>
        </w:tc>
        <w:tc>
          <w:tcPr>
            <w:tcW w:w="223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1CF7747" w14:textId="77777777" w:rsidR="00A764A3" w:rsidRDefault="005F7478">
            <w:pPr>
              <w:widowControl w:val="0"/>
              <w:jc w:val="both"/>
            </w:pPr>
            <w:r>
              <w:t>Ensure at least 85% of participants report increased awareness and understanding of hospitality inclusion topics in post-event surveys.</w:t>
            </w:r>
          </w:p>
        </w:tc>
        <w:tc>
          <w:tcPr>
            <w:tcW w:w="1794"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F1FBE3D" w14:textId="77777777" w:rsidR="00A764A3" w:rsidRDefault="005F7478">
            <w:pPr>
              <w:widowControl w:val="0"/>
              <w:jc w:val="both"/>
            </w:pPr>
            <w:r>
              <w:t>Leverage partnerships with industry associations and corporate sponsors to attract high-quality speakers and attendees.</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FD22AD0" w14:textId="77777777" w:rsidR="00A764A3" w:rsidRDefault="005F7478">
            <w:pPr>
              <w:widowControl w:val="0"/>
              <w:jc w:val="both"/>
            </w:pPr>
            <w:r>
              <w:t>Aligns with industry needs for improved diversity, equity, and inclusion practices post-pandemic.</w:t>
            </w:r>
          </w:p>
        </w:tc>
        <w:tc>
          <w:tcPr>
            <w:tcW w:w="206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CC142C2" w14:textId="77777777" w:rsidR="00A764A3" w:rsidRDefault="005F7478">
            <w:pPr>
              <w:widowControl w:val="0"/>
              <w:jc w:val="both"/>
            </w:pPr>
            <w:r>
              <w:t>All keynote and panel discussions will be confirmed and scheduled at least two months before the event date.</w:t>
            </w:r>
          </w:p>
        </w:tc>
      </w:tr>
      <w:tr w:rsidR="00A764A3" w14:paraId="2F87F0A0" w14:textId="77777777">
        <w:trPr>
          <w:cantSplit/>
          <w:trHeight w:val="2040"/>
          <w:tblHeader/>
        </w:trPr>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F180286" w14:textId="77777777" w:rsidR="00A764A3" w:rsidRDefault="005F7478">
            <w:pPr>
              <w:widowControl w:val="0"/>
              <w:jc w:val="both"/>
            </w:pPr>
            <w:r>
              <w:t>Host at least two interactive workshops focused on unconscious bias training and inclusive recruitment strategies.</w:t>
            </w:r>
          </w:p>
        </w:tc>
        <w:tc>
          <w:tcPr>
            <w:tcW w:w="223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725AC0B" w14:textId="77777777" w:rsidR="00A764A3" w:rsidRDefault="005F7478">
            <w:pPr>
              <w:widowControl w:val="0"/>
              <w:jc w:val="both"/>
            </w:pPr>
            <w:r>
              <w:t>Achieve an attendee satisfaction rate of 80% or higher based on feedback surveys.</w:t>
            </w:r>
          </w:p>
        </w:tc>
        <w:tc>
          <w:tcPr>
            <w:tcW w:w="1794"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B45E1EA" w14:textId="77777777" w:rsidR="00A764A3" w:rsidRDefault="005F7478">
            <w:pPr>
              <w:widowControl w:val="0"/>
              <w:jc w:val="both"/>
            </w:pPr>
            <w:r>
              <w:t>Implement an interactive event format with Q&amp;A sessions, case studies, and real-world applications to engage participants.</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2F87F29" w14:textId="77777777" w:rsidR="00A764A3" w:rsidRDefault="005F7478">
            <w:pPr>
              <w:widowControl w:val="0"/>
              <w:jc w:val="both"/>
            </w:pPr>
            <w:r>
              <w:t>Supports UK Equality Act 2010 and ESG (Environmental, Social, and Governance) commitments in the corporate sector.</w:t>
            </w:r>
          </w:p>
        </w:tc>
        <w:tc>
          <w:tcPr>
            <w:tcW w:w="206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23327BA" w14:textId="77777777" w:rsidR="00A764A3" w:rsidRDefault="005F7478">
            <w:pPr>
              <w:widowControl w:val="0"/>
              <w:jc w:val="both"/>
            </w:pPr>
            <w:r>
              <w:t>Workshops and networking sessions will be finalized and promoted six weeks before the summit.</w:t>
            </w:r>
          </w:p>
        </w:tc>
      </w:tr>
      <w:tr w:rsidR="00A764A3" w14:paraId="7F3D858F" w14:textId="77777777">
        <w:trPr>
          <w:cantSplit/>
          <w:trHeight w:val="2040"/>
          <w:tblHeader/>
        </w:trPr>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D26ECE4" w14:textId="77777777" w:rsidR="00A764A3" w:rsidRDefault="005F7478">
            <w:pPr>
              <w:widowControl w:val="0"/>
              <w:jc w:val="both"/>
            </w:pPr>
            <w:r>
              <w:lastRenderedPageBreak/>
              <w:t>Facilitate networking opportunities through dedicated Diversity Networking Lounge sessions, with a target of at least 200 industry professionals attending.</w:t>
            </w:r>
          </w:p>
        </w:tc>
        <w:tc>
          <w:tcPr>
            <w:tcW w:w="223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95A943D" w14:textId="77777777" w:rsidR="00A764A3" w:rsidRDefault="005F7478">
            <w:pPr>
              <w:widowControl w:val="0"/>
              <w:jc w:val="both"/>
            </w:pPr>
            <w:r>
              <w:t xml:space="preserve">Secure the participation of at least 15 high-profile speakers and </w:t>
            </w:r>
            <w:proofErr w:type="spellStart"/>
            <w:r>
              <w:t>panelists</w:t>
            </w:r>
            <w:proofErr w:type="spellEnd"/>
            <w:r>
              <w:t xml:space="preserve"> from major hospitality brands and advocacy organizations.</w:t>
            </w:r>
          </w:p>
        </w:tc>
        <w:tc>
          <w:tcPr>
            <w:tcW w:w="1794"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2F59E7C" w14:textId="77777777" w:rsidR="00A764A3" w:rsidRDefault="005F7478">
            <w:pPr>
              <w:widowControl w:val="0"/>
              <w:jc w:val="both"/>
            </w:pPr>
            <w:r>
              <w:t>Use targeted marketing strategies, including digital outreach and corporate invitations, to ensure participation from hospitality professionals.</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3CDC8F8" w14:textId="77777777" w:rsidR="00A764A3" w:rsidRDefault="005F7478">
            <w:pPr>
              <w:widowControl w:val="0"/>
              <w:jc w:val="both"/>
            </w:pPr>
            <w:r>
              <w:t>Addresses a growing demand for inclusive workplace strategies, ensuring long-term benefits for hospitality businesses.</w:t>
            </w:r>
          </w:p>
        </w:tc>
        <w:tc>
          <w:tcPr>
            <w:tcW w:w="206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8A3CEB3" w14:textId="77777777" w:rsidR="00A764A3" w:rsidRDefault="005F7478">
            <w:pPr>
              <w:widowControl w:val="0"/>
              <w:jc w:val="both"/>
            </w:pPr>
            <w:r>
              <w:t xml:space="preserve">Post-event feedback will be collected and </w:t>
            </w:r>
            <w:proofErr w:type="spellStart"/>
            <w:r>
              <w:t>analyzed</w:t>
            </w:r>
            <w:proofErr w:type="spellEnd"/>
            <w:r>
              <w:t xml:space="preserve"> within two weeks of the event’s conclusion to assess impact and improvements.</w:t>
            </w:r>
          </w:p>
        </w:tc>
      </w:tr>
    </w:tbl>
    <w:p w14:paraId="7639CBA9" w14:textId="77777777" w:rsidR="00A764A3" w:rsidRDefault="005F7478">
      <w:pPr>
        <w:pStyle w:val="Heading1"/>
        <w:numPr>
          <w:ilvl w:val="0"/>
          <w:numId w:val="1"/>
        </w:numPr>
        <w:jc w:val="both"/>
        <w:rPr>
          <w:b/>
          <w:sz w:val="24"/>
          <w:szCs w:val="24"/>
        </w:rPr>
      </w:pPr>
      <w:bookmarkStart w:id="5" w:name="_heading=h.tyjcwt" w:colFirst="0" w:colLast="0"/>
      <w:bookmarkEnd w:id="5"/>
      <w:r>
        <w:rPr>
          <w:b/>
          <w:sz w:val="24"/>
          <w:szCs w:val="24"/>
        </w:rPr>
        <w:t>Event Management</w:t>
      </w:r>
    </w:p>
    <w:p w14:paraId="22471765" w14:textId="77777777" w:rsidR="00FA734E" w:rsidRDefault="005F7478">
      <w:pPr>
        <w:jc w:val="both"/>
      </w:pPr>
      <w:r>
        <w:t xml:space="preserve">Successful event planning requires operational, planning, and marketing skills and resources. In the UK, the events industry generates £70 billion in direct spending and employs 700,000 people. The global events business was worth $736.8 billion in 2021 and is expected to reach $2.5 trillion by 2035, rising 6.8% annually (Allied Market Research, 2022). Operational Activities entail executing the event plan with precision and coordination. Multitasking is essential for event organisers, who oversee ticket sales, event advertising, sponsorship acquisition, and on-site logistics. Problem-solving skills are needed to quickly resolve unexpected issues and ensure event success. Event organisers use software for guest registration, hotel reservations, and exhibition space allocation, making technical skills more crucial. </w:t>
      </w:r>
    </w:p>
    <w:p w14:paraId="1C59410E" w14:textId="77777777" w:rsidR="00A764A3" w:rsidRDefault="005F7478">
      <w:pPr>
        <w:jc w:val="center"/>
      </w:pPr>
      <w:r>
        <w:rPr>
          <w:noProof/>
        </w:rPr>
        <w:lastRenderedPageBreak/>
        <w:drawing>
          <wp:inline distT="114300" distB="114300" distL="114300" distR="114300" wp14:anchorId="33267947" wp14:editId="66075868">
            <wp:extent cx="4519613" cy="2498824"/>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19613" cy="2498824"/>
                    </a:xfrm>
                    <a:prstGeom prst="rect">
                      <a:avLst/>
                    </a:prstGeom>
                    <a:ln/>
                  </pic:spPr>
                </pic:pic>
              </a:graphicData>
            </a:graphic>
          </wp:inline>
        </w:drawing>
      </w:r>
    </w:p>
    <w:p w14:paraId="272174E1" w14:textId="77777777" w:rsidR="00A764A3" w:rsidRDefault="005F7478">
      <w:pPr>
        <w:jc w:val="center"/>
        <w:rPr>
          <w:b/>
        </w:rPr>
      </w:pPr>
      <w:r>
        <w:rPr>
          <w:b/>
        </w:rPr>
        <w:t xml:space="preserve">Figure 2: Use of software in event planning </w:t>
      </w:r>
    </w:p>
    <w:p w14:paraId="498D9775" w14:textId="77777777" w:rsidR="00A764A3" w:rsidRDefault="005F7478">
      <w:pPr>
        <w:jc w:val="center"/>
      </w:pPr>
      <w:r>
        <w:t xml:space="preserve">(Source: </w:t>
      </w:r>
      <w:proofErr w:type="spellStart"/>
      <w:r>
        <w:t>AltexSoft</w:t>
      </w:r>
      <w:proofErr w:type="spellEnd"/>
      <w:r>
        <w:t>, 2022)</w:t>
      </w:r>
    </w:p>
    <w:p w14:paraId="57F8346D" w14:textId="77777777" w:rsidR="00A764A3" w:rsidRDefault="005F7478">
      <w:pPr>
        <w:jc w:val="both"/>
      </w:pPr>
      <w:r>
        <w:t>Budget, timing, venue, and risk management are part of event planning. Budgeting, contract negotiation, and resource allocation need financial management. Event organising involves time and organisation to fit everything (</w:t>
      </w:r>
      <w:proofErr w:type="spellStart"/>
      <w:r>
        <w:t>Bowdin</w:t>
      </w:r>
      <w:proofErr w:type="spellEnd"/>
      <w:r>
        <w:t xml:space="preserve"> et al., 2023). Planning requires good communication with team members, suppliers, and customers. </w:t>
      </w:r>
    </w:p>
    <w:p w14:paraId="68001A07" w14:textId="77777777" w:rsidR="00A764A3" w:rsidRDefault="005F7478">
      <w:pPr>
        <w:jc w:val="both"/>
      </w:pPr>
      <w:r>
        <w:t xml:space="preserve">Marketing activities are crucial for event promotion and audience attraction. Strategic marketing incorporates brand awareness, audience targeting, and campaign design that appeals to attendees. Using social media, email marketing, and conventional advertising may boost reach and engagement. Networking with sponsors, partners, and media sources boosts the event's prominence and legitimacy. Innovative marketing may make the event more memorable and engaging. A significant </w:t>
      </w:r>
      <w:proofErr w:type="gramStart"/>
      <w:r>
        <w:t>amount</w:t>
      </w:r>
      <w:proofErr w:type="gramEnd"/>
      <w:r>
        <w:t xml:space="preserve"> of financial resources is needed to arrange the event. However, they can get a good return on investment from it. The US events industry was $94.8 billion in 2020 and is predicted to reach $538.6 billion by 2030, a 13.0% CAGR. Live events boost the local economy (Business Live, 2022). In 2022, Austin's South by Southwest (SXSW) event generated $280 million. In 2023, huge tours and post-pandemic demand drove the UK live music sector to a record £6.1 billion.</w:t>
      </w:r>
    </w:p>
    <w:p w14:paraId="66F375FA" w14:textId="77777777" w:rsidR="00A764A3" w:rsidRDefault="005F7478">
      <w:pPr>
        <w:jc w:val="center"/>
      </w:pPr>
      <w:r>
        <w:rPr>
          <w:noProof/>
        </w:rPr>
        <w:lastRenderedPageBreak/>
        <w:drawing>
          <wp:inline distT="114300" distB="114300" distL="114300" distR="114300" wp14:anchorId="42D76FCA" wp14:editId="5DE86256">
            <wp:extent cx="5227339" cy="2689064"/>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27339" cy="2689064"/>
                    </a:xfrm>
                    <a:prstGeom prst="rect">
                      <a:avLst/>
                    </a:prstGeom>
                    <a:ln/>
                  </pic:spPr>
                </pic:pic>
              </a:graphicData>
            </a:graphic>
          </wp:inline>
        </w:drawing>
      </w:r>
    </w:p>
    <w:p w14:paraId="2501E631" w14:textId="77777777" w:rsidR="00A764A3" w:rsidRDefault="005F7478">
      <w:pPr>
        <w:jc w:val="center"/>
        <w:rPr>
          <w:b/>
        </w:rPr>
      </w:pPr>
      <w:r>
        <w:rPr>
          <w:b/>
        </w:rPr>
        <w:t xml:space="preserve">Figure 3: Event Industry Size </w:t>
      </w:r>
    </w:p>
    <w:p w14:paraId="54E8AEA1" w14:textId="77777777" w:rsidR="00A764A3" w:rsidRDefault="005F7478">
      <w:pPr>
        <w:jc w:val="center"/>
      </w:pPr>
      <w:r>
        <w:t>(Source: Allied Market Research, 2022)</w:t>
      </w:r>
    </w:p>
    <w:p w14:paraId="7D80459A" w14:textId="77777777" w:rsidR="00A764A3" w:rsidRDefault="005F7478">
      <w:pPr>
        <w:pStyle w:val="Heading1"/>
        <w:numPr>
          <w:ilvl w:val="0"/>
          <w:numId w:val="1"/>
        </w:numPr>
        <w:jc w:val="both"/>
        <w:rPr>
          <w:sz w:val="24"/>
          <w:szCs w:val="24"/>
        </w:rPr>
      </w:pPr>
      <w:bookmarkStart w:id="6" w:name="_heading=h.3dy6vkm" w:colFirst="0" w:colLast="0"/>
      <w:bookmarkEnd w:id="6"/>
      <w:r>
        <w:rPr>
          <w:b/>
          <w:sz w:val="24"/>
          <w:szCs w:val="24"/>
        </w:rPr>
        <w:t>Event Budget</w:t>
      </w:r>
      <w:r>
        <w:rPr>
          <w:sz w:val="24"/>
          <w:szCs w:val="24"/>
        </w:rPr>
        <w:t xml:space="preserve"> </w:t>
      </w:r>
    </w:p>
    <w:p w14:paraId="3CFB3376" w14:textId="77777777" w:rsidR="00A764A3" w:rsidRDefault="005F7478">
      <w:pPr>
        <w:jc w:val="both"/>
      </w:pPr>
      <w:r>
        <w:t>A well-planned event budget balances income and costs for financial stability. The Hospitality Inclusion Summit 2025 must budget for the venue, marketing, speaker, catering, technology, staff, and revenue streams such as ticket sales, sponsorships, and grants.</w:t>
      </w:r>
    </w:p>
    <w:p w14:paraId="0BF1FBEE" w14:textId="77777777" w:rsidR="00A764A3" w:rsidRDefault="005F7478">
      <w:pPr>
        <w:jc w:val="both"/>
        <w:rPr>
          <w:b/>
        </w:rPr>
      </w:pPr>
      <w:r>
        <w:rPr>
          <w:b/>
        </w:rPr>
        <w:t>Income Sources</w:t>
      </w:r>
    </w:p>
    <w:p w14:paraId="5D5A8691" w14:textId="77777777" w:rsidR="00A764A3" w:rsidRDefault="005F7478">
      <w:pPr>
        <w:jc w:val="both"/>
      </w:pPr>
      <w:r>
        <w:t>Events need many income sources to survive. This includes:</w:t>
      </w:r>
    </w:p>
    <w:p w14:paraId="74E94FD9" w14:textId="77777777" w:rsidR="00A764A3" w:rsidRDefault="005F7478">
      <w:pPr>
        <w:numPr>
          <w:ilvl w:val="0"/>
          <w:numId w:val="2"/>
        </w:numPr>
        <w:jc w:val="both"/>
      </w:pPr>
      <w:r>
        <w:rPr>
          <w:b/>
        </w:rPr>
        <w:t xml:space="preserve">Ticket Sales: </w:t>
      </w:r>
      <w:r>
        <w:t>A tiered price system with early-bird discounts, ordinary rates, and VIP tickets maximises income and accessibility (</w:t>
      </w:r>
      <w:proofErr w:type="spellStart"/>
      <w:r>
        <w:t>Sonnabend</w:t>
      </w:r>
      <w:proofErr w:type="spellEnd"/>
      <w:r>
        <w:t>, 2019).</w:t>
      </w:r>
    </w:p>
    <w:p w14:paraId="35A93C9B" w14:textId="77777777" w:rsidR="00A764A3" w:rsidRDefault="005F7478">
      <w:pPr>
        <w:numPr>
          <w:ilvl w:val="0"/>
          <w:numId w:val="2"/>
        </w:numPr>
        <w:jc w:val="both"/>
      </w:pPr>
      <w:r>
        <w:rPr>
          <w:b/>
        </w:rPr>
        <w:t>Sponsorship &amp; Partnerships:</w:t>
      </w:r>
      <w:r>
        <w:t xml:space="preserve"> Corporate sponsors, industry groups, and hospitality brands will provide money sponsorships or in-kind assistance like venue space or catering discounts.</w:t>
      </w:r>
    </w:p>
    <w:p w14:paraId="3886DB0E" w14:textId="77777777" w:rsidR="00A764A3" w:rsidRDefault="005F7478">
      <w:pPr>
        <w:numPr>
          <w:ilvl w:val="0"/>
          <w:numId w:val="2"/>
        </w:numPr>
        <w:jc w:val="both"/>
      </w:pPr>
      <w:r>
        <w:rPr>
          <w:b/>
        </w:rPr>
        <w:t>Government &amp; Institutional Grants:</w:t>
      </w:r>
      <w:r>
        <w:t xml:space="preserve"> Government initiatives linked with ESG goals will be targeted for financing due to diversity and inclusion (J. </w:t>
      </w:r>
      <w:proofErr w:type="spellStart"/>
      <w:r>
        <w:t>Junaedi</w:t>
      </w:r>
      <w:proofErr w:type="spellEnd"/>
      <w:r>
        <w:t>, 2024).</w:t>
      </w:r>
    </w:p>
    <w:p w14:paraId="288E6C46" w14:textId="77777777" w:rsidR="00A764A3" w:rsidRDefault="005F7478">
      <w:pPr>
        <w:numPr>
          <w:ilvl w:val="0"/>
          <w:numId w:val="2"/>
        </w:numPr>
        <w:jc w:val="both"/>
      </w:pPr>
      <w:r>
        <w:rPr>
          <w:b/>
        </w:rPr>
        <w:t xml:space="preserve">Exhibitor Fees: </w:t>
      </w:r>
      <w:r>
        <w:t>Companies presenting inclusive hospitality technology and services will pay for booth space, improving income and visitor experience.</w:t>
      </w:r>
    </w:p>
    <w:p w14:paraId="7ADC7824" w14:textId="77777777" w:rsidR="00A764A3" w:rsidRDefault="005F7478">
      <w:pPr>
        <w:numPr>
          <w:ilvl w:val="0"/>
          <w:numId w:val="2"/>
        </w:numPr>
        <w:jc w:val="both"/>
      </w:pPr>
      <w:r>
        <w:rPr>
          <w:b/>
        </w:rPr>
        <w:t>Merchandise &amp; Add-Ons:</w:t>
      </w:r>
      <w:r>
        <w:t xml:space="preserve"> Branded event products, VIP networking events, and digital access permits for recorded sessions will generate revenue.</w:t>
      </w:r>
    </w:p>
    <w:p w14:paraId="76F9FE8D" w14:textId="77777777" w:rsidR="00A764A3" w:rsidRDefault="00A764A3">
      <w:pPr>
        <w:jc w:val="both"/>
      </w:pPr>
    </w:p>
    <w:tbl>
      <w:tblPr>
        <w:tblStyle w:val="a6"/>
        <w:tblW w:w="7305"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4650"/>
        <w:gridCol w:w="2655"/>
      </w:tblGrid>
      <w:tr w:rsidR="00A764A3" w14:paraId="515BA166"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A762A1" w14:textId="77777777" w:rsidR="00A764A3" w:rsidRDefault="005F7478">
            <w:pPr>
              <w:widowControl w:val="0"/>
              <w:spacing w:line="276" w:lineRule="auto"/>
              <w:jc w:val="both"/>
            </w:pPr>
            <w:r>
              <w:rPr>
                <w:b/>
              </w:rPr>
              <w:t>Income Source</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7F9AA0" w14:textId="77777777" w:rsidR="00A764A3" w:rsidRDefault="005F7478">
            <w:pPr>
              <w:widowControl w:val="0"/>
              <w:spacing w:line="276" w:lineRule="auto"/>
              <w:jc w:val="both"/>
            </w:pPr>
            <w:r>
              <w:rPr>
                <w:b/>
              </w:rPr>
              <w:t>Estimated Amount (£)</w:t>
            </w:r>
          </w:p>
        </w:tc>
      </w:tr>
      <w:tr w:rsidR="00A764A3" w14:paraId="14BD2E7A"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34BA583" w14:textId="77777777" w:rsidR="00A764A3" w:rsidRDefault="005F7478">
            <w:pPr>
              <w:widowControl w:val="0"/>
              <w:spacing w:line="276" w:lineRule="auto"/>
              <w:jc w:val="both"/>
            </w:pPr>
            <w:r>
              <w:t>Ticket Sales (1,000 attendees)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8197C2A" w14:textId="77777777" w:rsidR="00A764A3" w:rsidRDefault="005F7478">
            <w:pPr>
              <w:widowControl w:val="0"/>
              <w:spacing w:line="276" w:lineRule="auto"/>
              <w:jc w:val="both"/>
            </w:pPr>
            <w:r>
              <w:t>100,000</w:t>
            </w:r>
          </w:p>
        </w:tc>
      </w:tr>
      <w:tr w:rsidR="00A764A3" w14:paraId="3C66C1FE"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ACC248" w14:textId="77777777" w:rsidR="00A764A3" w:rsidRDefault="005F7478">
            <w:pPr>
              <w:widowControl w:val="0"/>
              <w:spacing w:line="276" w:lineRule="auto"/>
              <w:jc w:val="both"/>
            </w:pPr>
            <w:r>
              <w:t>Sponsorships &amp; Partnerships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A61454" w14:textId="77777777" w:rsidR="00A764A3" w:rsidRDefault="005F7478">
            <w:pPr>
              <w:widowControl w:val="0"/>
              <w:spacing w:line="276" w:lineRule="auto"/>
              <w:jc w:val="both"/>
            </w:pPr>
            <w:r>
              <w:t>70,000</w:t>
            </w:r>
          </w:p>
        </w:tc>
      </w:tr>
      <w:tr w:rsidR="00A764A3" w14:paraId="0457DE49"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2D0131" w14:textId="77777777" w:rsidR="00A764A3" w:rsidRDefault="005F7478">
            <w:pPr>
              <w:widowControl w:val="0"/>
              <w:spacing w:line="276" w:lineRule="auto"/>
              <w:jc w:val="both"/>
            </w:pPr>
            <w:r>
              <w:t>Government Grants &amp; Funding</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939F6C" w14:textId="77777777" w:rsidR="00A764A3" w:rsidRDefault="005F7478">
            <w:pPr>
              <w:widowControl w:val="0"/>
              <w:spacing w:line="276" w:lineRule="auto"/>
              <w:jc w:val="both"/>
            </w:pPr>
            <w:r>
              <w:t>40,000</w:t>
            </w:r>
          </w:p>
        </w:tc>
      </w:tr>
      <w:tr w:rsidR="00A764A3" w14:paraId="3C6C313E"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9F74726" w14:textId="77777777" w:rsidR="00A764A3" w:rsidRDefault="005F7478">
            <w:pPr>
              <w:widowControl w:val="0"/>
              <w:spacing w:line="276" w:lineRule="auto"/>
              <w:jc w:val="both"/>
            </w:pPr>
            <w:r>
              <w:t>Exhibitor Fees (20 booths)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715239" w14:textId="77777777" w:rsidR="00A764A3" w:rsidRDefault="005F7478">
            <w:pPr>
              <w:widowControl w:val="0"/>
              <w:spacing w:line="276" w:lineRule="auto"/>
              <w:jc w:val="both"/>
            </w:pPr>
            <w:r>
              <w:t>30,000</w:t>
            </w:r>
          </w:p>
        </w:tc>
      </w:tr>
      <w:tr w:rsidR="00A764A3" w14:paraId="6CC6CBA2"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A9FDE1" w14:textId="77777777" w:rsidR="00A764A3" w:rsidRDefault="005F7478">
            <w:pPr>
              <w:widowControl w:val="0"/>
              <w:spacing w:line="276" w:lineRule="auto"/>
              <w:jc w:val="both"/>
            </w:pPr>
            <w:r>
              <w:t>Merchandise &amp; Digital Access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7D58DD" w14:textId="77777777" w:rsidR="00A764A3" w:rsidRDefault="005F7478">
            <w:pPr>
              <w:widowControl w:val="0"/>
              <w:spacing w:line="276" w:lineRule="auto"/>
              <w:jc w:val="both"/>
            </w:pPr>
            <w:r>
              <w:t>15,000</w:t>
            </w:r>
          </w:p>
        </w:tc>
      </w:tr>
      <w:tr w:rsidR="00A764A3" w14:paraId="05DF395A" w14:textId="77777777">
        <w:trPr>
          <w:cantSplit/>
          <w:trHeight w:val="360"/>
          <w:tblHeader/>
        </w:trPr>
        <w:tc>
          <w:tcPr>
            <w:tcW w:w="465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17EEC48" w14:textId="77777777" w:rsidR="00A764A3" w:rsidRDefault="005F7478">
            <w:pPr>
              <w:widowControl w:val="0"/>
              <w:spacing w:line="276" w:lineRule="auto"/>
              <w:jc w:val="both"/>
            </w:pPr>
            <w:r>
              <w:t>Total Estimated Income</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3B4553" w14:textId="77777777" w:rsidR="00A764A3" w:rsidRDefault="005F7478">
            <w:pPr>
              <w:widowControl w:val="0"/>
              <w:spacing w:line="276" w:lineRule="auto"/>
              <w:jc w:val="both"/>
            </w:pPr>
            <w:r>
              <w:t>£255,000</w:t>
            </w:r>
          </w:p>
        </w:tc>
      </w:tr>
    </w:tbl>
    <w:p w14:paraId="5FA7EE03" w14:textId="77777777" w:rsidR="00A764A3" w:rsidRDefault="00A764A3">
      <w:pPr>
        <w:jc w:val="both"/>
      </w:pPr>
    </w:p>
    <w:p w14:paraId="4862CB65" w14:textId="77777777" w:rsidR="00A764A3" w:rsidRDefault="005F7478">
      <w:pPr>
        <w:jc w:val="both"/>
        <w:rPr>
          <w:b/>
        </w:rPr>
      </w:pPr>
      <w:r>
        <w:rPr>
          <w:b/>
        </w:rPr>
        <w:t>Expenditure Breakdown</w:t>
      </w:r>
    </w:p>
    <w:p w14:paraId="1121C786" w14:textId="77777777" w:rsidR="00A764A3" w:rsidRDefault="005F7478">
      <w:pPr>
        <w:jc w:val="both"/>
      </w:pPr>
      <w:r>
        <w:t>Speaker fees, venue hire, promotion, and logistics consume an enormous amount of funds. A breakdown of costs:</w:t>
      </w:r>
    </w:p>
    <w:p w14:paraId="57F00D63" w14:textId="77777777" w:rsidR="00A764A3" w:rsidRDefault="005F7478">
      <w:pPr>
        <w:jc w:val="both"/>
      </w:pPr>
      <w:r>
        <w:t xml:space="preserve">Event logistics: </w:t>
      </w:r>
      <w:proofErr w:type="spellStart"/>
      <w:r>
        <w:t>ExCeL</w:t>
      </w:r>
      <w:proofErr w:type="spellEnd"/>
      <w:r>
        <w:t xml:space="preserve"> London and Hilton London Metropole provide space, security, and basic amenities. Speaker transportation and accessibility charges are extra.</w:t>
      </w:r>
    </w:p>
    <w:p w14:paraId="2F3E612A" w14:textId="77777777" w:rsidR="00A764A3" w:rsidRDefault="005F7478">
      <w:pPr>
        <w:numPr>
          <w:ilvl w:val="0"/>
          <w:numId w:val="3"/>
        </w:numPr>
        <w:jc w:val="both"/>
      </w:pPr>
      <w:r>
        <w:rPr>
          <w:b/>
        </w:rPr>
        <w:t xml:space="preserve">Speaker &amp; Panellist Fees: </w:t>
      </w:r>
      <w:r>
        <w:t>Keynote speakers and overseas visitors will be paid.</w:t>
      </w:r>
    </w:p>
    <w:p w14:paraId="072245B4" w14:textId="77777777" w:rsidR="00A764A3" w:rsidRDefault="005F7478">
      <w:pPr>
        <w:numPr>
          <w:ilvl w:val="0"/>
          <w:numId w:val="3"/>
        </w:numPr>
        <w:jc w:val="both"/>
      </w:pPr>
      <w:r>
        <w:rPr>
          <w:b/>
        </w:rPr>
        <w:t>Catering &amp; Hospitality:</w:t>
      </w:r>
      <w:r>
        <w:t xml:space="preserve"> Offering dietary- and </w:t>
      </w:r>
      <w:proofErr w:type="gramStart"/>
      <w:r>
        <w:t>culturally-sensitive</w:t>
      </w:r>
      <w:proofErr w:type="gramEnd"/>
      <w:r>
        <w:t xml:space="preserve"> menus provides a pleasant experience for everybody.</w:t>
      </w:r>
    </w:p>
    <w:p w14:paraId="48D8BBC5" w14:textId="77777777" w:rsidR="00A764A3" w:rsidRDefault="005F7478">
      <w:pPr>
        <w:numPr>
          <w:ilvl w:val="0"/>
          <w:numId w:val="3"/>
        </w:numPr>
        <w:jc w:val="both"/>
      </w:pPr>
      <w:r>
        <w:rPr>
          <w:b/>
        </w:rPr>
        <w:t>Marketing and Promotion:</w:t>
      </w:r>
      <w:r>
        <w:t xml:space="preserve"> Digital advertising, email marketing, social media promotions, and PR will attract a varied audience (</w:t>
      </w:r>
      <w:proofErr w:type="spellStart"/>
      <w:r>
        <w:t>Quesenberry</w:t>
      </w:r>
      <w:proofErr w:type="spellEnd"/>
      <w:r>
        <w:t>, 2020).</w:t>
      </w:r>
    </w:p>
    <w:p w14:paraId="3DA842F1" w14:textId="77777777" w:rsidR="00A764A3" w:rsidRDefault="005F7478">
      <w:pPr>
        <w:numPr>
          <w:ilvl w:val="0"/>
          <w:numId w:val="3"/>
        </w:numPr>
        <w:jc w:val="both"/>
      </w:pPr>
      <w:r>
        <w:rPr>
          <w:b/>
        </w:rPr>
        <w:t>Technology &amp; AV Equipment:</w:t>
      </w:r>
      <w:r>
        <w:t xml:space="preserve"> Live streaming, virtual event integration, and translation services will increase event reach.</w:t>
      </w:r>
    </w:p>
    <w:p w14:paraId="7B1CF13D" w14:textId="77777777" w:rsidR="00A764A3" w:rsidRDefault="005F7478">
      <w:pPr>
        <w:numPr>
          <w:ilvl w:val="0"/>
          <w:numId w:val="3"/>
        </w:numPr>
        <w:jc w:val="both"/>
      </w:pPr>
      <w:r>
        <w:rPr>
          <w:b/>
        </w:rPr>
        <w:t xml:space="preserve">Staffing and Event Management: </w:t>
      </w:r>
      <w:r>
        <w:t>Hire event organisers, technical workers, and hospitality pros to run operations.</w:t>
      </w:r>
    </w:p>
    <w:p w14:paraId="205F9B43" w14:textId="77777777" w:rsidR="00A764A3" w:rsidRDefault="00A764A3">
      <w:pPr>
        <w:jc w:val="both"/>
      </w:pPr>
    </w:p>
    <w:tbl>
      <w:tblPr>
        <w:tblStyle w:val="a7"/>
        <w:tblW w:w="6015"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3360"/>
        <w:gridCol w:w="2655"/>
      </w:tblGrid>
      <w:tr w:rsidR="00A764A3" w14:paraId="7952EE99"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ED4149D" w14:textId="77777777" w:rsidR="00A764A3" w:rsidRDefault="005F7478">
            <w:pPr>
              <w:widowControl w:val="0"/>
              <w:spacing w:line="276" w:lineRule="auto"/>
              <w:jc w:val="both"/>
            </w:pPr>
            <w:r>
              <w:rPr>
                <w:b/>
              </w:rPr>
              <w:lastRenderedPageBreak/>
              <w:t>Expenditure Item</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9277225" w14:textId="77777777" w:rsidR="00A764A3" w:rsidRDefault="005F7478">
            <w:pPr>
              <w:widowControl w:val="0"/>
              <w:spacing w:line="276" w:lineRule="auto"/>
              <w:jc w:val="both"/>
            </w:pPr>
            <w:r>
              <w:rPr>
                <w:b/>
              </w:rPr>
              <w:t>Estimated Cost (£)</w:t>
            </w:r>
          </w:p>
        </w:tc>
      </w:tr>
      <w:tr w:rsidR="00A764A3" w14:paraId="6FF7C699"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9858D7" w14:textId="77777777" w:rsidR="00A764A3" w:rsidRDefault="005F7478">
            <w:pPr>
              <w:widowControl w:val="0"/>
              <w:spacing w:line="276" w:lineRule="auto"/>
              <w:jc w:val="both"/>
            </w:pPr>
            <w:r>
              <w:t>Venue Rental &amp; Logistics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953AA6" w14:textId="77777777" w:rsidR="00A764A3" w:rsidRDefault="005F7478">
            <w:pPr>
              <w:widowControl w:val="0"/>
              <w:spacing w:line="276" w:lineRule="auto"/>
              <w:jc w:val="both"/>
            </w:pPr>
            <w:r>
              <w:t>80,000</w:t>
            </w:r>
          </w:p>
        </w:tc>
      </w:tr>
      <w:tr w:rsidR="00A764A3" w14:paraId="27F0F152"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F8AC2B0" w14:textId="77777777" w:rsidR="00A764A3" w:rsidRDefault="005F7478">
            <w:pPr>
              <w:widowControl w:val="0"/>
              <w:spacing w:line="276" w:lineRule="auto"/>
              <w:jc w:val="both"/>
            </w:pPr>
            <w:r>
              <w:t xml:space="preserve">Speaker &amp; </w:t>
            </w:r>
            <w:proofErr w:type="spellStart"/>
            <w:r>
              <w:t>Panelist</w:t>
            </w:r>
            <w:proofErr w:type="spellEnd"/>
            <w:r>
              <w:t xml:space="preserve"> Fees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5B8B04" w14:textId="77777777" w:rsidR="00A764A3" w:rsidRDefault="005F7478">
            <w:pPr>
              <w:widowControl w:val="0"/>
              <w:spacing w:line="276" w:lineRule="auto"/>
              <w:jc w:val="both"/>
            </w:pPr>
            <w:r>
              <w:t>50,000</w:t>
            </w:r>
          </w:p>
        </w:tc>
      </w:tr>
      <w:tr w:rsidR="00A764A3" w14:paraId="681D7C6D"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1669A99" w14:textId="77777777" w:rsidR="00A764A3" w:rsidRDefault="005F7478">
            <w:pPr>
              <w:widowControl w:val="0"/>
              <w:spacing w:line="276" w:lineRule="auto"/>
              <w:jc w:val="both"/>
            </w:pPr>
            <w:r>
              <w:t>Catering &amp; Hospitality</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45C82F" w14:textId="77777777" w:rsidR="00A764A3" w:rsidRDefault="005F7478">
            <w:pPr>
              <w:widowControl w:val="0"/>
              <w:spacing w:line="276" w:lineRule="auto"/>
              <w:jc w:val="both"/>
            </w:pPr>
            <w:r>
              <w:t>30,000</w:t>
            </w:r>
          </w:p>
        </w:tc>
      </w:tr>
      <w:tr w:rsidR="00A764A3" w14:paraId="3C20DF90"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E3B5B21" w14:textId="77777777" w:rsidR="00A764A3" w:rsidRDefault="005F7478">
            <w:pPr>
              <w:widowControl w:val="0"/>
              <w:spacing w:line="276" w:lineRule="auto"/>
              <w:jc w:val="both"/>
            </w:pPr>
            <w:r>
              <w:t>Marketing &amp; Promotion</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23F2A7" w14:textId="77777777" w:rsidR="00A764A3" w:rsidRDefault="005F7478">
            <w:pPr>
              <w:widowControl w:val="0"/>
              <w:spacing w:line="276" w:lineRule="auto"/>
              <w:jc w:val="both"/>
            </w:pPr>
            <w:r>
              <w:t>25,000</w:t>
            </w:r>
          </w:p>
        </w:tc>
      </w:tr>
      <w:tr w:rsidR="00A764A3" w14:paraId="40F0C91E"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2D6A8F" w14:textId="77777777" w:rsidR="00A764A3" w:rsidRDefault="005F7478">
            <w:pPr>
              <w:widowControl w:val="0"/>
              <w:spacing w:line="276" w:lineRule="auto"/>
              <w:jc w:val="both"/>
            </w:pPr>
            <w:r>
              <w:t>Technology &amp; AV Equipment</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5DC238" w14:textId="77777777" w:rsidR="00A764A3" w:rsidRDefault="005F7478">
            <w:pPr>
              <w:widowControl w:val="0"/>
              <w:spacing w:line="276" w:lineRule="auto"/>
              <w:jc w:val="both"/>
            </w:pPr>
            <w:r>
              <w:t>20,000</w:t>
            </w:r>
          </w:p>
        </w:tc>
      </w:tr>
      <w:tr w:rsidR="00A764A3" w14:paraId="0527C43D"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605797" w14:textId="77777777" w:rsidR="00A764A3" w:rsidRDefault="005F7478">
            <w:pPr>
              <w:widowControl w:val="0"/>
              <w:spacing w:line="276" w:lineRule="auto"/>
              <w:jc w:val="both"/>
            </w:pPr>
            <w:r>
              <w:t>Staffing &amp; Event Management</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B0D37F0" w14:textId="77777777" w:rsidR="00A764A3" w:rsidRDefault="005F7478">
            <w:pPr>
              <w:widowControl w:val="0"/>
              <w:spacing w:line="276" w:lineRule="auto"/>
              <w:jc w:val="both"/>
            </w:pPr>
            <w:r>
              <w:t>20,000</w:t>
            </w:r>
          </w:p>
        </w:tc>
      </w:tr>
      <w:tr w:rsidR="00A764A3" w14:paraId="2E1E1AA7"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1A007AA" w14:textId="77777777" w:rsidR="00A764A3" w:rsidRDefault="005F7478">
            <w:pPr>
              <w:widowControl w:val="0"/>
              <w:spacing w:line="276" w:lineRule="auto"/>
              <w:jc w:val="both"/>
            </w:pPr>
            <w:r>
              <w:t>Miscellaneous &amp; Contingency</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52E4BD" w14:textId="77777777" w:rsidR="00A764A3" w:rsidRDefault="005F7478">
            <w:pPr>
              <w:widowControl w:val="0"/>
              <w:spacing w:line="276" w:lineRule="auto"/>
              <w:jc w:val="both"/>
            </w:pPr>
            <w:r>
              <w:t>10,000</w:t>
            </w:r>
          </w:p>
        </w:tc>
      </w:tr>
      <w:tr w:rsidR="00A764A3" w14:paraId="15B094DE" w14:textId="77777777">
        <w:trPr>
          <w:cantSplit/>
          <w:trHeight w:val="360"/>
          <w:tblHeader/>
        </w:trPr>
        <w:tc>
          <w:tcPr>
            <w:tcW w:w="33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F13309" w14:textId="77777777" w:rsidR="00A764A3" w:rsidRDefault="005F7478">
            <w:pPr>
              <w:widowControl w:val="0"/>
              <w:spacing w:line="276" w:lineRule="auto"/>
              <w:jc w:val="both"/>
            </w:pPr>
            <w:r>
              <w:t>Total Estimated Costs</w:t>
            </w:r>
          </w:p>
        </w:tc>
        <w:tc>
          <w:tcPr>
            <w:tcW w:w="26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73FCD37" w14:textId="77777777" w:rsidR="00A764A3" w:rsidRDefault="005F7478">
            <w:pPr>
              <w:widowControl w:val="0"/>
              <w:spacing w:line="276" w:lineRule="auto"/>
              <w:jc w:val="both"/>
            </w:pPr>
            <w:r>
              <w:t>£235,000</w:t>
            </w:r>
          </w:p>
        </w:tc>
      </w:tr>
    </w:tbl>
    <w:p w14:paraId="324BD2FA" w14:textId="77777777" w:rsidR="00A764A3" w:rsidRDefault="00A764A3">
      <w:pPr>
        <w:jc w:val="both"/>
        <w:rPr>
          <w:b/>
        </w:rPr>
      </w:pPr>
    </w:p>
    <w:p w14:paraId="21E9A1DB" w14:textId="77777777" w:rsidR="00A764A3" w:rsidRDefault="005F7478">
      <w:pPr>
        <w:jc w:val="both"/>
      </w:pPr>
      <w:r>
        <w:rPr>
          <w:b/>
        </w:rPr>
        <w:t xml:space="preserve">Cost Analysis &amp; Financial Strategy: </w:t>
      </w:r>
      <w:r>
        <w:t xml:space="preserve">The estimated £20,000 surplus (£255,000 revenue – £235,000 expenditure) includes unexpected expenses. To reduce running costs, the budget promotes sponsorship (Dolores et al., 2020).  In Gold, Silver, and Bronze corporate sponsorships, branding benefits sponsors.  </w:t>
      </w:r>
    </w:p>
    <w:p w14:paraId="1AF30AA7" w14:textId="77777777" w:rsidR="00A764A3" w:rsidRDefault="005F7478">
      <w:pPr>
        <w:pStyle w:val="Heading1"/>
        <w:numPr>
          <w:ilvl w:val="0"/>
          <w:numId w:val="1"/>
        </w:numPr>
        <w:jc w:val="both"/>
        <w:rPr>
          <w:b/>
          <w:sz w:val="24"/>
          <w:szCs w:val="24"/>
        </w:rPr>
      </w:pPr>
      <w:bookmarkStart w:id="7" w:name="_heading=h.1t3h5sf" w:colFirst="0" w:colLast="0"/>
      <w:bookmarkEnd w:id="7"/>
      <w:r>
        <w:rPr>
          <w:b/>
          <w:sz w:val="24"/>
          <w:szCs w:val="24"/>
        </w:rPr>
        <w:t>Industry Trends / Issues / Impacts</w:t>
      </w:r>
    </w:p>
    <w:p w14:paraId="78EC7611" w14:textId="77777777" w:rsidR="00A764A3" w:rsidRDefault="005F7478">
      <w:pPr>
        <w:jc w:val="both"/>
      </w:pPr>
      <w:r>
        <w:t xml:space="preserve">Technology, sustainability, and guest expectations are transforming meetings and events. The Hospitality Inclusion Summit 2025 is important to </w:t>
      </w:r>
      <w:proofErr w:type="gramStart"/>
      <w:r>
        <w:t>events</w:t>
      </w:r>
      <w:proofErr w:type="gramEnd"/>
      <w:r>
        <w:t xml:space="preserve"> due to these tendencies. Industry trends include hybrid events, sustainability, data analytics, and diversity and inclusion. The rise of hybrid and virtual events is revolutionary. </w:t>
      </w:r>
    </w:p>
    <w:p w14:paraId="227A5C5E" w14:textId="77777777" w:rsidR="00A764A3" w:rsidRDefault="005F7478">
      <w:pPr>
        <w:jc w:val="both"/>
      </w:pPr>
      <w:r>
        <w:t>Environmentalism in event planning is another big development. Green venues, paperless registration, and ethical catering are advocated to decrease industry carbon emissions. Many conferences utilise digital materials and reduce single-use plastics to become carbon-neutral. To meet corporate ESG goals, the Hospitality Inclusion Summit will use zero-waste, sustainable food, and digital event materials.</w:t>
      </w:r>
    </w:p>
    <w:p w14:paraId="4B365518" w14:textId="77777777" w:rsidR="00A764A3" w:rsidRDefault="005F7478">
      <w:pPr>
        <w:jc w:val="both"/>
      </w:pPr>
      <w:r>
        <w:t>Event success depends on customisation due to big data and AI. Data analytics helps event managers deliver interest-based programming, enhance networking, and tailor communications (Boric, 2019). AI chatbots improve efficiency with real-time assistance. Pre-event surveys will determine Hospitality Inclusion Summit attendee choices, assuring compelling panel discussions, networking sessions, and seminars.</w:t>
      </w:r>
    </w:p>
    <w:p w14:paraId="7E6B567A" w14:textId="77777777" w:rsidR="00A764A3" w:rsidRDefault="005F7478">
      <w:pPr>
        <w:jc w:val="both"/>
      </w:pPr>
      <w:r>
        <w:lastRenderedPageBreak/>
        <w:t xml:space="preserve">Growing event costs and economic unpredictability threaten the industry. Inflation and supply chain delays have raised venue, food, and travel prices. To save costs, event planners must find sponsors sooner, negotiate long-term venue leases, and include virtual events. Strategic business ties and numerous revenue streams, including premium digital access for online registrants, enable Hospitality Inclusion Summit to overcome financial challenges. Diversity, equity, and inclusion are key industrial issues. Event organisers must now encourage gender, racial, disability, and neurodiversity inclusion (Finkel and </w:t>
      </w:r>
      <w:proofErr w:type="spellStart"/>
      <w:r>
        <w:t>Dashper</w:t>
      </w:r>
      <w:proofErr w:type="spellEnd"/>
      <w:r>
        <w:t xml:space="preserve">, 2020). Diverse leadership and inclusive participation are becoming conference priorities. The main goals of Hospitality Inclusion Summit include workforce representation, unconscious bias training, and accessibility-friendly hiring. </w:t>
      </w:r>
    </w:p>
    <w:p w14:paraId="76E18193" w14:textId="77777777" w:rsidR="00A764A3" w:rsidRDefault="005F7478">
      <w:pPr>
        <w:pStyle w:val="Heading1"/>
        <w:numPr>
          <w:ilvl w:val="0"/>
          <w:numId w:val="1"/>
        </w:numPr>
        <w:jc w:val="both"/>
        <w:rPr>
          <w:b/>
          <w:sz w:val="24"/>
          <w:szCs w:val="24"/>
        </w:rPr>
      </w:pPr>
      <w:bookmarkStart w:id="8" w:name="_heading=h.4d34og8" w:colFirst="0" w:colLast="0"/>
      <w:bookmarkEnd w:id="8"/>
      <w:r>
        <w:rPr>
          <w:b/>
          <w:sz w:val="24"/>
          <w:szCs w:val="24"/>
        </w:rPr>
        <w:t>Situational and Cultural Considerations</w:t>
      </w:r>
    </w:p>
    <w:p w14:paraId="4434DCF6" w14:textId="77777777" w:rsidR="00A764A3" w:rsidRDefault="005F7478">
      <w:pPr>
        <w:jc w:val="both"/>
      </w:pPr>
      <w:r>
        <w:t>The Hospitality Inclusion Summit 2025's complicated situational and cultural setting includes industry realities, global diversity needs, and regional regulations. Event design and execution may be assessed using PESTEL analysis.</w:t>
      </w:r>
    </w:p>
    <w:p w14:paraId="3B0DAD3F" w14:textId="77777777" w:rsidR="00A764A3" w:rsidRDefault="005F7478">
      <w:pPr>
        <w:jc w:val="both"/>
      </w:pPr>
      <w:r>
        <w:rPr>
          <w:b/>
        </w:rPr>
        <w:t xml:space="preserve">Political Considerations: </w:t>
      </w:r>
      <w:r>
        <w:t>Global geopolitics and administrative regulations affect event planning. The UK Equality Act 2010 requires businesses to have non-discriminatory practices, promoting DEI (</w:t>
      </w:r>
      <w:proofErr w:type="spellStart"/>
      <w:r>
        <w:rPr>
          <w:color w:val="222222"/>
          <w:highlight w:val="white"/>
        </w:rPr>
        <w:t>Nachmias</w:t>
      </w:r>
      <w:proofErr w:type="spellEnd"/>
      <w:r>
        <w:rPr>
          <w:color w:val="222222"/>
          <w:highlight w:val="white"/>
        </w:rPr>
        <w:t xml:space="preserve"> </w:t>
      </w:r>
      <w:r>
        <w:rPr>
          <w:i/>
          <w:color w:val="222222"/>
          <w:highlight w:val="white"/>
        </w:rPr>
        <w:t>et al</w:t>
      </w:r>
      <w:r>
        <w:rPr>
          <w:color w:val="222222"/>
          <w:highlight w:val="white"/>
        </w:rPr>
        <w:t>., 2019)</w:t>
      </w:r>
      <w:r>
        <w:t>. Hospitality workers get practical suggestions to enhance compliance and ethics within this regulatory framework at the conference. UK labour laws have altered post-Brexit, impacting hospitality talent acquisition and migrant workers' rights.</w:t>
      </w:r>
    </w:p>
    <w:p w14:paraId="16BC2899" w14:textId="77777777" w:rsidR="00A764A3" w:rsidRDefault="005F7478">
      <w:pPr>
        <w:jc w:val="both"/>
      </w:pPr>
      <w:r>
        <w:rPr>
          <w:b/>
        </w:rPr>
        <w:t xml:space="preserve">Economic Factors: </w:t>
      </w:r>
      <w:r>
        <w:t>The global economy affects event attendance, sponsorship, and finances. The hotel industry is still recovering from its financial issues, making event investments more scrutinising (</w:t>
      </w:r>
      <w:r>
        <w:rPr>
          <w:color w:val="222222"/>
          <w:highlight w:val="white"/>
        </w:rPr>
        <w:t xml:space="preserve">Lin </w:t>
      </w:r>
      <w:r>
        <w:rPr>
          <w:i/>
          <w:color w:val="222222"/>
          <w:highlight w:val="white"/>
        </w:rPr>
        <w:t>et al</w:t>
      </w:r>
      <w:r>
        <w:rPr>
          <w:color w:val="222222"/>
          <w:highlight w:val="white"/>
        </w:rPr>
        <w:t>., 2024)</w:t>
      </w:r>
      <w:r>
        <w:t>. Due to inflation and cost-of-living, ticket pricing plans must include early-bird discounts, corporate packages, and digital access tickets to ensure accessibility. Global engagement requires virtual components to attract international specialists with travel or expense limitations due to regional economic disparities.</w:t>
      </w:r>
    </w:p>
    <w:p w14:paraId="4B6E3FD6" w14:textId="77777777" w:rsidR="00A764A3" w:rsidRDefault="005F7478">
      <w:pPr>
        <w:jc w:val="both"/>
      </w:pPr>
      <w:r>
        <w:rPr>
          <w:b/>
        </w:rPr>
        <w:t xml:space="preserve">Social Influences: </w:t>
      </w:r>
      <w:r>
        <w:t xml:space="preserve">Social trends impact audience expectations for diversity, representation, and workplace well-being. Hospitality firms promote gender equality, disability accessibility, and cultural competence because modern workers desire inclusive policies. Gen Z and Millennial workers seek industry-wide change because they value ethics and diversity (Ranjan, 2023). </w:t>
      </w:r>
    </w:p>
    <w:p w14:paraId="5F93CECE" w14:textId="77777777" w:rsidR="00A764A3" w:rsidRDefault="005F7478">
      <w:pPr>
        <w:jc w:val="both"/>
      </w:pPr>
      <w:r>
        <w:rPr>
          <w:b/>
        </w:rPr>
        <w:t xml:space="preserve">Technological Advancements: </w:t>
      </w:r>
      <w:r>
        <w:t xml:space="preserve">Digital change is changing event planning and attendance. Rapid use of AI-driven event management tools, hybrid conferencing systems, and immersive technology </w:t>
      </w:r>
      <w:r>
        <w:lastRenderedPageBreak/>
        <w:t>shapes the summit. Personalised AI-generated event itineraries, interactive Q&amp;A sessions, and real-time translation will improve accessibility. With attendance data collecting and digital payment processing, cybersecurity is a rising worry, requiring GDPR compliance and data encryption (</w:t>
      </w:r>
      <w:r>
        <w:rPr>
          <w:color w:val="222222"/>
          <w:highlight w:val="white"/>
        </w:rPr>
        <w:t xml:space="preserve">De </w:t>
      </w:r>
      <w:proofErr w:type="spellStart"/>
      <w:r>
        <w:rPr>
          <w:color w:val="222222"/>
          <w:highlight w:val="white"/>
        </w:rPr>
        <w:t>Fréminville</w:t>
      </w:r>
      <w:proofErr w:type="spellEnd"/>
      <w:r>
        <w:rPr>
          <w:color w:val="222222"/>
          <w:highlight w:val="white"/>
        </w:rPr>
        <w:t>, 2020)</w:t>
      </w:r>
      <w:r>
        <w:t>.</w:t>
      </w:r>
    </w:p>
    <w:p w14:paraId="44719B6A" w14:textId="77777777" w:rsidR="00A764A3" w:rsidRDefault="005F7478">
      <w:pPr>
        <w:jc w:val="both"/>
      </w:pPr>
      <w:r>
        <w:rPr>
          <w:b/>
        </w:rPr>
        <w:t xml:space="preserve">Environmental Impact: </w:t>
      </w:r>
      <w:r>
        <w:t xml:space="preserve">Several event planners are becoming </w:t>
      </w:r>
      <w:proofErr w:type="gramStart"/>
      <w:r>
        <w:t>carbon-neutral</w:t>
      </w:r>
      <w:proofErr w:type="gramEnd"/>
      <w:r>
        <w:t xml:space="preserve">. The meeting reduces trash, serves eco-friendly cuisine, and uses digital materials per industry standards. Sustainable venues like </w:t>
      </w:r>
      <w:proofErr w:type="spellStart"/>
      <w:r>
        <w:t>ExCeL</w:t>
      </w:r>
      <w:proofErr w:type="spellEnd"/>
      <w:r>
        <w:t xml:space="preserve"> London or Hilton London Metropole lessen the summit's environmental effect. Corporate ESG standards are forcing hospitality firms to include sustainability in DEI planning, making this a popular event topic.</w:t>
      </w:r>
    </w:p>
    <w:p w14:paraId="5563FE88" w14:textId="77777777" w:rsidR="00A764A3" w:rsidRDefault="005F7478">
      <w:pPr>
        <w:jc w:val="both"/>
      </w:pPr>
      <w:r>
        <w:rPr>
          <w:b/>
        </w:rPr>
        <w:t xml:space="preserve">Legal and Regulatory Factors: </w:t>
      </w:r>
      <w:r>
        <w:t>Compliance with employment discrimination, labour rights, and accessibility laws determines event legitimacy. The conference will cover anti-discrimination, fair employment, and ethical leadership via panel discussions, case studies, and legal briefs. Multinational corporations should implement culturally sensitive and legal inclusion programs with legal comparisons for international delegates (</w:t>
      </w:r>
      <w:proofErr w:type="spellStart"/>
      <w:r>
        <w:rPr>
          <w:color w:val="222222"/>
          <w:highlight w:val="white"/>
        </w:rPr>
        <w:t>Pargendler</w:t>
      </w:r>
      <w:proofErr w:type="spellEnd"/>
      <w:r>
        <w:rPr>
          <w:color w:val="222222"/>
          <w:highlight w:val="white"/>
        </w:rPr>
        <w:t>, 2020)</w:t>
      </w:r>
      <w:r>
        <w:t>.</w:t>
      </w:r>
    </w:p>
    <w:p w14:paraId="78289D1E" w14:textId="77777777" w:rsidR="00A764A3" w:rsidRDefault="005F7478">
      <w:pPr>
        <w:jc w:val="both"/>
        <w:rPr>
          <w:b/>
        </w:rPr>
      </w:pPr>
      <w:r>
        <w:rPr>
          <w:b/>
        </w:rPr>
        <w:t>Importance of Addressing These Factors</w:t>
      </w:r>
    </w:p>
    <w:p w14:paraId="49206F73" w14:textId="77777777" w:rsidR="00A764A3" w:rsidRDefault="005F7478">
      <w:pPr>
        <w:jc w:val="both"/>
      </w:pPr>
      <w:r>
        <w:t xml:space="preserve">Situational and cultural factors keep the summit relevant, interesting, and meaningful. A well-rounded, future-focused event addresses economic gaps via hybrid accessibility, the use of technology for inclusion, and legal compliance. </w:t>
      </w:r>
    </w:p>
    <w:p w14:paraId="7C6069D0" w14:textId="77777777" w:rsidR="00A764A3" w:rsidRDefault="005F7478">
      <w:pPr>
        <w:rPr>
          <w:b/>
        </w:rPr>
      </w:pPr>
      <w:bookmarkStart w:id="9" w:name="_heading=h.2s8eyo1" w:colFirst="0" w:colLast="0"/>
      <w:bookmarkEnd w:id="9"/>
      <w:r>
        <w:br w:type="page"/>
      </w:r>
    </w:p>
    <w:p w14:paraId="19C84501" w14:textId="77777777" w:rsidR="00A764A3" w:rsidRDefault="005F7478">
      <w:pPr>
        <w:pStyle w:val="Heading1"/>
        <w:numPr>
          <w:ilvl w:val="0"/>
          <w:numId w:val="1"/>
        </w:numPr>
        <w:jc w:val="both"/>
        <w:rPr>
          <w:b/>
          <w:sz w:val="24"/>
          <w:szCs w:val="24"/>
        </w:rPr>
      </w:pPr>
      <w:bookmarkStart w:id="10" w:name="_heading=h.17dp8vu" w:colFirst="0" w:colLast="0"/>
      <w:bookmarkEnd w:id="10"/>
      <w:r>
        <w:rPr>
          <w:b/>
          <w:sz w:val="24"/>
          <w:szCs w:val="24"/>
        </w:rPr>
        <w:lastRenderedPageBreak/>
        <w:t>References</w:t>
      </w:r>
    </w:p>
    <w:p w14:paraId="330BF555" w14:textId="77777777" w:rsidR="00A764A3" w:rsidRDefault="005F7478">
      <w:pPr>
        <w:spacing w:after="240"/>
        <w:jc w:val="both"/>
      </w:pPr>
      <w:r>
        <w:t xml:space="preserve">Allied Market Research (2022). </w:t>
      </w:r>
      <w:r>
        <w:rPr>
          <w:i/>
        </w:rPr>
        <w:t>Allied Market Research</w:t>
      </w:r>
      <w:r>
        <w:t>. [online] Alliedmarketresearch.com. Available at: https://www.alliedmarketresearch.com/events-industry-market.</w:t>
      </w:r>
    </w:p>
    <w:p w14:paraId="6CCF79AB" w14:textId="77777777" w:rsidR="00A764A3" w:rsidRDefault="005F7478">
      <w:pPr>
        <w:spacing w:after="240"/>
        <w:jc w:val="both"/>
      </w:pPr>
      <w:proofErr w:type="spellStart"/>
      <w:r>
        <w:t>AltexSoft</w:t>
      </w:r>
      <w:proofErr w:type="spellEnd"/>
      <w:r>
        <w:t xml:space="preserve"> (2022). </w:t>
      </w:r>
      <w:r>
        <w:rPr>
          <w:i/>
        </w:rPr>
        <w:t>Event Booking Software: Supporting Venue Management</w:t>
      </w:r>
      <w:r>
        <w:t xml:space="preserve">. [online] </w:t>
      </w:r>
      <w:proofErr w:type="spellStart"/>
      <w:r>
        <w:t>AltexSoft</w:t>
      </w:r>
      <w:proofErr w:type="spellEnd"/>
      <w:r>
        <w:t>. Available at: https://www.altexsoft.com/blog/event-booking-venue-management/ [Accessed 26 Feb. 2025].</w:t>
      </w:r>
    </w:p>
    <w:p w14:paraId="6E7B935F" w14:textId="77777777" w:rsidR="00A764A3" w:rsidRDefault="005F7478">
      <w:pPr>
        <w:spacing w:after="240"/>
        <w:jc w:val="both"/>
      </w:pPr>
      <w:r>
        <w:t xml:space="preserve">Boric, M. (2019). Dynamic interest-based systems for dense-communication scenarios. </w:t>
      </w:r>
      <w:r>
        <w:rPr>
          <w:i/>
        </w:rPr>
        <w:t>Uvigo.es</w:t>
      </w:r>
      <w:r>
        <w:t xml:space="preserve">. [online] </w:t>
      </w:r>
      <w:proofErr w:type="spellStart"/>
      <w:proofErr w:type="gramStart"/>
      <w:r>
        <w:t>doi:http</w:t>
      </w:r>
      <w:proofErr w:type="spellEnd"/>
      <w:r>
        <w:t>://hdl.handle.net/11093/1141</w:t>
      </w:r>
      <w:proofErr w:type="gramEnd"/>
      <w:r>
        <w:t>.</w:t>
      </w:r>
    </w:p>
    <w:p w14:paraId="15D1A644" w14:textId="77777777" w:rsidR="00A764A3" w:rsidRDefault="005F7478">
      <w:pPr>
        <w:spacing w:after="240"/>
        <w:jc w:val="both"/>
      </w:pPr>
      <w:proofErr w:type="spellStart"/>
      <w:r>
        <w:t>Bowdin</w:t>
      </w:r>
      <w:proofErr w:type="spellEnd"/>
      <w:r>
        <w:t xml:space="preserve">, G., McDonnell, I., Harris, R., O’Toole, W., Allen, </w:t>
      </w:r>
      <w:proofErr w:type="gramStart"/>
      <w:r>
        <w:t>J.</w:t>
      </w:r>
      <w:proofErr w:type="gramEnd"/>
      <w:r>
        <w:t xml:space="preserve"> and Leo Kenneth </w:t>
      </w:r>
      <w:proofErr w:type="spellStart"/>
      <w:r>
        <w:t>Jago</w:t>
      </w:r>
      <w:proofErr w:type="spellEnd"/>
      <w:r>
        <w:t xml:space="preserve"> (2023). </w:t>
      </w:r>
      <w:r>
        <w:rPr>
          <w:i/>
        </w:rPr>
        <w:t>Events Management</w:t>
      </w:r>
      <w:r>
        <w:t xml:space="preserve">. Routledge. </w:t>
      </w:r>
      <w:proofErr w:type="spellStart"/>
      <w:proofErr w:type="gramStart"/>
      <w:r>
        <w:t>doi:https</w:t>
      </w:r>
      <w:proofErr w:type="spellEnd"/>
      <w:r>
        <w:t>://doi.org/10.4324/9781003044963</w:t>
      </w:r>
      <w:proofErr w:type="gramEnd"/>
      <w:r>
        <w:t>.</w:t>
      </w:r>
    </w:p>
    <w:p w14:paraId="26E430D5" w14:textId="77777777" w:rsidR="00A764A3" w:rsidRDefault="005F7478">
      <w:pPr>
        <w:spacing w:after="240"/>
        <w:jc w:val="both"/>
      </w:pPr>
      <w:r>
        <w:t xml:space="preserve">Business Live (2022). </w:t>
      </w:r>
      <w:r>
        <w:rPr>
          <w:i/>
        </w:rPr>
        <w:t>The huge economic impact of the UK’s event industry</w:t>
      </w:r>
      <w:r>
        <w:t>. [online] Business Live. Available at: https://www.business-live.co.uk/opinion-analysis/huge-economic-impact-uks-event-23563660.</w:t>
      </w:r>
    </w:p>
    <w:p w14:paraId="1B3222B7" w14:textId="77777777" w:rsidR="00A764A3" w:rsidRDefault="005F7478">
      <w:pPr>
        <w:spacing w:before="240" w:after="240"/>
        <w:jc w:val="both"/>
        <w:rPr>
          <w:color w:val="222222"/>
          <w:highlight w:val="white"/>
        </w:rPr>
      </w:pPr>
      <w:r>
        <w:rPr>
          <w:color w:val="222222"/>
          <w:highlight w:val="white"/>
        </w:rPr>
        <w:t xml:space="preserve">De </w:t>
      </w:r>
      <w:proofErr w:type="spellStart"/>
      <w:r>
        <w:rPr>
          <w:color w:val="222222"/>
          <w:highlight w:val="white"/>
        </w:rPr>
        <w:t>Fréminville</w:t>
      </w:r>
      <w:proofErr w:type="spellEnd"/>
      <w:r>
        <w:rPr>
          <w:color w:val="222222"/>
          <w:highlight w:val="white"/>
        </w:rPr>
        <w:t xml:space="preserve">, M. (2020). </w:t>
      </w:r>
      <w:r>
        <w:rPr>
          <w:i/>
          <w:color w:val="222222"/>
          <w:highlight w:val="white"/>
        </w:rPr>
        <w:t>Cybersecurity and decision makers: Data security and digital trust</w:t>
      </w:r>
      <w:r>
        <w:rPr>
          <w:color w:val="222222"/>
          <w:highlight w:val="white"/>
        </w:rPr>
        <w:t xml:space="preserve">. John Wiley &amp; Sons. </w:t>
      </w:r>
      <w:hyperlink r:id="rId11">
        <w:r>
          <w:rPr>
            <w:color w:val="1155CC"/>
            <w:highlight w:val="white"/>
            <w:u w:val="single"/>
          </w:rPr>
          <w:t>https://books.google.com/books?hl=en&amp;lr=&amp;id=oynfDwAAQBAJ&amp;oi=fnd&amp;pg=PP2&amp;dq=With+attendance+data+collecting+and+digital+payment+processing+in+an+event,+cybersecurity+is+a+rising+worry,+requiring+GDPR+compliance+and+data+encryption.&amp;ots=Td8YzI_SRv&amp;sig=qQMjMLdu-73crgRTN3QL-TgfxBo</w:t>
        </w:r>
      </w:hyperlink>
    </w:p>
    <w:p w14:paraId="6D6A76F5" w14:textId="77777777" w:rsidR="00A764A3" w:rsidRDefault="005F7478">
      <w:pPr>
        <w:spacing w:after="240"/>
        <w:jc w:val="both"/>
      </w:pPr>
      <w:r>
        <w:t xml:space="preserve">Dolores, L., </w:t>
      </w:r>
      <w:proofErr w:type="spellStart"/>
      <w:r>
        <w:t>Macchiaroli</w:t>
      </w:r>
      <w:proofErr w:type="spellEnd"/>
      <w:r>
        <w:t xml:space="preserve">, M. and De Mare, G. (2020). ‘A Dynamic Model for the Financial Sustainability of the Restoration Sponsorship. </w:t>
      </w:r>
      <w:r>
        <w:rPr>
          <w:i/>
        </w:rPr>
        <w:t>Sustainability</w:t>
      </w:r>
      <w:r>
        <w:t xml:space="preserve">, 12(4), p.1694. </w:t>
      </w:r>
      <w:proofErr w:type="spellStart"/>
      <w:proofErr w:type="gramStart"/>
      <w:r>
        <w:t>doi:https</w:t>
      </w:r>
      <w:proofErr w:type="spellEnd"/>
      <w:r>
        <w:t>://doi.org/10.3390/su12041694</w:t>
      </w:r>
      <w:proofErr w:type="gramEnd"/>
      <w:r>
        <w:t>.</w:t>
      </w:r>
    </w:p>
    <w:p w14:paraId="286282DA" w14:textId="77777777" w:rsidR="00A764A3" w:rsidRDefault="005F7478">
      <w:pPr>
        <w:spacing w:after="240"/>
        <w:jc w:val="both"/>
      </w:pPr>
      <w:r>
        <w:t xml:space="preserve">EMBOK (2020). </w:t>
      </w:r>
      <w:r>
        <w:rPr>
          <w:i/>
        </w:rPr>
        <w:t>EMBOK - Event Management Body of Knowledge - Phases</w:t>
      </w:r>
      <w:r>
        <w:t xml:space="preserve">. [online] www.embok.org. Available at: </w:t>
      </w:r>
      <w:hyperlink r:id="rId12">
        <w:r>
          <w:rPr>
            <w:color w:val="1155CC"/>
            <w:u w:val="single"/>
          </w:rPr>
          <w:t>https://www.embok.org/index.php/embok-model/phases</w:t>
        </w:r>
      </w:hyperlink>
      <w:r>
        <w:t>.</w:t>
      </w:r>
    </w:p>
    <w:p w14:paraId="6642A3C2" w14:textId="77777777" w:rsidR="00A764A3" w:rsidRDefault="005F7478">
      <w:pPr>
        <w:spacing w:after="240"/>
        <w:jc w:val="both"/>
        <w:rPr>
          <w:color w:val="222222"/>
          <w:highlight w:val="white"/>
        </w:rPr>
      </w:pPr>
      <w:r>
        <w:rPr>
          <w:color w:val="222222"/>
          <w:highlight w:val="white"/>
        </w:rPr>
        <w:lastRenderedPageBreak/>
        <w:t xml:space="preserve">Falk, M.T. and </w:t>
      </w:r>
      <w:proofErr w:type="spellStart"/>
      <w:r>
        <w:rPr>
          <w:color w:val="222222"/>
          <w:highlight w:val="white"/>
        </w:rPr>
        <w:t>Hagsten</w:t>
      </w:r>
      <w:proofErr w:type="spellEnd"/>
      <w:r>
        <w:rPr>
          <w:color w:val="222222"/>
          <w:highlight w:val="white"/>
        </w:rPr>
        <w:t xml:space="preserve">, E. (2022). ‘Gender diversity of keynote speakers at virtual academic </w:t>
      </w:r>
      <w:proofErr w:type="gramStart"/>
      <w:r>
        <w:rPr>
          <w:color w:val="222222"/>
          <w:highlight w:val="white"/>
        </w:rPr>
        <w:t>conferences’</w:t>
      </w:r>
      <w:proofErr w:type="gramEnd"/>
      <w:r>
        <w:rPr>
          <w:color w:val="222222"/>
          <w:highlight w:val="white"/>
        </w:rPr>
        <w:t xml:space="preserve">. </w:t>
      </w:r>
      <w:r>
        <w:rPr>
          <w:i/>
          <w:color w:val="222222"/>
          <w:highlight w:val="white"/>
        </w:rPr>
        <w:t>Journal of Policy Research in Tourism, Leisure and Events</w:t>
      </w:r>
      <w:r>
        <w:rPr>
          <w:color w:val="222222"/>
          <w:highlight w:val="white"/>
        </w:rPr>
        <w:t xml:space="preserve">, pp.1–15. </w:t>
      </w:r>
      <w:proofErr w:type="spellStart"/>
      <w:proofErr w:type="gramStart"/>
      <w:r>
        <w:rPr>
          <w:color w:val="222222"/>
          <w:highlight w:val="white"/>
        </w:rPr>
        <w:t>doi:https</w:t>
      </w:r>
      <w:proofErr w:type="spellEnd"/>
      <w:r>
        <w:rPr>
          <w:color w:val="222222"/>
          <w:highlight w:val="white"/>
        </w:rPr>
        <w:t>://doi.org/10.1080/19407963.2022.2066684</w:t>
      </w:r>
      <w:proofErr w:type="gramEnd"/>
      <w:r>
        <w:rPr>
          <w:color w:val="222222"/>
          <w:highlight w:val="white"/>
        </w:rPr>
        <w:t>.</w:t>
      </w:r>
    </w:p>
    <w:p w14:paraId="25913D05" w14:textId="77777777" w:rsidR="00A764A3" w:rsidRDefault="005F7478">
      <w:pPr>
        <w:spacing w:after="240"/>
        <w:jc w:val="both"/>
      </w:pPr>
      <w:r>
        <w:t xml:space="preserve">Finkel, R. and </w:t>
      </w:r>
      <w:proofErr w:type="spellStart"/>
      <w:r>
        <w:t>Dashper</w:t>
      </w:r>
      <w:proofErr w:type="spellEnd"/>
      <w:r>
        <w:t xml:space="preserve">, K. (2020). ‘Accessibility, diversity and inclusion in </w:t>
      </w:r>
      <w:proofErr w:type="gramStart"/>
      <w:r>
        <w:t>events’</w:t>
      </w:r>
      <w:proofErr w:type="gramEnd"/>
      <w:r>
        <w:t xml:space="preserve">. pp.475–490. </w:t>
      </w:r>
      <w:proofErr w:type="spellStart"/>
      <w:proofErr w:type="gramStart"/>
      <w:r>
        <w:t>doi:https</w:t>
      </w:r>
      <w:proofErr w:type="spellEnd"/>
      <w:r>
        <w:t>://doi.org/10.4324/9780429280993-31</w:t>
      </w:r>
      <w:proofErr w:type="gramEnd"/>
      <w:r>
        <w:t>.</w:t>
      </w:r>
    </w:p>
    <w:p w14:paraId="4FDE9FBD" w14:textId="77777777" w:rsidR="00A764A3" w:rsidRDefault="005F7478">
      <w:pPr>
        <w:spacing w:after="240"/>
        <w:jc w:val="both"/>
        <w:rPr>
          <w:color w:val="222222"/>
          <w:highlight w:val="white"/>
        </w:rPr>
      </w:pPr>
      <w:r>
        <w:rPr>
          <w:color w:val="222222"/>
          <w:highlight w:val="white"/>
        </w:rPr>
        <w:t xml:space="preserve">Government of UK (2010). </w:t>
      </w:r>
      <w:r>
        <w:rPr>
          <w:i/>
          <w:color w:val="222222"/>
          <w:highlight w:val="white"/>
        </w:rPr>
        <w:t>Equality Act 2010</w:t>
      </w:r>
      <w:r>
        <w:rPr>
          <w:color w:val="222222"/>
          <w:highlight w:val="white"/>
        </w:rPr>
        <w:t xml:space="preserve">. [online] Legislation.gov.uk. Available at: </w:t>
      </w:r>
      <w:hyperlink r:id="rId13">
        <w:r>
          <w:rPr>
            <w:color w:val="1155CC"/>
            <w:highlight w:val="white"/>
            <w:u w:val="single"/>
          </w:rPr>
          <w:t>https://www.legislation.gov.uk/ukpga/2010/15/contents</w:t>
        </w:r>
      </w:hyperlink>
      <w:r>
        <w:rPr>
          <w:color w:val="222222"/>
          <w:highlight w:val="white"/>
        </w:rPr>
        <w:t xml:space="preserve">. </w:t>
      </w:r>
      <w:r>
        <w:t>[Accessed 26 Feb. 2025]</w:t>
      </w:r>
    </w:p>
    <w:p w14:paraId="2AA2F4F8" w14:textId="77777777" w:rsidR="00A764A3" w:rsidRDefault="005F7478">
      <w:pPr>
        <w:spacing w:after="240"/>
        <w:jc w:val="both"/>
        <w:rPr>
          <w:color w:val="222222"/>
          <w:highlight w:val="white"/>
        </w:rPr>
      </w:pPr>
      <w:r>
        <w:rPr>
          <w:color w:val="222222"/>
          <w:highlight w:val="white"/>
        </w:rPr>
        <w:t xml:space="preserve">Ilk, N. and Shang, G. (2022). The impact of waiting on customer‐instigated service time: Field evidence from a live‐chat contact </w:t>
      </w:r>
      <w:proofErr w:type="spellStart"/>
      <w:r>
        <w:rPr>
          <w:color w:val="222222"/>
          <w:highlight w:val="white"/>
        </w:rPr>
        <w:t>center</w:t>
      </w:r>
      <w:proofErr w:type="spellEnd"/>
      <w:r>
        <w:rPr>
          <w:color w:val="222222"/>
          <w:highlight w:val="white"/>
        </w:rPr>
        <w:t xml:space="preserve">. </w:t>
      </w:r>
      <w:r>
        <w:rPr>
          <w:i/>
          <w:color w:val="222222"/>
          <w:highlight w:val="white"/>
        </w:rPr>
        <w:t>Journal of Operations Management</w:t>
      </w:r>
      <w:r>
        <w:rPr>
          <w:color w:val="222222"/>
          <w:highlight w:val="white"/>
        </w:rPr>
        <w:t xml:space="preserve">, 68(5), pp.487–514. </w:t>
      </w:r>
      <w:proofErr w:type="spellStart"/>
      <w:proofErr w:type="gramStart"/>
      <w:r>
        <w:rPr>
          <w:color w:val="222222"/>
          <w:highlight w:val="white"/>
        </w:rPr>
        <w:t>doi:https</w:t>
      </w:r>
      <w:proofErr w:type="spellEnd"/>
      <w:r>
        <w:rPr>
          <w:color w:val="222222"/>
          <w:highlight w:val="white"/>
        </w:rPr>
        <w:t>://doi.org/10.1002/joom.1199</w:t>
      </w:r>
      <w:proofErr w:type="gramEnd"/>
      <w:r>
        <w:rPr>
          <w:color w:val="222222"/>
          <w:highlight w:val="white"/>
        </w:rPr>
        <w:t>.</w:t>
      </w:r>
    </w:p>
    <w:p w14:paraId="489CA9BB" w14:textId="77777777" w:rsidR="00A764A3" w:rsidRDefault="005F7478">
      <w:pPr>
        <w:spacing w:after="240"/>
        <w:jc w:val="both"/>
      </w:pPr>
      <w:r>
        <w:t xml:space="preserve">J. </w:t>
      </w:r>
      <w:proofErr w:type="spellStart"/>
      <w:r>
        <w:t>Junaedi</w:t>
      </w:r>
      <w:proofErr w:type="spellEnd"/>
      <w:r>
        <w:t xml:space="preserve"> (2024). ‘Understanding the Role of Finance in Sustainable Development: A Qualitative Study on Environmental, Social, and Governance (ESG) Practices’. </w:t>
      </w:r>
      <w:r>
        <w:rPr>
          <w:i/>
        </w:rPr>
        <w:t>Golden Ratio of Finance Management</w:t>
      </w:r>
      <w:r>
        <w:t xml:space="preserve">, [online] 4(2), pp.113–130. </w:t>
      </w:r>
      <w:proofErr w:type="spellStart"/>
      <w:proofErr w:type="gramStart"/>
      <w:r>
        <w:t>doi:https</w:t>
      </w:r>
      <w:proofErr w:type="spellEnd"/>
      <w:r>
        <w:t>://doi.org/10.52970/grfm.v4i2.422</w:t>
      </w:r>
      <w:proofErr w:type="gramEnd"/>
      <w:r>
        <w:t>.</w:t>
      </w:r>
    </w:p>
    <w:p w14:paraId="3D284A65" w14:textId="77777777" w:rsidR="00A764A3" w:rsidRDefault="005F7478">
      <w:pPr>
        <w:spacing w:after="240"/>
        <w:jc w:val="both"/>
        <w:rPr>
          <w:color w:val="222222"/>
          <w:highlight w:val="white"/>
        </w:rPr>
      </w:pPr>
      <w:r>
        <w:rPr>
          <w:color w:val="222222"/>
          <w:highlight w:val="white"/>
        </w:rPr>
        <w:t xml:space="preserve">Lin, M.S., Shin, H.H. and Shin, S. (2024). ‘The economic impacts of information and communication technologies in the tourism and hospitality industry: A systematic review of the literature’. </w:t>
      </w:r>
      <w:r>
        <w:rPr>
          <w:i/>
          <w:color w:val="222222"/>
          <w:highlight w:val="white"/>
        </w:rPr>
        <w:t>Tourism economics</w:t>
      </w:r>
      <w:r>
        <w:rPr>
          <w:color w:val="222222"/>
          <w:highlight w:val="white"/>
        </w:rPr>
        <w:t xml:space="preserve">. </w:t>
      </w:r>
      <w:proofErr w:type="spellStart"/>
      <w:proofErr w:type="gramStart"/>
      <w:r>
        <w:rPr>
          <w:color w:val="222222"/>
          <w:highlight w:val="white"/>
        </w:rPr>
        <w:t>doi:https</w:t>
      </w:r>
      <w:proofErr w:type="spellEnd"/>
      <w:r>
        <w:rPr>
          <w:color w:val="222222"/>
          <w:highlight w:val="white"/>
        </w:rPr>
        <w:t>://doi.org/10.1177/13548166241253309</w:t>
      </w:r>
      <w:proofErr w:type="gramEnd"/>
      <w:r>
        <w:rPr>
          <w:color w:val="222222"/>
          <w:highlight w:val="white"/>
        </w:rPr>
        <w:t>.</w:t>
      </w:r>
    </w:p>
    <w:p w14:paraId="4DBAC7E7" w14:textId="77777777" w:rsidR="00A764A3" w:rsidRDefault="005F7478">
      <w:pPr>
        <w:spacing w:after="240"/>
        <w:jc w:val="both"/>
        <w:rPr>
          <w:color w:val="222222"/>
          <w:highlight w:val="white"/>
        </w:rPr>
      </w:pPr>
      <w:proofErr w:type="spellStart"/>
      <w:r>
        <w:rPr>
          <w:color w:val="222222"/>
          <w:highlight w:val="white"/>
        </w:rPr>
        <w:t>Nachmias</w:t>
      </w:r>
      <w:proofErr w:type="spellEnd"/>
      <w:r>
        <w:rPr>
          <w:color w:val="222222"/>
          <w:highlight w:val="white"/>
        </w:rPr>
        <w:t xml:space="preserve">, S., Ridgway, M. and </w:t>
      </w:r>
      <w:proofErr w:type="spellStart"/>
      <w:r>
        <w:rPr>
          <w:color w:val="222222"/>
          <w:highlight w:val="white"/>
        </w:rPr>
        <w:t>Caven</w:t>
      </w:r>
      <w:proofErr w:type="spellEnd"/>
      <w:r>
        <w:rPr>
          <w:color w:val="222222"/>
          <w:highlight w:val="white"/>
        </w:rPr>
        <w:t xml:space="preserve">, V. (2019). ‘The Legal Framework on Diversity and Equality. </w:t>
      </w:r>
      <w:r>
        <w:rPr>
          <w:i/>
          <w:color w:val="222222"/>
          <w:highlight w:val="white"/>
        </w:rPr>
        <w:t>Inequality and Organizational Practice</w:t>
      </w:r>
      <w:r>
        <w:rPr>
          <w:color w:val="222222"/>
          <w:highlight w:val="white"/>
        </w:rPr>
        <w:t xml:space="preserve">, pp.15–36. </w:t>
      </w:r>
      <w:proofErr w:type="spellStart"/>
      <w:proofErr w:type="gramStart"/>
      <w:r>
        <w:rPr>
          <w:color w:val="222222"/>
          <w:highlight w:val="white"/>
        </w:rPr>
        <w:t>doi:https</w:t>
      </w:r>
      <w:proofErr w:type="spellEnd"/>
      <w:r>
        <w:rPr>
          <w:color w:val="222222"/>
          <w:highlight w:val="white"/>
        </w:rPr>
        <w:t>://doi.org/10.1007/978-3-030-11644-6_2</w:t>
      </w:r>
      <w:proofErr w:type="gramEnd"/>
      <w:r>
        <w:rPr>
          <w:color w:val="222222"/>
          <w:highlight w:val="white"/>
        </w:rPr>
        <w:t>.</w:t>
      </w:r>
    </w:p>
    <w:p w14:paraId="1193C023" w14:textId="77777777" w:rsidR="00A764A3" w:rsidRDefault="005F7478">
      <w:pPr>
        <w:spacing w:before="240" w:after="240"/>
        <w:jc w:val="both"/>
        <w:rPr>
          <w:color w:val="222222"/>
          <w:highlight w:val="white"/>
        </w:rPr>
      </w:pPr>
      <w:proofErr w:type="spellStart"/>
      <w:r>
        <w:rPr>
          <w:color w:val="222222"/>
          <w:highlight w:val="white"/>
        </w:rPr>
        <w:t>Pargendler</w:t>
      </w:r>
      <w:proofErr w:type="spellEnd"/>
      <w:r>
        <w:rPr>
          <w:color w:val="222222"/>
          <w:highlight w:val="white"/>
        </w:rPr>
        <w:t xml:space="preserve">, M. (2020). ‘The rise of international corporate law’. </w:t>
      </w:r>
      <w:r>
        <w:rPr>
          <w:i/>
          <w:color w:val="222222"/>
          <w:highlight w:val="white"/>
        </w:rPr>
        <w:t>Wash. UL Rev.</w:t>
      </w:r>
      <w:r>
        <w:rPr>
          <w:color w:val="222222"/>
          <w:highlight w:val="white"/>
        </w:rPr>
        <w:t xml:space="preserve">, </w:t>
      </w:r>
      <w:r>
        <w:rPr>
          <w:i/>
          <w:color w:val="222222"/>
          <w:highlight w:val="white"/>
        </w:rPr>
        <w:t>98</w:t>
      </w:r>
      <w:r>
        <w:rPr>
          <w:color w:val="222222"/>
          <w:highlight w:val="white"/>
        </w:rPr>
        <w:t>, p.1765. https://heinonline.org/hol-cgi-bin/get_pdf.cgi?handle=hein.journals/walq98&amp;section=50</w:t>
      </w:r>
    </w:p>
    <w:p w14:paraId="6C3EC2AC" w14:textId="77777777" w:rsidR="00A764A3" w:rsidRDefault="005F7478">
      <w:pPr>
        <w:spacing w:after="240"/>
        <w:jc w:val="both"/>
      </w:pPr>
      <w:proofErr w:type="spellStart"/>
      <w:r>
        <w:t>Quesenberry</w:t>
      </w:r>
      <w:proofErr w:type="spellEnd"/>
      <w:r>
        <w:t xml:space="preserve">, K.A. (2020). </w:t>
      </w:r>
      <w:r>
        <w:rPr>
          <w:i/>
        </w:rPr>
        <w:t>Social Media Strategy</w:t>
      </w:r>
      <w:r>
        <w:t>. [online] Google Books. Available at: https://books.google.com/books?hl=en&amp;lr=&amp;id=QWTyDwAAQBAJ&amp;oi=fnd&amp;pg=PR3&amp;dq=Digital+advertising [Accessed 26 Feb. 2025].</w:t>
      </w:r>
    </w:p>
    <w:p w14:paraId="3EBF3705" w14:textId="77777777" w:rsidR="00A764A3" w:rsidRDefault="005F7478">
      <w:pPr>
        <w:spacing w:after="240"/>
        <w:jc w:val="both"/>
      </w:pPr>
      <w:r>
        <w:t xml:space="preserve">Ranjan, R. ed. (2023). </w:t>
      </w:r>
      <w:r>
        <w:rPr>
          <w:i/>
        </w:rPr>
        <w:t>Ethics at the Crossroads: Navigating the Modern Business Landscape</w:t>
      </w:r>
      <w:r>
        <w:t xml:space="preserve">. [online] Google Books. Available at: </w:t>
      </w:r>
      <w:r>
        <w:lastRenderedPageBreak/>
        <w:t>https://books.google.com/books?hl=en&amp;lr=&amp;id=SgEJEQAAQBAJ&amp;oi=fnd&amp;pg=PA1&amp;dq=+Gen+Z+and+Millennial+workers+seek+industry-wide+change+because+they+value+ethics+and+diversity&amp;ots=wlfIwuSz3l&amp;sig=KFjIj-v45H6mHeFMhng6dSXFrhI [Accessed 26 Feb. 2025].</w:t>
      </w:r>
    </w:p>
    <w:p w14:paraId="48AEA271" w14:textId="77777777" w:rsidR="00A764A3" w:rsidRDefault="005F7478">
      <w:pPr>
        <w:spacing w:after="240"/>
        <w:jc w:val="both"/>
        <w:rPr>
          <w:color w:val="222222"/>
          <w:highlight w:val="white"/>
        </w:rPr>
      </w:pPr>
      <w:r>
        <w:rPr>
          <w:color w:val="222222"/>
          <w:highlight w:val="white"/>
        </w:rPr>
        <w:t xml:space="preserve">Rather, R.A., </w:t>
      </w:r>
      <w:proofErr w:type="spellStart"/>
      <w:r>
        <w:rPr>
          <w:color w:val="222222"/>
          <w:highlight w:val="white"/>
        </w:rPr>
        <w:t>Hollebeek</w:t>
      </w:r>
      <w:proofErr w:type="spellEnd"/>
      <w:r>
        <w:rPr>
          <w:color w:val="222222"/>
          <w:highlight w:val="white"/>
        </w:rPr>
        <w:t xml:space="preserve">, L.D., VO‐THANH, T., </w:t>
      </w:r>
      <w:proofErr w:type="spellStart"/>
      <w:r>
        <w:rPr>
          <w:color w:val="222222"/>
          <w:highlight w:val="white"/>
        </w:rPr>
        <w:t>Ramkissoon</w:t>
      </w:r>
      <w:proofErr w:type="spellEnd"/>
      <w:r>
        <w:rPr>
          <w:color w:val="222222"/>
          <w:highlight w:val="white"/>
        </w:rPr>
        <w:t xml:space="preserve">, H., </w:t>
      </w:r>
      <w:proofErr w:type="spellStart"/>
      <w:r>
        <w:rPr>
          <w:color w:val="222222"/>
          <w:highlight w:val="white"/>
        </w:rPr>
        <w:t>Leppiman</w:t>
      </w:r>
      <w:proofErr w:type="spellEnd"/>
      <w:r>
        <w:rPr>
          <w:color w:val="222222"/>
          <w:highlight w:val="white"/>
        </w:rPr>
        <w:t xml:space="preserve">, A. and Smith, D. (2022). ‘Shaping customer brand loyalty during the pandemic: The role of brand credibility, value congruence, experience, identification, and engagement’. </w:t>
      </w:r>
      <w:r>
        <w:rPr>
          <w:i/>
          <w:color w:val="222222"/>
          <w:highlight w:val="white"/>
        </w:rPr>
        <w:t>Journal of Consumer Behaviour</w:t>
      </w:r>
      <w:r>
        <w:rPr>
          <w:color w:val="222222"/>
          <w:highlight w:val="white"/>
        </w:rPr>
        <w:t xml:space="preserve">, 21(5). </w:t>
      </w:r>
      <w:proofErr w:type="spellStart"/>
      <w:proofErr w:type="gramStart"/>
      <w:r>
        <w:rPr>
          <w:color w:val="222222"/>
          <w:highlight w:val="white"/>
        </w:rPr>
        <w:t>doi:https</w:t>
      </w:r>
      <w:proofErr w:type="spellEnd"/>
      <w:r>
        <w:rPr>
          <w:color w:val="222222"/>
          <w:highlight w:val="white"/>
        </w:rPr>
        <w:t>://doi.org/10.1002/cb.2070</w:t>
      </w:r>
      <w:proofErr w:type="gramEnd"/>
      <w:r>
        <w:rPr>
          <w:color w:val="222222"/>
          <w:highlight w:val="white"/>
        </w:rPr>
        <w:t>.</w:t>
      </w:r>
    </w:p>
    <w:p w14:paraId="6E9AAAE8" w14:textId="77777777" w:rsidR="00A764A3" w:rsidRDefault="005F7478">
      <w:pPr>
        <w:spacing w:after="240"/>
        <w:jc w:val="both"/>
      </w:pPr>
      <w:proofErr w:type="spellStart"/>
      <w:r>
        <w:t>Sonnabend</w:t>
      </w:r>
      <w:proofErr w:type="spellEnd"/>
      <w:r>
        <w:t>, H. (2019). Pricing. ‘</w:t>
      </w:r>
      <w:r>
        <w:rPr>
          <w:i/>
        </w:rPr>
        <w:t>A Research Agenda for Cultural Economics’</w:t>
      </w:r>
      <w:r>
        <w:t xml:space="preserve">, pp.87–115. </w:t>
      </w:r>
      <w:proofErr w:type="spellStart"/>
      <w:proofErr w:type="gramStart"/>
      <w:r>
        <w:t>doi:https</w:t>
      </w:r>
      <w:proofErr w:type="spellEnd"/>
      <w:r>
        <w:t>://doi.org/10.4337/9781788112314.00011</w:t>
      </w:r>
      <w:proofErr w:type="gramEnd"/>
      <w:r>
        <w:t>.</w:t>
      </w:r>
    </w:p>
    <w:p w14:paraId="3E9B68AA" w14:textId="77777777" w:rsidR="00A764A3" w:rsidRDefault="00A764A3">
      <w:pPr>
        <w:spacing w:after="240"/>
        <w:jc w:val="both"/>
      </w:pPr>
    </w:p>
    <w:p w14:paraId="6B0B0843" w14:textId="77777777" w:rsidR="00A764A3" w:rsidRDefault="00A764A3">
      <w:pPr>
        <w:jc w:val="both"/>
      </w:pPr>
    </w:p>
    <w:sectPr w:rsidR="00A764A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8E1EE" w14:textId="77777777" w:rsidR="005E3331" w:rsidRDefault="005E3331">
      <w:pPr>
        <w:spacing w:line="240" w:lineRule="auto"/>
      </w:pPr>
      <w:r>
        <w:separator/>
      </w:r>
    </w:p>
  </w:endnote>
  <w:endnote w:type="continuationSeparator" w:id="0">
    <w:p w14:paraId="4CA152C5" w14:textId="77777777" w:rsidR="005E3331" w:rsidRDefault="005E33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D9DB9" w14:textId="77777777" w:rsidR="00A764A3" w:rsidRDefault="005F747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31B13">
      <w:rPr>
        <w:noProof/>
        <w:color w:val="000000"/>
      </w:rPr>
      <w:t>1</w:t>
    </w:r>
    <w:r>
      <w:rPr>
        <w:color w:val="000000"/>
      </w:rPr>
      <w:fldChar w:fldCharType="end"/>
    </w:r>
  </w:p>
  <w:p w14:paraId="1FB889EA" w14:textId="77777777" w:rsidR="00A764A3" w:rsidRDefault="00A764A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AAFA3" w14:textId="77777777" w:rsidR="005E3331" w:rsidRDefault="005E3331">
      <w:pPr>
        <w:spacing w:line="240" w:lineRule="auto"/>
      </w:pPr>
      <w:r>
        <w:separator/>
      </w:r>
    </w:p>
  </w:footnote>
  <w:footnote w:type="continuationSeparator" w:id="0">
    <w:p w14:paraId="0FCA22EA" w14:textId="77777777" w:rsidR="005E3331" w:rsidRDefault="005E33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B03D5"/>
    <w:multiLevelType w:val="multilevel"/>
    <w:tmpl w:val="71FAD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647216"/>
    <w:multiLevelType w:val="multilevel"/>
    <w:tmpl w:val="FB662C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33A5607"/>
    <w:multiLevelType w:val="multilevel"/>
    <w:tmpl w:val="15B87A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9403502">
    <w:abstractNumId w:val="1"/>
  </w:num>
  <w:num w:numId="2" w16cid:durableId="392700642">
    <w:abstractNumId w:val="2"/>
  </w:num>
  <w:num w:numId="3" w16cid:durableId="1294680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4A3"/>
    <w:rsid w:val="00043A8A"/>
    <w:rsid w:val="00544428"/>
    <w:rsid w:val="005E3331"/>
    <w:rsid w:val="005F7478"/>
    <w:rsid w:val="006A3DEA"/>
    <w:rsid w:val="008024B9"/>
    <w:rsid w:val="00931B13"/>
    <w:rsid w:val="00957A3A"/>
    <w:rsid w:val="00A764A3"/>
    <w:rsid w:val="00CF7895"/>
    <w:rsid w:val="00D563BE"/>
    <w:rsid w:val="00FA7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48F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76"/>
  </w:style>
  <w:style w:type="paragraph" w:styleId="Heading1">
    <w:name w:val="heading 1"/>
    <w:basedOn w:val="Normal"/>
    <w:next w:val="Normal"/>
    <w:uiPriority w:val="9"/>
    <w:qFormat/>
    <w:rsid w:val="00200E76"/>
    <w:pPr>
      <w:keepNext/>
      <w:keepLines/>
      <w:spacing w:before="400" w:after="120"/>
      <w:outlineLvl w:val="0"/>
    </w:pPr>
    <w:rPr>
      <w:sz w:val="40"/>
      <w:szCs w:val="40"/>
    </w:rPr>
  </w:style>
  <w:style w:type="paragraph" w:styleId="Heading2">
    <w:name w:val="heading 2"/>
    <w:basedOn w:val="Normal"/>
    <w:next w:val="Normal"/>
    <w:uiPriority w:val="9"/>
    <w:semiHidden/>
    <w:unhideWhenUsed/>
    <w:qFormat/>
    <w:rsid w:val="00200E7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200E7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00E76"/>
    <w:pPr>
      <w:keepNext/>
      <w:keepLines/>
      <w:spacing w:before="280" w:after="80"/>
      <w:outlineLvl w:val="3"/>
    </w:pPr>
    <w:rPr>
      <w:color w:val="666666"/>
    </w:rPr>
  </w:style>
  <w:style w:type="paragraph" w:styleId="Heading5">
    <w:name w:val="heading 5"/>
    <w:basedOn w:val="Normal"/>
    <w:next w:val="Normal"/>
    <w:uiPriority w:val="9"/>
    <w:semiHidden/>
    <w:unhideWhenUsed/>
    <w:qFormat/>
    <w:rsid w:val="00200E7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200E7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00E76"/>
    <w:pPr>
      <w:keepNext/>
      <w:keepLines/>
      <w:spacing w:after="60"/>
    </w:pPr>
    <w:rPr>
      <w:sz w:val="52"/>
      <w:szCs w:val="52"/>
    </w:rPr>
  </w:style>
  <w:style w:type="paragraph" w:customStyle="1" w:styleId="Normal1">
    <w:name w:val="Normal1"/>
    <w:rsid w:val="00200E76"/>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rsid w:val="00200E76"/>
    <w:tblPr>
      <w:tblStyleRowBandSize w:val="1"/>
      <w:tblStyleColBandSize w:val="1"/>
      <w:tblCellMar>
        <w:top w:w="100" w:type="dxa"/>
        <w:left w:w="100" w:type="dxa"/>
        <w:bottom w:w="100" w:type="dxa"/>
        <w:right w:w="100" w:type="dxa"/>
      </w:tblCellMar>
    </w:tblPr>
  </w:style>
  <w:style w:type="table" w:customStyle="1" w:styleId="a0">
    <w:basedOn w:val="TableNormal"/>
    <w:rsid w:val="00200E76"/>
    <w:tblPr>
      <w:tblStyleRowBandSize w:val="1"/>
      <w:tblStyleColBandSize w:val="1"/>
      <w:tblCellMar>
        <w:top w:w="100" w:type="dxa"/>
        <w:left w:w="100" w:type="dxa"/>
        <w:bottom w:w="100" w:type="dxa"/>
        <w:right w:w="100" w:type="dxa"/>
      </w:tblCellMar>
    </w:tblPr>
  </w:style>
  <w:style w:type="table" w:customStyle="1" w:styleId="a1">
    <w:basedOn w:val="TableNormal"/>
    <w:rsid w:val="00200E7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B5F58"/>
    <w:pPr>
      <w:tabs>
        <w:tab w:val="center" w:pos="4513"/>
        <w:tab w:val="right" w:pos="9026"/>
      </w:tabs>
      <w:spacing w:line="240" w:lineRule="auto"/>
    </w:pPr>
  </w:style>
  <w:style w:type="character" w:customStyle="1" w:styleId="HeaderChar">
    <w:name w:val="Header Char"/>
    <w:basedOn w:val="DefaultParagraphFont"/>
    <w:link w:val="Header"/>
    <w:uiPriority w:val="99"/>
    <w:rsid w:val="00AB5F58"/>
  </w:style>
  <w:style w:type="paragraph" w:styleId="Footer">
    <w:name w:val="footer"/>
    <w:basedOn w:val="Normal"/>
    <w:link w:val="FooterChar"/>
    <w:uiPriority w:val="99"/>
    <w:unhideWhenUsed/>
    <w:rsid w:val="00AB5F58"/>
    <w:pPr>
      <w:tabs>
        <w:tab w:val="center" w:pos="4513"/>
        <w:tab w:val="right" w:pos="9026"/>
      </w:tabs>
      <w:spacing w:line="240" w:lineRule="auto"/>
    </w:pPr>
  </w:style>
  <w:style w:type="character" w:customStyle="1" w:styleId="FooterChar">
    <w:name w:val="Footer Char"/>
    <w:basedOn w:val="DefaultParagraphFont"/>
    <w:link w:val="Footer"/>
    <w:uiPriority w:val="99"/>
    <w:rsid w:val="00AB5F58"/>
  </w:style>
  <w:style w:type="paragraph" w:styleId="TOCHeading">
    <w:name w:val="TOC Heading"/>
    <w:basedOn w:val="Heading1"/>
    <w:next w:val="Normal"/>
    <w:uiPriority w:val="39"/>
    <w:unhideWhenUsed/>
    <w:qFormat/>
    <w:rsid w:val="00AB5F58"/>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AB5F58"/>
    <w:pPr>
      <w:spacing w:after="100"/>
    </w:pPr>
  </w:style>
  <w:style w:type="character" w:styleId="Hyperlink">
    <w:name w:val="Hyperlink"/>
    <w:basedOn w:val="DefaultParagraphFont"/>
    <w:uiPriority w:val="99"/>
    <w:unhideWhenUsed/>
    <w:rsid w:val="00AB5F58"/>
    <w:rPr>
      <w:color w:val="0000FF" w:themeColor="hyperlink"/>
      <w:u w:val="single"/>
    </w:rPr>
  </w:style>
  <w:style w:type="table" w:customStyle="1" w:styleId="a2">
    <w:basedOn w:val="TableNormal"/>
    <w:rsid w:val="00200E76"/>
    <w:tblPr>
      <w:tblStyleRowBandSize w:val="1"/>
      <w:tblStyleColBandSize w:val="1"/>
      <w:tblCellMar>
        <w:top w:w="100" w:type="dxa"/>
        <w:left w:w="100" w:type="dxa"/>
        <w:bottom w:w="100" w:type="dxa"/>
        <w:right w:w="100" w:type="dxa"/>
      </w:tblCellMar>
    </w:tblPr>
  </w:style>
  <w:style w:type="table" w:customStyle="1" w:styleId="a3">
    <w:basedOn w:val="TableNormal"/>
    <w:rsid w:val="00200E76"/>
    <w:tblPr>
      <w:tblStyleRowBandSize w:val="1"/>
      <w:tblStyleColBandSize w:val="1"/>
      <w:tblCellMar>
        <w:top w:w="100" w:type="dxa"/>
        <w:left w:w="100" w:type="dxa"/>
        <w:bottom w:w="100" w:type="dxa"/>
        <w:right w:w="100" w:type="dxa"/>
      </w:tblCellMar>
    </w:tblPr>
  </w:style>
  <w:style w:type="table" w:customStyle="1" w:styleId="a4">
    <w:basedOn w:val="TableNormal"/>
    <w:rsid w:val="00200E76"/>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bok.org/index.php/embok-model/phas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oynfDwAAQBAJ&amp;oi=fnd&amp;pg=PP2&amp;dq=With+attendance+data+collecting+and+digital+payment+processing+in+an+event,+cybersecurity+is+a+rising+worry,+requiring+GDPR+compliance+and+data+encryption.&amp;ots=Td8YzI_SRv&amp;sig=qQMjMLdu-73crgRTN3QL-TgfxBo"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O+/k4woTVzvd64YT5w/QgJz8hw==">CgMxLjAyCGguZ2pkZ3hzMgloLjMwajB6bGwyCWguMWZvYjl0ZTIJaC4zem55c2g3MgloLjJldDkycDAyCGgudHlqY3d0MgloLjNkeTZ2a20yCWguMXQzaDVzZjIJaC40ZDM0b2c4MgloLjJzOGV5bzEyCWguMTdkcDh2dTgAciExTlM4YTEybVFnbmxoNnFBSWxsbTdyQkhiQi1fZGdTb0c=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3665</Words>
  <Characters>20892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24508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2025-02-27T19:21:00Z</dcterms:created>
  <dcterms:modified xsi:type="dcterms:W3CDTF">2025-02-27T19:21:00Z</dcterms:modified>
  <cp:category/>
</cp:coreProperties>
</file>