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0621" w:rsidRDefault="0052482B">
      <w:pPr>
        <w:spacing w:after="0"/>
        <w:jc w:val="center"/>
        <w:rPr>
          <w:rFonts w:hint="eastAsia"/>
        </w:rPr>
      </w:pPr>
      <w:bookmarkStart w:id="0" w:name="_GoBack"/>
      <w:bookmarkEnd w:id="0"/>
      <w:r>
        <w:rPr>
          <w:rFonts w:ascii="Aptos Display" w:hAnsi="Aptos Display"/>
          <w:b/>
          <w:color w:val="0B5661"/>
          <w:sz w:val="40"/>
        </w:rPr>
        <w:t>Cash Conversion Cycle Analysis</w:t>
      </w:r>
    </w:p>
    <w:p w:rsidR="00BA0621" w:rsidRDefault="0052482B">
      <w:pPr>
        <w:spacing w:after="20"/>
        <w:jc w:val="center"/>
        <w:rPr>
          <w:rFonts w:hint="eastAsia"/>
        </w:rPr>
      </w:pPr>
      <w:r>
        <w:rPr>
          <w:b/>
          <w:color w:val="F05A00"/>
          <w:sz w:val="21"/>
        </w:rPr>
        <w:t>InterContinental Hotels Group PLC (IHG), 2020-2024</w:t>
      </w:r>
    </w:p>
    <w:p w:rsidR="00BA0621" w:rsidRDefault="0052482B">
      <w:pPr>
        <w:spacing w:after="60"/>
        <w:rPr>
          <w:rFonts w:hint="eastAsia"/>
        </w:rPr>
      </w:pPr>
      <w:r>
        <w:rPr>
          <w:color w:val="F05A00"/>
          <w:sz w:val="14"/>
        </w:rPr>
        <w:t>━━━━━━━━━━━━━━━━━━━━━━━━━━━━━━━━━━━━━━━━━━━━━━━━━━━━━━━━━━━━</w:t>
      </w:r>
    </w:p>
    <w:p w:rsidR="00BA0621" w:rsidRDefault="0052482B">
      <w:pPr>
        <w:pStyle w:val="CCCHeading"/>
        <w:rPr>
          <w:rFonts w:hint="eastAsia"/>
        </w:rPr>
      </w:pPr>
      <w:r>
        <w:t>What the cash conversion cycle measures</w:t>
      </w:r>
    </w:p>
    <w:p w:rsidR="00BA0621" w:rsidRDefault="0052482B">
      <w:pPr>
        <w:rPr>
          <w:rFonts w:hint="eastAsia"/>
        </w:rPr>
      </w:pPr>
      <w:r>
        <w:t xml:space="preserve">The cash conversion cycle (CCC) estimates how many days a company takes </w:t>
      </w:r>
      <w:r>
        <w:t>to convert its investment in working capital into cash. It combines the time inventory is held, the time taken to collect receivables and the time allowed before suppliers are paid.</w:t>
      </w:r>
    </w:p>
    <w:tbl>
      <w:tblPr>
        <w:tblW w:w="0" w:type="auto"/>
        <w:jc w:val="center"/>
        <w:tblLook w:val="04A0" w:firstRow="1" w:lastRow="0" w:firstColumn="1" w:lastColumn="0" w:noHBand="0" w:noVBand="1"/>
      </w:tblPr>
      <w:tblGrid>
        <w:gridCol w:w="9881"/>
      </w:tblGrid>
      <w:tr w:rsidR="00BA0621">
        <w:trPr>
          <w:jc w:val="center"/>
        </w:trPr>
        <w:tc>
          <w:tcPr>
            <w:tcW w:w="9893" w:type="dxa"/>
            <w:tcBorders>
              <w:top w:val="single" w:sz="5" w:space="0" w:color="9FBAD0"/>
              <w:left w:val="single" w:sz="5" w:space="0" w:color="9FBAD0"/>
              <w:bottom w:val="single" w:sz="5" w:space="0" w:color="9FBAD0"/>
              <w:right w:val="single" w:sz="5" w:space="0" w:color="9FBAD0"/>
            </w:tcBorders>
            <w:shd w:val="clear" w:color="auto" w:fill="D9E1F2"/>
          </w:tcPr>
          <w:p w:rsidR="00BA0621" w:rsidRDefault="0052482B">
            <w:pPr>
              <w:spacing w:after="0"/>
              <w:jc w:val="center"/>
              <w:rPr>
                <w:rFonts w:hint="eastAsia"/>
              </w:rPr>
            </w:pPr>
            <w:r>
              <w:rPr>
                <w:b/>
                <w:color w:val="0B5661"/>
                <w:sz w:val="21"/>
              </w:rPr>
              <w:t>CCC = Inventory Days + Receivable Days - Payable Days</w:t>
            </w:r>
          </w:p>
        </w:tc>
      </w:tr>
    </w:tbl>
    <w:p w:rsidR="00BA0621" w:rsidRDefault="0052482B">
      <w:pPr>
        <w:rPr>
          <w:rFonts w:hint="eastAsia"/>
        </w:rPr>
      </w:pPr>
      <w:r>
        <w:t xml:space="preserve">For this analysis, </w:t>
      </w:r>
      <w:r>
        <w:t>average balances were used. Inventory days and payable days were calculated using cost of sales, while receivable days were calculated using total revenue. A negative CCC means the company generally receives cash before it pays suppliers.</w:t>
      </w:r>
    </w:p>
    <w:p w:rsidR="00BA0621" w:rsidRDefault="0052482B">
      <w:pPr>
        <w:pStyle w:val="CCCHeading"/>
        <w:rPr>
          <w:rFonts w:hint="eastAsia"/>
        </w:rPr>
      </w:pPr>
      <w:r>
        <w:t>Five-year results</w:t>
      </w:r>
    </w:p>
    <w:tbl>
      <w:tblPr>
        <w:tblW w:w="0" w:type="auto"/>
        <w:jc w:val="center"/>
        <w:tblLayout w:type="fixed"/>
        <w:tblLook w:val="04A0" w:firstRow="1" w:lastRow="0" w:firstColumn="1" w:lastColumn="0" w:noHBand="0" w:noVBand="1"/>
      </w:tblPr>
      <w:tblGrid>
        <w:gridCol w:w="2448"/>
        <w:gridCol w:w="1649"/>
        <w:gridCol w:w="1649"/>
        <w:gridCol w:w="1649"/>
        <w:gridCol w:w="1649"/>
        <w:gridCol w:w="1649"/>
      </w:tblGrid>
      <w:tr w:rsidR="00BA0621">
        <w:trPr>
          <w:jc w:val="center"/>
        </w:trPr>
        <w:tc>
          <w:tcPr>
            <w:tcW w:w="1649" w:type="dxa"/>
            <w:tcBorders>
              <w:top w:val="single" w:sz="4" w:space="0" w:color="D9E1E5"/>
              <w:left w:val="single" w:sz="4" w:space="0" w:color="D9E1E5"/>
              <w:bottom w:val="single" w:sz="4" w:space="0" w:color="D9E1E5"/>
              <w:right w:val="single" w:sz="4" w:space="0" w:color="D9E1E5"/>
            </w:tcBorders>
            <w:shd w:val="clear" w:color="auto" w:fill="F05A00"/>
            <w:vAlign w:val="center"/>
          </w:tcPr>
          <w:p w:rsidR="00BA0621" w:rsidRDefault="0052482B">
            <w:pPr>
              <w:spacing w:after="0"/>
              <w:jc w:val="center"/>
              <w:rPr>
                <w:rFonts w:hint="eastAsia"/>
              </w:rPr>
            </w:pPr>
            <w:r>
              <w:rPr>
                <w:b/>
                <w:color w:val="FFFFFF"/>
                <w:sz w:val="17"/>
              </w:rPr>
              <w:t>Metric</w:t>
            </w:r>
          </w:p>
        </w:tc>
        <w:tc>
          <w:tcPr>
            <w:tcW w:w="1649" w:type="dxa"/>
            <w:tcBorders>
              <w:top w:val="single" w:sz="4" w:space="0" w:color="D9E1E5"/>
              <w:left w:val="single" w:sz="4" w:space="0" w:color="D9E1E5"/>
              <w:bottom w:val="single" w:sz="4" w:space="0" w:color="D9E1E5"/>
              <w:right w:val="single" w:sz="4" w:space="0" w:color="D9E1E5"/>
            </w:tcBorders>
            <w:shd w:val="clear" w:color="auto" w:fill="F05A00"/>
            <w:vAlign w:val="center"/>
          </w:tcPr>
          <w:p w:rsidR="00BA0621" w:rsidRDefault="0052482B">
            <w:pPr>
              <w:spacing w:after="0"/>
              <w:jc w:val="center"/>
              <w:rPr>
                <w:rFonts w:hint="eastAsia"/>
              </w:rPr>
            </w:pPr>
            <w:r>
              <w:rPr>
                <w:b/>
                <w:color w:val="FFFFFF"/>
                <w:sz w:val="17"/>
              </w:rPr>
              <w:t>2020</w:t>
            </w:r>
          </w:p>
        </w:tc>
        <w:tc>
          <w:tcPr>
            <w:tcW w:w="1649" w:type="dxa"/>
            <w:tcBorders>
              <w:top w:val="single" w:sz="4" w:space="0" w:color="D9E1E5"/>
              <w:left w:val="single" w:sz="4" w:space="0" w:color="D9E1E5"/>
              <w:bottom w:val="single" w:sz="4" w:space="0" w:color="D9E1E5"/>
              <w:right w:val="single" w:sz="4" w:space="0" w:color="D9E1E5"/>
            </w:tcBorders>
            <w:shd w:val="clear" w:color="auto" w:fill="F05A00"/>
            <w:vAlign w:val="center"/>
          </w:tcPr>
          <w:p w:rsidR="00BA0621" w:rsidRDefault="0052482B">
            <w:pPr>
              <w:spacing w:after="0"/>
              <w:jc w:val="center"/>
              <w:rPr>
                <w:rFonts w:hint="eastAsia"/>
              </w:rPr>
            </w:pPr>
            <w:r>
              <w:rPr>
                <w:b/>
                <w:color w:val="FFFFFF"/>
                <w:sz w:val="17"/>
              </w:rPr>
              <w:t>2021</w:t>
            </w:r>
          </w:p>
        </w:tc>
        <w:tc>
          <w:tcPr>
            <w:tcW w:w="1649" w:type="dxa"/>
            <w:tcBorders>
              <w:top w:val="single" w:sz="4" w:space="0" w:color="D9E1E5"/>
              <w:left w:val="single" w:sz="4" w:space="0" w:color="D9E1E5"/>
              <w:bottom w:val="single" w:sz="4" w:space="0" w:color="D9E1E5"/>
              <w:right w:val="single" w:sz="4" w:space="0" w:color="D9E1E5"/>
            </w:tcBorders>
            <w:shd w:val="clear" w:color="auto" w:fill="F05A00"/>
            <w:vAlign w:val="center"/>
          </w:tcPr>
          <w:p w:rsidR="00BA0621" w:rsidRDefault="0052482B">
            <w:pPr>
              <w:spacing w:after="0"/>
              <w:jc w:val="center"/>
              <w:rPr>
                <w:rFonts w:hint="eastAsia"/>
              </w:rPr>
            </w:pPr>
            <w:r>
              <w:rPr>
                <w:b/>
                <w:color w:val="FFFFFF"/>
                <w:sz w:val="17"/>
              </w:rPr>
              <w:t>2022</w:t>
            </w:r>
          </w:p>
        </w:tc>
        <w:tc>
          <w:tcPr>
            <w:tcW w:w="1649" w:type="dxa"/>
            <w:tcBorders>
              <w:top w:val="single" w:sz="4" w:space="0" w:color="D9E1E5"/>
              <w:left w:val="single" w:sz="4" w:space="0" w:color="D9E1E5"/>
              <w:bottom w:val="single" w:sz="4" w:space="0" w:color="D9E1E5"/>
              <w:right w:val="single" w:sz="4" w:space="0" w:color="D9E1E5"/>
            </w:tcBorders>
            <w:shd w:val="clear" w:color="auto" w:fill="F05A00"/>
            <w:vAlign w:val="center"/>
          </w:tcPr>
          <w:p w:rsidR="00BA0621" w:rsidRDefault="0052482B">
            <w:pPr>
              <w:spacing w:after="0"/>
              <w:jc w:val="center"/>
              <w:rPr>
                <w:rFonts w:hint="eastAsia"/>
              </w:rPr>
            </w:pPr>
            <w:r>
              <w:rPr>
                <w:b/>
                <w:color w:val="FFFFFF"/>
                <w:sz w:val="17"/>
              </w:rPr>
              <w:t>2023</w:t>
            </w:r>
          </w:p>
        </w:tc>
        <w:tc>
          <w:tcPr>
            <w:tcW w:w="1649" w:type="dxa"/>
            <w:tcBorders>
              <w:top w:val="single" w:sz="4" w:space="0" w:color="D9E1E5"/>
              <w:left w:val="single" w:sz="4" w:space="0" w:color="D9E1E5"/>
              <w:bottom w:val="single" w:sz="4" w:space="0" w:color="D9E1E5"/>
              <w:right w:val="single" w:sz="4" w:space="0" w:color="D9E1E5"/>
            </w:tcBorders>
            <w:shd w:val="clear" w:color="auto" w:fill="F05A00"/>
            <w:vAlign w:val="center"/>
          </w:tcPr>
          <w:p w:rsidR="00BA0621" w:rsidRDefault="0052482B">
            <w:pPr>
              <w:spacing w:after="0"/>
              <w:jc w:val="center"/>
              <w:rPr>
                <w:rFonts w:hint="eastAsia"/>
              </w:rPr>
            </w:pPr>
            <w:r>
              <w:rPr>
                <w:b/>
                <w:color w:val="FFFFFF"/>
                <w:sz w:val="17"/>
              </w:rPr>
              <w:t>2024</w:t>
            </w:r>
          </w:p>
        </w:tc>
      </w:tr>
      <w:tr w:rsidR="00BA0621">
        <w:trPr>
          <w:jc w:val="center"/>
        </w:trPr>
        <w:tc>
          <w:tcPr>
            <w:tcW w:w="2448"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rPr>
                <w:rFonts w:hint="eastAsia"/>
              </w:rPr>
            </w:pPr>
            <w:r>
              <w:rPr>
                <w:b/>
                <w:color w:val="0B5661"/>
                <w:sz w:val="17"/>
              </w:rPr>
              <w:t>Inventory Days</w:t>
            </w:r>
          </w:p>
        </w:tc>
        <w:tc>
          <w:tcPr>
            <w:tcW w:w="1181"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5.7</w:t>
            </w:r>
          </w:p>
        </w:tc>
        <w:tc>
          <w:tcPr>
            <w:tcW w:w="1267"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3.4</w:t>
            </w:r>
          </w:p>
        </w:tc>
        <w:tc>
          <w:tcPr>
            <w:tcW w:w="1181"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2.3</w:t>
            </w:r>
          </w:p>
        </w:tc>
        <w:tc>
          <w:tcPr>
            <w:tcW w:w="1181"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2.2</w:t>
            </w:r>
          </w:p>
        </w:tc>
        <w:tc>
          <w:tcPr>
            <w:tcW w:w="1296"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2.2</w:t>
            </w:r>
          </w:p>
        </w:tc>
      </w:tr>
      <w:tr w:rsidR="00BA0621">
        <w:trPr>
          <w:jc w:val="center"/>
        </w:trPr>
        <w:tc>
          <w:tcPr>
            <w:tcW w:w="2448"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rPr>
                <w:rFonts w:hint="eastAsia"/>
              </w:rPr>
            </w:pPr>
            <w:r>
              <w:rPr>
                <w:b/>
                <w:color w:val="0B5661"/>
                <w:sz w:val="17"/>
              </w:rPr>
              <w:t>Receivable Days</w:t>
            </w:r>
          </w:p>
        </w:tc>
        <w:tc>
          <w:tcPr>
            <w:tcW w:w="1181"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sz w:val="17"/>
              </w:rPr>
              <w:t>90.0</w:t>
            </w:r>
          </w:p>
        </w:tc>
        <w:tc>
          <w:tcPr>
            <w:tcW w:w="1267"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sz w:val="17"/>
              </w:rPr>
              <w:t>68.3</w:t>
            </w:r>
          </w:p>
        </w:tc>
        <w:tc>
          <w:tcPr>
            <w:tcW w:w="1181"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sz w:val="17"/>
              </w:rPr>
              <w:t>57.2</w:t>
            </w:r>
          </w:p>
        </w:tc>
        <w:tc>
          <w:tcPr>
            <w:tcW w:w="1181"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sz w:val="17"/>
              </w:rPr>
              <w:t>54.7</w:t>
            </w:r>
          </w:p>
        </w:tc>
        <w:tc>
          <w:tcPr>
            <w:tcW w:w="1296"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sz w:val="17"/>
              </w:rPr>
              <w:t>56.5</w:t>
            </w:r>
          </w:p>
        </w:tc>
      </w:tr>
      <w:tr w:rsidR="00BA0621">
        <w:trPr>
          <w:jc w:val="center"/>
        </w:trPr>
        <w:tc>
          <w:tcPr>
            <w:tcW w:w="2448"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rPr>
                <w:rFonts w:hint="eastAsia"/>
              </w:rPr>
            </w:pPr>
            <w:r>
              <w:rPr>
                <w:b/>
                <w:color w:val="0B5661"/>
                <w:sz w:val="17"/>
              </w:rPr>
              <w:t>Payable Days</w:t>
            </w:r>
          </w:p>
        </w:tc>
        <w:tc>
          <w:tcPr>
            <w:tcW w:w="1181"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533.1</w:t>
            </w:r>
          </w:p>
        </w:tc>
        <w:tc>
          <w:tcPr>
            <w:tcW w:w="1267"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392.4</w:t>
            </w:r>
          </w:p>
        </w:tc>
        <w:tc>
          <w:tcPr>
            <w:tcW w:w="1181"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359.4</w:t>
            </w:r>
          </w:p>
        </w:tc>
        <w:tc>
          <w:tcPr>
            <w:tcW w:w="1181"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346.3</w:t>
            </w:r>
          </w:p>
        </w:tc>
        <w:tc>
          <w:tcPr>
            <w:tcW w:w="1296" w:type="dxa"/>
            <w:tcBorders>
              <w:top w:val="single" w:sz="4" w:space="0" w:color="D9E1E5"/>
              <w:left w:val="single" w:sz="4" w:space="0" w:color="D9E1E5"/>
              <w:bottom w:val="single" w:sz="4" w:space="0" w:color="D9E1E5"/>
              <w:right w:val="single" w:sz="4" w:space="0" w:color="D9E1E5"/>
            </w:tcBorders>
            <w:vAlign w:val="center"/>
          </w:tcPr>
          <w:p w:rsidR="00BA0621" w:rsidRDefault="0052482B">
            <w:pPr>
              <w:spacing w:after="0"/>
              <w:jc w:val="center"/>
              <w:rPr>
                <w:rFonts w:hint="eastAsia"/>
              </w:rPr>
            </w:pPr>
            <w:r>
              <w:rPr>
                <w:sz w:val="17"/>
              </w:rPr>
              <w:t>333.4</w:t>
            </w:r>
          </w:p>
        </w:tc>
      </w:tr>
      <w:tr w:rsidR="00BA0621">
        <w:trPr>
          <w:jc w:val="center"/>
        </w:trPr>
        <w:tc>
          <w:tcPr>
            <w:tcW w:w="2448"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rPr>
                <w:rFonts w:hint="eastAsia"/>
              </w:rPr>
            </w:pPr>
            <w:r>
              <w:rPr>
                <w:b/>
                <w:color w:val="0B5661"/>
                <w:sz w:val="17"/>
              </w:rPr>
              <w:t>Cash Conversion Cycle</w:t>
            </w:r>
          </w:p>
        </w:tc>
        <w:tc>
          <w:tcPr>
            <w:tcW w:w="1181"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b/>
                <w:color w:val="C00000"/>
                <w:sz w:val="17"/>
              </w:rPr>
              <w:t>(437.4)</w:t>
            </w:r>
          </w:p>
        </w:tc>
        <w:tc>
          <w:tcPr>
            <w:tcW w:w="1267"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b/>
                <w:color w:val="C00000"/>
                <w:sz w:val="17"/>
              </w:rPr>
              <w:t>(320.7)</w:t>
            </w:r>
          </w:p>
        </w:tc>
        <w:tc>
          <w:tcPr>
            <w:tcW w:w="1181"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b/>
                <w:color w:val="C00000"/>
                <w:sz w:val="17"/>
              </w:rPr>
              <w:t>(299.9)</w:t>
            </w:r>
          </w:p>
        </w:tc>
        <w:tc>
          <w:tcPr>
            <w:tcW w:w="1181"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b/>
                <w:color w:val="C00000"/>
                <w:sz w:val="17"/>
              </w:rPr>
              <w:t>(289.4)</w:t>
            </w:r>
          </w:p>
        </w:tc>
        <w:tc>
          <w:tcPr>
            <w:tcW w:w="1296" w:type="dxa"/>
            <w:tcBorders>
              <w:top w:val="single" w:sz="4" w:space="0" w:color="D9E1E5"/>
              <w:left w:val="single" w:sz="4" w:space="0" w:color="D9E1E5"/>
              <w:bottom w:val="single" w:sz="4" w:space="0" w:color="D9E1E5"/>
              <w:right w:val="single" w:sz="4" w:space="0" w:color="D9E1E5"/>
            </w:tcBorders>
            <w:shd w:val="clear" w:color="auto" w:fill="EEF4F5"/>
            <w:vAlign w:val="center"/>
          </w:tcPr>
          <w:p w:rsidR="00BA0621" w:rsidRDefault="0052482B">
            <w:pPr>
              <w:spacing w:after="0"/>
              <w:jc w:val="center"/>
              <w:rPr>
                <w:rFonts w:hint="eastAsia"/>
              </w:rPr>
            </w:pPr>
            <w:r>
              <w:rPr>
                <w:b/>
                <w:color w:val="C00000"/>
                <w:sz w:val="17"/>
              </w:rPr>
              <w:t>(274.7)</w:t>
            </w:r>
          </w:p>
        </w:tc>
      </w:tr>
    </w:tbl>
    <w:p w:rsidR="00BA0621" w:rsidRDefault="0052482B">
      <w:pPr>
        <w:pStyle w:val="CCCHeading"/>
        <w:rPr>
          <w:rFonts w:hint="eastAsia"/>
        </w:rPr>
      </w:pPr>
      <w:r>
        <w:t>Year-on-year explanation</w:t>
      </w:r>
    </w:p>
    <w:p w:rsidR="00BA0621" w:rsidRDefault="0052482B">
      <w:pPr>
        <w:ind w:left="259" w:hanging="259"/>
        <w:rPr>
          <w:rFonts w:hint="eastAsia"/>
        </w:rPr>
      </w:pPr>
      <w:r>
        <w:rPr>
          <w:b/>
          <w:color w:val="0B5661"/>
        </w:rPr>
        <w:t xml:space="preserve">2020: </w:t>
      </w:r>
      <w:r>
        <w:t xml:space="preserve">The </w:t>
      </w:r>
      <w:r>
        <w:t>CCC was negative 437.4 days. This was unusually low because the pandemic caused a sharp fall in sales and cost of sales, while trade and other payables remained high. The resulting payable-days figure of 533.1 days makes 2020 an abnormal comparison year.</w:t>
      </w:r>
    </w:p>
    <w:p w:rsidR="00BA0621" w:rsidRDefault="0052482B">
      <w:pPr>
        <w:ind w:left="259" w:hanging="259"/>
        <w:rPr>
          <w:rFonts w:hint="eastAsia"/>
        </w:rPr>
      </w:pPr>
      <w:r>
        <w:rPr>
          <w:b/>
          <w:color w:val="0B5661"/>
        </w:rPr>
        <w:t>2</w:t>
      </w:r>
      <w:r>
        <w:rPr>
          <w:b/>
          <w:color w:val="0B5661"/>
        </w:rPr>
        <w:t xml:space="preserve">021: </w:t>
      </w:r>
      <w:r>
        <w:t>The CCC increased by 116.7 days to negative 320.7 days. Business activity recovered, receivable days fell from 90.0 to 68.3 days and payable days reduced to 392.4 days. The cycle therefore became less negative, although IHG still collected cash well b</w:t>
      </w:r>
      <w:r>
        <w:t>efore paying suppliers.</w:t>
      </w:r>
    </w:p>
    <w:p w:rsidR="00BA0621" w:rsidRDefault="0052482B">
      <w:pPr>
        <w:ind w:left="259" w:hanging="259"/>
        <w:rPr>
          <w:rFonts w:hint="eastAsia"/>
        </w:rPr>
      </w:pPr>
      <w:r>
        <w:rPr>
          <w:b/>
          <w:color w:val="0B5661"/>
        </w:rPr>
        <w:t xml:space="preserve">2022: </w:t>
      </w:r>
      <w:r>
        <w:t>The CCC increased by a further 20.8 days to negative 299.9 days. Receivable days improved to 57.2 days, but payable days also fell to 359.4 days. The lower supplier-credit period was the main reason the CCC became less negativ</w:t>
      </w:r>
      <w:r>
        <w:t>e.</w:t>
      </w:r>
    </w:p>
    <w:p w:rsidR="00BA0621" w:rsidRDefault="0052482B">
      <w:pPr>
        <w:ind w:left="259" w:hanging="259"/>
        <w:rPr>
          <w:rFonts w:hint="eastAsia"/>
        </w:rPr>
      </w:pPr>
      <w:r>
        <w:rPr>
          <w:b/>
          <w:color w:val="0B5661"/>
        </w:rPr>
        <w:t xml:space="preserve">2023: </w:t>
      </w:r>
      <w:r>
        <w:t>The CCC moved to negative 289.4 days, a 10.5-day increase. Inventory days remained very low, receivable days improved slightly and payable days reduced again. This indicates stable collection performance but gradually less benefit from supplier fi</w:t>
      </w:r>
      <w:r>
        <w:t>nancing.</w:t>
      </w:r>
    </w:p>
    <w:p w:rsidR="00BA0621" w:rsidRDefault="0052482B">
      <w:pPr>
        <w:ind w:left="259" w:hanging="259"/>
        <w:rPr>
          <w:rFonts w:hint="eastAsia"/>
        </w:rPr>
      </w:pPr>
      <w:r>
        <w:rPr>
          <w:b/>
          <w:color w:val="0B5661"/>
        </w:rPr>
        <w:t xml:space="preserve">2024: </w:t>
      </w:r>
      <w:r>
        <w:t>The CCC increased by 14.7 days to negative 274.7 days. Receivable days rose slightly to 56.5 days, while payable days fell to 333.4 days. The reduced payment period was the main cause of the year-on-year change.</w:t>
      </w:r>
    </w:p>
    <w:p w:rsidR="00BA0621" w:rsidRDefault="0052482B">
      <w:pPr>
        <w:pStyle w:val="CCCHeading"/>
        <w:rPr>
          <w:rFonts w:hint="eastAsia"/>
        </w:rPr>
      </w:pPr>
      <w:r>
        <w:t>Overall interpretation</w:t>
      </w:r>
    </w:p>
    <w:p w:rsidR="00BA0621" w:rsidRDefault="0052482B">
      <w:pPr>
        <w:rPr>
          <w:rFonts w:hint="eastAsia"/>
        </w:rPr>
      </w:pPr>
      <w:r>
        <w:t>IHG re</w:t>
      </w:r>
      <w:r>
        <w:t>ported a strongly negative CCC in every year. This suggests that the company generally receives cash from customers before it settles amounts owed to suppliers, which supports working-capital liquidity. However, the CCC became less negative each year, movi</w:t>
      </w:r>
      <w:r>
        <w:t>ng from negative 437.4 days in 2020 to negative 274.7 days in 2024. This mainly reflects the steady decline in payable days.</w:t>
      </w:r>
    </w:p>
    <w:tbl>
      <w:tblPr>
        <w:tblW w:w="0" w:type="auto"/>
        <w:jc w:val="center"/>
        <w:tblLook w:val="04A0" w:firstRow="1" w:lastRow="0" w:firstColumn="1" w:lastColumn="0" w:noHBand="0" w:noVBand="1"/>
      </w:tblPr>
      <w:tblGrid>
        <w:gridCol w:w="9881"/>
      </w:tblGrid>
      <w:tr w:rsidR="00BA0621">
        <w:trPr>
          <w:jc w:val="center"/>
        </w:trPr>
        <w:tc>
          <w:tcPr>
            <w:tcW w:w="9893" w:type="dxa"/>
            <w:tcBorders>
              <w:top w:val="single" w:sz="5" w:space="0" w:color="E6B800"/>
              <w:left w:val="single" w:sz="5" w:space="0" w:color="E6B800"/>
              <w:bottom w:val="single" w:sz="5" w:space="0" w:color="E6B800"/>
              <w:right w:val="single" w:sz="5" w:space="0" w:color="E6B800"/>
            </w:tcBorders>
            <w:shd w:val="clear" w:color="auto" w:fill="FFF2CC"/>
          </w:tcPr>
          <w:p w:rsidR="00BA0621" w:rsidRDefault="0052482B">
            <w:pPr>
              <w:spacing w:after="0"/>
              <w:rPr>
                <w:rFonts w:hint="eastAsia"/>
              </w:rPr>
            </w:pPr>
            <w:r>
              <w:rPr>
                <w:b/>
                <w:color w:val="7F6000"/>
                <w:sz w:val="18"/>
              </w:rPr>
              <w:t xml:space="preserve">Key point: The negative cycle is a working-capital strength, but the gradual reduction in payable days means IHG is receiving less </w:t>
            </w:r>
            <w:r>
              <w:rPr>
                <w:b/>
                <w:color w:val="7F6000"/>
                <w:sz w:val="18"/>
              </w:rPr>
              <w:t>supplier financing than in earlier years.</w:t>
            </w:r>
          </w:p>
        </w:tc>
      </w:tr>
    </w:tbl>
    <w:p w:rsidR="00BA0621" w:rsidRDefault="0052482B">
      <w:pPr>
        <w:pStyle w:val="CCCHeading"/>
        <w:rPr>
          <w:rFonts w:hint="eastAsia"/>
        </w:rPr>
      </w:pPr>
      <w:r>
        <w:t>Method limitation</w:t>
      </w:r>
    </w:p>
    <w:p w:rsidR="00BA0621" w:rsidRDefault="0052482B">
      <w:pPr>
        <w:rPr>
          <w:rFonts w:hint="eastAsia"/>
        </w:rPr>
      </w:pPr>
      <w:r>
        <w:t xml:space="preserve">IHG's consolidated financial statements combine trade balances with other receivables and payables. The calculation therefore uses 'trade and other receivables' and 'trade and other payables' as </w:t>
      </w:r>
      <w:r>
        <w:t>the closest available measures. The results should be viewed as an indicative cash conversion cycle rather than a pure trade-only cycle.</w:t>
      </w:r>
    </w:p>
    <w:p w:rsidR="00BA0621" w:rsidRDefault="0052482B">
      <w:pPr>
        <w:spacing w:before="60"/>
        <w:rPr>
          <w:rFonts w:hint="eastAsia"/>
        </w:rPr>
      </w:pPr>
      <w:r>
        <w:rPr>
          <w:i/>
          <w:color w:val="5B6570"/>
          <w:sz w:val="16"/>
        </w:rPr>
        <w:t>Source: IHG Annual Reports and Form 20-F for 2020-2024 and the accompanying financial statements workbook. The 2019 ope</w:t>
      </w:r>
      <w:r>
        <w:rPr>
          <w:i/>
          <w:color w:val="5B6570"/>
          <w:sz w:val="16"/>
        </w:rPr>
        <w:t>ning balances used to calculate the 2020 averages are from the 2020 Annual Report, page 131.</w:t>
      </w:r>
    </w:p>
    <w:sectPr w:rsidR="00BA0621" w:rsidSect="00034616">
      <w:footerReference w:type="default" r:id="rId8"/>
      <w:pgSz w:w="11909" w:h="16834"/>
      <w:pgMar w:top="792" w:right="1008" w:bottom="792"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482B" w:rsidRDefault="0052482B">
      <w:pPr>
        <w:spacing w:after="0" w:line="240" w:lineRule="auto"/>
        <w:rPr>
          <w:rFonts w:hint="eastAsia"/>
        </w:rPr>
      </w:pPr>
      <w:r>
        <w:separator/>
      </w:r>
    </w:p>
  </w:endnote>
  <w:endnote w:type="continuationSeparator" w:id="0">
    <w:p w:rsidR="0052482B" w:rsidRDefault="0052482B">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ptos">
    <w:altName w:val="Times New Roman"/>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Display">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0621" w:rsidRDefault="0052482B">
    <w:pPr>
      <w:pStyle w:val="Footer"/>
      <w:jc w:val="center"/>
      <w:rPr>
        <w:rFonts w:hint="eastAsia"/>
      </w:rPr>
    </w:pPr>
    <w:r>
      <w:rPr>
        <w:color w:val="808080"/>
        <w:sz w:val="16"/>
      </w:rPr>
      <w:t>IHG Cash Conversion Cycle Analysis | 2020-2024</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482B" w:rsidRDefault="0052482B">
      <w:pPr>
        <w:spacing w:after="0" w:line="240" w:lineRule="auto"/>
        <w:rPr>
          <w:rFonts w:hint="eastAsia"/>
        </w:rPr>
      </w:pPr>
      <w:r>
        <w:separator/>
      </w:r>
    </w:p>
  </w:footnote>
  <w:footnote w:type="continuationSeparator" w:id="0">
    <w:p w:rsidR="0052482B" w:rsidRDefault="0052482B">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15074B"/>
    <w:rsid w:val="0029639D"/>
    <w:rsid w:val="00326F90"/>
    <w:rsid w:val="0052482B"/>
    <w:rsid w:val="00AA1D8D"/>
    <w:rsid w:val="00B4714B"/>
    <w:rsid w:val="00B47730"/>
    <w:rsid w:val="00BA0621"/>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610FE1D9-997E-4B66-895A-0041C3D0D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40" w:line="247" w:lineRule="auto"/>
    </w:pPr>
    <w:rPr>
      <w:rFonts w:ascii="Aptos" w:hAnsi="Aptos"/>
      <w:sz w:val="19"/>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CCHeading">
    <w:name w:val="CCC Heading"/>
    <w:pPr>
      <w:spacing w:before="100" w:after="20"/>
    </w:pPr>
    <w:rPr>
      <w:rFonts w:ascii="Aptos Display" w:hAnsi="Aptos Display"/>
      <w:b/>
      <w:color w:val="0B566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7590BB-212E-4EE8-8B70-A9B24A885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510</Words>
  <Characters>2908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HP</cp:lastModifiedBy>
  <cp:revision>2</cp:revision>
  <dcterms:created xsi:type="dcterms:W3CDTF">2026-07-29T16:12:00Z</dcterms:created>
  <dcterms:modified xsi:type="dcterms:W3CDTF">2026-07-29T16:12:00Z</dcterms:modified>
  <cp:category/>
</cp:coreProperties>
</file>