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83FD0" w14:textId="77777777" w:rsidR="00695CA7" w:rsidRDefault="005D789E">
      <w:r>
        <w:t>Referencing exercise</w:t>
      </w:r>
      <w:r>
        <w:rPr>
          <w:u w:val="none"/>
        </w:rPr>
        <w:t xml:space="preserve"> </w:t>
      </w:r>
    </w:p>
    <w:tbl>
      <w:tblPr>
        <w:tblStyle w:val="TableGrid"/>
        <w:tblW w:w="13933" w:type="dxa"/>
        <w:tblInd w:w="12" w:type="dxa"/>
        <w:tblCellMar>
          <w:top w:w="47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6982"/>
        <w:gridCol w:w="6951"/>
      </w:tblGrid>
      <w:tr w:rsidR="00695CA7" w14:paraId="3B8E64A7" w14:textId="77777777">
        <w:trPr>
          <w:trHeight w:val="2618"/>
        </w:trPr>
        <w:tc>
          <w:tcPr>
            <w:tcW w:w="6982" w:type="dxa"/>
            <w:tcBorders>
              <w:top w:val="single" w:sz="8" w:space="0" w:color="000000"/>
              <w:left w:val="single" w:sz="8" w:space="0" w:color="000000"/>
              <w:bottom w:val="single" w:sz="17" w:space="0" w:color="000000"/>
              <w:right w:val="single" w:sz="8" w:space="0" w:color="000000"/>
            </w:tcBorders>
            <w:vAlign w:val="center"/>
          </w:tcPr>
          <w:p w14:paraId="6D150CD0" w14:textId="77777777" w:rsidR="00695CA7" w:rsidRDefault="005D789E">
            <w:pPr>
              <w:ind w:left="444" w:hanging="182"/>
            </w:pPr>
            <w:r>
              <w:rPr>
                <w:rFonts w:ascii="Cambria" w:eastAsia="Cambria" w:hAnsi="Cambria" w:cs="Cambria"/>
                <w:sz w:val="22"/>
                <w:u w:val="none"/>
              </w:rPr>
              <w:t>1)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John Travolta and Olivia Newton-John have written a book titled ‘Grease is the word’. The book was published in 1978 by Sandy Publishers, which </w:t>
            </w:r>
            <w:proofErr w:type="gramStart"/>
            <w:r>
              <w:rPr>
                <w:rFonts w:ascii="Cambria" w:eastAsia="Cambria" w:hAnsi="Cambria" w:cs="Cambria"/>
                <w:sz w:val="22"/>
                <w:u w:val="none"/>
              </w:rPr>
              <w:t>is located in</w:t>
            </w:r>
            <w:proofErr w:type="gramEnd"/>
            <w:r>
              <w:rPr>
                <w:rFonts w:ascii="Cambria" w:eastAsia="Cambria" w:hAnsi="Cambria" w:cs="Cambria"/>
                <w:sz w:val="22"/>
                <w:u w:val="none"/>
              </w:rPr>
              <w:t xml:space="preserve"> London. </w:t>
            </w:r>
          </w:p>
        </w:tc>
        <w:tc>
          <w:tcPr>
            <w:tcW w:w="6952" w:type="dxa"/>
            <w:tcBorders>
              <w:top w:val="single" w:sz="8" w:space="0" w:color="000000"/>
              <w:left w:val="single" w:sz="8" w:space="0" w:color="000000"/>
              <w:bottom w:val="single" w:sz="2" w:space="0" w:color="C1C2C2"/>
              <w:right w:val="single" w:sz="8" w:space="0" w:color="000000"/>
            </w:tcBorders>
          </w:tcPr>
          <w:p w14:paraId="07331337" w14:textId="541CB9A4" w:rsidR="00695CA7" w:rsidRPr="00CA601D" w:rsidRDefault="005D789E">
            <w:pPr>
              <w:ind w:left="0"/>
            </w:pPr>
            <w:r>
              <w:rPr>
                <w:rFonts w:ascii="Cambria" w:eastAsia="Cambria" w:hAnsi="Cambria" w:cs="Cambria"/>
                <w:b w:val="0"/>
                <w:sz w:val="22"/>
                <w:u w:val="none"/>
              </w:rPr>
              <w:t xml:space="preserve">In text citation(s): </w:t>
            </w:r>
            <w:r w:rsidR="00822699">
              <w:rPr>
                <w:rFonts w:ascii="Cambria" w:eastAsia="Cambria" w:hAnsi="Cambria" w:cs="Cambria"/>
                <w:b w:val="0"/>
                <w:sz w:val="22"/>
                <w:u w:val="none"/>
              </w:rPr>
              <w:t>(</w:t>
            </w:r>
            <w:r w:rsidR="00557E49">
              <w:rPr>
                <w:rFonts w:ascii="Cambria" w:eastAsia="Cambria" w:hAnsi="Cambria" w:cs="Cambria"/>
                <w:b w:val="0"/>
                <w:sz w:val="22"/>
                <w:u w:val="none"/>
              </w:rPr>
              <w:t>Travolta and Newton-J</w:t>
            </w:r>
            <w:r w:rsidR="00646885">
              <w:rPr>
                <w:rFonts w:ascii="Cambria" w:eastAsia="Cambria" w:hAnsi="Cambria" w:cs="Cambria"/>
                <w:b w:val="0"/>
                <w:sz w:val="22"/>
                <w:u w:val="none"/>
              </w:rPr>
              <w:t>ohn</w:t>
            </w:r>
            <w:r w:rsidR="00646885" w:rsidRPr="003C3156">
              <w:rPr>
                <w:rFonts w:ascii="Cambria" w:eastAsia="Cambria" w:hAnsi="Cambria" w:cs="Cambria"/>
                <w:b w:val="0"/>
                <w:sz w:val="22"/>
                <w:u w:val="none"/>
              </w:rPr>
              <w:t>,1987)</w:t>
            </w:r>
            <w:r>
              <w:rPr>
                <w:rFonts w:ascii="Cambria" w:eastAsia="Cambria" w:hAnsi="Cambria" w:cs="Cambria"/>
                <w:b w:val="0"/>
                <w:sz w:val="22"/>
                <w:u w:val="none"/>
              </w:rPr>
              <w:t xml:space="preserve"> </w:t>
            </w:r>
          </w:p>
          <w:p w14:paraId="53ECCD46" w14:textId="77777777" w:rsidR="00822699" w:rsidRDefault="00822699">
            <w:pPr>
              <w:ind w:left="0"/>
            </w:pPr>
          </w:p>
          <w:p w14:paraId="1ED3B658" w14:textId="77777777" w:rsidR="00234A84" w:rsidRDefault="00234A84">
            <w:pPr>
              <w:ind w:left="0"/>
            </w:pPr>
          </w:p>
          <w:p w14:paraId="361C528C" w14:textId="67B0CC47" w:rsidR="00695CA7" w:rsidRPr="00CA601D" w:rsidRDefault="005D789E">
            <w:pPr>
              <w:ind w:left="0"/>
            </w:pPr>
            <w:r>
              <w:rPr>
                <w:rFonts w:ascii="Cambria" w:eastAsia="Cambria" w:hAnsi="Cambria" w:cs="Cambria"/>
                <w:b w:val="0"/>
                <w:sz w:val="22"/>
                <w:u w:val="none"/>
              </w:rPr>
              <w:t xml:space="preserve">Full reference for reference list: </w:t>
            </w:r>
            <w:r w:rsidR="00244D13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Travolta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,</w:t>
            </w:r>
            <w:r w:rsidR="00D50DFB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J&amp;</w:t>
            </w:r>
            <w:r w:rsidR="00D50DFB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Newton-John,</w:t>
            </w:r>
            <w:r w:rsidR="00D50DFB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O</w:t>
            </w:r>
            <w:r w:rsidR="0066709C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.</w:t>
            </w:r>
            <w:r w:rsidR="00D50DFB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(1978).</w:t>
            </w:r>
            <w:r w:rsidR="00D50DFB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5E57DF" w:rsidRPr="003C3156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Grease is the word</w:t>
            </w:r>
            <w:r w:rsidR="005E57DF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.</w:t>
            </w:r>
            <w:r w:rsidR="00D50DFB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 </w:t>
            </w:r>
            <w:r w:rsidR="00DD5A1F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Sandy Pub</w:t>
            </w:r>
            <w:r w:rsidR="00953393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lishers.</w:t>
            </w:r>
            <w:r w:rsidR="00D50DFB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 </w:t>
            </w:r>
            <w:r w:rsidR="00953393" w:rsidRPr="000C675C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London.</w:t>
            </w:r>
          </w:p>
          <w:p w14:paraId="77978405" w14:textId="77777777" w:rsidR="00695CA7" w:rsidRPr="00D50DFB" w:rsidRDefault="005D789E">
            <w:pPr>
              <w:ind w:left="0"/>
              <w:rPr>
                <w:color w:val="EE0000"/>
              </w:rPr>
            </w:pPr>
            <w:r w:rsidRPr="00D50DFB">
              <w:rPr>
                <w:rFonts w:ascii="Cambria" w:eastAsia="Cambria" w:hAnsi="Cambria" w:cs="Cambria"/>
                <w:color w:val="EE0000"/>
                <w:sz w:val="22"/>
                <w:u w:val="none"/>
              </w:rPr>
              <w:t xml:space="preserve"> </w:t>
            </w:r>
          </w:p>
          <w:p w14:paraId="0AB0B8BE" w14:textId="77777777" w:rsidR="00695CA7" w:rsidRDefault="005D789E">
            <w:pPr>
              <w:ind w:left="0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  <w:p w14:paraId="38AC0D7E" w14:textId="77777777" w:rsidR="00695CA7" w:rsidRDefault="005D789E">
            <w:pPr>
              <w:ind w:left="0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</w:tr>
      <w:tr w:rsidR="00695CA7" w14:paraId="3AB3DFF7" w14:textId="77777777">
        <w:trPr>
          <w:trHeight w:val="2979"/>
        </w:trPr>
        <w:tc>
          <w:tcPr>
            <w:tcW w:w="6982" w:type="dxa"/>
            <w:tcBorders>
              <w:top w:val="single" w:sz="17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  <w:vAlign w:val="center"/>
          </w:tcPr>
          <w:p w14:paraId="60B83840" w14:textId="77777777" w:rsidR="00695CA7" w:rsidRDefault="005D789E">
            <w:pPr>
              <w:spacing w:line="247" w:lineRule="auto"/>
              <w:ind w:left="428" w:hanging="154"/>
            </w:pPr>
            <w:r>
              <w:rPr>
                <w:rFonts w:ascii="Cambria" w:eastAsia="Cambria" w:hAnsi="Cambria" w:cs="Cambria"/>
                <w:sz w:val="22"/>
                <w:u w:val="none"/>
              </w:rPr>
              <w:t>2)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Peaches and Pixie Geldof published an article in volume 3, issue 2 of the ‘Journal of Child Development’ in 2001. The article was titled ‘Sibling rivalry: How to get along’. The article appeared on pages 145 - 155. </w:t>
            </w:r>
          </w:p>
          <w:p w14:paraId="1652EA6F" w14:textId="77777777" w:rsidR="00695CA7" w:rsidRDefault="005D789E">
            <w:pPr>
              <w:ind w:left="53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  <w:tc>
          <w:tcPr>
            <w:tcW w:w="6952" w:type="dxa"/>
            <w:tcBorders>
              <w:top w:val="single" w:sz="2" w:space="0" w:color="C1C2C2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</w:tcPr>
          <w:p w14:paraId="26D97C48" w14:textId="146FA1C5" w:rsidR="00695CA7" w:rsidRPr="00CA601D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In text citation(s): </w:t>
            </w:r>
            <w:r w:rsidR="00171F31">
              <w:rPr>
                <w:rFonts w:ascii="Cambria" w:hAnsi="Cambria" w:cstheme="majorHAnsi"/>
                <w:b w:val="0"/>
                <w:bCs/>
                <w:sz w:val="22"/>
                <w:u w:val="none"/>
              </w:rPr>
              <w:t>(</w:t>
            </w:r>
            <w:r w:rsidR="0029758F" w:rsidRPr="005605D0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Peaches and Geldof</w:t>
            </w:r>
            <w:r w:rsidR="003C3156" w:rsidRPr="005605D0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, 2001)</w:t>
            </w:r>
          </w:p>
          <w:p w14:paraId="00818B49" w14:textId="77777777" w:rsidR="00695CA7" w:rsidRPr="003C3156" w:rsidRDefault="005D789E">
            <w:pPr>
              <w:ind w:left="0"/>
              <w:rPr>
                <w:rFonts w:asciiTheme="majorHAnsi" w:hAnsiTheme="majorHAnsi" w:cstheme="majorHAnsi"/>
              </w:rPr>
            </w:pPr>
            <w:r w:rsidRPr="003C3156">
              <w:rPr>
                <w:rFonts w:asciiTheme="majorHAnsi" w:hAnsiTheme="majorHAnsi" w:cstheme="majorHAnsi"/>
                <w:b w:val="0"/>
                <w:sz w:val="22"/>
                <w:u w:val="none"/>
              </w:rPr>
              <w:t xml:space="preserve"> </w:t>
            </w:r>
          </w:p>
          <w:p w14:paraId="04C91AAF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5D506BB8" w14:textId="09AB31F9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Full reference for reference list: </w:t>
            </w:r>
            <w:r w:rsidR="005605D0" w:rsidRPr="005605D0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Peaches</w:t>
            </w:r>
            <w:r w:rsidR="00790828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&amp;</w:t>
            </w:r>
            <w:r w:rsidR="005605D0" w:rsidRPr="005605D0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 xml:space="preserve"> Geldof</w:t>
            </w:r>
            <w:r w:rsidR="005605D0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,</w:t>
            </w:r>
            <w:r w:rsidR="004C4EB9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 xml:space="preserve"> </w:t>
            </w:r>
            <w:r w:rsidR="0014722F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P. (</w:t>
            </w:r>
            <w:r w:rsidR="004C4EB9">
              <w:rPr>
                <w:rFonts w:ascii="Cambria" w:eastAsia="Cambria" w:hAnsi="Cambria" w:cstheme="majorHAnsi"/>
                <w:b w:val="0"/>
                <w:bCs/>
                <w:sz w:val="22"/>
                <w:u w:val="none"/>
              </w:rPr>
              <w:t>2001).</w:t>
            </w:r>
            <w:r w:rsidR="00B2233F"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  <w:r w:rsidR="00B2233F" w:rsidRPr="00E54B8E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Sibling rivalry: How to get along.</w:t>
            </w:r>
            <w:r w:rsidR="00A54F18" w:rsidRPr="00E54B8E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Journal of Child Development.</w:t>
            </w:r>
            <w:r w:rsidR="005F1C9B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69.</w:t>
            </w:r>
            <w:r w:rsidR="00CE2CCF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2.145-155.</w:t>
            </w:r>
            <w:r w:rsidR="00E54B8E" w:rsidRPr="00E54B8E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</w:p>
          <w:p w14:paraId="71416A37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594A595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62A12AA8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5BEE4DAA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60265C68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</w:tc>
      </w:tr>
      <w:tr w:rsidR="00695CA7" w14:paraId="5DB91BF2" w14:textId="77777777">
        <w:trPr>
          <w:trHeight w:val="2707"/>
        </w:trPr>
        <w:tc>
          <w:tcPr>
            <w:tcW w:w="69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21A3ECEF" w14:textId="77777777" w:rsidR="00695CA7" w:rsidRDefault="005D789E">
            <w:pPr>
              <w:spacing w:line="245" w:lineRule="auto"/>
              <w:ind w:left="518" w:hanging="379"/>
            </w:pPr>
            <w:r>
              <w:rPr>
                <w:rFonts w:ascii="Cambria" w:eastAsia="Cambria" w:hAnsi="Cambria" w:cs="Cambria"/>
                <w:sz w:val="22"/>
                <w:u w:val="none"/>
              </w:rPr>
              <w:lastRenderedPageBreak/>
              <w:t>3)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David Beckham and Lionel Andres Messi published a book in 2009 titled ‘Achieving perfection in an imperfect world’. The book has been republished three </w:t>
            </w:r>
            <w:proofErr w:type="gramStart"/>
            <w:r>
              <w:rPr>
                <w:rFonts w:ascii="Cambria" w:eastAsia="Cambria" w:hAnsi="Cambria" w:cs="Cambria"/>
                <w:sz w:val="22"/>
                <w:u w:val="none"/>
              </w:rPr>
              <w:t>times</w:t>
            </w:r>
            <w:proofErr w:type="gramEnd"/>
            <w:r>
              <w:rPr>
                <w:rFonts w:ascii="Cambria" w:eastAsia="Cambria" w:hAnsi="Cambria" w:cs="Cambria"/>
                <w:sz w:val="22"/>
                <w:u w:val="none"/>
              </w:rPr>
              <w:t xml:space="preserve"> and the third edition was published in April 2013 by Pioneer Hill. The book was published simultaneously in Rosario and Manchester. </w:t>
            </w:r>
          </w:p>
          <w:p w14:paraId="28C55D60" w14:textId="77777777" w:rsidR="00695CA7" w:rsidRDefault="005D789E">
            <w:pPr>
              <w:ind w:left="773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  <w:tc>
          <w:tcPr>
            <w:tcW w:w="69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6585FE9" w14:textId="74D7A51F" w:rsidR="00695CA7" w:rsidRPr="001F211C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In text citation(s): </w:t>
            </w:r>
            <w:r w:rsidR="00171F31">
              <w:rPr>
                <w:b w:val="0"/>
                <w:bCs/>
                <w:sz w:val="22"/>
                <w:u w:val="none"/>
              </w:rPr>
              <w:t>(</w:t>
            </w:r>
            <w:r w:rsidR="005368AF">
              <w:rPr>
                <w:b w:val="0"/>
                <w:bCs/>
                <w:sz w:val="22"/>
                <w:u w:val="none"/>
              </w:rPr>
              <w:t>Beck</w:t>
            </w:r>
            <w:r w:rsidR="00790828">
              <w:rPr>
                <w:b w:val="0"/>
                <w:bCs/>
                <w:sz w:val="22"/>
                <w:u w:val="none"/>
              </w:rPr>
              <w:t>ham and Messi</w:t>
            </w:r>
            <w:r w:rsidR="00790828" w:rsidRPr="00CE2CCF">
              <w:rPr>
                <w:b w:val="0"/>
                <w:bCs/>
                <w:color w:val="000000" w:themeColor="text1"/>
                <w:sz w:val="22"/>
                <w:u w:val="none"/>
              </w:rPr>
              <w:t>, 20</w:t>
            </w:r>
            <w:r w:rsidR="00167857" w:rsidRPr="00CE2CCF">
              <w:rPr>
                <w:b w:val="0"/>
                <w:bCs/>
                <w:color w:val="000000" w:themeColor="text1"/>
                <w:sz w:val="22"/>
                <w:u w:val="none"/>
              </w:rPr>
              <w:t>13</w:t>
            </w:r>
            <w:r w:rsidR="00790828">
              <w:rPr>
                <w:b w:val="0"/>
                <w:bCs/>
                <w:sz w:val="22"/>
                <w:u w:val="none"/>
              </w:rPr>
              <w:t>)</w:t>
            </w:r>
          </w:p>
          <w:p w14:paraId="576433C7" w14:textId="06FD11EF" w:rsidR="00695CA7" w:rsidRDefault="00695CA7">
            <w:pPr>
              <w:ind w:left="0"/>
            </w:pPr>
          </w:p>
          <w:p w14:paraId="3A2333BB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1AED5648" w14:textId="17981F78" w:rsidR="00695CA7" w:rsidRPr="00C11188" w:rsidRDefault="005D789E" w:rsidP="00302A36">
            <w:pPr>
              <w:ind w:left="0"/>
              <w:rPr>
                <w:b w:val="0"/>
                <w:bCs/>
                <w:color w:val="EE0000"/>
              </w:rPr>
            </w:pPr>
            <w:r>
              <w:rPr>
                <w:b w:val="0"/>
                <w:sz w:val="22"/>
                <w:u w:val="none"/>
              </w:rPr>
              <w:t xml:space="preserve">Full reference for reference list: </w:t>
            </w:r>
            <w:r w:rsidR="00F05A07">
              <w:rPr>
                <w:b w:val="0"/>
                <w:bCs/>
                <w:sz w:val="22"/>
                <w:u w:val="none"/>
              </w:rPr>
              <w:t>Beckham, D&amp;</w:t>
            </w:r>
            <w:r w:rsidR="00D339CB">
              <w:rPr>
                <w:b w:val="0"/>
                <w:bCs/>
                <w:sz w:val="22"/>
                <w:u w:val="none"/>
              </w:rPr>
              <w:t xml:space="preserve"> </w:t>
            </w:r>
            <w:r w:rsidR="00F05A07">
              <w:rPr>
                <w:b w:val="0"/>
                <w:bCs/>
                <w:sz w:val="22"/>
                <w:u w:val="none"/>
              </w:rPr>
              <w:t>Messi</w:t>
            </w:r>
            <w:r w:rsidR="007B19A6">
              <w:rPr>
                <w:b w:val="0"/>
                <w:bCs/>
                <w:sz w:val="22"/>
                <w:u w:val="none"/>
              </w:rPr>
              <w:t xml:space="preserve">, L. </w:t>
            </w:r>
            <w:r w:rsidR="007B19A6" w:rsidRPr="00C06E70">
              <w:rPr>
                <w:b w:val="0"/>
                <w:bCs/>
                <w:color w:val="000000" w:themeColor="text1"/>
                <w:sz w:val="22"/>
                <w:u w:val="none"/>
              </w:rPr>
              <w:t>(</w:t>
            </w:r>
            <w:r w:rsidR="00D339CB" w:rsidRPr="00C06E70">
              <w:rPr>
                <w:b w:val="0"/>
                <w:bCs/>
                <w:color w:val="000000" w:themeColor="text1"/>
                <w:sz w:val="22"/>
                <w:u w:val="none"/>
              </w:rPr>
              <w:t>20</w:t>
            </w:r>
            <w:r w:rsidR="00167857" w:rsidRPr="00C06E70">
              <w:rPr>
                <w:b w:val="0"/>
                <w:bCs/>
                <w:color w:val="000000" w:themeColor="text1"/>
                <w:sz w:val="22"/>
                <w:u w:val="none"/>
              </w:rPr>
              <w:t>13</w:t>
            </w:r>
            <w:r w:rsidR="00D339CB" w:rsidRPr="00C06E70">
              <w:rPr>
                <w:b w:val="0"/>
                <w:bCs/>
                <w:color w:val="000000" w:themeColor="text1"/>
                <w:sz w:val="22"/>
                <w:u w:val="none"/>
              </w:rPr>
              <w:t>)</w:t>
            </w:r>
            <w:r w:rsidR="00167857" w:rsidRPr="00C06E70">
              <w:rPr>
                <w:b w:val="0"/>
                <w:bCs/>
                <w:color w:val="000000" w:themeColor="text1"/>
                <w:sz w:val="22"/>
                <w:u w:val="none"/>
              </w:rPr>
              <w:t>.</w:t>
            </w:r>
            <w:r w:rsidR="00167857" w:rsidRPr="00C06E70">
              <w:rPr>
                <w:rFonts w:ascii="Cambria" w:eastAsia="Cambria" w:hAnsi="Cambria" w:cs="Cambria"/>
                <w:color w:val="000000" w:themeColor="text1"/>
                <w:sz w:val="22"/>
                <w:u w:val="none"/>
              </w:rPr>
              <w:t xml:space="preserve"> </w:t>
            </w:r>
            <w:r w:rsidR="00167857" w:rsidRPr="00C06E70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Achieving perfection in an imperfect </w:t>
            </w:r>
            <w:r w:rsidR="001F211C" w:rsidRPr="00C06E70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world. </w:t>
            </w:r>
            <w:r w:rsidR="00302A36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3</w:t>
            </w:r>
            <w:r w:rsidR="00302A36" w:rsidRPr="00302A36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  <w:vertAlign w:val="superscript"/>
              </w:rPr>
              <w:t>rd</w:t>
            </w:r>
            <w:r w:rsidR="00302A36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.</w:t>
            </w:r>
            <w:r w:rsidR="00302A36" w:rsidRPr="00C06E70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 </w:t>
            </w:r>
            <w:r w:rsidR="00FD1661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Rosario and Manchester: </w:t>
            </w:r>
            <w:r w:rsidR="00302A36" w:rsidRPr="00C06E70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Pioneer Hill. </w:t>
            </w:r>
          </w:p>
          <w:p w14:paraId="1E13C4A0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76AF800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</w:tc>
      </w:tr>
    </w:tbl>
    <w:p w14:paraId="21720E2C" w14:textId="77777777" w:rsidR="00695CA7" w:rsidRDefault="00695CA7">
      <w:pPr>
        <w:ind w:left="-1440" w:right="9621"/>
      </w:pPr>
    </w:p>
    <w:tbl>
      <w:tblPr>
        <w:tblStyle w:val="TableGrid"/>
        <w:tblW w:w="13933" w:type="dxa"/>
        <w:tblInd w:w="12" w:type="dxa"/>
        <w:tblCellMar>
          <w:top w:w="50" w:type="dxa"/>
          <w:left w:w="108" w:type="dxa"/>
          <w:right w:w="81" w:type="dxa"/>
        </w:tblCellMar>
        <w:tblLook w:val="04A0" w:firstRow="1" w:lastRow="0" w:firstColumn="1" w:lastColumn="0" w:noHBand="0" w:noVBand="1"/>
      </w:tblPr>
      <w:tblGrid>
        <w:gridCol w:w="6982"/>
        <w:gridCol w:w="6951"/>
      </w:tblGrid>
      <w:tr w:rsidR="00695CA7" w14:paraId="3002C392" w14:textId="77777777">
        <w:trPr>
          <w:trHeight w:val="4848"/>
        </w:trPr>
        <w:tc>
          <w:tcPr>
            <w:tcW w:w="69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  <w:vAlign w:val="center"/>
          </w:tcPr>
          <w:p w14:paraId="2F96801B" w14:textId="77777777" w:rsidR="00695CA7" w:rsidRDefault="005D789E">
            <w:pPr>
              <w:spacing w:line="247" w:lineRule="auto"/>
              <w:ind w:left="696" w:hanging="550"/>
            </w:pPr>
            <w:r>
              <w:rPr>
                <w:rFonts w:ascii="Cambria" w:eastAsia="Cambria" w:hAnsi="Cambria" w:cs="Cambria"/>
                <w:sz w:val="22"/>
                <w:u w:val="none"/>
              </w:rPr>
              <w:t>4)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“Faced with an esteem researcher, people may well ‘manage’ their attitudes and behaviour to a misleading extent. It is notoriously difficult, for instance, to measure prejudice openly”. </w:t>
            </w:r>
          </w:p>
          <w:p w14:paraId="3BBD68A5" w14:textId="77777777" w:rsidR="00695CA7" w:rsidRDefault="005D789E">
            <w:pPr>
              <w:ind w:left="739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  <w:p w14:paraId="6C645DCD" w14:textId="77777777" w:rsidR="00695CA7" w:rsidRDefault="005D789E">
            <w:pPr>
              <w:spacing w:line="238" w:lineRule="auto"/>
              <w:ind w:left="545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>This is a direct quote taken from ‘Research methods and statistics in Psychology’ by Hugh Coolican. The 5</w:t>
            </w:r>
            <w:r>
              <w:rPr>
                <w:rFonts w:ascii="Cambria" w:eastAsia="Cambria" w:hAnsi="Cambria" w:cs="Cambria"/>
                <w:sz w:val="22"/>
                <w:u w:val="none"/>
                <w:vertAlign w:val="superscript"/>
              </w:rPr>
              <w:t>th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 edition of this book was published by Hodder Education (London) in 2009. The above quote appeared on page 154. </w:t>
            </w:r>
          </w:p>
          <w:p w14:paraId="616F75D6" w14:textId="77777777" w:rsidR="00695CA7" w:rsidRDefault="005D789E">
            <w:pPr>
              <w:ind w:left="739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  <w:tc>
          <w:tcPr>
            <w:tcW w:w="69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</w:tcPr>
          <w:p w14:paraId="3D6DD5D5" w14:textId="540A1A5F" w:rsidR="00695CA7" w:rsidRPr="00CA601D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In text citation(s): </w:t>
            </w:r>
            <w:r w:rsidR="008042EA">
              <w:rPr>
                <w:b w:val="0"/>
                <w:sz w:val="22"/>
                <w:u w:val="none"/>
              </w:rPr>
              <w:t>(Coolican,</w:t>
            </w:r>
            <w:r w:rsidR="00636171">
              <w:rPr>
                <w:b w:val="0"/>
                <w:sz w:val="22"/>
                <w:u w:val="none"/>
              </w:rPr>
              <w:t xml:space="preserve"> 2009)</w:t>
            </w:r>
          </w:p>
          <w:p w14:paraId="079F6DBE" w14:textId="77777777" w:rsidR="00636171" w:rsidRDefault="00636171">
            <w:pPr>
              <w:ind w:left="0"/>
            </w:pPr>
          </w:p>
          <w:p w14:paraId="39B12BD7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40239E6" w14:textId="5F76F3DC" w:rsidR="00695CA7" w:rsidRPr="003F7A1A" w:rsidRDefault="005D789E">
            <w:pPr>
              <w:ind w:left="0"/>
              <w:rPr>
                <w:color w:val="000000" w:themeColor="text1"/>
              </w:rPr>
            </w:pPr>
            <w:r>
              <w:rPr>
                <w:b w:val="0"/>
                <w:sz w:val="22"/>
                <w:u w:val="none"/>
              </w:rPr>
              <w:t xml:space="preserve">Full reference for reference list: </w:t>
            </w:r>
            <w:r w:rsidR="00B61B3D" w:rsidRPr="00DC3681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Coolican</w:t>
            </w:r>
            <w:r w:rsidR="00B61B3D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, </w:t>
            </w:r>
            <w:r w:rsidR="002D139D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H</w:t>
            </w:r>
            <w:r w:rsidR="002D139D" w:rsidRPr="00DC3681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.</w:t>
            </w:r>
            <w:r w:rsidR="002D139D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(</w:t>
            </w:r>
            <w:r w:rsidR="00B61B3D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2009</w:t>
            </w:r>
            <w:r w:rsidR="00B61B3D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)</w:t>
            </w:r>
            <w:r w:rsidR="002D139D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.</w:t>
            </w:r>
            <w:r w:rsidR="00507776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 </w:t>
            </w:r>
            <w:r w:rsidR="00DC3681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Research methods and statistics in Psychology</w:t>
            </w:r>
            <w:r w:rsidR="00507776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. </w:t>
            </w:r>
            <w:r w:rsidR="00DC3681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5</w:t>
            </w:r>
            <w:r w:rsidR="00DC3681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  <w:vertAlign w:val="superscript"/>
              </w:rPr>
              <w:t>th</w:t>
            </w:r>
            <w:r w:rsidR="00B61B3D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. </w:t>
            </w:r>
            <w:r w:rsidR="00351267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London:</w:t>
            </w:r>
            <w:r w:rsidR="00351267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 Hodder</w:t>
            </w:r>
            <w:r w:rsidR="00DC3681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 Education</w:t>
            </w:r>
            <w:r w:rsidR="00B61B3D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.</w:t>
            </w:r>
            <w:r w:rsidR="00351267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 xml:space="preserve"> </w:t>
            </w:r>
            <w:r w:rsidR="00DC3681" w:rsidRPr="003F7A1A">
              <w:rPr>
                <w:rFonts w:ascii="Cambria" w:eastAsia="Cambria" w:hAnsi="Cambria" w:cs="Cambria"/>
                <w:b w:val="0"/>
                <w:bCs/>
                <w:color w:val="000000" w:themeColor="text1"/>
                <w:sz w:val="22"/>
                <w:u w:val="none"/>
              </w:rPr>
              <w:t>154.</w:t>
            </w:r>
          </w:p>
          <w:p w14:paraId="14742318" w14:textId="77777777" w:rsidR="00695CA7" w:rsidRPr="003F7A1A" w:rsidRDefault="005D789E">
            <w:pPr>
              <w:ind w:left="0"/>
              <w:rPr>
                <w:color w:val="000000" w:themeColor="text1"/>
              </w:rPr>
            </w:pPr>
            <w:r w:rsidRPr="003F7A1A">
              <w:rPr>
                <w:b w:val="0"/>
                <w:color w:val="000000" w:themeColor="text1"/>
                <w:sz w:val="22"/>
                <w:u w:val="none"/>
              </w:rPr>
              <w:t xml:space="preserve"> </w:t>
            </w:r>
          </w:p>
          <w:p w14:paraId="467310FB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475F4F0A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19B61912" w14:textId="4337D4DF" w:rsidR="00B0378E" w:rsidRDefault="005D789E" w:rsidP="00CA601D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Paraphrase this quote: </w:t>
            </w:r>
            <w:r w:rsidR="00B0378E" w:rsidRPr="00090D15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“Faced with an esteem researcher, people may well ‘manage’ their</w:t>
            </w:r>
            <w:r w:rsidR="00090D15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 xml:space="preserve"> </w:t>
            </w:r>
            <w:r w:rsidR="00B0378E" w:rsidRPr="00090D15">
              <w:rPr>
                <w:rFonts w:ascii="Cambria" w:eastAsia="Cambria" w:hAnsi="Cambria" w:cs="Cambria"/>
                <w:b w:val="0"/>
                <w:bCs/>
                <w:sz w:val="22"/>
                <w:u w:val="none"/>
              </w:rPr>
              <w:t>attitudes and behaviour to a misleading extent. It is notoriously difficult, for instance, to measure prejudice openly</w:t>
            </w:r>
            <w:r w:rsidR="00B0378E">
              <w:rPr>
                <w:rFonts w:ascii="Cambria" w:eastAsia="Cambria" w:hAnsi="Cambria" w:cs="Cambria"/>
                <w:sz w:val="22"/>
                <w:u w:val="none"/>
              </w:rPr>
              <w:t xml:space="preserve">”. </w:t>
            </w:r>
          </w:p>
          <w:p w14:paraId="69FB00E2" w14:textId="79EC935D" w:rsidR="00695CA7" w:rsidRDefault="00695CA7">
            <w:pPr>
              <w:ind w:left="0"/>
            </w:pPr>
          </w:p>
          <w:p w14:paraId="5D5DD469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3AAB913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78B148C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2DA0286F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43C019D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3D16D554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lastRenderedPageBreak/>
              <w:t xml:space="preserve"> </w:t>
            </w:r>
          </w:p>
        </w:tc>
      </w:tr>
      <w:tr w:rsidR="00695CA7" w14:paraId="31321B3D" w14:textId="77777777">
        <w:trPr>
          <w:trHeight w:val="4054"/>
        </w:trPr>
        <w:tc>
          <w:tcPr>
            <w:tcW w:w="69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75157986" w14:textId="77777777" w:rsidR="00695CA7" w:rsidRDefault="005D789E">
            <w:pPr>
              <w:spacing w:after="9"/>
              <w:ind w:left="0" w:right="31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lastRenderedPageBreak/>
              <w:t>5)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>Stephen Manderson and Millie Mackintosh (</w:t>
            </w:r>
            <w:proofErr w:type="gramStart"/>
            <w:r>
              <w:rPr>
                <w:rFonts w:ascii="Cambria" w:eastAsia="Cambria" w:hAnsi="Cambria" w:cs="Cambria"/>
                <w:sz w:val="22"/>
                <w:u w:val="none"/>
              </w:rPr>
              <w:t>2013)[</w:t>
            </w:r>
            <w:proofErr w:type="gramEnd"/>
            <w:r>
              <w:rPr>
                <w:rFonts w:ascii="Cambria" w:eastAsia="Cambria" w:hAnsi="Cambria" w:cs="Cambria"/>
                <w:sz w:val="22"/>
                <w:u w:val="none"/>
              </w:rPr>
              <w:t xml:space="preserve">1], Ringo </w:t>
            </w:r>
          </w:p>
          <w:p w14:paraId="53E40071" w14:textId="77777777" w:rsidR="00695CA7" w:rsidRDefault="005D789E">
            <w:pPr>
              <w:spacing w:line="239" w:lineRule="auto"/>
              <w:ind w:left="279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>Starr (</w:t>
            </w:r>
            <w:proofErr w:type="gramStart"/>
            <w:r>
              <w:rPr>
                <w:rFonts w:ascii="Cambria" w:eastAsia="Cambria" w:hAnsi="Cambria" w:cs="Cambria"/>
                <w:sz w:val="22"/>
                <w:u w:val="none"/>
              </w:rPr>
              <w:t>1980)[</w:t>
            </w:r>
            <w:proofErr w:type="gramEnd"/>
            <w:r>
              <w:rPr>
                <w:rFonts w:ascii="Cambria" w:eastAsia="Cambria" w:hAnsi="Cambria" w:cs="Cambria"/>
                <w:sz w:val="22"/>
                <w:u w:val="none"/>
              </w:rPr>
              <w:t xml:space="preserve">2] and Buzz Lightyear (1995) [3] all had thoughts on the same subject. Their ideas are mentioned in a book by </w:t>
            </w:r>
          </w:p>
          <w:p w14:paraId="6CF1C524" w14:textId="77777777" w:rsidR="00695CA7" w:rsidRDefault="005D789E">
            <w:pPr>
              <w:spacing w:after="1" w:line="238" w:lineRule="auto"/>
              <w:ind w:left="302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Chris Martin titled ‘What if the world isn’t round?’. This book was published by the Open University press based in Basingstoke in 2014. </w:t>
            </w:r>
          </w:p>
          <w:p w14:paraId="1224EAF8" w14:textId="77777777" w:rsidR="00695CA7" w:rsidRDefault="005D789E">
            <w:pPr>
              <w:ind w:left="739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  <w:tc>
          <w:tcPr>
            <w:tcW w:w="69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D56ED5C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In text citation(s): </w:t>
            </w:r>
          </w:p>
          <w:p w14:paraId="7ADC9DE9" w14:textId="3A3479E9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b w:val="0"/>
                <w:sz w:val="22"/>
                <w:u w:val="none"/>
              </w:rPr>
              <w:t>[1</w:t>
            </w:r>
            <w:r w:rsidRPr="00B430EF">
              <w:rPr>
                <w:rFonts w:asciiTheme="minorHAnsi" w:hAnsiTheme="minorHAnsi" w:cstheme="minorHAnsi"/>
                <w:b w:val="0"/>
                <w:sz w:val="22"/>
                <w:u w:val="none"/>
              </w:rPr>
              <w:t>]:</w:t>
            </w:r>
            <w:r w:rsidR="005A291A" w:rsidRPr="00B430EF">
              <w:rPr>
                <w:rFonts w:asciiTheme="minorHAnsi" w:eastAsia="Cambria" w:hAnsiTheme="minorHAnsi" w:cstheme="minorHAnsi"/>
                <w:sz w:val="22"/>
                <w:u w:val="none"/>
              </w:rPr>
              <w:t xml:space="preserve"> </w:t>
            </w:r>
            <w:r w:rsidR="00B430EF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(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Manderson and Mackintosh</w:t>
            </w:r>
            <w:r w:rsidR="00B430EF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,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 xml:space="preserve"> 2013)</w:t>
            </w:r>
          </w:p>
          <w:p w14:paraId="7CA2FC63" w14:textId="77777777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 </w:t>
            </w:r>
          </w:p>
          <w:p w14:paraId="13B94ED7" w14:textId="77777777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 </w:t>
            </w:r>
          </w:p>
          <w:p w14:paraId="47123EBC" w14:textId="0BA57080" w:rsidR="00695CA7" w:rsidRPr="00B430EF" w:rsidRDefault="005D789E" w:rsidP="00B430EF">
            <w:pPr>
              <w:spacing w:after="9"/>
              <w:ind w:left="0" w:right="31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[2]: </w:t>
            </w:r>
            <w:r w:rsidR="00B430EF"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>(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Starr</w:t>
            </w:r>
            <w:r w:rsidR="00B430EF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 xml:space="preserve">, 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1980)</w:t>
            </w:r>
          </w:p>
          <w:p w14:paraId="21FD87B8" w14:textId="77777777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 </w:t>
            </w:r>
          </w:p>
          <w:p w14:paraId="164C5405" w14:textId="77777777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 </w:t>
            </w:r>
          </w:p>
          <w:p w14:paraId="094003CF" w14:textId="457019D9" w:rsidR="00695CA7" w:rsidRPr="00B430EF" w:rsidRDefault="005D789E">
            <w:pPr>
              <w:ind w:left="0"/>
              <w:rPr>
                <w:rFonts w:asciiTheme="minorHAnsi" w:hAnsiTheme="minorHAnsi" w:cstheme="minorHAnsi"/>
                <w:b w:val="0"/>
                <w:bCs/>
              </w:rPr>
            </w:pPr>
            <w:r w:rsidRPr="00B430EF">
              <w:rPr>
                <w:rFonts w:asciiTheme="minorHAnsi" w:hAnsiTheme="minorHAnsi" w:cstheme="minorHAnsi"/>
                <w:b w:val="0"/>
                <w:bCs/>
                <w:sz w:val="22"/>
                <w:u w:val="none"/>
              </w:rPr>
              <w:t xml:space="preserve">[3]: </w:t>
            </w:r>
            <w:r w:rsidR="00B430EF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(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Lightyear</w:t>
            </w:r>
            <w:r w:rsidR="00B430EF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 xml:space="preserve">, </w:t>
            </w:r>
            <w:r w:rsidR="005A291A" w:rsidRPr="00B430EF">
              <w:rPr>
                <w:rFonts w:asciiTheme="minorHAnsi" w:eastAsia="Cambria" w:hAnsiTheme="minorHAnsi" w:cstheme="minorHAnsi"/>
                <w:b w:val="0"/>
                <w:bCs/>
                <w:sz w:val="22"/>
                <w:u w:val="none"/>
              </w:rPr>
              <w:t>1995)</w:t>
            </w:r>
          </w:p>
          <w:p w14:paraId="77DED451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6D51250" w14:textId="50CFD225" w:rsidR="004B7E85" w:rsidRPr="00CE1F79" w:rsidRDefault="005D789E" w:rsidP="00E8158F">
            <w:pPr>
              <w:ind w:left="0"/>
              <w:rPr>
                <w:rFonts w:ascii="Cambria" w:hAnsi="Cambria"/>
                <w:b w:val="0"/>
                <w:color w:val="000000" w:themeColor="text1"/>
              </w:rPr>
            </w:pPr>
            <w:r>
              <w:rPr>
                <w:b w:val="0"/>
                <w:sz w:val="22"/>
                <w:u w:val="none"/>
              </w:rPr>
              <w:t xml:space="preserve">Full reference </w:t>
            </w:r>
            <w:r w:rsidRPr="00E04682">
              <w:rPr>
                <w:b w:val="0"/>
                <w:color w:val="auto"/>
                <w:sz w:val="22"/>
                <w:u w:val="none"/>
              </w:rPr>
              <w:t>for reference list</w:t>
            </w:r>
            <w:r w:rsidRPr="00E04682">
              <w:rPr>
                <w:rFonts w:ascii="Cambria" w:hAnsi="Cambria"/>
                <w:b w:val="0"/>
                <w:color w:val="auto"/>
                <w:sz w:val="22"/>
                <w:u w:val="none"/>
              </w:rPr>
              <w:t>:</w:t>
            </w:r>
            <w:r w:rsidR="00C42B66" w:rsidRPr="00E04682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 xml:space="preserve"> </w:t>
            </w:r>
            <w:r w:rsidR="00625734" w:rsidRPr="00C0346F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>Manderson, S</w:t>
            </w:r>
            <w:r w:rsidR="001D79F3" w:rsidRPr="00C0346F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 xml:space="preserve">., </w:t>
            </w:r>
            <w:r w:rsidR="00625734" w:rsidRPr="00C0346F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 xml:space="preserve">Mackintosh, </w:t>
            </w:r>
            <w:r w:rsidR="00994B8A" w:rsidRPr="00C0346F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>M., Starr, R</w:t>
            </w:r>
            <w:r w:rsidR="00625734" w:rsidRPr="00C0346F">
              <w:rPr>
                <w:rFonts w:asciiTheme="minorHAnsi" w:eastAsia="Cambria" w:hAnsiTheme="minorHAnsi" w:cstheme="minorHAnsi"/>
                <w:b w:val="0"/>
                <w:bCs/>
                <w:color w:val="auto"/>
                <w:sz w:val="22"/>
                <w:u w:val="none"/>
              </w:rPr>
              <w:t>&amp; Lightyear.</w:t>
            </w:r>
            <w:r w:rsidR="00625734" w:rsidRPr="00C0346F">
              <w:rPr>
                <w:rFonts w:ascii="Cambria" w:eastAsia="Cambria" w:hAnsi="Cambria" w:cs="Cambria"/>
                <w:b w:val="0"/>
                <w:color w:val="auto"/>
                <w:sz w:val="22"/>
                <w:u w:val="none"/>
              </w:rPr>
              <w:t xml:space="preserve"> What if the world isn’t round.</w:t>
            </w:r>
            <w:r w:rsidR="00F90F29" w:rsidRPr="00C0346F">
              <w:rPr>
                <w:rFonts w:ascii="Cambria" w:eastAsia="Cambria" w:hAnsi="Cambria" w:cs="Cambria"/>
                <w:b w:val="0"/>
                <w:color w:val="auto"/>
                <w:sz w:val="22"/>
                <w:u w:val="none"/>
              </w:rPr>
              <w:t xml:space="preserve"> </w:t>
            </w:r>
            <w:r w:rsidR="004B7E85" w:rsidRPr="00E8158F">
              <w:rPr>
                <w:rFonts w:ascii="Cambria" w:eastAsia="Cambria" w:hAnsi="Cambria" w:cs="Cambria"/>
                <w:b w:val="0"/>
                <w:sz w:val="22"/>
                <w:u w:val="none"/>
              </w:rPr>
              <w:t>Martin</w:t>
            </w:r>
            <w:r w:rsidR="001067BE" w:rsidRPr="00E8158F">
              <w:rPr>
                <w:rFonts w:ascii="Cambria" w:eastAsia="Cambria" w:hAnsi="Cambria" w:cs="Cambria"/>
                <w:b w:val="0"/>
                <w:sz w:val="22"/>
                <w:u w:val="none"/>
              </w:rPr>
              <w:t xml:space="preserve">, C. (2014). </w:t>
            </w:r>
            <w:r w:rsidR="00D43343" w:rsidRPr="00CE1F79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>Basingstoke</w:t>
            </w:r>
            <w:r w:rsidR="00C42B66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 xml:space="preserve">: </w:t>
            </w:r>
            <w:r w:rsidR="00994B8A" w:rsidRPr="00CE1F79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>The</w:t>
            </w:r>
            <w:r w:rsidR="004B7E85" w:rsidRPr="00CE1F79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 xml:space="preserve"> Open University press</w:t>
            </w:r>
            <w:r w:rsidR="00080532" w:rsidRPr="00CE1F79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>.</w:t>
            </w:r>
            <w:r w:rsidR="004B7E85" w:rsidRPr="00CE1F79">
              <w:rPr>
                <w:rFonts w:ascii="Cambria" w:eastAsia="Cambria" w:hAnsi="Cambria" w:cs="Cambria"/>
                <w:b w:val="0"/>
                <w:color w:val="000000" w:themeColor="text1"/>
                <w:sz w:val="22"/>
                <w:u w:val="none"/>
              </w:rPr>
              <w:t xml:space="preserve"> </w:t>
            </w:r>
          </w:p>
          <w:p w14:paraId="7B38F9EC" w14:textId="672C731B" w:rsidR="00695CA7" w:rsidRDefault="00695CA7">
            <w:pPr>
              <w:ind w:left="0"/>
            </w:pPr>
          </w:p>
          <w:p w14:paraId="53D8DE8D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41DE9EF7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1485381C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55C63D7F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</w:tc>
      </w:tr>
      <w:tr w:rsidR="00695CA7" w14:paraId="615BDAFA" w14:textId="77777777">
        <w:trPr>
          <w:trHeight w:val="5118"/>
        </w:trPr>
        <w:tc>
          <w:tcPr>
            <w:tcW w:w="69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  <w:vAlign w:val="center"/>
          </w:tcPr>
          <w:p w14:paraId="6A4BAE6D" w14:textId="77777777" w:rsidR="00695CA7" w:rsidRDefault="005D789E">
            <w:pPr>
              <w:spacing w:line="247" w:lineRule="auto"/>
              <w:ind w:left="406" w:hanging="348"/>
            </w:pPr>
            <w:r>
              <w:rPr>
                <w:rFonts w:ascii="Cambria" w:eastAsia="Cambria" w:hAnsi="Cambria" w:cs="Cambria"/>
                <w:sz w:val="22"/>
                <w:u w:val="none"/>
              </w:rPr>
              <w:lastRenderedPageBreak/>
              <w:t>6)</w:t>
            </w:r>
            <w:r>
              <w:rPr>
                <w:rFonts w:ascii="Arial" w:eastAsia="Arial" w:hAnsi="Arial" w:cs="Arial"/>
                <w:sz w:val="22"/>
                <w:u w:val="none"/>
              </w:rPr>
              <w:t xml:space="preserve"> </w:t>
            </w:r>
            <w:r>
              <w:rPr>
                <w:rFonts w:ascii="Cambria" w:eastAsia="Cambria" w:hAnsi="Cambria" w:cs="Cambria"/>
                <w:sz w:val="22"/>
                <w:u w:val="none"/>
              </w:rPr>
              <w:t xml:space="preserve">“Male respondents had a more positive attitude towards binge drinking and were more likely to perceive themselves to be under social pressure to engage in binge drinking, particularly from friends and drinking mates”. </w:t>
            </w:r>
          </w:p>
          <w:p w14:paraId="746F7F6F" w14:textId="77777777" w:rsidR="00695CA7" w:rsidRDefault="005D789E">
            <w:pPr>
              <w:ind w:left="740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  <w:p w14:paraId="7478BE7B" w14:textId="77777777" w:rsidR="00695CA7" w:rsidRDefault="005D789E">
            <w:pPr>
              <w:spacing w:line="239" w:lineRule="auto"/>
              <w:ind w:left="497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The above is a direct quote from page 167 of an article published in Health Education Research Theory and </w:t>
            </w:r>
          </w:p>
          <w:p w14:paraId="573069F2" w14:textId="77777777" w:rsidR="00695CA7" w:rsidRDefault="005D789E">
            <w:pPr>
              <w:spacing w:line="239" w:lineRule="auto"/>
              <w:ind w:left="571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Practice. Paul Norman, Paul Bennett and Helen Lewis wrote the article titled ‘Understanding binge drinking among </w:t>
            </w:r>
          </w:p>
          <w:p w14:paraId="775D4D17" w14:textId="77777777" w:rsidR="00695CA7" w:rsidRDefault="005D789E">
            <w:pPr>
              <w:ind w:left="1018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young people: an application of the Theory of Planned </w:t>
            </w:r>
          </w:p>
          <w:p w14:paraId="516365F0" w14:textId="77777777" w:rsidR="00695CA7" w:rsidRDefault="005D789E">
            <w:pPr>
              <w:spacing w:line="239" w:lineRule="auto"/>
              <w:ind w:left="664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Behaviour’. It appeared in volume 13, issue 2 of the journal in 1998, and covered pages 163-169. </w:t>
            </w:r>
          </w:p>
          <w:p w14:paraId="6D4A8851" w14:textId="77777777" w:rsidR="00695CA7" w:rsidRDefault="005D789E">
            <w:pPr>
              <w:ind w:left="740"/>
              <w:jc w:val="center"/>
            </w:pPr>
            <w:r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</w:p>
        </w:tc>
        <w:tc>
          <w:tcPr>
            <w:tcW w:w="69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1C2C2"/>
          </w:tcPr>
          <w:p w14:paraId="5F5C8D5A" w14:textId="1CA1EB13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In text citation: </w:t>
            </w:r>
            <w:r w:rsidR="0086607D">
              <w:rPr>
                <w:b w:val="0"/>
                <w:sz w:val="22"/>
                <w:u w:val="none"/>
              </w:rPr>
              <w:t>(</w:t>
            </w:r>
            <w:r w:rsidR="003F3337">
              <w:rPr>
                <w:b w:val="0"/>
                <w:sz w:val="22"/>
                <w:u w:val="none"/>
              </w:rPr>
              <w:t>Norman., Bennett</w:t>
            </w:r>
            <w:r w:rsidR="00BB2FBF">
              <w:rPr>
                <w:b w:val="0"/>
                <w:sz w:val="22"/>
                <w:u w:val="none"/>
              </w:rPr>
              <w:t xml:space="preserve"> and Lewis., 1998)</w:t>
            </w:r>
          </w:p>
          <w:p w14:paraId="7CA78E55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430C4E83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4A2CC657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49A8067E" w14:textId="74FE2797" w:rsidR="003F3337" w:rsidRPr="00C0346F" w:rsidRDefault="005D789E" w:rsidP="00532B1D">
            <w:pPr>
              <w:spacing w:line="239" w:lineRule="auto"/>
              <w:ind w:left="497"/>
              <w:rPr>
                <w:b w:val="0"/>
                <w:bCs/>
                <w:color w:val="auto"/>
              </w:rPr>
            </w:pPr>
            <w:r>
              <w:rPr>
                <w:b w:val="0"/>
                <w:sz w:val="22"/>
                <w:u w:val="none"/>
              </w:rPr>
              <w:t xml:space="preserve">Full reference for reference list: </w:t>
            </w:r>
            <w:r w:rsidR="00EC3B84">
              <w:rPr>
                <w:b w:val="0"/>
                <w:sz w:val="22"/>
                <w:u w:val="none"/>
              </w:rPr>
              <w:t>Norman, P</w:t>
            </w:r>
            <w:r w:rsidR="003F3337">
              <w:rPr>
                <w:b w:val="0"/>
                <w:sz w:val="22"/>
                <w:u w:val="none"/>
              </w:rPr>
              <w:t xml:space="preserve">., </w:t>
            </w:r>
            <w:r w:rsidR="00EC3B84">
              <w:rPr>
                <w:b w:val="0"/>
                <w:sz w:val="22"/>
                <w:u w:val="none"/>
              </w:rPr>
              <w:t>Bennett, P</w:t>
            </w:r>
            <w:r w:rsidR="003F3337">
              <w:rPr>
                <w:b w:val="0"/>
                <w:sz w:val="22"/>
                <w:u w:val="none"/>
              </w:rPr>
              <w:t xml:space="preserve"> </w:t>
            </w:r>
            <w:r w:rsidR="00EC3B84">
              <w:rPr>
                <w:b w:val="0"/>
                <w:sz w:val="22"/>
                <w:u w:val="none"/>
              </w:rPr>
              <w:t>&amp;</w:t>
            </w:r>
            <w:r w:rsidR="003F3337">
              <w:rPr>
                <w:b w:val="0"/>
                <w:sz w:val="22"/>
                <w:u w:val="none"/>
              </w:rPr>
              <w:t xml:space="preserve"> Lewis</w:t>
            </w:r>
            <w:r w:rsidR="00EC3B84">
              <w:rPr>
                <w:b w:val="0"/>
                <w:sz w:val="22"/>
                <w:u w:val="none"/>
              </w:rPr>
              <w:t>, H</w:t>
            </w:r>
            <w:r w:rsidR="003F3337">
              <w:rPr>
                <w:b w:val="0"/>
                <w:sz w:val="22"/>
                <w:u w:val="none"/>
              </w:rPr>
              <w:t xml:space="preserve">., </w:t>
            </w:r>
            <w:r w:rsidR="00EC3B84">
              <w:rPr>
                <w:b w:val="0"/>
                <w:sz w:val="22"/>
                <w:u w:val="none"/>
              </w:rPr>
              <w:t>(</w:t>
            </w:r>
            <w:r w:rsidR="003F3337">
              <w:rPr>
                <w:b w:val="0"/>
                <w:sz w:val="22"/>
                <w:u w:val="none"/>
              </w:rPr>
              <w:t>1998)</w:t>
            </w:r>
            <w:r w:rsidR="00284ACD">
              <w:rPr>
                <w:b w:val="0"/>
                <w:sz w:val="22"/>
                <w:u w:val="none"/>
              </w:rPr>
              <w:t>.</w:t>
            </w:r>
            <w:r w:rsidR="00284ACD">
              <w:rPr>
                <w:rFonts w:ascii="Cambria" w:eastAsia="Cambria" w:hAnsi="Cambria" w:cs="Cambria"/>
                <w:sz w:val="22"/>
                <w:u w:val="none"/>
              </w:rPr>
              <w:t xml:space="preserve"> </w:t>
            </w:r>
            <w:r w:rsidR="00284ACD" w:rsidRPr="00866D4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Understanding binge drinking among young people: an application of the Theory of Planned </w:t>
            </w:r>
            <w:r w:rsidR="00284ACD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Behaviour</w:t>
            </w:r>
            <w:r w:rsidR="00002E88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.</w:t>
            </w:r>
            <w:r w:rsidR="00DC2590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 Health Education Research Theory and Practice.</w:t>
            </w:r>
            <w:r w:rsidR="00532B1D" w:rsidRPr="00C0346F">
              <w:rPr>
                <w:rFonts w:ascii="Cambria" w:eastAsia="Cambria" w:hAnsi="Cambria" w:cs="Cambria"/>
                <w:color w:val="auto"/>
                <w:sz w:val="22"/>
                <w:u w:val="none"/>
              </w:rPr>
              <w:t xml:space="preserve"> </w:t>
            </w:r>
            <w:r w:rsidR="00532B1D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13</w:t>
            </w:r>
            <w:r w:rsidR="00E87885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.</w:t>
            </w:r>
            <w:r w:rsidR="00532B1D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 2</w:t>
            </w:r>
            <w:r w:rsidR="00E87885" w:rsidRPr="00C0346F">
              <w:rPr>
                <w:rFonts w:ascii="Cambria" w:eastAsia="Cambria" w:hAnsi="Cambria" w:cs="Cambria"/>
                <w:bCs/>
                <w:color w:val="auto"/>
                <w:sz w:val="22"/>
                <w:u w:val="none"/>
              </w:rPr>
              <w:t>.</w:t>
            </w:r>
            <w:r w:rsidR="00DC2590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 xml:space="preserve"> 16</w:t>
            </w:r>
            <w:r w:rsidR="00853D42" w:rsidRPr="00C0346F">
              <w:rPr>
                <w:rFonts w:ascii="Cambria" w:eastAsia="Cambria" w:hAnsi="Cambria" w:cs="Cambria"/>
                <w:b w:val="0"/>
                <w:bCs/>
                <w:color w:val="auto"/>
                <w:sz w:val="22"/>
                <w:u w:val="none"/>
              </w:rPr>
              <w:t>7.</w:t>
            </w:r>
          </w:p>
          <w:p w14:paraId="524C06A7" w14:textId="77777777" w:rsidR="003F3337" w:rsidRPr="00DC2590" w:rsidRDefault="003F3337">
            <w:pPr>
              <w:ind w:left="0"/>
              <w:rPr>
                <w:b w:val="0"/>
                <w:bCs/>
              </w:rPr>
            </w:pPr>
          </w:p>
          <w:p w14:paraId="4FFFFA6C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2A36E4BE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16F208E5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5E4BF1B0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2283C521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342E54D0" w14:textId="02D919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>Paraphrase this quote</w:t>
            </w:r>
            <w:r w:rsidRPr="00E47CE8">
              <w:rPr>
                <w:rFonts w:ascii="Cambria" w:hAnsi="Cambria"/>
                <w:b w:val="0"/>
                <w:sz w:val="22"/>
                <w:u w:val="none"/>
              </w:rPr>
              <w:t xml:space="preserve">: </w:t>
            </w:r>
            <w:r w:rsidR="00E47CE8" w:rsidRPr="00E47CE8">
              <w:rPr>
                <w:rFonts w:ascii="Cambria" w:eastAsia="Cambria" w:hAnsi="Cambria" w:cs="Cambria"/>
                <w:b w:val="0"/>
                <w:sz w:val="22"/>
                <w:u w:val="none"/>
              </w:rPr>
              <w:t>“Male respondents had a more positive attitude towards binge drinking and were more likely to perceive themselves to be under social pressure to engage in binge drinking, particularly from friends and drinking mates”.</w:t>
            </w:r>
          </w:p>
          <w:p w14:paraId="70787086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5781B106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25712632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00D31F0A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3E5A7210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2ED6A8D4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7C17AA39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  <w:p w14:paraId="32EA4B69" w14:textId="77777777" w:rsidR="00695CA7" w:rsidRDefault="005D789E">
            <w:pPr>
              <w:ind w:left="0"/>
            </w:pPr>
            <w:r>
              <w:rPr>
                <w:b w:val="0"/>
                <w:sz w:val="22"/>
                <w:u w:val="none"/>
              </w:rPr>
              <w:t xml:space="preserve"> </w:t>
            </w:r>
          </w:p>
        </w:tc>
      </w:tr>
    </w:tbl>
    <w:p w14:paraId="1BEC8EE0" w14:textId="77777777" w:rsidR="00695CA7" w:rsidRDefault="005D789E">
      <w:pPr>
        <w:ind w:left="0"/>
        <w:jc w:val="both"/>
      </w:pPr>
      <w:r>
        <w:rPr>
          <w:b w:val="0"/>
          <w:sz w:val="22"/>
          <w:u w:val="none"/>
        </w:rPr>
        <w:t xml:space="preserve"> </w:t>
      </w:r>
    </w:p>
    <w:sectPr w:rsidR="00695CA7">
      <w:pgSz w:w="16838" w:h="11906" w:orient="landscape"/>
      <w:pgMar w:top="1452" w:right="7218" w:bottom="1553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F17C7D" w14:textId="77777777" w:rsidR="00D310EE" w:rsidRDefault="00D310EE" w:rsidP="001015F1">
      <w:pPr>
        <w:spacing w:line="240" w:lineRule="auto"/>
      </w:pPr>
      <w:r>
        <w:separator/>
      </w:r>
    </w:p>
  </w:endnote>
  <w:endnote w:type="continuationSeparator" w:id="0">
    <w:p w14:paraId="48E2C7CE" w14:textId="77777777" w:rsidR="00D310EE" w:rsidRDefault="00D310EE" w:rsidP="001015F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829308" w14:textId="77777777" w:rsidR="00D310EE" w:rsidRDefault="00D310EE" w:rsidP="001015F1">
      <w:pPr>
        <w:spacing w:line="240" w:lineRule="auto"/>
      </w:pPr>
      <w:r>
        <w:separator/>
      </w:r>
    </w:p>
  </w:footnote>
  <w:footnote w:type="continuationSeparator" w:id="0">
    <w:p w14:paraId="18E7DCCA" w14:textId="77777777" w:rsidR="00D310EE" w:rsidRDefault="00D310EE" w:rsidP="001015F1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5CA7"/>
    <w:rsid w:val="00002E88"/>
    <w:rsid w:val="00005033"/>
    <w:rsid w:val="00021FDB"/>
    <w:rsid w:val="00080532"/>
    <w:rsid w:val="00082128"/>
    <w:rsid w:val="00083EF2"/>
    <w:rsid w:val="00090D15"/>
    <w:rsid w:val="000C675C"/>
    <w:rsid w:val="000E087A"/>
    <w:rsid w:val="000E454C"/>
    <w:rsid w:val="000F4776"/>
    <w:rsid w:val="001015F1"/>
    <w:rsid w:val="001067BE"/>
    <w:rsid w:val="0014722F"/>
    <w:rsid w:val="00167857"/>
    <w:rsid w:val="00171F31"/>
    <w:rsid w:val="001D1B5A"/>
    <w:rsid w:val="001D79F3"/>
    <w:rsid w:val="001F00F9"/>
    <w:rsid w:val="001F211C"/>
    <w:rsid w:val="00234A84"/>
    <w:rsid w:val="00244D13"/>
    <w:rsid w:val="00284ACD"/>
    <w:rsid w:val="0029758F"/>
    <w:rsid w:val="002D139D"/>
    <w:rsid w:val="00302A36"/>
    <w:rsid w:val="00327457"/>
    <w:rsid w:val="00351267"/>
    <w:rsid w:val="003C3156"/>
    <w:rsid w:val="003D2C69"/>
    <w:rsid w:val="003F3337"/>
    <w:rsid w:val="003F7A1A"/>
    <w:rsid w:val="004551BB"/>
    <w:rsid w:val="004B7E85"/>
    <w:rsid w:val="004C4EB9"/>
    <w:rsid w:val="004F5B71"/>
    <w:rsid w:val="00507776"/>
    <w:rsid w:val="00515FA0"/>
    <w:rsid w:val="00532B1D"/>
    <w:rsid w:val="005368AF"/>
    <w:rsid w:val="00557E49"/>
    <w:rsid w:val="005605D0"/>
    <w:rsid w:val="005A291A"/>
    <w:rsid w:val="005D789E"/>
    <w:rsid w:val="005E57DF"/>
    <w:rsid w:val="005F1C9B"/>
    <w:rsid w:val="00613962"/>
    <w:rsid w:val="00625734"/>
    <w:rsid w:val="00636171"/>
    <w:rsid w:val="00646885"/>
    <w:rsid w:val="00657F56"/>
    <w:rsid w:val="0066709C"/>
    <w:rsid w:val="006906D3"/>
    <w:rsid w:val="00695CA7"/>
    <w:rsid w:val="00790828"/>
    <w:rsid w:val="007B19A6"/>
    <w:rsid w:val="008042EA"/>
    <w:rsid w:val="00805DF5"/>
    <w:rsid w:val="00822699"/>
    <w:rsid w:val="0085095A"/>
    <w:rsid w:val="00853D42"/>
    <w:rsid w:val="0086607D"/>
    <w:rsid w:val="00866D4F"/>
    <w:rsid w:val="008974A6"/>
    <w:rsid w:val="008D0381"/>
    <w:rsid w:val="00937785"/>
    <w:rsid w:val="00953393"/>
    <w:rsid w:val="00980194"/>
    <w:rsid w:val="00994B8A"/>
    <w:rsid w:val="00A54C2E"/>
    <w:rsid w:val="00A54F18"/>
    <w:rsid w:val="00AA072A"/>
    <w:rsid w:val="00B0378E"/>
    <w:rsid w:val="00B14583"/>
    <w:rsid w:val="00B2233F"/>
    <w:rsid w:val="00B430EF"/>
    <w:rsid w:val="00B61B3D"/>
    <w:rsid w:val="00BA6AA7"/>
    <w:rsid w:val="00BB2FBF"/>
    <w:rsid w:val="00BB3730"/>
    <w:rsid w:val="00BB6C8F"/>
    <w:rsid w:val="00C0346F"/>
    <w:rsid w:val="00C06E70"/>
    <w:rsid w:val="00C11188"/>
    <w:rsid w:val="00C42B66"/>
    <w:rsid w:val="00C64544"/>
    <w:rsid w:val="00CA601D"/>
    <w:rsid w:val="00CE1F79"/>
    <w:rsid w:val="00CE2CCF"/>
    <w:rsid w:val="00CF0DEA"/>
    <w:rsid w:val="00D310EE"/>
    <w:rsid w:val="00D339CB"/>
    <w:rsid w:val="00D33FC7"/>
    <w:rsid w:val="00D34EE3"/>
    <w:rsid w:val="00D43343"/>
    <w:rsid w:val="00D50DFB"/>
    <w:rsid w:val="00DB17FD"/>
    <w:rsid w:val="00DC1D31"/>
    <w:rsid w:val="00DC2590"/>
    <w:rsid w:val="00DC3681"/>
    <w:rsid w:val="00DD5A1F"/>
    <w:rsid w:val="00DE4931"/>
    <w:rsid w:val="00E04682"/>
    <w:rsid w:val="00E12A2C"/>
    <w:rsid w:val="00E47CE8"/>
    <w:rsid w:val="00E54B8E"/>
    <w:rsid w:val="00E8158F"/>
    <w:rsid w:val="00E87885"/>
    <w:rsid w:val="00EC3B84"/>
    <w:rsid w:val="00ED20FA"/>
    <w:rsid w:val="00F02501"/>
    <w:rsid w:val="00F05A07"/>
    <w:rsid w:val="00F211CA"/>
    <w:rsid w:val="00F26D18"/>
    <w:rsid w:val="00F40D26"/>
    <w:rsid w:val="00F87804"/>
    <w:rsid w:val="00F90F29"/>
    <w:rsid w:val="00FA02CD"/>
    <w:rsid w:val="00FD1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194770"/>
  <w15:docId w15:val="{D59FE293-A7EA-441E-8AB1-E87EFDE47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/>
      <w:ind w:left="5779"/>
    </w:pPr>
    <w:rPr>
      <w:rFonts w:ascii="Calibri" w:eastAsia="Calibri" w:hAnsi="Calibri" w:cs="Calibri"/>
      <w:b/>
      <w:color w:val="000000"/>
      <w:sz w:val="28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1015F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5F1"/>
    <w:rPr>
      <w:rFonts w:ascii="Calibri" w:eastAsia="Calibri" w:hAnsi="Calibri" w:cs="Calibri"/>
      <w:b/>
      <w:color w:val="000000"/>
      <w:sz w:val="28"/>
      <w:u w:val="single" w:color="000000"/>
    </w:rPr>
  </w:style>
  <w:style w:type="paragraph" w:styleId="Footer">
    <w:name w:val="footer"/>
    <w:basedOn w:val="Normal"/>
    <w:link w:val="FooterChar"/>
    <w:uiPriority w:val="99"/>
    <w:unhideWhenUsed/>
    <w:rsid w:val="001015F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5F1"/>
    <w:rPr>
      <w:rFonts w:ascii="Calibri" w:eastAsia="Calibri" w:hAnsi="Calibri" w:cs="Calibri"/>
      <w:b/>
      <w:color w:val="000000"/>
      <w:sz w:val="28"/>
      <w:u w:val="single" w:color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92dacbe2dc336081f2f2dc3ac172ffb4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3be0b1d3cd0aadce7388519f647ba434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1AD786-9160-4812-BAB6-777324D582D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62470C-9D2E-4DEA-BDC4-FF2A24A39D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613047-E205-489F-A53B-AAF21E226BE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5</Pages>
  <Words>585</Words>
  <Characters>3338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P110400</dc:creator>
  <cp:keywords/>
  <cp:lastModifiedBy>Kanako Yamazaki (2516650)</cp:lastModifiedBy>
  <cp:revision>106</cp:revision>
  <dcterms:created xsi:type="dcterms:W3CDTF">2025-10-20T18:42:00Z</dcterms:created>
  <dcterms:modified xsi:type="dcterms:W3CDTF">2025-10-24T08:52:00Z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