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F9D931" w14:textId="77777777" w:rsidR="00D44912" w:rsidRDefault="00B65A4A">
      <w:pPr>
        <w:tabs>
          <w:tab w:val="left" w:pos="2387"/>
        </w:tab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0E0E110F" w14:textId="77777777" w:rsidR="00D44912" w:rsidRDefault="00B65A4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bg-BG"/>
        </w:rPr>
        <w:drawing>
          <wp:inline distT="0" distB="0" distL="0" distR="0" wp14:anchorId="6D65074B" wp14:editId="57D5AB00">
            <wp:extent cx="4259580" cy="11506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27280" b="29255"/>
                    <a:stretch>
                      <a:fillRect/>
                    </a:stretch>
                  </pic:blipFill>
                  <pic:spPr>
                    <a:xfrm>
                      <a:off x="0" y="0"/>
                      <a:ext cx="4259580" cy="1150620"/>
                    </a:xfrm>
                    <a:prstGeom prst="rect">
                      <a:avLst/>
                    </a:prstGeom>
                    <a:ln/>
                  </pic:spPr>
                </pic:pic>
              </a:graphicData>
            </a:graphic>
          </wp:inline>
        </w:drawing>
      </w:r>
    </w:p>
    <w:p w14:paraId="4CB1216C" w14:textId="77777777" w:rsidR="00D44912" w:rsidRDefault="00B65A4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Management of Diageo Company</w:t>
      </w:r>
    </w:p>
    <w:p w14:paraId="425C162F" w14:textId="77777777" w:rsidR="00D44912" w:rsidRDefault="00D44912">
      <w:pPr>
        <w:spacing w:line="480" w:lineRule="auto"/>
        <w:jc w:val="center"/>
        <w:rPr>
          <w:rFonts w:ascii="Times New Roman" w:eastAsia="Times New Roman" w:hAnsi="Times New Roman" w:cs="Times New Roman"/>
          <w:sz w:val="24"/>
          <w:szCs w:val="24"/>
        </w:rPr>
      </w:pPr>
    </w:p>
    <w:p w14:paraId="61CBDCC4" w14:textId="727AA823" w:rsidR="00D44912" w:rsidRDefault="001051A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Denis Nedzhmiev</w:t>
      </w:r>
    </w:p>
    <w:p w14:paraId="66914B69" w14:textId="2464978A" w:rsidR="001051A6" w:rsidRDefault="001051A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ID: 2029363</w:t>
      </w:r>
    </w:p>
    <w:p w14:paraId="64E14748" w14:textId="77777777" w:rsidR="00D44912" w:rsidRDefault="00D44912">
      <w:pPr>
        <w:spacing w:line="480" w:lineRule="auto"/>
        <w:jc w:val="center"/>
        <w:rPr>
          <w:rFonts w:ascii="Times New Roman" w:eastAsia="Times New Roman" w:hAnsi="Times New Roman" w:cs="Times New Roman"/>
          <w:sz w:val="24"/>
          <w:szCs w:val="24"/>
        </w:rPr>
      </w:pPr>
    </w:p>
    <w:p w14:paraId="31788D91" w14:textId="77777777" w:rsidR="00D44912" w:rsidRDefault="00D44912">
      <w:pPr>
        <w:spacing w:line="480" w:lineRule="auto"/>
        <w:jc w:val="center"/>
        <w:rPr>
          <w:rFonts w:ascii="Times New Roman" w:eastAsia="Times New Roman" w:hAnsi="Times New Roman" w:cs="Times New Roman"/>
          <w:sz w:val="24"/>
          <w:szCs w:val="24"/>
        </w:rPr>
      </w:pPr>
    </w:p>
    <w:p w14:paraId="78DBC98A" w14:textId="77777777" w:rsidR="00D44912" w:rsidRDefault="00D44912">
      <w:pPr>
        <w:spacing w:line="480" w:lineRule="auto"/>
        <w:jc w:val="center"/>
        <w:rPr>
          <w:rFonts w:ascii="Times New Roman" w:eastAsia="Times New Roman" w:hAnsi="Times New Roman" w:cs="Times New Roman"/>
          <w:sz w:val="24"/>
          <w:szCs w:val="24"/>
        </w:rPr>
      </w:pPr>
    </w:p>
    <w:p w14:paraId="22CFB97B" w14:textId="77777777" w:rsidR="00D44912" w:rsidRDefault="00D44912">
      <w:pPr>
        <w:spacing w:line="480" w:lineRule="auto"/>
        <w:jc w:val="center"/>
        <w:rPr>
          <w:rFonts w:ascii="Times New Roman" w:eastAsia="Times New Roman" w:hAnsi="Times New Roman" w:cs="Times New Roman"/>
          <w:sz w:val="24"/>
          <w:szCs w:val="24"/>
        </w:rPr>
      </w:pPr>
    </w:p>
    <w:p w14:paraId="112E6952" w14:textId="0994427F" w:rsidR="00D44912" w:rsidRDefault="00D44912" w:rsidP="001051A6">
      <w:pPr>
        <w:spacing w:line="480" w:lineRule="auto"/>
        <w:rPr>
          <w:rFonts w:ascii="Times New Roman" w:eastAsia="Times New Roman" w:hAnsi="Times New Roman" w:cs="Times New Roman"/>
          <w:sz w:val="24"/>
          <w:szCs w:val="24"/>
        </w:rPr>
      </w:pPr>
    </w:p>
    <w:p w14:paraId="17C7BF22" w14:textId="32A8A298" w:rsidR="001051A6" w:rsidRDefault="001051A6" w:rsidP="001051A6">
      <w:pPr>
        <w:spacing w:line="480" w:lineRule="auto"/>
        <w:rPr>
          <w:rFonts w:ascii="Times New Roman" w:eastAsia="Times New Roman" w:hAnsi="Times New Roman" w:cs="Times New Roman"/>
          <w:sz w:val="24"/>
          <w:szCs w:val="24"/>
        </w:rPr>
      </w:pPr>
    </w:p>
    <w:p w14:paraId="0A727FB5" w14:textId="17AD1A18" w:rsidR="001051A6" w:rsidRDefault="001051A6" w:rsidP="001051A6">
      <w:pPr>
        <w:spacing w:line="480" w:lineRule="auto"/>
        <w:rPr>
          <w:rFonts w:ascii="Times New Roman" w:eastAsia="Times New Roman" w:hAnsi="Times New Roman" w:cs="Times New Roman"/>
          <w:sz w:val="24"/>
          <w:szCs w:val="24"/>
        </w:rPr>
      </w:pPr>
    </w:p>
    <w:p w14:paraId="66CEC649" w14:textId="77777777" w:rsidR="001051A6" w:rsidRDefault="001051A6" w:rsidP="001051A6">
      <w:pPr>
        <w:spacing w:line="480" w:lineRule="auto"/>
        <w:rPr>
          <w:rFonts w:ascii="Times New Roman" w:eastAsia="Times New Roman" w:hAnsi="Times New Roman" w:cs="Times New Roman"/>
          <w:sz w:val="24"/>
          <w:szCs w:val="24"/>
        </w:rPr>
      </w:pPr>
      <w:bookmarkStart w:id="0" w:name="_GoBack"/>
      <w:bookmarkEnd w:id="0"/>
    </w:p>
    <w:p w14:paraId="3C8B3B37" w14:textId="77777777" w:rsidR="00D44912" w:rsidRDefault="00D44912">
      <w:pPr>
        <w:spacing w:line="480" w:lineRule="auto"/>
        <w:rPr>
          <w:rFonts w:ascii="Times New Roman" w:eastAsia="Times New Roman" w:hAnsi="Times New Roman" w:cs="Times New Roman"/>
          <w:sz w:val="24"/>
          <w:szCs w:val="24"/>
        </w:rPr>
      </w:pPr>
    </w:p>
    <w:p w14:paraId="446B914F" w14:textId="77777777" w:rsidR="00D44912" w:rsidRDefault="00D44912">
      <w:pPr>
        <w:spacing w:line="480" w:lineRule="auto"/>
        <w:rPr>
          <w:rFonts w:ascii="Times New Roman" w:eastAsia="Times New Roman" w:hAnsi="Times New Roman" w:cs="Times New Roman"/>
          <w:b/>
          <w:sz w:val="24"/>
          <w:szCs w:val="24"/>
        </w:rPr>
      </w:pPr>
    </w:p>
    <w:p w14:paraId="6DB265DA" w14:textId="77777777" w:rsidR="00D44912" w:rsidRDefault="00D44912">
      <w:pPr>
        <w:spacing w:line="480" w:lineRule="auto"/>
        <w:rPr>
          <w:rFonts w:ascii="Times New Roman" w:eastAsia="Times New Roman" w:hAnsi="Times New Roman" w:cs="Times New Roman"/>
          <w:sz w:val="24"/>
          <w:szCs w:val="24"/>
        </w:rPr>
      </w:pPr>
    </w:p>
    <w:p w14:paraId="6FFA5A72" w14:textId="77777777" w:rsidR="00D44912" w:rsidRDefault="00B65A4A">
      <w:pPr>
        <w:keepNext/>
        <w:keepLines/>
        <w:pBdr>
          <w:top w:val="nil"/>
          <w:left w:val="nil"/>
          <w:bottom w:val="nil"/>
          <w:right w:val="nil"/>
          <w:between w:val="nil"/>
        </w:pBdr>
        <w:spacing w:before="240" w:after="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247888845"/>
        <w:docPartObj>
          <w:docPartGallery w:val="Table of Contents"/>
          <w:docPartUnique/>
        </w:docPartObj>
      </w:sdtPr>
      <w:sdtEndPr/>
      <w:sdtContent>
        <w:p w14:paraId="726CCA29"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gjdgxs">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hyperlink>
        </w:p>
        <w:p w14:paraId="529485BF"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30j0zll">
            <w:r>
              <w:rPr>
                <w:rFonts w:ascii="Times New Roman" w:eastAsia="Times New Roman" w:hAnsi="Times New Roman" w:cs="Times New Roman"/>
                <w:sz w:val="24"/>
                <w:szCs w:val="24"/>
              </w:rPr>
              <w:t>Company Background</w:t>
            </w:r>
            <w:r>
              <w:rPr>
                <w:rFonts w:ascii="Times New Roman" w:eastAsia="Times New Roman" w:hAnsi="Times New Roman" w:cs="Times New Roman"/>
                <w:sz w:val="24"/>
                <w:szCs w:val="24"/>
              </w:rPr>
              <w:tab/>
              <w:t>3</w:t>
            </w:r>
          </w:hyperlink>
        </w:p>
        <w:p w14:paraId="26DBDE29"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1fob9te">
            <w:r>
              <w:rPr>
                <w:rFonts w:ascii="Times New Roman" w:eastAsia="Times New Roman" w:hAnsi="Times New Roman" w:cs="Times New Roman"/>
                <w:sz w:val="24"/>
                <w:szCs w:val="24"/>
              </w:rPr>
              <w:t>Key Business and Corporate Strategies Identification (Strategic Choice)</w:t>
            </w:r>
            <w:r>
              <w:rPr>
                <w:rFonts w:ascii="Times New Roman" w:eastAsia="Times New Roman" w:hAnsi="Times New Roman" w:cs="Times New Roman"/>
                <w:sz w:val="24"/>
                <w:szCs w:val="24"/>
              </w:rPr>
              <w:tab/>
              <w:t>4</w:t>
            </w:r>
          </w:hyperlink>
        </w:p>
        <w:p w14:paraId="5BE68257"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3znysh7">
            <w:r>
              <w:rPr>
                <w:rFonts w:ascii="Times New Roman" w:eastAsia="Times New Roman" w:hAnsi="Times New Roman" w:cs="Times New Roman"/>
                <w:sz w:val="24"/>
                <w:szCs w:val="24"/>
              </w:rPr>
              <w:t>Porter's Generic Strategies</w:t>
            </w:r>
            <w:r>
              <w:rPr>
                <w:rFonts w:ascii="Times New Roman" w:eastAsia="Times New Roman" w:hAnsi="Times New Roman" w:cs="Times New Roman"/>
                <w:sz w:val="24"/>
                <w:szCs w:val="24"/>
              </w:rPr>
              <w:tab/>
              <w:t>5</w:t>
            </w:r>
          </w:hyperlink>
        </w:p>
        <w:p w14:paraId="35232D55"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2et92p0">
            <w:r>
              <w:rPr>
                <w:rFonts w:ascii="Times New Roman" w:eastAsia="Times New Roman" w:hAnsi="Times New Roman" w:cs="Times New Roman"/>
                <w:sz w:val="24"/>
                <w:szCs w:val="24"/>
              </w:rPr>
              <w:t>Ansoff Ma</w:t>
            </w:r>
            <w:r>
              <w:rPr>
                <w:rFonts w:ascii="Times New Roman" w:eastAsia="Times New Roman" w:hAnsi="Times New Roman" w:cs="Times New Roman"/>
                <w:sz w:val="24"/>
                <w:szCs w:val="24"/>
              </w:rPr>
              <w:t>trix Application</w:t>
            </w:r>
            <w:r>
              <w:rPr>
                <w:rFonts w:ascii="Times New Roman" w:eastAsia="Times New Roman" w:hAnsi="Times New Roman" w:cs="Times New Roman"/>
                <w:sz w:val="24"/>
                <w:szCs w:val="24"/>
              </w:rPr>
              <w:tab/>
              <w:t>7</w:t>
            </w:r>
          </w:hyperlink>
        </w:p>
        <w:p w14:paraId="218ED4AC"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tyjcwt">
            <w:r>
              <w:rPr>
                <w:rFonts w:ascii="Times New Roman" w:eastAsia="Times New Roman" w:hAnsi="Times New Roman" w:cs="Times New Roman"/>
                <w:sz w:val="24"/>
                <w:szCs w:val="24"/>
              </w:rPr>
              <w:t>Resources and Capabilities Analysis (Alignment with Strategy)</w:t>
            </w:r>
            <w:r>
              <w:rPr>
                <w:rFonts w:ascii="Times New Roman" w:eastAsia="Times New Roman" w:hAnsi="Times New Roman" w:cs="Times New Roman"/>
                <w:sz w:val="24"/>
                <w:szCs w:val="24"/>
              </w:rPr>
              <w:tab/>
              <w:t>8</w:t>
            </w:r>
          </w:hyperlink>
        </w:p>
        <w:p w14:paraId="7F818633"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3dy6vkm">
            <w:r>
              <w:rPr>
                <w:rFonts w:ascii="Times New Roman" w:eastAsia="Times New Roman" w:hAnsi="Times New Roman" w:cs="Times New Roman"/>
                <w:sz w:val="24"/>
                <w:szCs w:val="24"/>
              </w:rPr>
              <w:t>Porter’s Value Chain Analysis</w:t>
            </w:r>
            <w:r>
              <w:rPr>
                <w:rFonts w:ascii="Times New Roman" w:eastAsia="Times New Roman" w:hAnsi="Times New Roman" w:cs="Times New Roman"/>
                <w:sz w:val="24"/>
                <w:szCs w:val="24"/>
              </w:rPr>
              <w:tab/>
              <w:t>9</w:t>
            </w:r>
          </w:hyperlink>
        </w:p>
        <w:p w14:paraId="270649D1"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1t3h5sf">
            <w:r>
              <w:rPr>
                <w:rFonts w:ascii="Times New Roman" w:eastAsia="Times New Roman" w:hAnsi="Times New Roman" w:cs="Times New Roman"/>
                <w:sz w:val="24"/>
                <w:szCs w:val="24"/>
              </w:rPr>
              <w:t>VRIO Analysis</w:t>
            </w:r>
            <w:r>
              <w:rPr>
                <w:rFonts w:ascii="Times New Roman" w:eastAsia="Times New Roman" w:hAnsi="Times New Roman" w:cs="Times New Roman"/>
                <w:sz w:val="24"/>
                <w:szCs w:val="24"/>
              </w:rPr>
              <w:tab/>
              <w:t>11</w:t>
            </w:r>
          </w:hyperlink>
        </w:p>
        <w:p w14:paraId="374A90FF"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4d34og8">
            <w:r>
              <w:rPr>
                <w:rFonts w:ascii="Times New Roman" w:eastAsia="Times New Roman" w:hAnsi="Times New Roman" w:cs="Times New Roman"/>
                <w:sz w:val="24"/>
                <w:szCs w:val="24"/>
              </w:rPr>
              <w:t>Evaluating Strategy in Action</w:t>
            </w:r>
            <w:r>
              <w:rPr>
                <w:rFonts w:ascii="Times New Roman" w:eastAsia="Times New Roman" w:hAnsi="Times New Roman" w:cs="Times New Roman"/>
                <w:sz w:val="24"/>
                <w:szCs w:val="24"/>
              </w:rPr>
              <w:tab/>
              <w:t>12</w:t>
            </w:r>
          </w:hyperlink>
        </w:p>
        <w:p w14:paraId="42A957B6"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2s8eyo1">
            <w:r>
              <w:rPr>
                <w:rFonts w:ascii="Times New Roman" w:eastAsia="Times New Roman" w:hAnsi="Times New Roman" w:cs="Times New Roman"/>
                <w:sz w:val="24"/>
                <w:szCs w:val="24"/>
              </w:rPr>
              <w:t>SAF (Suitability, acceptability and Feasibility) framework</w:t>
            </w:r>
            <w:r>
              <w:rPr>
                <w:rFonts w:ascii="Times New Roman" w:eastAsia="Times New Roman" w:hAnsi="Times New Roman" w:cs="Times New Roman"/>
                <w:sz w:val="24"/>
                <w:szCs w:val="24"/>
              </w:rPr>
              <w:tab/>
              <w:t>12</w:t>
            </w:r>
          </w:hyperlink>
        </w:p>
        <w:p w14:paraId="7596A91F"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17dp8vu">
            <w:r>
              <w:rPr>
                <w:rFonts w:ascii="Times New Roman" w:eastAsia="Times New Roman" w:hAnsi="Times New Roman" w:cs="Times New Roman"/>
                <w:sz w:val="24"/>
                <w:szCs w:val="24"/>
              </w:rPr>
              <w:t>Strategies Execution</w:t>
            </w:r>
            <w:r>
              <w:rPr>
                <w:rFonts w:ascii="Times New Roman" w:eastAsia="Times New Roman" w:hAnsi="Times New Roman" w:cs="Times New Roman"/>
                <w:sz w:val="24"/>
                <w:szCs w:val="24"/>
              </w:rPr>
              <w:tab/>
              <w:t>12</w:t>
            </w:r>
          </w:hyperlink>
        </w:p>
        <w:p w14:paraId="2FE2F975"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3rdcrjn">
            <w:r>
              <w:rPr>
                <w:rFonts w:ascii="Times New Roman" w:eastAsia="Times New Roman" w:hAnsi="Times New Roman" w:cs="Times New Roman"/>
                <w:sz w:val="24"/>
                <w:szCs w:val="24"/>
              </w:rPr>
              <w:t>Sustainability Efforts Evaluation</w:t>
            </w:r>
            <w:r>
              <w:rPr>
                <w:rFonts w:ascii="Times New Roman" w:eastAsia="Times New Roman" w:hAnsi="Times New Roman" w:cs="Times New Roman"/>
                <w:sz w:val="24"/>
                <w:szCs w:val="24"/>
              </w:rPr>
              <w:tab/>
              <w:t>13</w:t>
            </w:r>
          </w:hyperlink>
        </w:p>
        <w:p w14:paraId="3188C643"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26in1rg">
            <w:r>
              <w:rPr>
                <w:rFonts w:ascii="Times New Roman" w:eastAsia="Times New Roman" w:hAnsi="Times New Roman" w:cs="Times New Roman"/>
                <w:sz w:val="24"/>
                <w:szCs w:val="24"/>
              </w:rPr>
              <w:t>Diageo’s Sustainability Efforts</w:t>
            </w:r>
            <w:r>
              <w:rPr>
                <w:rFonts w:ascii="Times New Roman" w:eastAsia="Times New Roman" w:hAnsi="Times New Roman" w:cs="Times New Roman"/>
                <w:sz w:val="24"/>
                <w:szCs w:val="24"/>
              </w:rPr>
              <w:tab/>
              <w:t>13</w:t>
            </w:r>
          </w:hyperlink>
        </w:p>
        <w:p w14:paraId="672ABA20" w14:textId="77777777" w:rsidR="00D44912" w:rsidRDefault="00B65A4A">
          <w:pPr>
            <w:widowControl w:val="0"/>
            <w:tabs>
              <w:tab w:val="right" w:leader="dot" w:pos="12000"/>
            </w:tabs>
            <w:spacing w:before="60" w:after="0" w:line="240" w:lineRule="auto"/>
            <w:ind w:left="360"/>
            <w:rPr>
              <w:rFonts w:ascii="Times New Roman" w:eastAsia="Times New Roman" w:hAnsi="Times New Roman" w:cs="Times New Roman"/>
              <w:sz w:val="24"/>
              <w:szCs w:val="24"/>
            </w:rPr>
          </w:pPr>
          <w:hyperlink w:anchor="_lnxbz9">
            <w:r>
              <w:rPr>
                <w:rFonts w:ascii="Times New Roman" w:eastAsia="Times New Roman" w:hAnsi="Times New Roman" w:cs="Times New Roman"/>
                <w:sz w:val="24"/>
                <w:szCs w:val="24"/>
              </w:rPr>
              <w:t>Sustainability Goals Identification and Evaluation</w:t>
            </w:r>
            <w:r>
              <w:rPr>
                <w:rFonts w:ascii="Times New Roman" w:eastAsia="Times New Roman" w:hAnsi="Times New Roman" w:cs="Times New Roman"/>
                <w:sz w:val="24"/>
                <w:szCs w:val="24"/>
              </w:rPr>
              <w:tab/>
              <w:t>14</w:t>
            </w:r>
          </w:hyperlink>
        </w:p>
        <w:p w14:paraId="6D3349E5"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35nkun2">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15</w:t>
            </w:r>
          </w:hyperlink>
        </w:p>
        <w:p w14:paraId="63A6C216" w14:textId="77777777" w:rsidR="00D44912" w:rsidRDefault="00B65A4A">
          <w:pPr>
            <w:widowControl w:val="0"/>
            <w:tabs>
              <w:tab w:val="right" w:leader="dot" w:pos="12000"/>
            </w:tabs>
            <w:spacing w:before="60" w:after="0" w:line="240" w:lineRule="auto"/>
            <w:rPr>
              <w:rFonts w:ascii="Times New Roman" w:eastAsia="Times New Roman" w:hAnsi="Times New Roman" w:cs="Times New Roman"/>
              <w:sz w:val="24"/>
              <w:szCs w:val="24"/>
            </w:rPr>
          </w:pPr>
          <w:hyperlink w:anchor="_1ksv4uv">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16</w:t>
            </w:r>
          </w:hyperlink>
          <w:r>
            <w:fldChar w:fldCharType="end"/>
          </w:r>
        </w:p>
      </w:sdtContent>
    </w:sdt>
    <w:p w14:paraId="0F70B56A" w14:textId="77777777" w:rsidR="00D44912" w:rsidRDefault="00D44912">
      <w:pPr>
        <w:spacing w:line="480" w:lineRule="auto"/>
        <w:rPr>
          <w:rFonts w:ascii="Times New Roman" w:eastAsia="Times New Roman" w:hAnsi="Times New Roman" w:cs="Times New Roman"/>
          <w:sz w:val="24"/>
          <w:szCs w:val="24"/>
        </w:rPr>
      </w:pPr>
    </w:p>
    <w:p w14:paraId="71EC5ACD" w14:textId="77777777" w:rsidR="00D44912" w:rsidRDefault="00D44912">
      <w:pPr>
        <w:spacing w:line="480" w:lineRule="auto"/>
        <w:rPr>
          <w:rFonts w:ascii="Times New Roman" w:eastAsia="Times New Roman" w:hAnsi="Times New Roman" w:cs="Times New Roman"/>
          <w:sz w:val="24"/>
          <w:szCs w:val="24"/>
        </w:rPr>
      </w:pPr>
    </w:p>
    <w:p w14:paraId="13646CA0" w14:textId="77777777" w:rsidR="00D44912" w:rsidRDefault="00D44912">
      <w:pPr>
        <w:spacing w:line="480" w:lineRule="auto"/>
        <w:rPr>
          <w:rFonts w:ascii="Times New Roman" w:eastAsia="Times New Roman" w:hAnsi="Times New Roman" w:cs="Times New Roman"/>
          <w:sz w:val="24"/>
          <w:szCs w:val="24"/>
        </w:rPr>
      </w:pPr>
    </w:p>
    <w:p w14:paraId="0EA7FD3C" w14:textId="77777777" w:rsidR="00D44912" w:rsidRDefault="00D44912">
      <w:pPr>
        <w:spacing w:line="480" w:lineRule="auto"/>
        <w:rPr>
          <w:rFonts w:ascii="Times New Roman" w:eastAsia="Times New Roman" w:hAnsi="Times New Roman" w:cs="Times New Roman"/>
          <w:sz w:val="24"/>
          <w:szCs w:val="24"/>
        </w:rPr>
      </w:pPr>
    </w:p>
    <w:p w14:paraId="5DAAA8BB" w14:textId="77777777" w:rsidR="00D44912" w:rsidRDefault="00D44912">
      <w:pPr>
        <w:spacing w:line="480" w:lineRule="auto"/>
        <w:rPr>
          <w:rFonts w:ascii="Times New Roman" w:eastAsia="Times New Roman" w:hAnsi="Times New Roman" w:cs="Times New Roman"/>
          <w:sz w:val="24"/>
          <w:szCs w:val="24"/>
        </w:rPr>
      </w:pPr>
    </w:p>
    <w:p w14:paraId="77180823" w14:textId="77777777" w:rsidR="00D44912" w:rsidRDefault="00D44912">
      <w:pPr>
        <w:spacing w:line="480" w:lineRule="auto"/>
        <w:rPr>
          <w:rFonts w:ascii="Times New Roman" w:eastAsia="Times New Roman" w:hAnsi="Times New Roman" w:cs="Times New Roman"/>
          <w:sz w:val="24"/>
          <w:szCs w:val="24"/>
        </w:rPr>
      </w:pPr>
    </w:p>
    <w:p w14:paraId="6FFD30BB" w14:textId="77777777" w:rsidR="00D44912" w:rsidRDefault="00D44912">
      <w:pPr>
        <w:spacing w:line="480" w:lineRule="auto"/>
        <w:rPr>
          <w:rFonts w:ascii="Times New Roman" w:eastAsia="Times New Roman" w:hAnsi="Times New Roman" w:cs="Times New Roman"/>
          <w:sz w:val="24"/>
          <w:szCs w:val="24"/>
        </w:rPr>
      </w:pPr>
    </w:p>
    <w:p w14:paraId="5F436640" w14:textId="77777777" w:rsidR="00D44912" w:rsidRDefault="00D44912">
      <w:pPr>
        <w:spacing w:line="480" w:lineRule="auto"/>
        <w:rPr>
          <w:rFonts w:ascii="Times New Roman" w:eastAsia="Times New Roman" w:hAnsi="Times New Roman" w:cs="Times New Roman"/>
          <w:sz w:val="24"/>
          <w:szCs w:val="24"/>
        </w:rPr>
      </w:pPr>
    </w:p>
    <w:p w14:paraId="37B689E1" w14:textId="77777777" w:rsidR="00D44912" w:rsidRDefault="00D44912">
      <w:pPr>
        <w:spacing w:line="480" w:lineRule="auto"/>
        <w:rPr>
          <w:rFonts w:ascii="Times New Roman" w:eastAsia="Times New Roman" w:hAnsi="Times New Roman" w:cs="Times New Roman"/>
          <w:sz w:val="24"/>
          <w:szCs w:val="24"/>
        </w:rPr>
      </w:pPr>
    </w:p>
    <w:p w14:paraId="70D45467"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1" w:name="_gjdgxs" w:colFirst="0" w:colLast="0"/>
      <w:bookmarkEnd w:id="1"/>
      <w:r>
        <w:rPr>
          <w:rFonts w:ascii="Times New Roman" w:eastAsia="Times New Roman" w:hAnsi="Times New Roman" w:cs="Times New Roman"/>
          <w:b/>
          <w:color w:val="000000"/>
          <w:sz w:val="24"/>
          <w:szCs w:val="24"/>
        </w:rPr>
        <w:lastRenderedPageBreak/>
        <w:t xml:space="preserve">Introduction </w:t>
      </w:r>
    </w:p>
    <w:p w14:paraId="1CB6E131"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Rapid changes in customer expectations, technology, markets, and societies have intensified competition in global industries. Wise managers have adopted effective strategic management processes in protecting their companies from growing compe</w:t>
      </w:r>
      <w:r>
        <w:rPr>
          <w:rFonts w:ascii="Times New Roman" w:eastAsia="Times New Roman" w:hAnsi="Times New Roman" w:cs="Times New Roman"/>
          <w:sz w:val="24"/>
          <w:szCs w:val="24"/>
        </w:rPr>
        <w:t>tition pressure in their industries. Notably, strategic management represents managerial decisions and activities that help in improving the performance and competitiveness of modern businesses (Lynch, 2015; Hill et al., 2017). The management approach crea</w:t>
      </w:r>
      <w:r>
        <w:rPr>
          <w:rFonts w:ascii="Times New Roman" w:eastAsia="Times New Roman" w:hAnsi="Times New Roman" w:cs="Times New Roman"/>
          <w:sz w:val="24"/>
          <w:szCs w:val="24"/>
        </w:rPr>
        <w:t>tes organised resource development in functional areas like HRM, finance, marketing, production, and technological adoption. Managers are expected to choose the right tools for strategic analysis, action plan development, and decision-making to promote bus</w:t>
      </w:r>
      <w:r>
        <w:rPr>
          <w:rFonts w:ascii="Times New Roman" w:eastAsia="Times New Roman" w:hAnsi="Times New Roman" w:cs="Times New Roman"/>
          <w:sz w:val="24"/>
          <w:szCs w:val="24"/>
        </w:rPr>
        <w:t>iness success (Grant, 2018). The strategic management procedure for modern businesses comprises elements like strategic position determination, strategic evaluation, and strategy implementation. Specifically, Diageo beverage company has depended on effecti</w:t>
      </w:r>
      <w:r>
        <w:rPr>
          <w:rFonts w:ascii="Times New Roman" w:eastAsia="Times New Roman" w:hAnsi="Times New Roman" w:cs="Times New Roman"/>
          <w:sz w:val="24"/>
          <w:szCs w:val="24"/>
        </w:rPr>
        <w:t xml:space="preserve">ve strategic management processes in optimising its competitiveness and profitability in the global beverage industry. Today, Diageo’s success demonstrates the significance of strategic management processes in modern multinational companies. </w:t>
      </w:r>
    </w:p>
    <w:p w14:paraId="2EE9CC53"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2" w:name="_30j0zll" w:colFirst="0" w:colLast="0"/>
      <w:bookmarkEnd w:id="2"/>
      <w:r>
        <w:rPr>
          <w:rFonts w:ascii="Times New Roman" w:eastAsia="Times New Roman" w:hAnsi="Times New Roman" w:cs="Times New Roman"/>
          <w:b/>
          <w:color w:val="000000"/>
          <w:sz w:val="24"/>
          <w:szCs w:val="24"/>
        </w:rPr>
        <w:t>Company Backg</w:t>
      </w:r>
      <w:r>
        <w:rPr>
          <w:rFonts w:ascii="Times New Roman" w:eastAsia="Times New Roman" w:hAnsi="Times New Roman" w:cs="Times New Roman"/>
          <w:b/>
          <w:color w:val="000000"/>
          <w:sz w:val="24"/>
          <w:szCs w:val="24"/>
        </w:rPr>
        <w:t>round</w:t>
      </w:r>
    </w:p>
    <w:p w14:paraId="5A50567B"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is a London-based multinational beverage company that produces and sells alcoholic beverages like wine, whisky, and beer. The multinational company offers these products under brand names like Ketel One vodka, J&amp;B, Casamigos, Tanqueray, Crown </w:t>
      </w:r>
      <w:r>
        <w:rPr>
          <w:rFonts w:ascii="Times New Roman" w:eastAsia="Times New Roman" w:hAnsi="Times New Roman" w:cs="Times New Roman"/>
          <w:sz w:val="24"/>
          <w:szCs w:val="24"/>
        </w:rPr>
        <w:t>Royal, Guinness, Bushmills and Buchanan's whiskies, Jose Cuervo, Signature, Captain Morgan, Johnnie Walker, Baileys, Ciroc, Smirnoff, and Windsor (CNBC, 2023; Diageo, 2023). Diageo distributes these diverse products through distributors, third-party distri</w:t>
      </w:r>
      <w:r>
        <w:rPr>
          <w:rFonts w:ascii="Times New Roman" w:eastAsia="Times New Roman" w:hAnsi="Times New Roman" w:cs="Times New Roman"/>
          <w:sz w:val="24"/>
          <w:szCs w:val="24"/>
        </w:rPr>
        <w:t xml:space="preserve">butors, brokers, retailers, joint venture arrangements, and wholesalers. The company’s geographical segments include Africa, </w:t>
      </w:r>
      <w:r>
        <w:rPr>
          <w:rFonts w:ascii="Times New Roman" w:eastAsia="Times New Roman" w:hAnsi="Times New Roman" w:cs="Times New Roman"/>
          <w:sz w:val="24"/>
          <w:szCs w:val="24"/>
        </w:rPr>
        <w:lastRenderedPageBreak/>
        <w:t>the Caribbean and North America, Asia Pacific, North America, Turkey and Europe. Currently, Diageo owns over 200 brands, operates a</w:t>
      </w:r>
      <w:r>
        <w:rPr>
          <w:rFonts w:ascii="Times New Roman" w:eastAsia="Times New Roman" w:hAnsi="Times New Roman" w:cs="Times New Roman"/>
          <w:sz w:val="24"/>
          <w:szCs w:val="24"/>
        </w:rPr>
        <w:t xml:space="preserve">round 140 production facilities, employs approximately 30,269 people, and earns roughly 4.4 billion in annual profits (Conway, 2023; GlobalData Plc, 2023). The British beverage company has depended on sustainability, branding, partnership, innovation, and </w:t>
      </w:r>
      <w:r>
        <w:rPr>
          <w:rFonts w:ascii="Times New Roman" w:eastAsia="Times New Roman" w:hAnsi="Times New Roman" w:cs="Times New Roman"/>
          <w:sz w:val="24"/>
          <w:szCs w:val="24"/>
        </w:rPr>
        <w:t xml:space="preserve">quality optimisation techniques in maintaining a leadership role in the global beverage industry. Generally, the company showcases the need for effective strategic management procedures in establishing dominant brands and businesses in globalised business </w:t>
      </w:r>
      <w:r>
        <w:rPr>
          <w:rFonts w:ascii="Times New Roman" w:eastAsia="Times New Roman" w:hAnsi="Times New Roman" w:cs="Times New Roman"/>
          <w:sz w:val="24"/>
          <w:szCs w:val="24"/>
        </w:rPr>
        <w:t xml:space="preserve">environments. </w:t>
      </w:r>
    </w:p>
    <w:p w14:paraId="57128DB7" w14:textId="6F93A9E2" w:rsidR="00D44912" w:rsidRDefault="005F7400">
      <w:pPr>
        <w:spacing w:line="480" w:lineRule="auto"/>
        <w:jc w:val="center"/>
        <w:rPr>
          <w:rFonts w:ascii="Times New Roman" w:eastAsia="Times New Roman" w:hAnsi="Times New Roman" w:cs="Times New Roman"/>
          <w:sz w:val="24"/>
          <w:szCs w:val="24"/>
        </w:rPr>
      </w:pPr>
      <w:r>
        <w:rPr>
          <w:noProof/>
          <w:lang w:val="bg-BG"/>
        </w:rPr>
        <w:drawing>
          <wp:inline distT="0" distB="0" distL="0" distR="0" wp14:anchorId="60B555CA" wp14:editId="6A984B75">
            <wp:extent cx="4572000" cy="3048000"/>
            <wp:effectExtent l="0" t="0" r="0" b="0"/>
            <wp:docPr id="280426190" name="Картина 1" descr="Diageo invites agencies to pitch for £2bn media business | Marketing Edg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eo invites agencies to pitch for £2bn media business | Marketing Edge  Magaz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3048000"/>
                    </a:xfrm>
                    <a:prstGeom prst="rect">
                      <a:avLst/>
                    </a:prstGeom>
                    <a:noFill/>
                    <a:ln>
                      <a:noFill/>
                    </a:ln>
                  </pic:spPr>
                </pic:pic>
              </a:graphicData>
            </a:graphic>
          </wp:inline>
        </w:drawing>
      </w:r>
    </w:p>
    <w:p w14:paraId="7DD387EF" w14:textId="77777777" w:rsidR="00D44912" w:rsidRDefault="00B65A4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Diageo Products (Robinson, 2018)</w:t>
      </w:r>
    </w:p>
    <w:p w14:paraId="3712CF97"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3" w:name="_1fob9te" w:colFirst="0" w:colLast="0"/>
      <w:bookmarkEnd w:id="3"/>
      <w:r>
        <w:rPr>
          <w:rFonts w:ascii="Times New Roman" w:eastAsia="Times New Roman" w:hAnsi="Times New Roman" w:cs="Times New Roman"/>
          <w:b/>
          <w:color w:val="000000"/>
          <w:sz w:val="24"/>
          <w:szCs w:val="24"/>
        </w:rPr>
        <w:t>Key Business and Corporate Strategies Identification (Strategic Choice)</w:t>
      </w:r>
    </w:p>
    <w:p w14:paraId="67B29FC1"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choice represents the management decision that determines the future processes and performance of a business organization. T</w:t>
      </w:r>
      <w:r>
        <w:rPr>
          <w:rFonts w:ascii="Times New Roman" w:eastAsia="Times New Roman" w:hAnsi="Times New Roman" w:cs="Times New Roman"/>
          <w:sz w:val="24"/>
          <w:szCs w:val="24"/>
        </w:rPr>
        <w:t xml:space="preserve">he decision-making process enables management teams to select a grand strategy that best suits organisational objectives and goals (Barney &amp; </w:t>
      </w:r>
      <w:r>
        <w:rPr>
          <w:rFonts w:ascii="Times New Roman" w:eastAsia="Times New Roman" w:hAnsi="Times New Roman" w:cs="Times New Roman"/>
          <w:sz w:val="24"/>
          <w:szCs w:val="24"/>
        </w:rPr>
        <w:lastRenderedPageBreak/>
        <w:t>Hesterly, 2015). Factors that influence the strategic choice of a business organization include competitors’ reacti</w:t>
      </w:r>
      <w:r>
        <w:rPr>
          <w:rFonts w:ascii="Times New Roman" w:eastAsia="Times New Roman" w:hAnsi="Times New Roman" w:cs="Times New Roman"/>
          <w:sz w:val="24"/>
          <w:szCs w:val="24"/>
        </w:rPr>
        <w:t>ons, time constraints, information constraints, preferences, values, and environmental constraints. The grand strategy selection in businesses involves steps like alternative identification, strategic alternatives evaluation, and appropriate strategy adopt</w:t>
      </w:r>
      <w:r>
        <w:rPr>
          <w:rFonts w:ascii="Times New Roman" w:eastAsia="Times New Roman" w:hAnsi="Times New Roman" w:cs="Times New Roman"/>
          <w:sz w:val="24"/>
          <w:szCs w:val="24"/>
        </w:rPr>
        <w:t>ion. Strategic choices for multinational companies like Diageo are categorized into business-level and corporate-level strategies (Whittington et al., 2020). The corporate-level strategy represents the decision-making process regarding the overall organisa</w:t>
      </w:r>
      <w:r>
        <w:rPr>
          <w:rFonts w:ascii="Times New Roman" w:eastAsia="Times New Roman" w:hAnsi="Times New Roman" w:cs="Times New Roman"/>
          <w:sz w:val="24"/>
          <w:szCs w:val="24"/>
        </w:rPr>
        <w:t>tional scope and direction, resource allocation, and product diversification. Conversely, business-level strategy entails selecting procedures for organisational competitiveness optimisation, including resource allocation, marketing, service/product differ</w:t>
      </w:r>
      <w:r>
        <w:rPr>
          <w:rFonts w:ascii="Times New Roman" w:eastAsia="Times New Roman" w:hAnsi="Times New Roman" w:cs="Times New Roman"/>
          <w:sz w:val="24"/>
          <w:szCs w:val="24"/>
        </w:rPr>
        <w:t xml:space="preserve">entiation, and pricing. In this case, Porter's generic strategies and the Ansoff Matrix provide comprehensive information about the grand strategic choice for Diageo. </w:t>
      </w:r>
    </w:p>
    <w:p w14:paraId="4AA7AF64"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4" w:name="_3znysh7" w:colFirst="0" w:colLast="0"/>
      <w:bookmarkEnd w:id="4"/>
      <w:r>
        <w:rPr>
          <w:rFonts w:ascii="Times New Roman" w:eastAsia="Times New Roman" w:hAnsi="Times New Roman" w:cs="Times New Roman"/>
          <w:i/>
          <w:sz w:val="24"/>
          <w:szCs w:val="24"/>
        </w:rPr>
        <w:t>Porter's Generic Strategies</w:t>
      </w:r>
    </w:p>
    <w:p w14:paraId="1E0067F8"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Porter's generic strategies provide in-depth and detailed information about Diageo’s position in the global beverage market. The framework considers that competitiveness optimisation entails adopting defensive or offensive actions to maintain a strong posi</w:t>
      </w:r>
      <w:r>
        <w:rPr>
          <w:rFonts w:ascii="Times New Roman" w:eastAsia="Times New Roman" w:hAnsi="Times New Roman" w:cs="Times New Roman"/>
          <w:sz w:val="24"/>
          <w:szCs w:val="24"/>
        </w:rPr>
        <w:t>tion in the market. Generic strategies that enable multinational companies to overcome competition pressure in the market include focus strategy, differentiation strategy, and cost leadership (Islami et al., 2020). The cost leadership strategy involved fin</w:t>
      </w:r>
      <w:r>
        <w:rPr>
          <w:rFonts w:ascii="Times New Roman" w:eastAsia="Times New Roman" w:hAnsi="Times New Roman" w:cs="Times New Roman"/>
          <w:sz w:val="24"/>
          <w:szCs w:val="24"/>
        </w:rPr>
        <w:t>ding and capitalising on resources like human capital, proprietary technology, and raw materials reducing operating costs and commanding prices in the market. Particularly, Diageo depends on strategies like suppliers’ diversification, effective supply chai</w:t>
      </w:r>
      <w:r>
        <w:rPr>
          <w:rFonts w:ascii="Times New Roman" w:eastAsia="Times New Roman" w:hAnsi="Times New Roman" w:cs="Times New Roman"/>
          <w:sz w:val="24"/>
          <w:szCs w:val="24"/>
        </w:rPr>
        <w:t xml:space="preserve">n management, digital marketing, effective raw material sourcing, and economies of scale pursuit in reducing its operating cost. For instance, the digital </w:t>
      </w:r>
      <w:r>
        <w:rPr>
          <w:rFonts w:ascii="Times New Roman" w:eastAsia="Times New Roman" w:hAnsi="Times New Roman" w:cs="Times New Roman"/>
          <w:sz w:val="24"/>
          <w:szCs w:val="24"/>
        </w:rPr>
        <w:lastRenderedPageBreak/>
        <w:t>marketing tactic enables the company to void the huge costs of utilising conventional marketing tools</w:t>
      </w:r>
      <w:r>
        <w:rPr>
          <w:rFonts w:ascii="Times New Roman" w:eastAsia="Times New Roman" w:hAnsi="Times New Roman" w:cs="Times New Roman"/>
          <w:sz w:val="24"/>
          <w:szCs w:val="24"/>
        </w:rPr>
        <w:t xml:space="preserve"> like newspapers, television, and radio. Multiple manufacturing sites and global operation offers Diageo economies of scale, which allows it to set competitive prices without reducing its profit margin. </w:t>
      </w:r>
    </w:p>
    <w:p w14:paraId="10A16A5E"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differentiation enables Diageo to maintain a</w:t>
      </w:r>
      <w:r>
        <w:rPr>
          <w:rFonts w:ascii="Times New Roman" w:eastAsia="Times New Roman" w:hAnsi="Times New Roman" w:cs="Times New Roman"/>
          <w:sz w:val="24"/>
          <w:szCs w:val="24"/>
        </w:rPr>
        <w:t xml:space="preserve"> unique identity in the beverage market and create value for its clients. The differentiation strategy enables the UK-based company to make its products more attractive than those of its competitors, including Constellation Brands, Molson Coors, Brown-Form</w:t>
      </w:r>
      <w:r>
        <w:rPr>
          <w:rFonts w:ascii="Times New Roman" w:eastAsia="Times New Roman" w:hAnsi="Times New Roman" w:cs="Times New Roman"/>
          <w:sz w:val="24"/>
          <w:szCs w:val="24"/>
        </w:rPr>
        <w:t xml:space="preserve">an, and Pernod Ricard. Providing products that clients consider important and useful enables the beverage company to assume a unique position in the industry. The company considers that providing unique products reinforces its premium pricing strategy for </w:t>
      </w:r>
      <w:r>
        <w:rPr>
          <w:rFonts w:ascii="Times New Roman" w:eastAsia="Times New Roman" w:hAnsi="Times New Roman" w:cs="Times New Roman"/>
          <w:sz w:val="24"/>
          <w:szCs w:val="24"/>
        </w:rPr>
        <w:t xml:space="preserve">brands. The strategy supports Diageo in reaching loyal clients who demonstrate a willingness to purchase its products at relatively high prices. Currently, Diageo provides alcoholic brands that satisfy clients’ demand for high quality, uniquely flavoured, </w:t>
      </w:r>
      <w:r>
        <w:rPr>
          <w:rFonts w:ascii="Times New Roman" w:eastAsia="Times New Roman" w:hAnsi="Times New Roman" w:cs="Times New Roman"/>
          <w:sz w:val="24"/>
          <w:szCs w:val="24"/>
        </w:rPr>
        <w:t>and luxury brands like 21Seeds flavoured tequila, Johnnie Walker, Captain Morgan, Aviation American Gin, and Windsor (Diageo, 2023, a). The multinational beverage company supports its differentiation strategy using tactics like product quality optimisation</w:t>
      </w:r>
      <w:r>
        <w:rPr>
          <w:rFonts w:ascii="Times New Roman" w:eastAsia="Times New Roman" w:hAnsi="Times New Roman" w:cs="Times New Roman"/>
          <w:sz w:val="24"/>
          <w:szCs w:val="24"/>
        </w:rPr>
        <w:t xml:space="preserve">, effective R&amp;D programs, innovation, and digital marketing. </w:t>
      </w:r>
    </w:p>
    <w:p w14:paraId="1B7A4063"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strategy for Diageo company combines differentiation and cost focus strategy for addressing the competition pressure in the global beverage industry. The differentiation focus supports</w:t>
      </w:r>
      <w:r>
        <w:rPr>
          <w:rFonts w:ascii="Times New Roman" w:eastAsia="Times New Roman" w:hAnsi="Times New Roman" w:cs="Times New Roman"/>
          <w:sz w:val="24"/>
          <w:szCs w:val="24"/>
        </w:rPr>
        <w:t xml:space="preserve"> the multinational company in providing competitive and unique brands in target market segments (Islami et al., 2020). The business organisation accomplishes this goal by comprehending market dynamics, concentrating on specific niches, and addressing uniqu</w:t>
      </w:r>
      <w:r>
        <w:rPr>
          <w:rFonts w:ascii="Times New Roman" w:eastAsia="Times New Roman" w:hAnsi="Times New Roman" w:cs="Times New Roman"/>
          <w:sz w:val="24"/>
          <w:szCs w:val="24"/>
        </w:rPr>
        <w:t xml:space="preserve">e clients’ needs. The London-based beverage company accomplishes differentiation by stressing </w:t>
      </w:r>
      <w:r>
        <w:rPr>
          <w:rFonts w:ascii="Times New Roman" w:eastAsia="Times New Roman" w:hAnsi="Times New Roman" w:cs="Times New Roman"/>
          <w:sz w:val="24"/>
          <w:szCs w:val="24"/>
        </w:rPr>
        <w:lastRenderedPageBreak/>
        <w:t>product design, size, and taste that meet clients’ requirements. The company also modifies packaging materials, product designs, and branding strategies constantl</w:t>
      </w:r>
      <w:r>
        <w:rPr>
          <w:rFonts w:ascii="Times New Roman" w:eastAsia="Times New Roman" w:hAnsi="Times New Roman" w:cs="Times New Roman"/>
          <w:sz w:val="24"/>
          <w:szCs w:val="24"/>
        </w:rPr>
        <w:t>y to address changes in consumer preferences and tastes. Similarly, the cost-focus strategy supports the company in exploiting opportunities created by cost behaviours in specific market segments. For example, Diageo utilises quality maximisation and price</w:t>
      </w:r>
      <w:r>
        <w:rPr>
          <w:rFonts w:ascii="Times New Roman" w:eastAsia="Times New Roman" w:hAnsi="Times New Roman" w:cs="Times New Roman"/>
          <w:sz w:val="24"/>
          <w:szCs w:val="24"/>
        </w:rPr>
        <w:t xml:space="preserve"> reduction techniques in optimising value for client’s money in specific market segments. Still, the company provides premium plus brands to satisfy clients with a taste for expensive and classy whisky brands. </w:t>
      </w:r>
    </w:p>
    <w:p w14:paraId="3C04DE32"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5" w:name="_2et92p0" w:colFirst="0" w:colLast="0"/>
      <w:bookmarkEnd w:id="5"/>
      <w:r>
        <w:rPr>
          <w:rFonts w:ascii="Times New Roman" w:eastAsia="Times New Roman" w:hAnsi="Times New Roman" w:cs="Times New Roman"/>
          <w:i/>
          <w:sz w:val="24"/>
          <w:szCs w:val="24"/>
        </w:rPr>
        <w:t xml:space="preserve">Ansoff Matrix Application </w:t>
      </w:r>
    </w:p>
    <w:p w14:paraId="21CD01E7"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Ansoff matrix </w:t>
      </w:r>
      <w:r>
        <w:rPr>
          <w:rFonts w:ascii="Times New Roman" w:eastAsia="Times New Roman" w:hAnsi="Times New Roman" w:cs="Times New Roman"/>
          <w:sz w:val="24"/>
          <w:szCs w:val="24"/>
        </w:rPr>
        <w:t>is an effective tool for illustrating Diageo’s strategic direction in the globalized alcoholic beverage market. The matrix provides different strategic choices for organisations, including diversification, market development, market penetration, and produc</w:t>
      </w:r>
      <w:r>
        <w:rPr>
          <w:rFonts w:ascii="Times New Roman" w:eastAsia="Times New Roman" w:hAnsi="Times New Roman" w:cs="Times New Roman"/>
          <w:sz w:val="24"/>
          <w:szCs w:val="24"/>
        </w:rPr>
        <w:t>t development (Clarissia, 2020). The analysis proves the London-based company utilises these strategies in maintaining continuous growth and competitiveness in the global beverage market. First, market penetration tactic that supports operational and growt</w:t>
      </w:r>
      <w:r>
        <w:rPr>
          <w:rFonts w:ascii="Times New Roman" w:eastAsia="Times New Roman" w:hAnsi="Times New Roman" w:cs="Times New Roman"/>
          <w:sz w:val="24"/>
          <w:szCs w:val="24"/>
        </w:rPr>
        <w:t>h processes for the company includes competitive pricing, reduced operational cost, effective marketing, effective supply chain management, competitors’ acquisition, and strategic partnerships. Effective SCM strategy enables the multinational company to im</w:t>
      </w:r>
      <w:r>
        <w:rPr>
          <w:rFonts w:ascii="Times New Roman" w:eastAsia="Times New Roman" w:hAnsi="Times New Roman" w:cs="Times New Roman"/>
          <w:sz w:val="24"/>
          <w:szCs w:val="24"/>
        </w:rPr>
        <w:t>prove its distribution process and optimise its production capacity. Strategic partnerships and competitors’ acquisitions help in hastening the company’s expansion through improved access to target consumer groups, distribution channels, and suppliers. Sec</w:t>
      </w:r>
      <w:r>
        <w:rPr>
          <w:rFonts w:ascii="Times New Roman" w:eastAsia="Times New Roman" w:hAnsi="Times New Roman" w:cs="Times New Roman"/>
          <w:sz w:val="24"/>
          <w:szCs w:val="24"/>
        </w:rPr>
        <w:t>ond, Diageo relies on product development in pursuing continuous expansion goals (Da Silva Lopes, 2015). The British beverage company utilises different strategies in driving product development, namely existing product modification, research and developme</w:t>
      </w:r>
      <w:r>
        <w:rPr>
          <w:rFonts w:ascii="Times New Roman" w:eastAsia="Times New Roman" w:hAnsi="Times New Roman" w:cs="Times New Roman"/>
          <w:sz w:val="24"/>
          <w:szCs w:val="24"/>
        </w:rPr>
        <w:t xml:space="preserve">nt, and launching new products. For instance, product improvement and modifications support the </w:t>
      </w:r>
      <w:r>
        <w:rPr>
          <w:rFonts w:ascii="Times New Roman" w:eastAsia="Times New Roman" w:hAnsi="Times New Roman" w:cs="Times New Roman"/>
          <w:sz w:val="24"/>
          <w:szCs w:val="24"/>
        </w:rPr>
        <w:lastRenderedPageBreak/>
        <w:t>company in offering clients improved products. The research and development procedure supports the company in improving product quality and creating new product</w:t>
      </w:r>
      <w:r>
        <w:rPr>
          <w:rFonts w:ascii="Times New Roman" w:eastAsia="Times New Roman" w:hAnsi="Times New Roman" w:cs="Times New Roman"/>
          <w:sz w:val="24"/>
          <w:szCs w:val="24"/>
        </w:rPr>
        <w:t xml:space="preserve">s.  </w:t>
      </w:r>
    </w:p>
    <w:p w14:paraId="50CEB74F"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the London-based multinational company utilises the market development strategy in offering existing products to clients in new markets. Today, the company views market development as an important growth and competitiveness optimisation tactic </w:t>
      </w:r>
      <w:r>
        <w:rPr>
          <w:rFonts w:ascii="Times New Roman" w:eastAsia="Times New Roman" w:hAnsi="Times New Roman" w:cs="Times New Roman"/>
          <w:sz w:val="24"/>
          <w:szCs w:val="24"/>
        </w:rPr>
        <w:t>for the current century. Therefore, the company utilises different strategies in driving market development, including regional expansion, R&amp;D, and marketing. Investment in the R&amp;D program supports Diageo in identifying new consumer segments and new market</w:t>
      </w:r>
      <w:r>
        <w:rPr>
          <w:rFonts w:ascii="Times New Roman" w:eastAsia="Times New Roman" w:hAnsi="Times New Roman" w:cs="Times New Roman"/>
          <w:sz w:val="24"/>
          <w:szCs w:val="24"/>
        </w:rPr>
        <w:t>s for its alcoholic beverages. The regional expansion strategy supports the business in reaching new consumer segments and increasing its market share. Digital marketing supports the business in creating brand and product awareness in new markets globally.</w:t>
      </w:r>
      <w:r>
        <w:rPr>
          <w:rFonts w:ascii="Times New Roman" w:eastAsia="Times New Roman" w:hAnsi="Times New Roman" w:cs="Times New Roman"/>
          <w:sz w:val="24"/>
          <w:szCs w:val="24"/>
        </w:rPr>
        <w:t xml:space="preserve"> Finally, the company utilises the diversification strategy in improving its competitiveness and innovation, which enables it to maintain relevance in consumer markets. Various product diversification strategies that enable the company to maintain dominanc</w:t>
      </w:r>
      <w:r>
        <w:rPr>
          <w:rFonts w:ascii="Times New Roman" w:eastAsia="Times New Roman" w:hAnsi="Times New Roman" w:cs="Times New Roman"/>
          <w:sz w:val="24"/>
          <w:szCs w:val="24"/>
        </w:rPr>
        <w:t xml:space="preserve">e in the global market include horizontal diversification and vertical diversification. </w:t>
      </w:r>
    </w:p>
    <w:p w14:paraId="255B3AFA"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6" w:name="_tyjcwt" w:colFirst="0" w:colLast="0"/>
      <w:bookmarkEnd w:id="6"/>
      <w:r>
        <w:rPr>
          <w:rFonts w:ascii="Times New Roman" w:eastAsia="Times New Roman" w:hAnsi="Times New Roman" w:cs="Times New Roman"/>
          <w:b/>
          <w:color w:val="000000"/>
          <w:sz w:val="24"/>
          <w:szCs w:val="24"/>
        </w:rPr>
        <w:t>Resources and Capabilities Analysis (Alignment with Strategy)</w:t>
      </w:r>
    </w:p>
    <w:p w14:paraId="37F2442A"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Resources and capabilities are essential elements for strategy development and implementation in business</w:t>
      </w:r>
      <w:r>
        <w:rPr>
          <w:rFonts w:ascii="Times New Roman" w:eastAsia="Times New Roman" w:hAnsi="Times New Roman" w:cs="Times New Roman"/>
          <w:sz w:val="24"/>
          <w:szCs w:val="24"/>
        </w:rPr>
        <w:t xml:space="preserve"> organisations. Management teams are expected to develop proper strategies for capabilities and resource deployment in facilitating long-term goal accomplishment. The resource-based theory indicates that businesses capitalise on strategic resources in opti</w:t>
      </w:r>
      <w:r>
        <w:rPr>
          <w:rFonts w:ascii="Times New Roman" w:eastAsia="Times New Roman" w:hAnsi="Times New Roman" w:cs="Times New Roman"/>
          <w:sz w:val="24"/>
          <w:szCs w:val="24"/>
        </w:rPr>
        <w:t xml:space="preserve">mising their competitiveness in the market. Essentially, strategic resources for organisational competitiveness are categorised into intangible and tangible groups. Tangible resources represent organisational resources that can be quantified, touched, and </w:t>
      </w:r>
      <w:r>
        <w:rPr>
          <w:rFonts w:ascii="Times New Roman" w:eastAsia="Times New Roman" w:hAnsi="Times New Roman" w:cs="Times New Roman"/>
          <w:sz w:val="24"/>
          <w:szCs w:val="24"/>
        </w:rPr>
        <w:t xml:space="preserve">seen, including </w:t>
      </w:r>
      <w:r>
        <w:rPr>
          <w:rFonts w:ascii="Times New Roman" w:eastAsia="Times New Roman" w:hAnsi="Times New Roman" w:cs="Times New Roman"/>
          <w:sz w:val="24"/>
          <w:szCs w:val="24"/>
        </w:rPr>
        <w:lastRenderedPageBreak/>
        <w:t xml:space="preserve">cash, materials, equipment, supplies, plant, facilities, and infrastructure. On the contrary, intangible resources refer to organisational resources that are invisible and non-quantifiable. Organisational capabilities represent leadership, </w:t>
      </w:r>
      <w:r>
        <w:rPr>
          <w:rFonts w:ascii="Times New Roman" w:eastAsia="Times New Roman" w:hAnsi="Times New Roman" w:cs="Times New Roman"/>
          <w:sz w:val="24"/>
          <w:szCs w:val="24"/>
        </w:rPr>
        <w:t>routines, brand reputation, management, intellectual property, technology, and skills that enable businesses to achieve competitiveness in the market. Today, Diageo capitalises on its resources and capabilities in pursuing its long-term profitability and c</w:t>
      </w:r>
      <w:r>
        <w:rPr>
          <w:rFonts w:ascii="Times New Roman" w:eastAsia="Times New Roman" w:hAnsi="Times New Roman" w:cs="Times New Roman"/>
          <w:sz w:val="24"/>
          <w:szCs w:val="24"/>
        </w:rPr>
        <w:t xml:space="preserve">ompetitiveness goals. </w:t>
      </w:r>
    </w:p>
    <w:p w14:paraId="642DD3B3" w14:textId="77777777" w:rsidR="00D44912" w:rsidRDefault="00B65A4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bg-BG"/>
        </w:rPr>
        <w:drawing>
          <wp:inline distT="0" distB="0" distL="0" distR="0" wp14:anchorId="7922B1F0" wp14:editId="431139FA">
            <wp:extent cx="4762500" cy="26765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62500" cy="2676525"/>
                    </a:xfrm>
                    <a:prstGeom prst="rect">
                      <a:avLst/>
                    </a:prstGeom>
                    <a:ln/>
                  </pic:spPr>
                </pic:pic>
              </a:graphicData>
            </a:graphic>
          </wp:inline>
        </w:drawing>
      </w:r>
    </w:p>
    <w:p w14:paraId="4D1F6F11" w14:textId="77777777" w:rsidR="00D44912" w:rsidRDefault="00B65A4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Diageo Infrastructure (RTE, 2017)</w:t>
      </w:r>
    </w:p>
    <w:p w14:paraId="49F4AE60"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7" w:name="_3dy6vkm" w:colFirst="0" w:colLast="0"/>
      <w:bookmarkEnd w:id="7"/>
      <w:r>
        <w:rPr>
          <w:rFonts w:ascii="Times New Roman" w:eastAsia="Times New Roman" w:hAnsi="Times New Roman" w:cs="Times New Roman"/>
          <w:i/>
          <w:sz w:val="24"/>
          <w:szCs w:val="24"/>
        </w:rPr>
        <w:t xml:space="preserve">Porter’s Value Chain Analysis </w:t>
      </w:r>
    </w:p>
    <w:p w14:paraId="4AD2727D"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Porter’s Value Chain Analysis is an effective value chain and value system analysis tool for modern businesses. The value chain analysis procedure supports businesses</w:t>
      </w:r>
      <w:r>
        <w:rPr>
          <w:rFonts w:ascii="Times New Roman" w:eastAsia="Times New Roman" w:hAnsi="Times New Roman" w:cs="Times New Roman"/>
          <w:sz w:val="24"/>
          <w:szCs w:val="24"/>
        </w:rPr>
        <w:t xml:space="preserve"> in scrutinising various organisational activities that facilitate milestones and long-term goal accomplishment. Various value chain activities that must be aligned with Diageo’s goals are placed into secondary/support and primary categories. Primary activ</w:t>
      </w:r>
      <w:r>
        <w:rPr>
          <w:rFonts w:ascii="Times New Roman" w:eastAsia="Times New Roman" w:hAnsi="Times New Roman" w:cs="Times New Roman"/>
          <w:sz w:val="24"/>
          <w:szCs w:val="24"/>
        </w:rPr>
        <w:t xml:space="preserve">ities involved in transforming inputs into outputs in this company are customer service, R&amp;D, sales and marketing, and production. </w:t>
      </w:r>
      <w:r>
        <w:rPr>
          <w:rFonts w:ascii="Times New Roman" w:eastAsia="Times New Roman" w:hAnsi="Times New Roman" w:cs="Times New Roman"/>
          <w:sz w:val="24"/>
          <w:szCs w:val="24"/>
        </w:rPr>
        <w:lastRenderedPageBreak/>
        <w:t>Various operational activities involved in transforming raw materials into finished products include testing, assembly, equip</w:t>
      </w:r>
      <w:r>
        <w:rPr>
          <w:rFonts w:ascii="Times New Roman" w:eastAsia="Times New Roman" w:hAnsi="Times New Roman" w:cs="Times New Roman"/>
          <w:sz w:val="24"/>
          <w:szCs w:val="24"/>
        </w:rPr>
        <w:t>ment repair, packing, and machining (Islami et al., 2020). Improving operational processes helps in optimising competitiveness, maximising, and improving productivity for Diageo, which increases its sales volume. Similarly, investment sales and marketing a</w:t>
      </w:r>
      <w:r>
        <w:rPr>
          <w:rFonts w:ascii="Times New Roman" w:eastAsia="Times New Roman" w:hAnsi="Times New Roman" w:cs="Times New Roman"/>
          <w:sz w:val="24"/>
          <w:szCs w:val="24"/>
        </w:rPr>
        <w:t>ctivities allow the company to popularise its products and brands in different markets internationally. Diageo relies on its R&amp;D program in discovering lucrative markets, create high-quality products, and develop innovative solutions for its operational pr</w:t>
      </w:r>
      <w:r>
        <w:rPr>
          <w:rFonts w:ascii="Times New Roman" w:eastAsia="Times New Roman" w:hAnsi="Times New Roman" w:cs="Times New Roman"/>
          <w:sz w:val="24"/>
          <w:szCs w:val="24"/>
        </w:rPr>
        <w:t xml:space="preserve">oblems. Diageo further depends on post-sale and pre-sale services in attracting clients and maintain a huge loyal customer base. </w:t>
      </w:r>
    </w:p>
    <w:p w14:paraId="067F088B"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activities play an essential role in supporting and coordinating primary activities in the London-based multinationa</w:t>
      </w:r>
      <w:r>
        <w:rPr>
          <w:rFonts w:ascii="Times New Roman" w:eastAsia="Times New Roman" w:hAnsi="Times New Roman" w:cs="Times New Roman"/>
          <w:sz w:val="24"/>
          <w:szCs w:val="24"/>
        </w:rPr>
        <w:t>l company. Supporting activities for primary activities in the organisational value chain include human resources, firm infrastructure, logistics, and information systems management. The firm infrastructure management features activities like strategic man</w:t>
      </w:r>
      <w:r>
        <w:rPr>
          <w:rFonts w:ascii="Times New Roman" w:eastAsia="Times New Roman" w:hAnsi="Times New Roman" w:cs="Times New Roman"/>
          <w:sz w:val="24"/>
          <w:szCs w:val="24"/>
        </w:rPr>
        <w:t>agement, legal matters handling, strategic planning, financing, accounting, and quality management. Proper infrastructure management procedures can support Diageo in improving the value of its entire supply chain. Likewise, effective HRM procedures can ena</w:t>
      </w:r>
      <w:r>
        <w:rPr>
          <w:rFonts w:ascii="Times New Roman" w:eastAsia="Times New Roman" w:hAnsi="Times New Roman" w:cs="Times New Roman"/>
          <w:sz w:val="24"/>
          <w:szCs w:val="24"/>
        </w:rPr>
        <w:t xml:space="preserve">ble the company to capitalise on its workforce in optimising its competitiveness. The UK-based company has also integrated advanced technologies with its HRM, marketing, distribution, and production processes to improve its overall performance (Johnson et </w:t>
      </w:r>
      <w:r>
        <w:rPr>
          <w:rFonts w:ascii="Times New Roman" w:eastAsia="Times New Roman" w:hAnsi="Times New Roman" w:cs="Times New Roman"/>
          <w:sz w:val="24"/>
          <w:szCs w:val="24"/>
        </w:rPr>
        <w:t>al., 2017). Analysis indicates that investment in IT solutions supports this company in streamlining its operations and reducing its operational costs. Logistic management facilitates finished products’ transportation from the company to the destination po</w:t>
      </w:r>
      <w:r>
        <w:rPr>
          <w:rFonts w:ascii="Times New Roman" w:eastAsia="Times New Roman" w:hAnsi="Times New Roman" w:cs="Times New Roman"/>
          <w:sz w:val="24"/>
          <w:szCs w:val="24"/>
        </w:rPr>
        <w:t xml:space="preserve">int. The business organisation utilises a logistic systems design that facilitates process optimisation, differentiation basis set-up, and value addition. </w:t>
      </w:r>
    </w:p>
    <w:p w14:paraId="52777BE2"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8" w:name="_1t3h5sf" w:colFirst="0" w:colLast="0"/>
      <w:bookmarkEnd w:id="8"/>
      <w:r>
        <w:rPr>
          <w:rFonts w:ascii="Times New Roman" w:eastAsia="Times New Roman" w:hAnsi="Times New Roman" w:cs="Times New Roman"/>
          <w:i/>
          <w:sz w:val="24"/>
          <w:szCs w:val="24"/>
        </w:rPr>
        <w:lastRenderedPageBreak/>
        <w:t>VRIO Analysis</w:t>
      </w:r>
    </w:p>
    <w:p w14:paraId="4CD88091"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VRIO analysis tool enables analysts to determine whether internal organisational c</w:t>
      </w:r>
      <w:r>
        <w:rPr>
          <w:rFonts w:ascii="Times New Roman" w:eastAsia="Times New Roman" w:hAnsi="Times New Roman" w:cs="Times New Roman"/>
          <w:sz w:val="24"/>
          <w:szCs w:val="24"/>
        </w:rPr>
        <w:t>apabilities and resources offer a competitive advantage. The strategic analysis tool proves that investment in well-organised, inimitable, rare, and highly valuable resources helps in improving an organisation’s position in the market (Murcia et al., 2022)</w:t>
      </w:r>
      <w:r>
        <w:rPr>
          <w:rFonts w:ascii="Times New Roman" w:eastAsia="Times New Roman" w:hAnsi="Times New Roman" w:cs="Times New Roman"/>
          <w:sz w:val="24"/>
          <w:szCs w:val="24"/>
        </w:rPr>
        <w:t>. First, a resource is considered valuable if its exploitation in businesses provides benefits like cost advantage, increased market share, and competitive advantage. Highly valuable resources that offer Diageo a competitive advantage in the beverage marke</w:t>
      </w:r>
      <w:r>
        <w:rPr>
          <w:rFonts w:ascii="Times New Roman" w:eastAsia="Times New Roman" w:hAnsi="Times New Roman" w:cs="Times New Roman"/>
          <w:sz w:val="24"/>
          <w:szCs w:val="24"/>
        </w:rPr>
        <w:t>t include monetary assets, human resources, and superior brands. Second, rarity represents the unavailability of a specific resource to competitors in the market, which gives the owner a competitive advantage. For instance, whisky brands with unique produc</w:t>
      </w:r>
      <w:r>
        <w:rPr>
          <w:rFonts w:ascii="Times New Roman" w:eastAsia="Times New Roman" w:hAnsi="Times New Roman" w:cs="Times New Roman"/>
          <w:sz w:val="24"/>
          <w:szCs w:val="24"/>
        </w:rPr>
        <w:t xml:space="preserve">tion processes and flavour profiles offer Diageo a competitive advantage in the globalised beverage market. </w:t>
      </w:r>
    </w:p>
    <w:p w14:paraId="28C910FF"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Third, inimitability indicates that a specific organisational resource cannot be copied easily, which offers the owner a competitive advantage. Dom</w:t>
      </w:r>
      <w:r>
        <w:rPr>
          <w:rFonts w:ascii="Times New Roman" w:eastAsia="Times New Roman" w:hAnsi="Times New Roman" w:cs="Times New Roman"/>
          <w:sz w:val="24"/>
          <w:szCs w:val="24"/>
        </w:rPr>
        <w:t>inant companies are specific markets that control resources that are expensive and difficult to acquire/imitate. Investing in inimitable resources enables business organisations to achieve long-term competitive advantage within their particular industries.</w:t>
      </w:r>
      <w:r>
        <w:rPr>
          <w:rFonts w:ascii="Times New Roman" w:eastAsia="Times New Roman" w:hAnsi="Times New Roman" w:cs="Times New Roman"/>
          <w:sz w:val="24"/>
          <w:szCs w:val="24"/>
        </w:rPr>
        <w:t xml:space="preserve"> Diageo’s capacity to produce inimitable Scotch whisky brands enables it to maintain dominance in the modern beverage market. Finally, proper organisation of financial resources and assets improves Diageo’s capacity to handle threats and seize opportunitie</w:t>
      </w:r>
      <w:r>
        <w:rPr>
          <w:rFonts w:ascii="Times New Roman" w:eastAsia="Times New Roman" w:hAnsi="Times New Roman" w:cs="Times New Roman"/>
          <w:sz w:val="24"/>
          <w:szCs w:val="24"/>
        </w:rPr>
        <w:t xml:space="preserve">s. Nonetheless, slightly inefficient demonstrates the need for reorganisation to improve the company’s capacity to create effective licensing agreements with potential associates. </w:t>
      </w:r>
    </w:p>
    <w:p w14:paraId="449DC3B4"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9" w:name="_4d34og8" w:colFirst="0" w:colLast="0"/>
      <w:bookmarkEnd w:id="9"/>
      <w:r>
        <w:rPr>
          <w:rFonts w:ascii="Times New Roman" w:eastAsia="Times New Roman" w:hAnsi="Times New Roman" w:cs="Times New Roman"/>
          <w:b/>
          <w:color w:val="000000"/>
          <w:sz w:val="24"/>
          <w:szCs w:val="24"/>
        </w:rPr>
        <w:lastRenderedPageBreak/>
        <w:t>Evaluating Strategy in Action</w:t>
      </w:r>
    </w:p>
    <w:p w14:paraId="7369ABA7"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10" w:name="_2s8eyo1" w:colFirst="0" w:colLast="0"/>
      <w:bookmarkEnd w:id="10"/>
      <w:r>
        <w:rPr>
          <w:rFonts w:ascii="Times New Roman" w:eastAsia="Times New Roman" w:hAnsi="Times New Roman" w:cs="Times New Roman"/>
          <w:i/>
          <w:sz w:val="24"/>
          <w:szCs w:val="24"/>
        </w:rPr>
        <w:t xml:space="preserve">SAF (Suitability, acceptability and </w:t>
      </w:r>
      <w:r>
        <w:rPr>
          <w:rFonts w:ascii="Times New Roman" w:eastAsia="Times New Roman" w:hAnsi="Times New Roman" w:cs="Times New Roman"/>
          <w:i/>
          <w:sz w:val="24"/>
          <w:szCs w:val="24"/>
        </w:rPr>
        <w:t>Feasibility) framework</w:t>
      </w:r>
    </w:p>
    <w:p w14:paraId="37EB08A6"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SAF is an effective framework for evaluating the implementation process for corporate and business strategies in organisations. Specifically, the assessment enables management teams to determine the success of strategy implementation</w:t>
      </w:r>
      <w:r>
        <w:rPr>
          <w:rFonts w:ascii="Times New Roman" w:eastAsia="Times New Roman" w:hAnsi="Times New Roman" w:cs="Times New Roman"/>
          <w:sz w:val="24"/>
          <w:szCs w:val="24"/>
        </w:rPr>
        <w:t xml:space="preserve"> in improving organisational competitiveness. Three SAF criteria for evaluating strategy implementation success in organisations are feasibility, acceptability, and suitability (Sekhon et al. 2017). Suitability in the SAF model helps in determining the ext</w:t>
      </w:r>
      <w:r>
        <w:rPr>
          <w:rFonts w:ascii="Times New Roman" w:eastAsia="Times New Roman" w:hAnsi="Times New Roman" w:cs="Times New Roman"/>
          <w:sz w:val="24"/>
          <w:szCs w:val="24"/>
        </w:rPr>
        <w:t xml:space="preserve">ent of a specific strategy’s alignment with organisational objectives and goals. The assessment criterion helps in determining the effectiveness of a selected strategy in addressing important threats and opportunities. The acceptability criterion assesses </w:t>
      </w:r>
      <w:r>
        <w:rPr>
          <w:rFonts w:ascii="Times New Roman" w:eastAsia="Times New Roman" w:hAnsi="Times New Roman" w:cs="Times New Roman"/>
          <w:sz w:val="24"/>
          <w:szCs w:val="24"/>
        </w:rPr>
        <w:t xml:space="preserve">stakeholder reactions, risk, and return associated with a specific business strategy. For example, the criterion determines whether a specific strategy is ethically and culturally suitable for specific populations concerning their values and perspectives. </w:t>
      </w:r>
      <w:r>
        <w:rPr>
          <w:rFonts w:ascii="Times New Roman" w:eastAsia="Times New Roman" w:hAnsi="Times New Roman" w:cs="Times New Roman"/>
          <w:sz w:val="24"/>
          <w:szCs w:val="24"/>
        </w:rPr>
        <w:t xml:space="preserve">Finally, the feasibility criterion provides details about the practicality of a certain strategy.  </w:t>
      </w:r>
    </w:p>
    <w:p w14:paraId="4EB7A032"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11" w:name="_17dp8vu" w:colFirst="0" w:colLast="0"/>
      <w:bookmarkEnd w:id="11"/>
      <w:r>
        <w:rPr>
          <w:rFonts w:ascii="Times New Roman" w:eastAsia="Times New Roman" w:hAnsi="Times New Roman" w:cs="Times New Roman"/>
          <w:i/>
          <w:sz w:val="24"/>
          <w:szCs w:val="24"/>
        </w:rPr>
        <w:t xml:space="preserve">Strategies Execution </w:t>
      </w:r>
    </w:p>
    <w:tbl>
      <w:tblPr>
        <w:tblStyle w:val="a5"/>
        <w:tblW w:w="10705"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083"/>
        <w:gridCol w:w="2395"/>
        <w:gridCol w:w="3005"/>
        <w:gridCol w:w="2580"/>
        <w:gridCol w:w="1642"/>
      </w:tblGrid>
      <w:tr w:rsidR="00D44912" w14:paraId="362C6BC5" w14:textId="77777777" w:rsidTr="00D449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5" w:type="dxa"/>
            <w:gridSpan w:val="5"/>
          </w:tcPr>
          <w:p w14:paraId="75897A79" w14:textId="77777777" w:rsidR="00D44912" w:rsidRDefault="00B65A4A">
            <w:pPr>
              <w:spacing w:line="276" w:lineRule="auto"/>
              <w:jc w:val="center"/>
              <w:rPr>
                <w:sz w:val="24"/>
                <w:szCs w:val="24"/>
              </w:rPr>
            </w:pPr>
            <w:r>
              <w:rPr>
                <w:sz w:val="24"/>
                <w:szCs w:val="24"/>
              </w:rPr>
              <w:t>Success Strategy Selection</w:t>
            </w:r>
          </w:p>
        </w:tc>
      </w:tr>
      <w:tr w:rsidR="00D44912" w14:paraId="092AE1DC" w14:textId="77777777" w:rsidTr="00D449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3" w:type="dxa"/>
          </w:tcPr>
          <w:p w14:paraId="612F2920" w14:textId="77777777" w:rsidR="00D44912" w:rsidRDefault="00B65A4A">
            <w:pPr>
              <w:spacing w:line="276" w:lineRule="auto"/>
              <w:rPr>
                <w:sz w:val="24"/>
                <w:szCs w:val="24"/>
              </w:rPr>
            </w:pPr>
            <w:r>
              <w:rPr>
                <w:sz w:val="24"/>
                <w:szCs w:val="24"/>
              </w:rPr>
              <w:t>Strategy</w:t>
            </w:r>
          </w:p>
        </w:tc>
        <w:tc>
          <w:tcPr>
            <w:tcW w:w="2395" w:type="dxa"/>
          </w:tcPr>
          <w:p w14:paraId="6949922E"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Acceptability</w:t>
            </w:r>
          </w:p>
        </w:tc>
        <w:tc>
          <w:tcPr>
            <w:tcW w:w="3005" w:type="dxa"/>
          </w:tcPr>
          <w:p w14:paraId="4679DB95"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Feasibility</w:t>
            </w:r>
          </w:p>
        </w:tc>
        <w:tc>
          <w:tcPr>
            <w:tcW w:w="2580" w:type="dxa"/>
          </w:tcPr>
          <w:p w14:paraId="4BE9BA0C"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Suitability</w:t>
            </w:r>
          </w:p>
        </w:tc>
        <w:tc>
          <w:tcPr>
            <w:tcW w:w="1642" w:type="dxa"/>
          </w:tcPr>
          <w:p w14:paraId="60932CCF"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b/>
                <w:sz w:val="24"/>
                <w:szCs w:val="24"/>
              </w:rPr>
            </w:pPr>
            <w:r>
              <w:rPr>
                <w:b/>
                <w:sz w:val="24"/>
                <w:szCs w:val="24"/>
              </w:rPr>
              <w:t>Reject/Accept</w:t>
            </w:r>
          </w:p>
        </w:tc>
      </w:tr>
      <w:tr w:rsidR="00D44912" w14:paraId="55D3442B" w14:textId="77777777" w:rsidTr="00D44912">
        <w:tc>
          <w:tcPr>
            <w:cnfStyle w:val="001000000000" w:firstRow="0" w:lastRow="0" w:firstColumn="1" w:lastColumn="0" w:oddVBand="0" w:evenVBand="0" w:oddHBand="0" w:evenHBand="0" w:firstRowFirstColumn="0" w:firstRowLastColumn="0" w:lastRowFirstColumn="0" w:lastRowLastColumn="0"/>
            <w:tcW w:w="1083" w:type="dxa"/>
          </w:tcPr>
          <w:p w14:paraId="4D277489" w14:textId="77777777" w:rsidR="00D44912" w:rsidRDefault="00D44912">
            <w:pPr>
              <w:numPr>
                <w:ilvl w:val="0"/>
                <w:numId w:val="1"/>
              </w:numPr>
              <w:spacing w:line="276" w:lineRule="auto"/>
              <w:rPr>
                <w:sz w:val="24"/>
                <w:szCs w:val="24"/>
              </w:rPr>
            </w:pPr>
          </w:p>
        </w:tc>
        <w:tc>
          <w:tcPr>
            <w:tcW w:w="2395" w:type="dxa"/>
          </w:tcPr>
          <w:p w14:paraId="7DAE8DC6"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Supply chain expansion would help in </w:t>
            </w:r>
            <w:r>
              <w:rPr>
                <w:sz w:val="24"/>
                <w:szCs w:val="24"/>
              </w:rPr>
              <w:t>optimising Diageo’s competitiveness.</w:t>
            </w:r>
          </w:p>
        </w:tc>
        <w:tc>
          <w:tcPr>
            <w:tcW w:w="3005" w:type="dxa"/>
          </w:tcPr>
          <w:p w14:paraId="2C81D540"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Diageo can capitalise on its financial resources in supporting the implementation process of its plan. </w:t>
            </w:r>
          </w:p>
        </w:tc>
        <w:tc>
          <w:tcPr>
            <w:tcW w:w="2580" w:type="dxa"/>
          </w:tcPr>
          <w:p w14:paraId="0BDEB685"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Investors and governments would support the implementation process for the new business strategy.</w:t>
            </w:r>
          </w:p>
        </w:tc>
        <w:tc>
          <w:tcPr>
            <w:tcW w:w="1642" w:type="dxa"/>
          </w:tcPr>
          <w:p w14:paraId="7A0CBD9E"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Accept</w:t>
            </w:r>
          </w:p>
        </w:tc>
      </w:tr>
      <w:tr w:rsidR="00D44912" w14:paraId="7C50FA02" w14:textId="77777777" w:rsidTr="00D44912">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1083" w:type="dxa"/>
          </w:tcPr>
          <w:p w14:paraId="24EB0382" w14:textId="77777777" w:rsidR="00D44912" w:rsidRDefault="00D44912">
            <w:pPr>
              <w:numPr>
                <w:ilvl w:val="0"/>
                <w:numId w:val="1"/>
              </w:numPr>
              <w:spacing w:line="276" w:lineRule="auto"/>
              <w:rPr>
                <w:sz w:val="24"/>
                <w:szCs w:val="24"/>
              </w:rPr>
            </w:pPr>
          </w:p>
        </w:tc>
        <w:tc>
          <w:tcPr>
            <w:tcW w:w="2395" w:type="dxa"/>
          </w:tcPr>
          <w:p w14:paraId="66F25C8E"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The busi</w:t>
            </w:r>
            <w:r>
              <w:rPr>
                <w:sz w:val="24"/>
                <w:szCs w:val="24"/>
              </w:rPr>
              <w:t xml:space="preserve">ness policy will support the company in attracting </w:t>
            </w:r>
            <w:r>
              <w:rPr>
                <w:sz w:val="24"/>
                <w:szCs w:val="24"/>
              </w:rPr>
              <w:lastRenderedPageBreak/>
              <w:t xml:space="preserve">customers and penetrating new markets. </w:t>
            </w:r>
          </w:p>
        </w:tc>
        <w:tc>
          <w:tcPr>
            <w:tcW w:w="3005" w:type="dxa"/>
          </w:tcPr>
          <w:p w14:paraId="7AD5949D"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The policy can only be effective in a situation where </w:t>
            </w:r>
            <w:r>
              <w:rPr>
                <w:sz w:val="24"/>
                <w:szCs w:val="24"/>
              </w:rPr>
              <w:lastRenderedPageBreak/>
              <w:t xml:space="preserve">the company acquires several competitors. </w:t>
            </w:r>
          </w:p>
        </w:tc>
        <w:tc>
          <w:tcPr>
            <w:tcW w:w="2580" w:type="dxa"/>
          </w:tcPr>
          <w:p w14:paraId="6EB353DA"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Stakeholders like investors cannot comprehend the benefits </w:t>
            </w:r>
            <w:r>
              <w:rPr>
                <w:sz w:val="24"/>
                <w:szCs w:val="24"/>
              </w:rPr>
              <w:lastRenderedPageBreak/>
              <w:t>of the ne</w:t>
            </w:r>
            <w:r>
              <w:rPr>
                <w:sz w:val="24"/>
                <w:szCs w:val="24"/>
              </w:rPr>
              <w:t>w business policy.</w:t>
            </w:r>
          </w:p>
        </w:tc>
        <w:tc>
          <w:tcPr>
            <w:tcW w:w="1642" w:type="dxa"/>
          </w:tcPr>
          <w:p w14:paraId="70A4C61B" w14:textId="77777777" w:rsidR="00D44912" w:rsidRDefault="00B65A4A">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Reject</w:t>
            </w:r>
          </w:p>
        </w:tc>
      </w:tr>
      <w:tr w:rsidR="00D44912" w14:paraId="3173FCD1" w14:textId="77777777" w:rsidTr="00D44912">
        <w:tc>
          <w:tcPr>
            <w:cnfStyle w:val="001000000000" w:firstRow="0" w:lastRow="0" w:firstColumn="1" w:lastColumn="0" w:oddVBand="0" w:evenVBand="0" w:oddHBand="0" w:evenHBand="0" w:firstRowFirstColumn="0" w:firstRowLastColumn="0" w:lastRowFirstColumn="0" w:lastRowLastColumn="0"/>
            <w:tcW w:w="1083" w:type="dxa"/>
          </w:tcPr>
          <w:p w14:paraId="499416D6" w14:textId="77777777" w:rsidR="00D44912" w:rsidRDefault="00D44912">
            <w:pPr>
              <w:numPr>
                <w:ilvl w:val="0"/>
                <w:numId w:val="1"/>
              </w:numPr>
              <w:spacing w:line="276" w:lineRule="auto"/>
              <w:rPr>
                <w:sz w:val="24"/>
                <w:szCs w:val="24"/>
              </w:rPr>
            </w:pPr>
          </w:p>
        </w:tc>
        <w:tc>
          <w:tcPr>
            <w:tcW w:w="2395" w:type="dxa"/>
          </w:tcPr>
          <w:p w14:paraId="513CF02D"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Diageo should acquire luxury brands like Absolute and Nemiroff to improve its profitability and maximise its revenues. </w:t>
            </w:r>
          </w:p>
        </w:tc>
        <w:tc>
          <w:tcPr>
            <w:tcW w:w="3005" w:type="dxa"/>
          </w:tcPr>
          <w:p w14:paraId="29D6BF6C"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The targeted companies for acquisition are financially stable and would demand more excessive amount of money from Diageo during the acquisition, which makes this project not worthwhile for implementation. </w:t>
            </w:r>
          </w:p>
        </w:tc>
        <w:tc>
          <w:tcPr>
            <w:tcW w:w="2580" w:type="dxa"/>
          </w:tcPr>
          <w:p w14:paraId="2E7A5A3E"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Stakeholder may reject the proposed strategic pla</w:t>
            </w:r>
            <w:r>
              <w:rPr>
                <w:sz w:val="24"/>
                <w:szCs w:val="24"/>
              </w:rPr>
              <w:t>n due to its negative impact on Diageo’s coverage.</w:t>
            </w:r>
          </w:p>
        </w:tc>
        <w:tc>
          <w:tcPr>
            <w:tcW w:w="1642" w:type="dxa"/>
          </w:tcPr>
          <w:p w14:paraId="26E4C55B" w14:textId="77777777" w:rsidR="00D44912" w:rsidRDefault="00B65A4A">
            <w:pPr>
              <w:spacing w:line="276"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Reject</w:t>
            </w:r>
          </w:p>
        </w:tc>
      </w:tr>
    </w:tbl>
    <w:p w14:paraId="49B69FB6" w14:textId="77777777" w:rsidR="00D44912" w:rsidRDefault="00D44912">
      <w:pPr>
        <w:spacing w:line="480" w:lineRule="auto"/>
        <w:rPr>
          <w:rFonts w:ascii="Times New Roman" w:eastAsia="Times New Roman" w:hAnsi="Times New Roman" w:cs="Times New Roman"/>
          <w:b/>
          <w:sz w:val="24"/>
          <w:szCs w:val="24"/>
        </w:rPr>
      </w:pPr>
    </w:p>
    <w:p w14:paraId="7E19F563"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12" w:name="_3rdcrjn" w:colFirst="0" w:colLast="0"/>
      <w:bookmarkEnd w:id="12"/>
      <w:r>
        <w:rPr>
          <w:rFonts w:ascii="Times New Roman" w:eastAsia="Times New Roman" w:hAnsi="Times New Roman" w:cs="Times New Roman"/>
          <w:b/>
          <w:color w:val="000000"/>
          <w:sz w:val="24"/>
          <w:szCs w:val="24"/>
        </w:rPr>
        <w:t xml:space="preserve">Sustainability Efforts Evaluation </w:t>
      </w:r>
    </w:p>
    <w:p w14:paraId="44E7C2DD"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13" w:name="_26in1rg" w:colFirst="0" w:colLast="0"/>
      <w:bookmarkEnd w:id="13"/>
      <w:r>
        <w:rPr>
          <w:rFonts w:ascii="Times New Roman" w:eastAsia="Times New Roman" w:hAnsi="Times New Roman" w:cs="Times New Roman"/>
          <w:i/>
          <w:sz w:val="24"/>
          <w:szCs w:val="24"/>
        </w:rPr>
        <w:t>Diageo’s Sustainability Efforts</w:t>
      </w:r>
    </w:p>
    <w:p w14:paraId="0A2B6158"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Diageo’s management understands that investment in environmental sustainability programs can help in optimising organisational profitability and competitiveness. In this regard, the management team has implemented multiple initiatives to promote its adhere</w:t>
      </w:r>
      <w:r>
        <w:rPr>
          <w:rFonts w:ascii="Times New Roman" w:eastAsia="Times New Roman" w:hAnsi="Times New Roman" w:cs="Times New Roman"/>
          <w:sz w:val="24"/>
          <w:szCs w:val="24"/>
        </w:rPr>
        <w:t>nce to existing environmental sustainability policies (Fogel, 2016). The holistic approach has helped in promoting environmental sustainability across its value chain. Various environmental sustainability initiatives for Diageo in the current century inclu</w:t>
      </w:r>
      <w:r>
        <w:rPr>
          <w:rFonts w:ascii="Times New Roman" w:eastAsia="Times New Roman" w:hAnsi="Times New Roman" w:cs="Times New Roman"/>
          <w:sz w:val="24"/>
          <w:szCs w:val="24"/>
        </w:rPr>
        <w:t>de water preservation, carbon emission reduction, packaging material reinvention, waste reduction, waste recycling and reuse, and transparency in carbon footprint reporting. For instance, the company implemented strategies for promoting efficiency in water</w:t>
      </w:r>
      <w:r>
        <w:rPr>
          <w:rFonts w:ascii="Times New Roman" w:eastAsia="Times New Roman" w:hAnsi="Times New Roman" w:cs="Times New Roman"/>
          <w:sz w:val="24"/>
          <w:szCs w:val="24"/>
        </w:rPr>
        <w:t xml:space="preserve"> usage in its production facilities globally (Diageo, 2023, b). The company has collaborated with governments, organisations, and communities in implementing a water stewardship program that can promote water availability and accessibility (Diageo, 2023, b</w:t>
      </w:r>
      <w:r>
        <w:rPr>
          <w:rFonts w:ascii="Times New Roman" w:eastAsia="Times New Roman" w:hAnsi="Times New Roman" w:cs="Times New Roman"/>
          <w:sz w:val="24"/>
          <w:szCs w:val="24"/>
        </w:rPr>
        <w:t xml:space="preserve">). Diageo relies on renewable energy sources and energy-efficient appliances in reducing carbon emissions into the atmosphere, which demonstrates its commitment to </w:t>
      </w:r>
      <w:r>
        <w:rPr>
          <w:rFonts w:ascii="Times New Roman" w:eastAsia="Times New Roman" w:hAnsi="Times New Roman" w:cs="Times New Roman"/>
          <w:sz w:val="24"/>
          <w:szCs w:val="24"/>
        </w:rPr>
        <w:lastRenderedPageBreak/>
        <w:t>preventing climate change. The UK-based company reduces the environmental impact of its soli</w:t>
      </w:r>
      <w:r>
        <w:rPr>
          <w:rFonts w:ascii="Times New Roman" w:eastAsia="Times New Roman" w:hAnsi="Times New Roman" w:cs="Times New Roman"/>
          <w:sz w:val="24"/>
          <w:szCs w:val="24"/>
        </w:rPr>
        <w:t xml:space="preserve">d waste through the packaging of its products in recyclable and reusable materials (Diageo, 2011). The company has accomplished this solid waste reduction goal by reinvesting its packaging materials through its DSS (Diageo Sustainable Solutions) program. </w:t>
      </w:r>
    </w:p>
    <w:p w14:paraId="3D422444" w14:textId="77777777" w:rsidR="00D44912" w:rsidRDefault="00B65A4A">
      <w:pPr>
        <w:pStyle w:val="2"/>
        <w:spacing w:line="480" w:lineRule="auto"/>
        <w:ind w:firstLine="720"/>
        <w:rPr>
          <w:rFonts w:ascii="Times New Roman" w:eastAsia="Times New Roman" w:hAnsi="Times New Roman" w:cs="Times New Roman"/>
          <w:i/>
          <w:sz w:val="24"/>
          <w:szCs w:val="24"/>
        </w:rPr>
      </w:pPr>
      <w:bookmarkStart w:id="14" w:name="_lnxbz9" w:colFirst="0" w:colLast="0"/>
      <w:bookmarkEnd w:id="14"/>
      <w:r>
        <w:rPr>
          <w:rFonts w:ascii="Times New Roman" w:eastAsia="Times New Roman" w:hAnsi="Times New Roman" w:cs="Times New Roman"/>
          <w:i/>
          <w:sz w:val="24"/>
          <w:szCs w:val="24"/>
        </w:rPr>
        <w:t>Sustainability Goals Identification and Evaluation</w:t>
      </w:r>
    </w:p>
    <w:p w14:paraId="2D76207E"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Diageo set different environmental sustainability goals under its current DSS initiative. The company’s 2030 environmental sustainability goals cover areas like co-friendly packaging materials usage, water</w:t>
      </w:r>
      <w:r>
        <w:rPr>
          <w:rFonts w:ascii="Times New Roman" w:eastAsia="Times New Roman" w:hAnsi="Times New Roman" w:cs="Times New Roman"/>
          <w:sz w:val="24"/>
          <w:szCs w:val="24"/>
        </w:rPr>
        <w:t xml:space="preserve"> conservation, energy-efficient processes, and renewable energy utilisation. Specifically, the company focuses on making 100% of its packaging materials reusable and recyclable to minimise solid waste release to the environment (Diageo, 2023, c). The busin</w:t>
      </w:r>
      <w:r>
        <w:rPr>
          <w:rFonts w:ascii="Times New Roman" w:eastAsia="Times New Roman" w:hAnsi="Times New Roman" w:cs="Times New Roman"/>
          <w:sz w:val="24"/>
          <w:szCs w:val="24"/>
        </w:rPr>
        <w:t>ess will accomplish this objective by packaging its products in plastic bottles. Similarly, the multinational beverage company focuses on reducing its greenhouse gas emission rate through investment in energy-efficient equipment and renewable energy source</w:t>
      </w:r>
      <w:r>
        <w:rPr>
          <w:rFonts w:ascii="Times New Roman" w:eastAsia="Times New Roman" w:hAnsi="Times New Roman" w:cs="Times New Roman"/>
          <w:sz w:val="24"/>
          <w:szCs w:val="24"/>
        </w:rPr>
        <w:t>s. The company intends to adopt 100% renewable energy sources to achieve its net zero carbon goal (Diageo, 2023, c). Diageo intends to reduce its water consumption rate by around 40% through the implementation of water-efficient solutions (Diageo, 2023, c)</w:t>
      </w:r>
      <w:r>
        <w:rPr>
          <w:rFonts w:ascii="Times New Roman" w:eastAsia="Times New Roman" w:hAnsi="Times New Roman" w:cs="Times New Roman"/>
          <w:sz w:val="24"/>
          <w:szCs w:val="24"/>
        </w:rPr>
        <w:t>. The company will fund WASH programs to promote access to promote vulnerable communities’ access to safe drinking water. The business has adopted the grain-to-glass approach in promoting freshwater access to communities, supporting water-efficient farming</w:t>
      </w:r>
      <w:r>
        <w:rPr>
          <w:rFonts w:ascii="Times New Roman" w:eastAsia="Times New Roman" w:hAnsi="Times New Roman" w:cs="Times New Roman"/>
          <w:sz w:val="24"/>
          <w:szCs w:val="24"/>
        </w:rPr>
        <w:t xml:space="preserve">, and protecting crucial watersheds. </w:t>
      </w:r>
    </w:p>
    <w:p w14:paraId="27C948CF"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15" w:name="_35nkun2" w:colFirst="0" w:colLast="0"/>
      <w:bookmarkEnd w:id="15"/>
      <w:r>
        <w:rPr>
          <w:rFonts w:ascii="Times New Roman" w:eastAsia="Times New Roman" w:hAnsi="Times New Roman" w:cs="Times New Roman"/>
          <w:b/>
          <w:color w:val="000000"/>
          <w:sz w:val="24"/>
          <w:szCs w:val="24"/>
        </w:rPr>
        <w:t>Conclusion</w:t>
      </w:r>
    </w:p>
    <w:p w14:paraId="6FFAE82A"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changes in consumer tastes, technologies, and market conditions have exposed companies to intense competition pressure. The situation has forced management teams to </w:t>
      </w:r>
      <w:r>
        <w:rPr>
          <w:rFonts w:ascii="Times New Roman" w:eastAsia="Times New Roman" w:hAnsi="Times New Roman" w:cs="Times New Roman"/>
          <w:sz w:val="24"/>
          <w:szCs w:val="24"/>
        </w:rPr>
        <w:lastRenderedPageBreak/>
        <w:t>develop and implement strategies for o</w:t>
      </w:r>
      <w:r>
        <w:rPr>
          <w:rFonts w:ascii="Times New Roman" w:eastAsia="Times New Roman" w:hAnsi="Times New Roman" w:cs="Times New Roman"/>
          <w:sz w:val="24"/>
          <w:szCs w:val="24"/>
        </w:rPr>
        <w:t>ptimising their competitiveness in the global market. Specifically, Diageo has implemented different strategies in enhancing its profitability and competitiveness in the international beverage market. The company uses Porter's generic strategies (focus str</w:t>
      </w:r>
      <w:r>
        <w:rPr>
          <w:rFonts w:ascii="Times New Roman" w:eastAsia="Times New Roman" w:hAnsi="Times New Roman" w:cs="Times New Roman"/>
          <w:sz w:val="24"/>
          <w:szCs w:val="24"/>
        </w:rPr>
        <w:t>ategy, differentiation strategy, and cost leadership) in informing its strategy choices. The Ansoff matrix indicates that the company depends on strategies like diversification, market development, market penetration, and product development in promoting i</w:t>
      </w:r>
      <w:r>
        <w:rPr>
          <w:rFonts w:ascii="Times New Roman" w:eastAsia="Times New Roman" w:hAnsi="Times New Roman" w:cs="Times New Roman"/>
          <w:sz w:val="24"/>
          <w:szCs w:val="24"/>
        </w:rPr>
        <w:t>ts continuous growth. Based on Porter’s Value Chain Analysis, the company has effectively aligned its value chain activities with its long-term and short-term goals. VRIO analysis tool indicates that the capacity to maintain well-organised, inimitable, rar</w:t>
      </w:r>
      <w:r>
        <w:rPr>
          <w:rFonts w:ascii="Times New Roman" w:eastAsia="Times New Roman" w:hAnsi="Times New Roman" w:cs="Times New Roman"/>
          <w:sz w:val="24"/>
          <w:szCs w:val="24"/>
        </w:rPr>
        <w:t>e, and highly valuable resources has helped in protecting Diageo’s dominant position in the global beverage market. Furthermore, Diageo has continuously improved its environmental sustainability program to prevent climate change and promote stakeholders’ w</w:t>
      </w:r>
      <w:r>
        <w:rPr>
          <w:rFonts w:ascii="Times New Roman" w:eastAsia="Times New Roman" w:hAnsi="Times New Roman" w:cs="Times New Roman"/>
          <w:sz w:val="24"/>
          <w:szCs w:val="24"/>
        </w:rPr>
        <w:t>elfare.</w:t>
      </w:r>
    </w:p>
    <w:p w14:paraId="07A99197" w14:textId="77777777" w:rsidR="00D44912" w:rsidRDefault="00D44912">
      <w:pPr>
        <w:spacing w:line="480" w:lineRule="auto"/>
        <w:ind w:firstLine="720"/>
        <w:rPr>
          <w:rFonts w:ascii="Times New Roman" w:eastAsia="Times New Roman" w:hAnsi="Times New Roman" w:cs="Times New Roman"/>
          <w:sz w:val="24"/>
          <w:szCs w:val="24"/>
        </w:rPr>
      </w:pPr>
    </w:p>
    <w:p w14:paraId="0F430AED" w14:textId="77777777" w:rsidR="00D44912" w:rsidRDefault="00D44912">
      <w:pPr>
        <w:spacing w:line="480" w:lineRule="auto"/>
        <w:ind w:firstLine="720"/>
        <w:rPr>
          <w:rFonts w:ascii="Times New Roman" w:eastAsia="Times New Roman" w:hAnsi="Times New Roman" w:cs="Times New Roman"/>
          <w:sz w:val="24"/>
          <w:szCs w:val="24"/>
        </w:rPr>
      </w:pPr>
    </w:p>
    <w:p w14:paraId="1A06DB00" w14:textId="77777777" w:rsidR="00D44912" w:rsidRDefault="00D44912">
      <w:pPr>
        <w:spacing w:line="480" w:lineRule="auto"/>
        <w:ind w:firstLine="720"/>
        <w:rPr>
          <w:rFonts w:ascii="Times New Roman" w:eastAsia="Times New Roman" w:hAnsi="Times New Roman" w:cs="Times New Roman"/>
          <w:sz w:val="24"/>
          <w:szCs w:val="24"/>
        </w:rPr>
      </w:pPr>
    </w:p>
    <w:p w14:paraId="140C4B9F" w14:textId="77777777" w:rsidR="00D44912" w:rsidRDefault="00D44912">
      <w:pPr>
        <w:spacing w:line="480" w:lineRule="auto"/>
        <w:ind w:firstLine="720"/>
        <w:rPr>
          <w:rFonts w:ascii="Times New Roman" w:eastAsia="Times New Roman" w:hAnsi="Times New Roman" w:cs="Times New Roman"/>
          <w:sz w:val="24"/>
          <w:szCs w:val="24"/>
        </w:rPr>
      </w:pPr>
    </w:p>
    <w:p w14:paraId="36BDC437" w14:textId="77777777" w:rsidR="00D44912" w:rsidRDefault="00D44912">
      <w:pPr>
        <w:spacing w:line="480" w:lineRule="auto"/>
        <w:ind w:firstLine="720"/>
        <w:rPr>
          <w:rFonts w:ascii="Times New Roman" w:eastAsia="Times New Roman" w:hAnsi="Times New Roman" w:cs="Times New Roman"/>
          <w:sz w:val="24"/>
          <w:szCs w:val="24"/>
        </w:rPr>
      </w:pPr>
    </w:p>
    <w:p w14:paraId="291D4753" w14:textId="77777777" w:rsidR="00D44912" w:rsidRDefault="00D44912">
      <w:pPr>
        <w:spacing w:line="480" w:lineRule="auto"/>
        <w:rPr>
          <w:rFonts w:ascii="Times New Roman" w:eastAsia="Times New Roman" w:hAnsi="Times New Roman" w:cs="Times New Roman"/>
          <w:sz w:val="24"/>
          <w:szCs w:val="24"/>
        </w:rPr>
      </w:pPr>
    </w:p>
    <w:p w14:paraId="634610B8" w14:textId="77777777" w:rsidR="00D44912" w:rsidRDefault="00B65A4A">
      <w:pPr>
        <w:pStyle w:val="1"/>
        <w:spacing w:line="480" w:lineRule="auto"/>
        <w:rPr>
          <w:rFonts w:ascii="Times New Roman" w:eastAsia="Times New Roman" w:hAnsi="Times New Roman" w:cs="Times New Roman"/>
          <w:b/>
          <w:color w:val="000000"/>
          <w:sz w:val="24"/>
          <w:szCs w:val="24"/>
        </w:rPr>
      </w:pPr>
      <w:bookmarkStart w:id="16" w:name="_1ksv4uv" w:colFirst="0" w:colLast="0"/>
      <w:bookmarkEnd w:id="16"/>
      <w:r>
        <w:rPr>
          <w:rFonts w:ascii="Times New Roman" w:eastAsia="Times New Roman" w:hAnsi="Times New Roman" w:cs="Times New Roman"/>
          <w:b/>
          <w:color w:val="000000"/>
          <w:sz w:val="24"/>
          <w:szCs w:val="24"/>
        </w:rPr>
        <w:t>References</w:t>
      </w:r>
    </w:p>
    <w:p w14:paraId="11FC4D52"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Barney, J. B. &amp; Hesterly, W. S., 2015. </w:t>
      </w:r>
      <w:r>
        <w:rPr>
          <w:rFonts w:ascii="Times New Roman" w:eastAsia="Times New Roman" w:hAnsi="Times New Roman" w:cs="Times New Roman"/>
          <w:i/>
          <w:sz w:val="24"/>
          <w:szCs w:val="24"/>
        </w:rPr>
        <w:t>Strategic management and competitive advantage</w:t>
      </w:r>
      <w:r>
        <w:rPr>
          <w:rFonts w:ascii="Times New Roman" w:eastAsia="Times New Roman" w:hAnsi="Times New Roman" w:cs="Times New Roman"/>
          <w:sz w:val="24"/>
          <w:szCs w:val="24"/>
        </w:rPr>
        <w:t xml:space="preserve">: </w:t>
      </w:r>
    </w:p>
    <w:p w14:paraId="172EFA8A"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Concepts and Cases. 5 ed. Essex: Pearson Education Limited.</w:t>
      </w:r>
    </w:p>
    <w:p w14:paraId="004E3902"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Clarissia, S. M. S. (2020). A study on Ansoff Matrix Technique: As a growth strategy and an </w:t>
      </w:r>
    </w:p>
    <w:p w14:paraId="53EDB008" w14:textId="77777777" w:rsidR="00D44912" w:rsidRDefault="00B65A4A">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adaptive learning technique adopted in the leading brand of products. </w:t>
      </w:r>
      <w:r>
        <w:rPr>
          <w:rFonts w:ascii="Times New Roman" w:eastAsia="Times New Roman" w:hAnsi="Times New Roman" w:cs="Times New Roman"/>
          <w:i/>
          <w:sz w:val="24"/>
          <w:szCs w:val="24"/>
        </w:rPr>
        <w:t>BIMS Journal of Management</w:t>
      </w:r>
      <w:r>
        <w:rPr>
          <w:rFonts w:ascii="Times New Roman" w:eastAsia="Times New Roman" w:hAnsi="Times New Roman" w:cs="Times New Roman"/>
          <w:sz w:val="24"/>
          <w:szCs w:val="24"/>
        </w:rPr>
        <w:t>, 18.</w:t>
      </w:r>
    </w:p>
    <w:p w14:paraId="6087067C"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CNBC. (2023). </w:t>
      </w:r>
      <w:r>
        <w:rPr>
          <w:rFonts w:ascii="Times New Roman" w:eastAsia="Times New Roman" w:hAnsi="Times New Roman" w:cs="Times New Roman"/>
          <w:i/>
          <w:sz w:val="24"/>
          <w:szCs w:val="24"/>
        </w:rPr>
        <w:t>Diageo PLC</w:t>
      </w:r>
      <w:r>
        <w:rPr>
          <w:rFonts w:ascii="Times New Roman" w:eastAsia="Times New Roman" w:hAnsi="Times New Roman" w:cs="Times New Roman"/>
          <w:sz w:val="24"/>
          <w:szCs w:val="24"/>
        </w:rPr>
        <w:t>. CNBC. https://www.cnbc.com/quotes/D</w:t>
      </w:r>
      <w:r>
        <w:rPr>
          <w:rFonts w:ascii="Times New Roman" w:eastAsia="Times New Roman" w:hAnsi="Times New Roman" w:cs="Times New Roman"/>
          <w:sz w:val="24"/>
          <w:szCs w:val="24"/>
        </w:rPr>
        <w:t>EO</w:t>
      </w:r>
    </w:p>
    <w:p w14:paraId="3710BAA2"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Conway, J. (2023). </w:t>
      </w:r>
      <w:r>
        <w:rPr>
          <w:rFonts w:ascii="Times New Roman" w:eastAsia="Times New Roman" w:hAnsi="Times New Roman" w:cs="Times New Roman"/>
          <w:i/>
          <w:sz w:val="24"/>
          <w:szCs w:val="24"/>
        </w:rPr>
        <w:t>Diageo: Statistics &amp; facts</w:t>
      </w:r>
      <w:r>
        <w:rPr>
          <w:rFonts w:ascii="Times New Roman" w:eastAsia="Times New Roman" w:hAnsi="Times New Roman" w:cs="Times New Roman"/>
          <w:sz w:val="24"/>
          <w:szCs w:val="24"/>
        </w:rPr>
        <w:t xml:space="preserve">. Statistic. [Online] </w:t>
      </w:r>
    </w:p>
    <w:p w14:paraId="17D4AECC"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p>
    <w:p w14:paraId="554288B2" w14:textId="77777777" w:rsidR="00D44912" w:rsidRDefault="00B65A4A">
      <w:pPr>
        <w:spacing w:line="480" w:lineRule="auto"/>
        <w:ind w:firstLine="720"/>
        <w:rPr>
          <w:rFonts w:ascii="Times New Roman" w:eastAsia="Times New Roman" w:hAnsi="Times New Roman" w:cs="Times New Roman"/>
          <w:sz w:val="24"/>
          <w:szCs w:val="24"/>
        </w:rPr>
      </w:pPr>
      <w:hyperlink r:id="rId10" w:anchor="topicOverview">
        <w:r>
          <w:rPr>
            <w:rFonts w:ascii="Times New Roman" w:eastAsia="Times New Roman" w:hAnsi="Times New Roman" w:cs="Times New Roman"/>
            <w:sz w:val="24"/>
            <w:szCs w:val="24"/>
            <w:u w:val="single"/>
          </w:rPr>
          <w:t>https://www.statista.com/topics/2410/diageo/#topicOverview</w:t>
        </w:r>
      </w:hyperlink>
      <w:r>
        <w:rPr>
          <w:rFonts w:ascii="Times New Roman" w:eastAsia="Times New Roman" w:hAnsi="Times New Roman" w:cs="Times New Roman"/>
          <w:sz w:val="24"/>
          <w:szCs w:val="24"/>
        </w:rPr>
        <w:t xml:space="preserve"> [Accessed: 20/11/2023]</w:t>
      </w:r>
    </w:p>
    <w:p w14:paraId="74830487"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 Si</w:t>
      </w:r>
      <w:r>
        <w:rPr>
          <w:rFonts w:ascii="Times New Roman" w:eastAsia="Times New Roman" w:hAnsi="Times New Roman" w:cs="Times New Roman"/>
          <w:sz w:val="24"/>
          <w:szCs w:val="24"/>
        </w:rPr>
        <w:t xml:space="preserve">lva Lopes, T. (2015). A Systems View of Corporate Diversification: The Case of the Global </w:t>
      </w:r>
    </w:p>
    <w:p w14:paraId="6151B683" w14:textId="77777777" w:rsidR="00D44912" w:rsidRDefault="00B65A4A">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Alcoholic Beverages Industry. </w:t>
      </w:r>
      <w:r>
        <w:rPr>
          <w:rFonts w:ascii="Times New Roman" w:eastAsia="Times New Roman" w:hAnsi="Times New Roman" w:cs="Times New Roman"/>
          <w:i/>
          <w:sz w:val="24"/>
          <w:szCs w:val="24"/>
        </w:rPr>
        <w:t>International Studies of Management &amp; Organization</w:t>
      </w:r>
      <w:r>
        <w:rPr>
          <w:rFonts w:ascii="Times New Roman" w:eastAsia="Times New Roman" w:hAnsi="Times New Roman" w:cs="Times New Roman"/>
          <w:sz w:val="24"/>
          <w:szCs w:val="24"/>
        </w:rPr>
        <w:t>, 45(4), 342-358.</w:t>
      </w:r>
    </w:p>
    <w:p w14:paraId="16D3A904"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(2011). </w:t>
      </w:r>
      <w:r>
        <w:rPr>
          <w:rFonts w:ascii="Times New Roman" w:eastAsia="Times New Roman" w:hAnsi="Times New Roman" w:cs="Times New Roman"/>
          <w:i/>
          <w:sz w:val="24"/>
          <w:szCs w:val="24"/>
        </w:rPr>
        <w:t>Diageo's first sustainable packaging guidelines pub</w:t>
      </w:r>
      <w:r>
        <w:rPr>
          <w:rFonts w:ascii="Times New Roman" w:eastAsia="Times New Roman" w:hAnsi="Times New Roman" w:cs="Times New Roman"/>
          <w:i/>
          <w:sz w:val="24"/>
          <w:szCs w:val="24"/>
        </w:rPr>
        <w:t>lished</w:t>
      </w:r>
      <w:r>
        <w:rPr>
          <w:rFonts w:ascii="Times New Roman" w:eastAsia="Times New Roman" w:hAnsi="Times New Roman" w:cs="Times New Roman"/>
          <w:sz w:val="24"/>
          <w:szCs w:val="24"/>
        </w:rPr>
        <w:t xml:space="preserve">. CSR Wire. [Online] </w:t>
      </w:r>
    </w:p>
    <w:p w14:paraId="5107C7BB"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p>
    <w:p w14:paraId="32864380" w14:textId="77777777" w:rsidR="00D44912" w:rsidRDefault="00B65A4A">
      <w:pPr>
        <w:spacing w:line="480" w:lineRule="auto"/>
        <w:ind w:left="720"/>
        <w:rPr>
          <w:rFonts w:ascii="Times New Roman" w:eastAsia="Times New Roman" w:hAnsi="Times New Roman" w:cs="Times New Roman"/>
          <w:sz w:val="24"/>
          <w:szCs w:val="24"/>
        </w:rPr>
      </w:pPr>
      <w:hyperlink r:id="rId11">
        <w:r>
          <w:rPr>
            <w:rFonts w:ascii="Times New Roman" w:eastAsia="Times New Roman" w:hAnsi="Times New Roman" w:cs="Times New Roman"/>
            <w:sz w:val="24"/>
            <w:szCs w:val="24"/>
            <w:u w:val="single"/>
          </w:rPr>
          <w:t>https://www.csrwire.com/press_releases/33476-diageo-s-first-sustainable-packaging-</w:t>
        </w:r>
      </w:hyperlink>
      <w:r>
        <w:rPr>
          <w:rFonts w:ascii="Times New Roman" w:eastAsia="Times New Roman" w:hAnsi="Times New Roman" w:cs="Times New Roman"/>
          <w:sz w:val="24"/>
          <w:szCs w:val="24"/>
        </w:rPr>
        <w:t xml:space="preserve">guidelines-published </w:t>
      </w:r>
      <w:r>
        <w:rPr>
          <w:rFonts w:ascii="Times New Roman" w:eastAsia="Times New Roman" w:hAnsi="Times New Roman" w:cs="Times New Roman"/>
          <w:sz w:val="24"/>
          <w:szCs w:val="24"/>
        </w:rPr>
        <w:t>[Accessed: 19/11/2023]</w:t>
      </w:r>
    </w:p>
    <w:p w14:paraId="63D854EC"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(2023). </w:t>
      </w:r>
      <w:r>
        <w:rPr>
          <w:rFonts w:ascii="Times New Roman" w:eastAsia="Times New Roman" w:hAnsi="Times New Roman" w:cs="Times New Roman"/>
          <w:i/>
          <w:sz w:val="24"/>
          <w:szCs w:val="24"/>
        </w:rPr>
        <w:t>Brand portfolio</w:t>
      </w:r>
      <w:r>
        <w:rPr>
          <w:rFonts w:ascii="Times New Roman" w:eastAsia="Times New Roman" w:hAnsi="Times New Roman" w:cs="Times New Roman"/>
          <w:sz w:val="24"/>
          <w:szCs w:val="24"/>
        </w:rPr>
        <w:t xml:space="preserve">. [Online] </w:t>
      </w:r>
    </w:p>
    <w:p w14:paraId="7D3ED040"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sz w:val="24"/>
            <w:szCs w:val="24"/>
            <w:u w:val="single"/>
          </w:rPr>
          <w:t>https://www.diageo.com/en/our-brands/brand-portfolio</w:t>
        </w:r>
      </w:hyperlink>
      <w:r>
        <w:rPr>
          <w:rFonts w:ascii="Times New Roman" w:eastAsia="Times New Roman" w:hAnsi="Times New Roman" w:cs="Times New Roman"/>
          <w:sz w:val="24"/>
          <w:szCs w:val="24"/>
        </w:rPr>
        <w:t xml:space="preserve"> </w:t>
      </w:r>
    </w:p>
    <w:p w14:paraId="6DC82461"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[Accessed: 20/11/2023]</w:t>
      </w:r>
    </w:p>
    <w:p w14:paraId="32288444"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(2023, a). </w:t>
      </w:r>
      <w:r>
        <w:rPr>
          <w:rFonts w:ascii="Times New Roman" w:eastAsia="Times New Roman" w:hAnsi="Times New Roman" w:cs="Times New Roman"/>
          <w:i/>
          <w:sz w:val="24"/>
          <w:szCs w:val="24"/>
        </w:rPr>
        <w:t>Our stra</w:t>
      </w:r>
      <w:r>
        <w:rPr>
          <w:rFonts w:ascii="Times New Roman" w:eastAsia="Times New Roman" w:hAnsi="Times New Roman" w:cs="Times New Roman"/>
          <w:i/>
          <w:sz w:val="24"/>
          <w:szCs w:val="24"/>
        </w:rPr>
        <w:t>tegy</w:t>
      </w:r>
      <w:r>
        <w:rPr>
          <w:rFonts w:ascii="Times New Roman" w:eastAsia="Times New Roman" w:hAnsi="Times New Roman" w:cs="Times New Roman"/>
          <w:sz w:val="24"/>
          <w:szCs w:val="24"/>
        </w:rPr>
        <w:t xml:space="preserve">. [Online] </w:t>
      </w:r>
    </w:p>
    <w:p w14:paraId="5766F540"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Available at: </w:t>
      </w:r>
      <w:hyperlink r:id="rId13">
        <w:r>
          <w:rPr>
            <w:rFonts w:ascii="Times New Roman" w:eastAsia="Times New Roman" w:hAnsi="Times New Roman" w:cs="Times New Roman"/>
            <w:sz w:val="24"/>
            <w:szCs w:val="24"/>
            <w:u w:val="single"/>
          </w:rPr>
          <w:t>https://www.diageo.com/en/our-business/our-strategy</w:t>
        </w:r>
      </w:hyperlink>
      <w:r>
        <w:rPr>
          <w:rFonts w:ascii="Times New Roman" w:eastAsia="Times New Roman" w:hAnsi="Times New Roman" w:cs="Times New Roman"/>
          <w:sz w:val="24"/>
          <w:szCs w:val="24"/>
        </w:rPr>
        <w:t xml:space="preserve"> </w:t>
      </w:r>
    </w:p>
    <w:p w14:paraId="23DB7C35"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[Accessed: 20/11/2023]</w:t>
      </w:r>
    </w:p>
    <w:p w14:paraId="3638BC92"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(2023, b). </w:t>
      </w:r>
      <w:r>
        <w:rPr>
          <w:rFonts w:ascii="Times New Roman" w:eastAsia="Times New Roman" w:hAnsi="Times New Roman" w:cs="Times New Roman"/>
          <w:i/>
          <w:sz w:val="24"/>
          <w:szCs w:val="24"/>
        </w:rPr>
        <w:t>Water stewardship.</w:t>
      </w:r>
      <w:r>
        <w:rPr>
          <w:rFonts w:ascii="Times New Roman" w:eastAsia="Times New Roman" w:hAnsi="Times New Roman" w:cs="Times New Roman"/>
          <w:sz w:val="24"/>
          <w:szCs w:val="24"/>
        </w:rPr>
        <w:t xml:space="preserve"> [Online] </w:t>
      </w:r>
    </w:p>
    <w:p w14:paraId="39A6F32C"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 at:</w:t>
      </w:r>
    </w:p>
    <w:p w14:paraId="54CBB96C" w14:textId="77777777" w:rsidR="00D44912" w:rsidRDefault="00B65A4A">
      <w:pPr>
        <w:spacing w:line="480" w:lineRule="auto"/>
        <w:ind w:firstLine="720"/>
        <w:rPr>
          <w:rFonts w:ascii="Times New Roman" w:eastAsia="Times New Roman" w:hAnsi="Times New Roman" w:cs="Times New Roman"/>
          <w:sz w:val="24"/>
          <w:szCs w:val="24"/>
        </w:rPr>
      </w:pPr>
      <w:hyperlink r:id="rId14">
        <w:r>
          <w:rPr>
            <w:rFonts w:ascii="Times New Roman" w:eastAsia="Times New Roman" w:hAnsi="Times New Roman" w:cs="Times New Roman"/>
            <w:sz w:val="24"/>
            <w:szCs w:val="24"/>
            <w:u w:val="single"/>
          </w:rPr>
          <w:t>https://www.diageo.com/en/esg/sustainability/water-stewardship</w:t>
        </w:r>
      </w:hyperlink>
      <w:r>
        <w:rPr>
          <w:rFonts w:ascii="Times New Roman" w:eastAsia="Times New Roman" w:hAnsi="Times New Roman" w:cs="Times New Roman"/>
          <w:sz w:val="24"/>
          <w:szCs w:val="24"/>
        </w:rPr>
        <w:t xml:space="preserve"> [Accessed: 20/11/2023]</w:t>
      </w:r>
    </w:p>
    <w:p w14:paraId="2695474B"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Diageo. (2023, c). </w:t>
      </w:r>
      <w:r>
        <w:rPr>
          <w:rFonts w:ascii="Times New Roman" w:eastAsia="Times New Roman" w:hAnsi="Times New Roman" w:cs="Times New Roman"/>
          <w:i/>
          <w:sz w:val="24"/>
          <w:szCs w:val="24"/>
        </w:rPr>
        <w:t xml:space="preserve">Packaging. </w:t>
      </w:r>
      <w:r>
        <w:rPr>
          <w:rFonts w:ascii="Times New Roman" w:eastAsia="Times New Roman" w:hAnsi="Times New Roman" w:cs="Times New Roman"/>
          <w:sz w:val="24"/>
          <w:szCs w:val="24"/>
        </w:rPr>
        <w:t xml:space="preserve">[Online] </w:t>
      </w:r>
    </w:p>
    <w:p w14:paraId="47DCC0AB"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sz w:val="24"/>
            <w:szCs w:val="24"/>
            <w:u w:val="single"/>
          </w:rPr>
          <w:t>https://www.diageo.com/en/esg/sustainability/packaging</w:t>
        </w:r>
      </w:hyperlink>
    </w:p>
    <w:p w14:paraId="7AD83157"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[Accessed: 20/11/2023]</w:t>
      </w:r>
    </w:p>
    <w:p w14:paraId="52E9D2E9" w14:textId="77777777" w:rsidR="00D44912" w:rsidRDefault="00B65A4A">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Fogel, D. S. (2016). </w:t>
      </w:r>
      <w:r>
        <w:rPr>
          <w:rFonts w:ascii="Times New Roman" w:eastAsia="Times New Roman" w:hAnsi="Times New Roman" w:cs="Times New Roman"/>
          <w:i/>
          <w:sz w:val="24"/>
          <w:szCs w:val="24"/>
        </w:rPr>
        <w:t xml:space="preserve">Strategic Sustainability: A Natural Environmental Lens on Organizations </w:t>
      </w:r>
    </w:p>
    <w:p w14:paraId="6F4D1BAB"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and Management</w:t>
      </w:r>
      <w:r>
        <w:rPr>
          <w:rFonts w:ascii="Times New Roman" w:eastAsia="Times New Roman" w:hAnsi="Times New Roman" w:cs="Times New Roman"/>
          <w:sz w:val="24"/>
          <w:szCs w:val="24"/>
        </w:rPr>
        <w:t>. 1 ed. New York: Routledge.</w:t>
      </w:r>
    </w:p>
    <w:p w14:paraId="7C2B65F4"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G. et al. (2017). </w:t>
      </w:r>
      <w:r>
        <w:rPr>
          <w:rFonts w:ascii="Times New Roman" w:eastAsia="Times New Roman" w:hAnsi="Times New Roman" w:cs="Times New Roman"/>
          <w:i/>
          <w:sz w:val="24"/>
          <w:szCs w:val="24"/>
        </w:rPr>
        <w:t>Exploring Corporate: Text and Cases</w:t>
      </w:r>
      <w:r>
        <w:rPr>
          <w:rFonts w:ascii="Times New Roman" w:eastAsia="Times New Roman" w:hAnsi="Times New Roman" w:cs="Times New Roman"/>
          <w:sz w:val="24"/>
          <w:szCs w:val="24"/>
        </w:rPr>
        <w:t xml:space="preserve">. 11 ed. Harlow: Pearson </w:t>
      </w:r>
    </w:p>
    <w:p w14:paraId="27F34524"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 Limited.</w:t>
      </w:r>
    </w:p>
    <w:p w14:paraId="3AB04787"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Lynch, R. (2015). </w:t>
      </w:r>
      <w:r>
        <w:rPr>
          <w:rFonts w:ascii="Times New Roman" w:eastAsia="Times New Roman" w:hAnsi="Times New Roman" w:cs="Times New Roman"/>
          <w:i/>
          <w:sz w:val="24"/>
          <w:szCs w:val="24"/>
        </w:rPr>
        <w:t>Strategic management.</w:t>
      </w:r>
      <w:r>
        <w:rPr>
          <w:rFonts w:ascii="Times New Roman" w:eastAsia="Times New Roman" w:hAnsi="Times New Roman" w:cs="Times New Roman"/>
          <w:sz w:val="24"/>
          <w:szCs w:val="24"/>
        </w:rPr>
        <w:t xml:space="preserve"> 7 ed. Harlow: Pearson Education Limited.</w:t>
      </w:r>
    </w:p>
    <w:p w14:paraId="17B4CA88"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GlobalData Plc. (2023). </w:t>
      </w:r>
      <w:r>
        <w:rPr>
          <w:rFonts w:ascii="Times New Roman" w:eastAsia="Times New Roman" w:hAnsi="Times New Roman" w:cs="Times New Roman"/>
          <w:i/>
          <w:sz w:val="24"/>
          <w:szCs w:val="24"/>
        </w:rPr>
        <w:t>Diageo Plc: Company profile</w:t>
      </w:r>
      <w:r>
        <w:rPr>
          <w:rFonts w:ascii="Times New Roman" w:eastAsia="Times New Roman" w:hAnsi="Times New Roman" w:cs="Times New Roman"/>
          <w:sz w:val="24"/>
          <w:szCs w:val="24"/>
        </w:rPr>
        <w:t xml:space="preserve">. GlobalData. </w:t>
      </w:r>
    </w:p>
    <w:p w14:paraId="0DCA77A2"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https://www.globaldata.com/company-profile/diageo-plc/</w:t>
      </w:r>
    </w:p>
    <w:p w14:paraId="2B5C4C7B"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Grant, R. M. (2018). </w:t>
      </w:r>
      <w:r>
        <w:rPr>
          <w:rFonts w:ascii="Times New Roman" w:eastAsia="Times New Roman" w:hAnsi="Times New Roman" w:cs="Times New Roman"/>
          <w:i/>
          <w:sz w:val="24"/>
          <w:szCs w:val="24"/>
        </w:rPr>
        <w:t>Contemporary strategy analysis.</w:t>
      </w:r>
      <w:r>
        <w:rPr>
          <w:rFonts w:ascii="Times New Roman" w:eastAsia="Times New Roman" w:hAnsi="Times New Roman" w:cs="Times New Roman"/>
          <w:sz w:val="24"/>
          <w:szCs w:val="24"/>
        </w:rPr>
        <w:t xml:space="preserve"> 10 ed. NJ: John Wiley &amp; Sons, Inc.</w:t>
      </w:r>
    </w:p>
    <w:p w14:paraId="0EEEE13B"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C. W. L., Schilling, M. A. &amp; Jones, G. R. (2017). </w:t>
      </w:r>
      <w:r>
        <w:rPr>
          <w:rFonts w:ascii="Times New Roman" w:eastAsia="Times New Roman" w:hAnsi="Times New Roman" w:cs="Times New Roman"/>
          <w:i/>
          <w:sz w:val="24"/>
          <w:szCs w:val="24"/>
        </w:rPr>
        <w:t>Strategic management theory</w:t>
      </w:r>
      <w:r>
        <w:rPr>
          <w:rFonts w:ascii="Times New Roman" w:eastAsia="Times New Roman" w:hAnsi="Times New Roman" w:cs="Times New Roman"/>
          <w:sz w:val="24"/>
          <w:szCs w:val="24"/>
        </w:rPr>
        <w:t xml:space="preserve">. 12 ed. </w:t>
      </w:r>
    </w:p>
    <w:p w14:paraId="7D43400A"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Boston: Cengage Lear</w:t>
      </w:r>
      <w:r>
        <w:rPr>
          <w:rFonts w:ascii="Times New Roman" w:eastAsia="Times New Roman" w:hAnsi="Times New Roman" w:cs="Times New Roman"/>
          <w:sz w:val="24"/>
          <w:szCs w:val="24"/>
        </w:rPr>
        <w:t>ning.</w:t>
      </w:r>
    </w:p>
    <w:p w14:paraId="17FCB4E6"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Islami, X., Mustafa, N., &amp; Topuzovska Latkovikj, M. (2020). Linking Porter’s generic strategies </w:t>
      </w:r>
    </w:p>
    <w:p w14:paraId="54B4995F" w14:textId="77777777" w:rsidR="00D44912" w:rsidRDefault="00B65A4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firm performance. </w:t>
      </w:r>
      <w:r>
        <w:rPr>
          <w:rFonts w:ascii="Times New Roman" w:eastAsia="Times New Roman" w:hAnsi="Times New Roman" w:cs="Times New Roman"/>
          <w:i/>
          <w:sz w:val="24"/>
          <w:szCs w:val="24"/>
        </w:rPr>
        <w:t xml:space="preserve">Future Business Journal, </w:t>
      </w:r>
      <w:r>
        <w:rPr>
          <w:rFonts w:ascii="Times New Roman" w:eastAsia="Times New Roman" w:hAnsi="Times New Roman" w:cs="Times New Roman"/>
          <w:sz w:val="24"/>
          <w:szCs w:val="24"/>
        </w:rPr>
        <w:t>6, 1-15.</w:t>
      </w:r>
    </w:p>
    <w:p w14:paraId="2F6CA5BC"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Murcia, N. N., Ferreira, F. A., &amp; Ferreira, J. J. (2022). Enhancing strategic management using a </w:t>
      </w:r>
    </w:p>
    <w:p w14:paraId="761ED710" w14:textId="77777777" w:rsidR="00D44912" w:rsidRDefault="00B65A4A">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“quantified VRIO”: Adding value with the MCDA approach.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174, 121251.</w:t>
      </w:r>
    </w:p>
    <w:p w14:paraId="182D82BE" w14:textId="77777777" w:rsidR="00D44912" w:rsidRDefault="00B65A4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Sekhon, M., Cartwright, M., &amp; Francis, J. J. (2017). Acceptability of healthcare interventions: an </w:t>
      </w:r>
    </w:p>
    <w:p w14:paraId="24FD654D" w14:textId="77777777" w:rsidR="00D44912" w:rsidRDefault="00B65A4A">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overview of reviews and development of a t</w:t>
      </w:r>
      <w:r>
        <w:rPr>
          <w:rFonts w:ascii="Times New Roman" w:eastAsia="Times New Roman" w:hAnsi="Times New Roman" w:cs="Times New Roman"/>
          <w:sz w:val="24"/>
          <w:szCs w:val="24"/>
        </w:rPr>
        <w:t>heoretical framework</w:t>
      </w:r>
      <w:r>
        <w:rPr>
          <w:rFonts w:ascii="Times New Roman" w:eastAsia="Times New Roman" w:hAnsi="Times New Roman" w:cs="Times New Roman"/>
          <w:i/>
          <w:sz w:val="24"/>
          <w:szCs w:val="24"/>
        </w:rPr>
        <w:t>. BMC Health Services Research</w:t>
      </w:r>
      <w:r>
        <w:rPr>
          <w:rFonts w:ascii="Times New Roman" w:eastAsia="Times New Roman" w:hAnsi="Times New Roman" w:cs="Times New Roman"/>
          <w:sz w:val="24"/>
          <w:szCs w:val="24"/>
        </w:rPr>
        <w:t>, 17(1), 1-13.</w:t>
      </w:r>
    </w:p>
    <w:p w14:paraId="2824103E" w14:textId="77777777" w:rsidR="00D44912" w:rsidRDefault="00B65A4A">
      <w:pPr>
        <w:spacing w:line="480" w:lineRule="auto"/>
        <w:rPr>
          <w:rFonts w:ascii="Times New Roman" w:eastAsia="Times New Roman" w:hAnsi="Times New Roman" w:cs="Times New Roman"/>
          <w:sz w:val="24"/>
          <w:szCs w:val="24"/>
        </w:rPr>
      </w:pPr>
      <w:bookmarkStart w:id="17" w:name="_44sinio" w:colFirst="0" w:colLast="0"/>
      <w:bookmarkEnd w:id="17"/>
      <w:r>
        <w:rPr>
          <w:rFonts w:ascii="Times New Roman" w:eastAsia="Times New Roman" w:hAnsi="Times New Roman" w:cs="Times New Roman"/>
          <w:sz w:val="24"/>
          <w:szCs w:val="24"/>
        </w:rPr>
        <w:t xml:space="preserve">Whittington, R. et al. (2020). </w:t>
      </w:r>
      <w:r>
        <w:rPr>
          <w:rFonts w:ascii="Times New Roman" w:eastAsia="Times New Roman" w:hAnsi="Times New Roman" w:cs="Times New Roman"/>
          <w:i/>
          <w:sz w:val="24"/>
          <w:szCs w:val="24"/>
        </w:rPr>
        <w:t>Exploring strategy</w:t>
      </w:r>
      <w:r>
        <w:rPr>
          <w:rFonts w:ascii="Times New Roman" w:eastAsia="Times New Roman" w:hAnsi="Times New Roman" w:cs="Times New Roman"/>
          <w:sz w:val="24"/>
          <w:szCs w:val="24"/>
        </w:rPr>
        <w:t>. 12 ed. Harlow: Pearson Education Limited.</w:t>
      </w:r>
    </w:p>
    <w:p w14:paraId="0A8FE920" w14:textId="77777777" w:rsidR="00D44912" w:rsidRDefault="00D44912">
      <w:pPr>
        <w:spacing w:line="480" w:lineRule="auto"/>
        <w:rPr>
          <w:rFonts w:ascii="Times New Roman" w:eastAsia="Times New Roman" w:hAnsi="Times New Roman" w:cs="Times New Roman"/>
          <w:sz w:val="24"/>
          <w:szCs w:val="24"/>
        </w:rPr>
      </w:pPr>
    </w:p>
    <w:p w14:paraId="4DEF38DB" w14:textId="77777777" w:rsidR="00D44912" w:rsidRDefault="00D44912">
      <w:pPr>
        <w:spacing w:line="480" w:lineRule="auto"/>
        <w:rPr>
          <w:rFonts w:ascii="Times New Roman" w:eastAsia="Times New Roman" w:hAnsi="Times New Roman" w:cs="Times New Roman"/>
          <w:sz w:val="24"/>
          <w:szCs w:val="24"/>
        </w:rPr>
      </w:pPr>
    </w:p>
    <w:sectPr w:rsidR="00D44912">
      <w:headerReference w:type="defaul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B65129" w14:textId="77777777" w:rsidR="00B65A4A" w:rsidRDefault="00B65A4A">
      <w:pPr>
        <w:spacing w:after="0" w:line="240" w:lineRule="auto"/>
      </w:pPr>
      <w:r>
        <w:separator/>
      </w:r>
    </w:p>
  </w:endnote>
  <w:endnote w:type="continuationSeparator" w:id="0">
    <w:p w14:paraId="76C94E05" w14:textId="77777777" w:rsidR="00B65A4A" w:rsidRDefault="00B65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015B7D" w14:textId="77777777" w:rsidR="00B65A4A" w:rsidRDefault="00B65A4A">
      <w:pPr>
        <w:spacing w:after="0" w:line="240" w:lineRule="auto"/>
      </w:pPr>
      <w:r>
        <w:separator/>
      </w:r>
    </w:p>
  </w:footnote>
  <w:footnote w:type="continuationSeparator" w:id="0">
    <w:p w14:paraId="05834FC0" w14:textId="77777777" w:rsidR="00B65A4A" w:rsidRDefault="00B65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C136C" w14:textId="65F073C8" w:rsidR="00D44912" w:rsidRDefault="00B65A4A">
    <w:pPr>
      <w:pBdr>
        <w:top w:val="nil"/>
        <w:left w:val="nil"/>
        <w:bottom w:val="nil"/>
        <w:right w:val="nil"/>
        <w:between w:val="nil"/>
      </w:pBdr>
      <w:tabs>
        <w:tab w:val="center" w:pos="4680"/>
        <w:tab w:val="right" w:pos="9360"/>
      </w:tabs>
      <w:spacing w:after="0" w:line="48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Strategic Management of Diageo Company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1051A6">
      <w:rPr>
        <w:rFonts w:ascii="Times New Roman" w:eastAsia="Times New Roman" w:hAnsi="Times New Roman" w:cs="Times New Roman"/>
        <w:noProof/>
        <w:color w:val="000000"/>
        <w:sz w:val="24"/>
        <w:szCs w:val="24"/>
      </w:rPr>
      <w:t>3</w:t>
    </w:r>
    <w:r>
      <w:rPr>
        <w:rFonts w:ascii="Times New Roman" w:eastAsia="Times New Roman" w:hAnsi="Times New Roman" w:cs="Times New Roman"/>
        <w:color w:val="000000"/>
        <w:sz w:val="24"/>
        <w:szCs w:val="24"/>
      </w:rPr>
      <w:fldChar w:fldCharType="end"/>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6449F"/>
    <w:multiLevelType w:val="multilevel"/>
    <w:tmpl w:val="917A73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912"/>
    <w:rsid w:val="001051A6"/>
    <w:rsid w:val="00174647"/>
    <w:rsid w:val="005F7400"/>
    <w:rsid w:val="00B65A4A"/>
    <w:rsid w:val="00D4491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273C4"/>
  <w15:docId w15:val="{FB92DECE-C687-4CB7-81BC-724B3EA09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uiPriority w:val="9"/>
    <w:qFormat/>
    <w:pPr>
      <w:keepNext/>
      <w:keepLines/>
      <w:spacing w:before="240" w:after="0"/>
      <w:outlineLvl w:val="0"/>
    </w:pPr>
    <w:rPr>
      <w:color w:val="2E75B5"/>
      <w:sz w:val="32"/>
      <w:szCs w:val="32"/>
    </w:rPr>
  </w:style>
  <w:style w:type="paragraph" w:styleId="2">
    <w:name w:val="heading 2"/>
    <w:basedOn w:val="a"/>
    <w:next w:val="a"/>
    <w:uiPriority w:val="9"/>
    <w:unhideWhenUsed/>
    <w:qFormat/>
    <w:pPr>
      <w:keepNext/>
      <w:keepLines/>
      <w:spacing w:before="360" w:after="80"/>
      <w:outlineLvl w:val="1"/>
    </w:pPr>
    <w:rPr>
      <w:b/>
      <w:sz w:val="36"/>
      <w:szCs w:val="36"/>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sz w:val="24"/>
      <w:szCs w:val="24"/>
    </w:rPr>
  </w:style>
  <w:style w:type="paragraph" w:styleId="5">
    <w:name w:val="heading 5"/>
    <w:basedOn w:val="a"/>
    <w:next w:val="a"/>
    <w:uiPriority w:val="9"/>
    <w:semiHidden/>
    <w:unhideWhenUsed/>
    <w:qFormat/>
    <w:pPr>
      <w:keepNext/>
      <w:keepLines/>
      <w:spacing w:before="220" w:after="40"/>
      <w:outlineLvl w:val="4"/>
    </w:pPr>
    <w:rPr>
      <w:b/>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5">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08" w:type="dxa"/>
        <w:right w:w="108" w:type="dxa"/>
      </w:tblCellMar>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ageo.com/en/our-business/our-strate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ageo.com/en/our-brands/brand-portfolio"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srwire.com/press_releases/33476-diageo-s-first-sustainable-packaging-" TargetMode="External"/><Relationship Id="rId5" Type="http://schemas.openxmlformats.org/officeDocument/2006/relationships/footnotes" Target="footnotes.xml"/><Relationship Id="rId15" Type="http://schemas.openxmlformats.org/officeDocument/2006/relationships/hyperlink" Target="https://www.diageo.com/en/esg/sustainability/packaging" TargetMode="External"/><Relationship Id="rId10" Type="http://schemas.openxmlformats.org/officeDocument/2006/relationships/hyperlink" Target="https://www.statista.com/topics/2410/diage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iageo.com/en/esg/sustainability/water-steward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4039</Words>
  <Characters>23028</Characters>
  <Application>Microsoft Office Word</Application>
  <DocSecurity>0</DocSecurity>
  <Lines>191</Lines>
  <Paragraphs>54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 Nedzhmiev</dc:creator>
  <cp:lastModifiedBy>Denis</cp:lastModifiedBy>
  <cp:revision>2</cp:revision>
  <dcterms:created xsi:type="dcterms:W3CDTF">2023-12-21T10:45:00Z</dcterms:created>
  <dcterms:modified xsi:type="dcterms:W3CDTF">2023-12-21T10:45:00Z</dcterms:modified>
</cp:coreProperties>
</file>