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0E3A" w:rsidRDefault="00B106FB" w:rsidP="00B106FB">
      <w:pPr>
        <w:jc w:val="center"/>
        <w:rPr>
          <w:rStyle w:val="Emphasis"/>
          <w:rFonts w:ascii="Times New Roman" w:eastAsia="Times New Roman" w:hAnsi="Times New Roman" w:cs="Times New Roman"/>
          <w:b/>
          <w:i w:val="0"/>
          <w:color w:val="000000"/>
          <w:sz w:val="28"/>
          <w:szCs w:val="20"/>
          <w:lang w:eastAsia="en-GB"/>
        </w:rPr>
      </w:pPr>
      <w:r>
        <w:rPr>
          <w:noProof/>
          <w:lang w:eastAsia="en-GB"/>
        </w:rPr>
        <w:drawing>
          <wp:inline distT="0" distB="0" distL="0" distR="0" wp14:anchorId="7428D777" wp14:editId="5DDEE5A4">
            <wp:extent cx="4643562" cy="1856190"/>
            <wp:effectExtent l="0" t="0" r="5080" b="0"/>
            <wp:docPr id="7" name="Picture 7"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43562" cy="1856190"/>
                    </a:xfrm>
                    <a:prstGeom prst="rect">
                      <a:avLst/>
                    </a:prstGeom>
                    <a:noFill/>
                    <a:ln>
                      <a:noFill/>
                    </a:ln>
                  </pic:spPr>
                </pic:pic>
              </a:graphicData>
            </a:graphic>
          </wp:inline>
        </w:drawing>
      </w:r>
    </w:p>
    <w:p w:rsidR="004B0E3A" w:rsidRDefault="004B0E3A">
      <w:pPr>
        <w:rPr>
          <w:rStyle w:val="Emphasis"/>
          <w:rFonts w:ascii="Times New Roman" w:eastAsia="Times New Roman" w:hAnsi="Times New Roman" w:cs="Times New Roman"/>
          <w:b/>
          <w:i w:val="0"/>
          <w:color w:val="000000"/>
          <w:sz w:val="28"/>
          <w:szCs w:val="20"/>
          <w:lang w:eastAsia="en-GB"/>
        </w:rPr>
      </w:pPr>
    </w:p>
    <w:p w:rsidR="004B0E3A" w:rsidRDefault="004B0E3A">
      <w:pPr>
        <w:rPr>
          <w:rStyle w:val="Emphasis"/>
          <w:rFonts w:ascii="Times New Roman" w:eastAsia="Times New Roman" w:hAnsi="Times New Roman" w:cs="Times New Roman"/>
          <w:b/>
          <w:i w:val="0"/>
          <w:color w:val="000000"/>
          <w:sz w:val="28"/>
          <w:szCs w:val="20"/>
          <w:lang w:eastAsia="en-GB"/>
        </w:rPr>
      </w:pPr>
    </w:p>
    <w:p w:rsidR="00B106FB" w:rsidRDefault="00B106FB" w:rsidP="00B106FB"/>
    <w:p w:rsidR="00B106FB" w:rsidRPr="00FC76FE" w:rsidRDefault="00B106FB" w:rsidP="00B106FB">
      <w:pPr>
        <w:rPr>
          <w:rFonts w:ascii="Times New Roman" w:hAnsi="Times New Roman" w:cs="Times New Roman"/>
          <w:b/>
          <w:sz w:val="28"/>
        </w:rPr>
      </w:pPr>
      <w:r w:rsidRPr="00FC76FE">
        <w:rPr>
          <w:rFonts w:ascii="Times New Roman" w:hAnsi="Times New Roman" w:cs="Times New Roman"/>
          <w:b/>
          <w:sz w:val="28"/>
        </w:rPr>
        <w:t>Student name: Sagar Rajodiya</w:t>
      </w:r>
    </w:p>
    <w:p w:rsidR="00B106FB" w:rsidRPr="00FC76FE" w:rsidRDefault="00B106FB" w:rsidP="00B106FB">
      <w:pPr>
        <w:rPr>
          <w:rFonts w:ascii="Times New Roman" w:hAnsi="Times New Roman" w:cs="Times New Roman"/>
          <w:b/>
          <w:sz w:val="28"/>
        </w:rPr>
      </w:pPr>
    </w:p>
    <w:p w:rsidR="00B106FB" w:rsidRPr="00FC76FE" w:rsidRDefault="00B106FB" w:rsidP="00B106FB">
      <w:pPr>
        <w:rPr>
          <w:rFonts w:ascii="Times New Roman" w:hAnsi="Times New Roman" w:cs="Times New Roman"/>
          <w:b/>
          <w:sz w:val="28"/>
        </w:rPr>
      </w:pPr>
      <w:r w:rsidRPr="00FC76FE">
        <w:rPr>
          <w:rFonts w:ascii="Times New Roman" w:hAnsi="Times New Roman" w:cs="Times New Roman"/>
          <w:b/>
          <w:sz w:val="28"/>
        </w:rPr>
        <w:t>Student ID: 2241171</w:t>
      </w:r>
    </w:p>
    <w:p w:rsidR="00B106FB" w:rsidRPr="00FC76FE" w:rsidRDefault="00B106FB" w:rsidP="00B106FB">
      <w:pPr>
        <w:rPr>
          <w:rFonts w:ascii="Times New Roman" w:hAnsi="Times New Roman" w:cs="Times New Roman"/>
          <w:b/>
          <w:sz w:val="28"/>
        </w:rPr>
      </w:pPr>
    </w:p>
    <w:p w:rsidR="00B106FB" w:rsidRPr="00FC76FE" w:rsidRDefault="00B106FB" w:rsidP="00B106FB">
      <w:pPr>
        <w:rPr>
          <w:rFonts w:ascii="Times New Roman" w:hAnsi="Times New Roman" w:cs="Times New Roman"/>
          <w:b/>
          <w:sz w:val="28"/>
        </w:rPr>
      </w:pPr>
      <w:r w:rsidRPr="00FC76FE">
        <w:rPr>
          <w:rFonts w:ascii="Times New Roman" w:hAnsi="Times New Roman" w:cs="Times New Roman"/>
          <w:b/>
          <w:sz w:val="28"/>
        </w:rPr>
        <w:t>Program: MBA- Masters of Business Administration</w:t>
      </w:r>
    </w:p>
    <w:p w:rsidR="00B106FB" w:rsidRPr="00FC76FE" w:rsidRDefault="00B106FB" w:rsidP="00B106FB">
      <w:pPr>
        <w:rPr>
          <w:rFonts w:ascii="Times New Roman" w:hAnsi="Times New Roman" w:cs="Times New Roman"/>
          <w:b/>
          <w:sz w:val="28"/>
        </w:rPr>
      </w:pPr>
    </w:p>
    <w:p w:rsidR="00B106FB" w:rsidRPr="00FC76FE" w:rsidRDefault="00B106FB" w:rsidP="00B106FB">
      <w:pPr>
        <w:rPr>
          <w:rFonts w:ascii="Times New Roman" w:hAnsi="Times New Roman" w:cs="Times New Roman"/>
          <w:b/>
          <w:sz w:val="28"/>
        </w:rPr>
      </w:pPr>
      <w:r w:rsidRPr="00FC76FE">
        <w:rPr>
          <w:rFonts w:ascii="Times New Roman" w:hAnsi="Times New Roman" w:cs="Times New Roman"/>
          <w:b/>
          <w:sz w:val="28"/>
        </w:rPr>
        <w:t xml:space="preserve">Module: </w:t>
      </w:r>
      <w:r w:rsidRPr="00B106FB">
        <w:rPr>
          <w:rFonts w:ascii="Times New Roman" w:hAnsi="Times New Roman" w:cs="Times New Roman"/>
          <w:b/>
          <w:sz w:val="28"/>
        </w:rPr>
        <w:t>Banking Financial Management and Financial Markets</w:t>
      </w:r>
    </w:p>
    <w:p w:rsidR="00B106FB" w:rsidRPr="00FC76FE" w:rsidRDefault="00B106FB" w:rsidP="00B106FB">
      <w:pPr>
        <w:rPr>
          <w:rFonts w:ascii="Times New Roman" w:hAnsi="Times New Roman" w:cs="Times New Roman"/>
          <w:b/>
          <w:sz w:val="28"/>
        </w:rPr>
      </w:pPr>
    </w:p>
    <w:p w:rsidR="00B106FB" w:rsidRPr="00FC76FE" w:rsidRDefault="00B106FB" w:rsidP="00B106FB">
      <w:pPr>
        <w:rPr>
          <w:rFonts w:ascii="Times New Roman" w:hAnsi="Times New Roman" w:cs="Times New Roman"/>
          <w:b/>
          <w:sz w:val="28"/>
        </w:rPr>
      </w:pPr>
      <w:r>
        <w:rPr>
          <w:rFonts w:ascii="Times New Roman" w:hAnsi="Times New Roman" w:cs="Times New Roman"/>
          <w:b/>
          <w:sz w:val="28"/>
        </w:rPr>
        <w:t>Module code: LCMB7012</w:t>
      </w:r>
    </w:p>
    <w:p w:rsidR="00B106FB" w:rsidRPr="00FC76FE" w:rsidRDefault="00B106FB" w:rsidP="00B106FB">
      <w:pPr>
        <w:rPr>
          <w:rFonts w:ascii="Times New Roman" w:hAnsi="Times New Roman" w:cs="Times New Roman"/>
          <w:b/>
          <w:sz w:val="28"/>
        </w:rPr>
      </w:pPr>
    </w:p>
    <w:p w:rsidR="00B106FB" w:rsidRPr="00FC76FE" w:rsidRDefault="00B106FB" w:rsidP="00B106FB">
      <w:pPr>
        <w:rPr>
          <w:rFonts w:ascii="Times New Roman" w:hAnsi="Times New Roman" w:cs="Times New Roman"/>
          <w:b/>
          <w:sz w:val="28"/>
        </w:rPr>
      </w:pPr>
      <w:r w:rsidRPr="00FC76FE">
        <w:rPr>
          <w:rFonts w:ascii="Times New Roman" w:hAnsi="Times New Roman" w:cs="Times New Roman"/>
          <w:b/>
          <w:sz w:val="28"/>
        </w:rPr>
        <w:t xml:space="preserve">Lecturer name: </w:t>
      </w:r>
      <w:r>
        <w:rPr>
          <w:rFonts w:ascii="Times New Roman" w:hAnsi="Times New Roman" w:cs="Times New Roman"/>
          <w:b/>
          <w:sz w:val="28"/>
        </w:rPr>
        <w:t>David Coker</w:t>
      </w:r>
    </w:p>
    <w:p w:rsidR="00B106FB" w:rsidRPr="00FC76FE" w:rsidRDefault="00B106FB" w:rsidP="00B106FB">
      <w:pPr>
        <w:rPr>
          <w:rFonts w:ascii="Times New Roman" w:hAnsi="Times New Roman" w:cs="Times New Roman"/>
          <w:b/>
          <w:sz w:val="28"/>
        </w:rPr>
      </w:pPr>
    </w:p>
    <w:p w:rsidR="00B106FB" w:rsidRPr="00FC76FE" w:rsidRDefault="00B106FB" w:rsidP="00B106FB">
      <w:pPr>
        <w:rPr>
          <w:rFonts w:ascii="Times New Roman" w:hAnsi="Times New Roman" w:cs="Times New Roman"/>
          <w:b/>
          <w:sz w:val="28"/>
        </w:rPr>
      </w:pPr>
      <w:r w:rsidRPr="00FC76FE">
        <w:rPr>
          <w:rFonts w:ascii="Times New Roman" w:hAnsi="Times New Roman" w:cs="Times New Roman"/>
          <w:b/>
          <w:sz w:val="28"/>
        </w:rPr>
        <w:t xml:space="preserve">Submitted on: </w:t>
      </w:r>
      <w:r>
        <w:rPr>
          <w:rFonts w:ascii="Times New Roman" w:hAnsi="Times New Roman" w:cs="Times New Roman"/>
          <w:b/>
          <w:sz w:val="28"/>
        </w:rPr>
        <w:t>5</w:t>
      </w:r>
      <w:r w:rsidRPr="00FC76FE">
        <w:rPr>
          <w:rFonts w:ascii="Times New Roman" w:hAnsi="Times New Roman" w:cs="Times New Roman"/>
          <w:b/>
          <w:sz w:val="28"/>
          <w:vertAlign w:val="superscript"/>
        </w:rPr>
        <w:t>th</w:t>
      </w:r>
      <w:r w:rsidRPr="00FC76FE">
        <w:rPr>
          <w:rFonts w:ascii="Times New Roman" w:hAnsi="Times New Roman" w:cs="Times New Roman"/>
          <w:b/>
          <w:sz w:val="28"/>
        </w:rPr>
        <w:t xml:space="preserve"> </w:t>
      </w:r>
      <w:r>
        <w:rPr>
          <w:rFonts w:ascii="Times New Roman" w:hAnsi="Times New Roman" w:cs="Times New Roman"/>
          <w:b/>
          <w:sz w:val="28"/>
        </w:rPr>
        <w:t>January</w:t>
      </w:r>
      <w:r w:rsidRPr="00FC76FE">
        <w:rPr>
          <w:rFonts w:ascii="Times New Roman" w:hAnsi="Times New Roman" w:cs="Times New Roman"/>
          <w:b/>
          <w:sz w:val="28"/>
        </w:rPr>
        <w:t xml:space="preserve"> 2023</w:t>
      </w:r>
    </w:p>
    <w:p w:rsidR="004B0E3A" w:rsidRDefault="004B0E3A">
      <w:pPr>
        <w:rPr>
          <w:rStyle w:val="Emphasis"/>
          <w:rFonts w:ascii="Times New Roman" w:eastAsia="Times New Roman" w:hAnsi="Times New Roman" w:cs="Times New Roman"/>
          <w:b/>
          <w:i w:val="0"/>
          <w:color w:val="000000"/>
          <w:sz w:val="28"/>
          <w:szCs w:val="20"/>
          <w:lang w:eastAsia="en-GB"/>
        </w:rPr>
      </w:pPr>
    </w:p>
    <w:p w:rsidR="004B0E3A" w:rsidRDefault="004B0E3A">
      <w:pPr>
        <w:rPr>
          <w:rStyle w:val="Emphasis"/>
          <w:rFonts w:ascii="Times New Roman" w:eastAsia="Times New Roman" w:hAnsi="Times New Roman" w:cs="Times New Roman"/>
          <w:b/>
          <w:i w:val="0"/>
          <w:color w:val="000000"/>
          <w:sz w:val="28"/>
          <w:szCs w:val="20"/>
          <w:lang w:eastAsia="en-GB"/>
        </w:rPr>
      </w:pPr>
    </w:p>
    <w:p w:rsidR="004B0E3A" w:rsidRDefault="004B0E3A">
      <w:pPr>
        <w:rPr>
          <w:rStyle w:val="Emphasis"/>
          <w:rFonts w:ascii="Times New Roman" w:eastAsia="Times New Roman" w:hAnsi="Times New Roman" w:cs="Times New Roman"/>
          <w:b/>
          <w:i w:val="0"/>
          <w:color w:val="000000"/>
          <w:sz w:val="28"/>
          <w:szCs w:val="20"/>
          <w:lang w:eastAsia="en-GB"/>
        </w:rPr>
      </w:pPr>
    </w:p>
    <w:p w:rsidR="004B0E3A" w:rsidRDefault="004B0E3A">
      <w:pPr>
        <w:rPr>
          <w:rStyle w:val="Emphasis"/>
          <w:rFonts w:ascii="Times New Roman" w:eastAsia="Times New Roman" w:hAnsi="Times New Roman" w:cs="Times New Roman"/>
          <w:b/>
          <w:i w:val="0"/>
          <w:color w:val="000000"/>
          <w:sz w:val="28"/>
          <w:szCs w:val="20"/>
          <w:lang w:eastAsia="en-GB"/>
        </w:rPr>
      </w:pPr>
    </w:p>
    <w:p w:rsidR="004B0E3A" w:rsidRDefault="004B0E3A">
      <w:pPr>
        <w:rPr>
          <w:rStyle w:val="Emphasis"/>
          <w:rFonts w:ascii="Times New Roman" w:eastAsia="Times New Roman" w:hAnsi="Times New Roman" w:cs="Times New Roman"/>
          <w:b/>
          <w:i w:val="0"/>
          <w:color w:val="000000"/>
          <w:sz w:val="28"/>
          <w:szCs w:val="20"/>
          <w:lang w:eastAsia="en-GB"/>
        </w:rPr>
      </w:pPr>
    </w:p>
    <w:p w:rsidR="004B0E3A" w:rsidRDefault="004B0E3A">
      <w:pPr>
        <w:rPr>
          <w:rStyle w:val="Emphasis"/>
          <w:b/>
          <w:i w:val="0"/>
          <w:color w:val="000000"/>
          <w:sz w:val="28"/>
          <w:szCs w:val="20"/>
        </w:rPr>
      </w:pPr>
    </w:p>
    <w:p w:rsidR="004B0E3A" w:rsidRPr="00987E22" w:rsidRDefault="002F4DE9" w:rsidP="009B44D9">
      <w:pPr>
        <w:tabs>
          <w:tab w:val="left" w:pos="5090"/>
        </w:tabs>
        <w:rPr>
          <w:rStyle w:val="Emphasis"/>
          <w:rFonts w:ascii="Times New Roman" w:hAnsi="Times New Roman" w:cs="Times New Roman"/>
          <w:b/>
          <w:i w:val="0"/>
          <w:color w:val="000000"/>
          <w:sz w:val="32"/>
          <w:szCs w:val="20"/>
        </w:rPr>
      </w:pPr>
      <w:r w:rsidRPr="00987E22">
        <w:rPr>
          <w:rStyle w:val="Emphasis"/>
          <w:rFonts w:ascii="Times New Roman" w:hAnsi="Times New Roman" w:cs="Times New Roman"/>
          <w:b/>
          <w:i w:val="0"/>
          <w:color w:val="000000"/>
          <w:sz w:val="32"/>
          <w:szCs w:val="20"/>
        </w:rPr>
        <w:t>Table of Contents</w:t>
      </w:r>
      <w:r w:rsidR="009B44D9" w:rsidRPr="00987E22">
        <w:rPr>
          <w:rStyle w:val="Emphasis"/>
          <w:rFonts w:ascii="Times New Roman" w:hAnsi="Times New Roman" w:cs="Times New Roman"/>
          <w:b/>
          <w:i w:val="0"/>
          <w:color w:val="000000"/>
          <w:sz w:val="32"/>
          <w:szCs w:val="20"/>
        </w:rPr>
        <w:tab/>
      </w:r>
    </w:p>
    <w:p w:rsidR="009B44D9" w:rsidRPr="004D12F4" w:rsidRDefault="009B44D9" w:rsidP="009B44D9">
      <w:pPr>
        <w:tabs>
          <w:tab w:val="left" w:pos="5090"/>
        </w:tabs>
        <w:rPr>
          <w:rStyle w:val="Emphasis"/>
          <w:rFonts w:ascii="Times New Roman" w:hAnsi="Times New Roman" w:cs="Times New Roman"/>
          <w:b/>
          <w:i w:val="0"/>
          <w:color w:val="000000"/>
          <w:sz w:val="32"/>
          <w:szCs w:val="20"/>
        </w:rPr>
      </w:pPr>
    </w:p>
    <w:p w:rsidR="009B44D9" w:rsidRPr="004D12F4" w:rsidRDefault="009B44D9" w:rsidP="004D12F4">
      <w:pPr>
        <w:pStyle w:val="ListParagraph"/>
        <w:numPr>
          <w:ilvl w:val="0"/>
          <w:numId w:val="15"/>
        </w:numPr>
        <w:ind w:left="0"/>
        <w:jc w:val="both"/>
        <w:rPr>
          <w:rStyle w:val="Emphasis"/>
          <w:rFonts w:ascii="Times New Roman" w:eastAsia="Times New Roman" w:hAnsi="Times New Roman" w:cs="Times New Roman"/>
          <w:i w:val="0"/>
          <w:color w:val="000000"/>
          <w:sz w:val="28"/>
          <w:szCs w:val="20"/>
          <w:lang w:eastAsia="en-GB"/>
        </w:rPr>
      </w:pPr>
      <w:r w:rsidRPr="004D12F4">
        <w:rPr>
          <w:rStyle w:val="Emphasis"/>
          <w:rFonts w:ascii="Times New Roman" w:eastAsia="Times New Roman" w:hAnsi="Times New Roman" w:cs="Times New Roman"/>
          <w:i w:val="0"/>
          <w:color w:val="000000"/>
          <w:sz w:val="28"/>
          <w:szCs w:val="20"/>
          <w:lang w:eastAsia="en-GB"/>
        </w:rPr>
        <w:t>The key laws, regulations, and contracts that were enacted post the 2008 financial crisis by the US regulatory agencies</w:t>
      </w:r>
      <w:r w:rsidR="004D12F4">
        <w:rPr>
          <w:rStyle w:val="Emphasis"/>
          <w:rFonts w:ascii="Times New Roman" w:eastAsia="Times New Roman" w:hAnsi="Times New Roman" w:cs="Times New Roman"/>
          <w:i w:val="0"/>
          <w:color w:val="000000"/>
          <w:sz w:val="28"/>
          <w:szCs w:val="20"/>
          <w:lang w:eastAsia="en-GB"/>
        </w:rPr>
        <w:t>........................................................3</w:t>
      </w:r>
    </w:p>
    <w:p w:rsidR="009B44D9" w:rsidRPr="004D12F4" w:rsidRDefault="009B44D9" w:rsidP="004D12F4">
      <w:pPr>
        <w:pStyle w:val="ListParagraph"/>
        <w:ind w:left="0"/>
        <w:jc w:val="both"/>
        <w:rPr>
          <w:rStyle w:val="Emphasis"/>
          <w:rFonts w:ascii="Times New Roman" w:eastAsia="Times New Roman" w:hAnsi="Times New Roman" w:cs="Times New Roman"/>
          <w:i w:val="0"/>
          <w:color w:val="000000"/>
          <w:sz w:val="28"/>
          <w:szCs w:val="20"/>
          <w:lang w:eastAsia="en-GB"/>
        </w:rPr>
      </w:pPr>
    </w:p>
    <w:p w:rsidR="009B44D9" w:rsidRPr="004D12F4" w:rsidRDefault="009B44D9" w:rsidP="004D12F4">
      <w:pPr>
        <w:pStyle w:val="ListParagraph"/>
        <w:numPr>
          <w:ilvl w:val="0"/>
          <w:numId w:val="15"/>
        </w:numPr>
        <w:ind w:left="0"/>
        <w:jc w:val="both"/>
        <w:rPr>
          <w:rStyle w:val="Emphasis"/>
          <w:rFonts w:ascii="Times New Roman" w:hAnsi="Times New Roman" w:cs="Times New Roman"/>
          <w:i w:val="0"/>
          <w:color w:val="000000"/>
          <w:sz w:val="28"/>
          <w:szCs w:val="20"/>
        </w:rPr>
      </w:pPr>
      <w:r w:rsidRPr="004D12F4">
        <w:rPr>
          <w:rStyle w:val="Emphasis"/>
          <w:rFonts w:ascii="Times New Roman" w:hAnsi="Times New Roman" w:cs="Times New Roman"/>
          <w:i w:val="0"/>
          <w:color w:val="000000"/>
          <w:sz w:val="28"/>
          <w:szCs w:val="20"/>
        </w:rPr>
        <w:t>The key laws, regulations, and contracts that were enacted post the 2008 financial crisis by India</w:t>
      </w:r>
      <w:r w:rsidR="004D12F4">
        <w:rPr>
          <w:rStyle w:val="Emphasis"/>
          <w:rFonts w:ascii="Times New Roman" w:hAnsi="Times New Roman" w:cs="Times New Roman"/>
          <w:i w:val="0"/>
          <w:color w:val="000000"/>
          <w:sz w:val="28"/>
          <w:szCs w:val="20"/>
        </w:rPr>
        <w:t>..........................................................................................7</w:t>
      </w:r>
    </w:p>
    <w:p w:rsidR="009B44D9" w:rsidRPr="004D12F4" w:rsidRDefault="009B44D9" w:rsidP="004D12F4">
      <w:pPr>
        <w:jc w:val="both"/>
        <w:rPr>
          <w:rStyle w:val="Emphasis"/>
          <w:b/>
          <w:i w:val="0"/>
          <w:color w:val="000000"/>
          <w:sz w:val="36"/>
          <w:szCs w:val="20"/>
        </w:rPr>
      </w:pPr>
    </w:p>
    <w:p w:rsidR="009B44D9" w:rsidRPr="004D12F4" w:rsidRDefault="004D12F4" w:rsidP="004D12F4">
      <w:pPr>
        <w:pStyle w:val="ListParagraph"/>
        <w:numPr>
          <w:ilvl w:val="0"/>
          <w:numId w:val="15"/>
        </w:numPr>
        <w:ind w:left="0"/>
        <w:jc w:val="both"/>
        <w:rPr>
          <w:rStyle w:val="Emphasis"/>
          <w:rFonts w:ascii="Times New Roman" w:hAnsi="Times New Roman" w:cs="Times New Roman"/>
          <w:i w:val="0"/>
          <w:color w:val="000000"/>
          <w:sz w:val="28"/>
          <w:szCs w:val="20"/>
        </w:rPr>
      </w:pPr>
      <w:r w:rsidRPr="004D12F4">
        <w:rPr>
          <w:rStyle w:val="Emphasis"/>
          <w:rFonts w:ascii="Times New Roman" w:hAnsi="Times New Roman" w:cs="Times New Roman"/>
          <w:i w:val="0"/>
          <w:color w:val="000000"/>
          <w:sz w:val="28"/>
          <w:szCs w:val="20"/>
        </w:rPr>
        <w:t>Critically review the</w:t>
      </w:r>
      <w:r w:rsidR="009B44D9" w:rsidRPr="004D12F4">
        <w:rPr>
          <w:rStyle w:val="Emphasis"/>
          <w:rFonts w:ascii="Times New Roman" w:hAnsi="Times New Roman" w:cs="Times New Roman"/>
          <w:i w:val="0"/>
          <w:color w:val="000000"/>
          <w:sz w:val="28"/>
          <w:szCs w:val="20"/>
        </w:rPr>
        <w:t xml:space="preserve"> extent to which you think that these reforms have contributed towards stabilizing the financial system and the different banking inst</w:t>
      </w:r>
      <w:r>
        <w:rPr>
          <w:rStyle w:val="Emphasis"/>
          <w:rFonts w:ascii="Times New Roman" w:hAnsi="Times New Roman" w:cs="Times New Roman"/>
          <w:i w:val="0"/>
          <w:color w:val="000000"/>
          <w:sz w:val="28"/>
          <w:szCs w:val="20"/>
        </w:rPr>
        <w:t>itutions post the 2008 crises………………………………………....12</w:t>
      </w:r>
    </w:p>
    <w:p w:rsidR="009B44D9" w:rsidRPr="004D12F4" w:rsidRDefault="009B44D9" w:rsidP="004D12F4">
      <w:pPr>
        <w:jc w:val="both"/>
        <w:rPr>
          <w:rStyle w:val="Emphasis"/>
          <w:b/>
          <w:i w:val="0"/>
          <w:color w:val="000000"/>
          <w:sz w:val="36"/>
          <w:szCs w:val="20"/>
        </w:rPr>
      </w:pPr>
    </w:p>
    <w:p w:rsidR="004B0E3A" w:rsidRPr="004D12F4" w:rsidRDefault="009B44D9" w:rsidP="004D12F4">
      <w:pPr>
        <w:pStyle w:val="ListParagraph"/>
        <w:numPr>
          <w:ilvl w:val="0"/>
          <w:numId w:val="15"/>
        </w:numPr>
        <w:ind w:left="0"/>
        <w:jc w:val="both"/>
        <w:rPr>
          <w:rStyle w:val="Emphasis"/>
          <w:rFonts w:ascii="Times New Roman" w:hAnsi="Times New Roman" w:cs="Times New Roman"/>
          <w:i w:val="0"/>
          <w:color w:val="000000"/>
          <w:sz w:val="28"/>
          <w:szCs w:val="20"/>
        </w:rPr>
      </w:pPr>
      <w:r w:rsidRPr="004D12F4">
        <w:rPr>
          <w:rStyle w:val="Emphasis"/>
          <w:rFonts w:ascii="Times New Roman" w:hAnsi="Times New Roman" w:cs="Times New Roman"/>
          <w:i w:val="0"/>
          <w:color w:val="000000"/>
          <w:sz w:val="28"/>
          <w:szCs w:val="20"/>
        </w:rPr>
        <w:t>The extent to which these reforms have had an impact on JPMorgan Chase &amp; co. Business model</w:t>
      </w:r>
      <w:r w:rsidR="004D12F4">
        <w:rPr>
          <w:rStyle w:val="Emphasis"/>
          <w:rFonts w:ascii="Times New Roman" w:hAnsi="Times New Roman" w:cs="Times New Roman"/>
          <w:i w:val="0"/>
          <w:color w:val="000000"/>
          <w:sz w:val="28"/>
          <w:szCs w:val="20"/>
        </w:rPr>
        <w:t>………………………………………………………......17</w:t>
      </w:r>
    </w:p>
    <w:p w:rsidR="004B0E3A" w:rsidRDefault="004B0E3A">
      <w:pPr>
        <w:rPr>
          <w:rStyle w:val="Emphasis"/>
          <w:b/>
          <w:i w:val="0"/>
          <w:color w:val="000000"/>
          <w:sz w:val="28"/>
          <w:szCs w:val="20"/>
        </w:rPr>
      </w:pPr>
    </w:p>
    <w:p w:rsidR="004B0E3A" w:rsidRDefault="004B0E3A">
      <w:pPr>
        <w:rPr>
          <w:rStyle w:val="Emphasis"/>
          <w:b/>
          <w:i w:val="0"/>
          <w:color w:val="000000"/>
          <w:sz w:val="28"/>
          <w:szCs w:val="20"/>
        </w:rPr>
      </w:pPr>
    </w:p>
    <w:p w:rsidR="004B0E3A" w:rsidRDefault="004B0E3A">
      <w:pPr>
        <w:rPr>
          <w:rStyle w:val="Emphasis"/>
          <w:b/>
          <w:i w:val="0"/>
          <w:color w:val="000000"/>
          <w:sz w:val="28"/>
          <w:szCs w:val="20"/>
        </w:rPr>
      </w:pPr>
    </w:p>
    <w:p w:rsidR="004B0E3A" w:rsidRDefault="004B0E3A">
      <w:pPr>
        <w:rPr>
          <w:rStyle w:val="Emphasis"/>
          <w:b/>
          <w:i w:val="0"/>
          <w:color w:val="000000"/>
          <w:sz w:val="28"/>
          <w:szCs w:val="20"/>
        </w:rPr>
      </w:pPr>
    </w:p>
    <w:p w:rsidR="004B0E3A" w:rsidRDefault="004B0E3A">
      <w:pPr>
        <w:rPr>
          <w:rStyle w:val="Emphasis"/>
          <w:b/>
          <w:i w:val="0"/>
          <w:color w:val="000000"/>
          <w:sz w:val="28"/>
          <w:szCs w:val="20"/>
        </w:rPr>
      </w:pPr>
    </w:p>
    <w:p w:rsidR="004B0E3A" w:rsidRDefault="004B0E3A">
      <w:pPr>
        <w:rPr>
          <w:rStyle w:val="Emphasis"/>
          <w:b/>
          <w:i w:val="0"/>
          <w:color w:val="000000"/>
          <w:sz w:val="28"/>
          <w:szCs w:val="20"/>
        </w:rPr>
      </w:pPr>
    </w:p>
    <w:p w:rsidR="004B0E3A" w:rsidRDefault="004B0E3A">
      <w:pPr>
        <w:rPr>
          <w:rStyle w:val="Emphasis"/>
          <w:b/>
          <w:i w:val="0"/>
          <w:color w:val="000000"/>
          <w:sz w:val="28"/>
          <w:szCs w:val="20"/>
        </w:rPr>
      </w:pPr>
    </w:p>
    <w:p w:rsidR="004B0E3A" w:rsidRDefault="004B0E3A">
      <w:pPr>
        <w:rPr>
          <w:rStyle w:val="Emphasis"/>
          <w:b/>
          <w:i w:val="0"/>
          <w:color w:val="000000"/>
          <w:sz w:val="28"/>
          <w:szCs w:val="20"/>
        </w:rPr>
      </w:pPr>
    </w:p>
    <w:p w:rsidR="004B0E3A" w:rsidRDefault="004B0E3A">
      <w:pPr>
        <w:rPr>
          <w:rStyle w:val="Emphasis"/>
          <w:b/>
          <w:i w:val="0"/>
          <w:color w:val="000000"/>
          <w:sz w:val="28"/>
          <w:szCs w:val="20"/>
        </w:rPr>
      </w:pPr>
    </w:p>
    <w:p w:rsidR="004B0E3A" w:rsidRDefault="004B0E3A">
      <w:pPr>
        <w:rPr>
          <w:rStyle w:val="Emphasis"/>
          <w:b/>
          <w:i w:val="0"/>
          <w:color w:val="000000"/>
          <w:sz w:val="28"/>
          <w:szCs w:val="20"/>
        </w:rPr>
      </w:pPr>
    </w:p>
    <w:p w:rsidR="004B0E3A" w:rsidRDefault="004B0E3A">
      <w:pPr>
        <w:rPr>
          <w:rStyle w:val="Emphasis"/>
          <w:b/>
          <w:i w:val="0"/>
          <w:color w:val="000000"/>
          <w:sz w:val="28"/>
          <w:szCs w:val="20"/>
        </w:rPr>
      </w:pPr>
    </w:p>
    <w:p w:rsidR="004B0E3A" w:rsidRPr="004B0E3A" w:rsidRDefault="004B0E3A">
      <w:pPr>
        <w:rPr>
          <w:rStyle w:val="Emphasis"/>
          <w:b/>
          <w:i w:val="0"/>
          <w:color w:val="000000"/>
          <w:sz w:val="28"/>
          <w:szCs w:val="20"/>
        </w:rPr>
      </w:pPr>
    </w:p>
    <w:p w:rsidR="00B106FB" w:rsidRDefault="00B106FB">
      <w:pPr>
        <w:rPr>
          <w:rStyle w:val="Emphasis"/>
          <w:rFonts w:ascii="Times New Roman" w:eastAsia="Times New Roman" w:hAnsi="Times New Roman" w:cs="Times New Roman"/>
          <w:b/>
          <w:i w:val="0"/>
          <w:color w:val="000000"/>
          <w:sz w:val="28"/>
          <w:szCs w:val="20"/>
          <w:lang w:eastAsia="en-GB"/>
        </w:rPr>
      </w:pPr>
    </w:p>
    <w:p w:rsidR="00B106FB" w:rsidRDefault="00B106FB">
      <w:pPr>
        <w:rPr>
          <w:rStyle w:val="Emphasis"/>
          <w:rFonts w:ascii="Times New Roman" w:eastAsia="Times New Roman" w:hAnsi="Times New Roman" w:cs="Times New Roman"/>
          <w:b/>
          <w:i w:val="0"/>
          <w:color w:val="000000"/>
          <w:sz w:val="28"/>
          <w:szCs w:val="20"/>
          <w:lang w:eastAsia="en-GB"/>
        </w:rPr>
      </w:pPr>
    </w:p>
    <w:p w:rsidR="004B0E3A" w:rsidRDefault="004B0E3A" w:rsidP="00987E22">
      <w:pPr>
        <w:pStyle w:val="ListParagraph"/>
        <w:numPr>
          <w:ilvl w:val="0"/>
          <w:numId w:val="11"/>
        </w:numPr>
        <w:ind w:left="426"/>
        <w:rPr>
          <w:rStyle w:val="Emphasis"/>
          <w:rFonts w:ascii="Times New Roman" w:eastAsia="Times New Roman" w:hAnsi="Times New Roman" w:cs="Times New Roman"/>
          <w:b/>
          <w:i w:val="0"/>
          <w:color w:val="000000"/>
          <w:sz w:val="32"/>
          <w:szCs w:val="20"/>
          <w:lang w:eastAsia="en-GB"/>
        </w:rPr>
      </w:pPr>
      <w:r w:rsidRPr="00883D5B">
        <w:rPr>
          <w:rStyle w:val="Emphasis"/>
          <w:rFonts w:ascii="Times New Roman" w:eastAsia="Times New Roman" w:hAnsi="Times New Roman" w:cs="Times New Roman"/>
          <w:b/>
          <w:i w:val="0"/>
          <w:color w:val="000000"/>
          <w:sz w:val="32"/>
          <w:szCs w:val="20"/>
          <w:lang w:eastAsia="en-GB"/>
        </w:rPr>
        <w:t>The key laws, regulations</w:t>
      </w:r>
      <w:r w:rsidR="00785610">
        <w:rPr>
          <w:rStyle w:val="Emphasis"/>
          <w:rFonts w:ascii="Times New Roman" w:eastAsia="Times New Roman" w:hAnsi="Times New Roman" w:cs="Times New Roman"/>
          <w:b/>
          <w:i w:val="0"/>
          <w:color w:val="000000"/>
          <w:sz w:val="32"/>
          <w:szCs w:val="20"/>
          <w:lang w:eastAsia="en-GB"/>
        </w:rPr>
        <w:t>,</w:t>
      </w:r>
      <w:r w:rsidRPr="00883D5B">
        <w:rPr>
          <w:rStyle w:val="Emphasis"/>
          <w:rFonts w:ascii="Times New Roman" w:eastAsia="Times New Roman" w:hAnsi="Times New Roman" w:cs="Times New Roman"/>
          <w:b/>
          <w:i w:val="0"/>
          <w:color w:val="000000"/>
          <w:sz w:val="32"/>
          <w:szCs w:val="20"/>
          <w:lang w:eastAsia="en-GB"/>
        </w:rPr>
        <w:t xml:space="preserve"> and contracts that were enacted post the 2008 financial </w:t>
      </w:r>
      <w:r w:rsidR="00785610">
        <w:rPr>
          <w:rStyle w:val="Emphasis"/>
          <w:rFonts w:ascii="Times New Roman" w:eastAsia="Times New Roman" w:hAnsi="Times New Roman" w:cs="Times New Roman"/>
          <w:b/>
          <w:i w:val="0"/>
          <w:color w:val="000000"/>
          <w:sz w:val="32"/>
          <w:szCs w:val="20"/>
          <w:lang w:eastAsia="en-GB"/>
        </w:rPr>
        <w:t>crisis</w:t>
      </w:r>
      <w:r w:rsidRPr="00883D5B">
        <w:rPr>
          <w:rStyle w:val="Emphasis"/>
          <w:rFonts w:ascii="Times New Roman" w:eastAsia="Times New Roman" w:hAnsi="Times New Roman" w:cs="Times New Roman"/>
          <w:b/>
          <w:i w:val="0"/>
          <w:color w:val="000000"/>
          <w:sz w:val="32"/>
          <w:szCs w:val="20"/>
          <w:lang w:eastAsia="en-GB"/>
        </w:rPr>
        <w:t xml:space="preserve"> by the US regulatory agencies.</w:t>
      </w:r>
    </w:p>
    <w:p w:rsidR="008F591B" w:rsidRPr="008F591B" w:rsidRDefault="008F591B" w:rsidP="008F591B">
      <w:pPr>
        <w:rPr>
          <w:rStyle w:val="Emphasis"/>
          <w:rFonts w:ascii="Times New Roman" w:eastAsia="Times New Roman" w:hAnsi="Times New Roman" w:cs="Times New Roman"/>
          <w:b/>
          <w:i w:val="0"/>
          <w:color w:val="000000"/>
          <w:sz w:val="32"/>
          <w:szCs w:val="20"/>
          <w:lang w:eastAsia="en-GB"/>
        </w:rPr>
      </w:pPr>
    </w:p>
    <w:p w:rsidR="009B44D9" w:rsidRPr="009B44D9" w:rsidRDefault="00867A31" w:rsidP="00987E22">
      <w:pPr>
        <w:pStyle w:val="NormalWeb"/>
        <w:numPr>
          <w:ilvl w:val="1"/>
          <w:numId w:val="3"/>
        </w:numPr>
        <w:shd w:val="clear" w:color="auto" w:fill="FFFFFF"/>
        <w:spacing w:before="60" w:beforeAutospacing="0" w:after="180" w:afterAutospacing="0" w:line="336" w:lineRule="atLeast"/>
        <w:ind w:left="426"/>
        <w:jc w:val="both"/>
        <w:rPr>
          <w:b/>
          <w:iCs/>
          <w:color w:val="000000"/>
          <w:sz w:val="28"/>
          <w:szCs w:val="20"/>
        </w:rPr>
      </w:pPr>
      <w:r w:rsidRPr="008640E8">
        <w:rPr>
          <w:rStyle w:val="Emphasis"/>
          <w:b/>
          <w:i w:val="0"/>
          <w:color w:val="000000"/>
          <w:sz w:val="28"/>
          <w:szCs w:val="20"/>
        </w:rPr>
        <w:t>Systemic Risk Regulation</w:t>
      </w:r>
    </w:p>
    <w:p w:rsidR="008175D7" w:rsidRDefault="00867A31" w:rsidP="00867A31">
      <w:pPr>
        <w:spacing w:line="360" w:lineRule="auto"/>
        <w:jc w:val="both"/>
        <w:rPr>
          <w:rFonts w:ascii="Times New Roman" w:hAnsi="Times New Roman" w:cs="Times New Roman"/>
          <w:sz w:val="24"/>
          <w:szCs w:val="24"/>
        </w:rPr>
      </w:pPr>
      <w:r w:rsidRPr="00867A31">
        <w:rPr>
          <w:rFonts w:ascii="Times New Roman" w:hAnsi="Times New Roman" w:cs="Times New Roman"/>
          <w:sz w:val="24"/>
          <w:szCs w:val="24"/>
        </w:rPr>
        <w:t xml:space="preserve">To upgrade oversight of the monetary framework comprehensively, standardize prudential measures among organizations, and serve as an early caution framework for dangers in firms and </w:t>
      </w:r>
      <w:r>
        <w:rPr>
          <w:rFonts w:ascii="Times New Roman" w:hAnsi="Times New Roman" w:cs="Times New Roman"/>
          <w:sz w:val="24"/>
          <w:szCs w:val="24"/>
        </w:rPr>
        <w:t>advertising</w:t>
      </w:r>
      <w:r w:rsidRPr="00867A31">
        <w:rPr>
          <w:rFonts w:ascii="Times New Roman" w:hAnsi="Times New Roman" w:cs="Times New Roman"/>
          <w:sz w:val="24"/>
          <w:szCs w:val="24"/>
        </w:rPr>
        <w:t xml:space="preserve"> exercises, the sanctioned enactment builds up a modern systemic chance oversight body comprised of controllers, known as the Money related Soundness Oversight Chamber (FSOC). In less complex terms, the FSOC will manage </w:t>
      </w:r>
      <w:r>
        <w:rPr>
          <w:rFonts w:ascii="Times New Roman" w:hAnsi="Times New Roman" w:cs="Times New Roman"/>
          <w:sz w:val="24"/>
          <w:szCs w:val="24"/>
        </w:rPr>
        <w:t xml:space="preserve">the </w:t>
      </w:r>
      <w:r w:rsidR="00390BE7">
        <w:rPr>
          <w:rFonts w:ascii="Times New Roman" w:hAnsi="Times New Roman" w:cs="Times New Roman"/>
          <w:sz w:val="24"/>
          <w:szCs w:val="24"/>
        </w:rPr>
        <w:t>macro-prudential</w:t>
      </w:r>
      <w:r w:rsidRPr="00867A31">
        <w:rPr>
          <w:rFonts w:ascii="Times New Roman" w:hAnsi="Times New Roman" w:cs="Times New Roman"/>
          <w:sz w:val="24"/>
          <w:szCs w:val="24"/>
        </w:rPr>
        <w:t xml:space="preserve"> approach. The recently set up Office of Budgetary Inquire about will work as the Council's information-gathering division. The Committee has the specialist to assign non-bank </w:t>
      </w:r>
      <w:r>
        <w:rPr>
          <w:rFonts w:ascii="Times New Roman" w:hAnsi="Times New Roman" w:cs="Times New Roman"/>
          <w:sz w:val="24"/>
          <w:szCs w:val="24"/>
        </w:rPr>
        <w:t>money-related</w:t>
      </w:r>
      <w:r w:rsidRPr="00867A31">
        <w:rPr>
          <w:rFonts w:ascii="Times New Roman" w:hAnsi="Times New Roman" w:cs="Times New Roman"/>
          <w:sz w:val="24"/>
          <w:szCs w:val="24"/>
        </w:rPr>
        <w:t xml:space="preserve"> firms as "systemically imperative," subjecting them to Government Save supervision, and to prescribe that the Government Save force more exacting prudential directions on these firms.</w:t>
      </w:r>
    </w:p>
    <w:p w:rsidR="008640E8" w:rsidRPr="008640E8" w:rsidRDefault="008640E8" w:rsidP="008640E8">
      <w:pPr>
        <w:spacing w:line="360" w:lineRule="auto"/>
        <w:jc w:val="both"/>
        <w:rPr>
          <w:rFonts w:ascii="Times New Roman" w:hAnsi="Times New Roman" w:cs="Times New Roman"/>
          <w:sz w:val="24"/>
          <w:szCs w:val="24"/>
        </w:rPr>
      </w:pPr>
      <w:r w:rsidRPr="008640E8">
        <w:rPr>
          <w:rFonts w:ascii="Times New Roman" w:hAnsi="Times New Roman" w:cs="Times New Roman"/>
          <w:sz w:val="24"/>
          <w:szCs w:val="24"/>
        </w:rPr>
        <w:t>The Federal Reserve will wield augmented authority over both systemically important bank holding companies and non-bank financial entities identified by the Council as having systemic importance. These designated entities will be subject to comprehensive oversight by the Federal Reserve, utilizing the existing regulatory framework outlined in the US Bank Holding Company Act of 1956, which governs the supervi</w:t>
      </w:r>
      <w:r>
        <w:rPr>
          <w:rFonts w:ascii="Times New Roman" w:hAnsi="Times New Roman" w:cs="Times New Roman"/>
          <w:sz w:val="24"/>
          <w:szCs w:val="24"/>
        </w:rPr>
        <w:t>sion of bank holding companies.</w:t>
      </w:r>
    </w:p>
    <w:p w:rsidR="008640E8" w:rsidRDefault="008640E8" w:rsidP="008640E8">
      <w:pPr>
        <w:spacing w:line="360" w:lineRule="auto"/>
        <w:jc w:val="both"/>
        <w:rPr>
          <w:rFonts w:ascii="Times New Roman" w:hAnsi="Times New Roman" w:cs="Times New Roman"/>
          <w:sz w:val="24"/>
          <w:szCs w:val="24"/>
        </w:rPr>
      </w:pPr>
      <w:r w:rsidRPr="008640E8">
        <w:rPr>
          <w:rFonts w:ascii="Times New Roman" w:hAnsi="Times New Roman" w:cs="Times New Roman"/>
          <w:sz w:val="24"/>
          <w:szCs w:val="24"/>
        </w:rPr>
        <w:t>A substantial proportion of clauses addressing systemic risk necessitate the implementation of regulatory measures, affording regulators the prerogative to modify statutory criteria or grant exemptions. Furthermore, the Council is not currently operational and has not yet established internal procedural norms. Consequently, significant uncertainties persist regarding the scope and substance of systemic risk regulation, as well as the procedural mechanisms the Council will adopt.</w:t>
      </w:r>
    </w:p>
    <w:p w:rsidR="00DF02F6" w:rsidRDefault="000010CE" w:rsidP="008640E8">
      <w:pPr>
        <w:spacing w:line="360" w:lineRule="auto"/>
        <w:jc w:val="both"/>
        <w:rPr>
          <w:rFonts w:ascii="Times New Roman" w:hAnsi="Times New Roman" w:cs="Times New Roman"/>
          <w:sz w:val="24"/>
          <w:szCs w:val="24"/>
        </w:rPr>
      </w:pPr>
      <w:hyperlink r:id="rId9" w:history="1">
        <w:r w:rsidR="00DF02F6" w:rsidRPr="00D23DA5">
          <w:rPr>
            <w:rStyle w:val="Hyperlink"/>
            <w:rFonts w:ascii="Times New Roman" w:hAnsi="Times New Roman" w:cs="Times New Roman"/>
            <w:sz w:val="24"/>
            <w:szCs w:val="24"/>
          </w:rPr>
          <w:t>https://corpgov.law.harvard.edu/2010/11/20/the-financial-panic-of-2008-and-financial-regulatory-reform/</w:t>
        </w:r>
      </w:hyperlink>
    </w:p>
    <w:p w:rsidR="00DF02F6" w:rsidRDefault="00DF02F6" w:rsidP="008640E8">
      <w:pPr>
        <w:spacing w:line="360" w:lineRule="auto"/>
        <w:jc w:val="both"/>
        <w:rPr>
          <w:rFonts w:ascii="Times New Roman" w:hAnsi="Times New Roman" w:cs="Times New Roman"/>
          <w:sz w:val="24"/>
          <w:szCs w:val="24"/>
        </w:rPr>
      </w:pPr>
    </w:p>
    <w:p w:rsidR="008F591B" w:rsidRDefault="008F591B" w:rsidP="008640E8">
      <w:pPr>
        <w:spacing w:line="360" w:lineRule="auto"/>
        <w:jc w:val="both"/>
        <w:rPr>
          <w:rFonts w:ascii="Times New Roman" w:hAnsi="Times New Roman" w:cs="Times New Roman"/>
          <w:sz w:val="24"/>
          <w:szCs w:val="24"/>
        </w:rPr>
      </w:pPr>
    </w:p>
    <w:p w:rsidR="00987E22" w:rsidRPr="00987E22" w:rsidRDefault="000D6141" w:rsidP="00987E22">
      <w:pPr>
        <w:pStyle w:val="ListParagraph"/>
        <w:numPr>
          <w:ilvl w:val="1"/>
          <w:numId w:val="3"/>
        </w:numPr>
        <w:spacing w:before="100" w:beforeAutospacing="1" w:line="690" w:lineRule="atLeast"/>
        <w:ind w:left="426"/>
        <w:outlineLvl w:val="1"/>
        <w:rPr>
          <w:rFonts w:ascii="Times New Roman" w:eastAsia="Times New Roman" w:hAnsi="Times New Roman" w:cs="Times New Roman"/>
          <w:b/>
          <w:bCs/>
          <w:spacing w:val="-15"/>
          <w:sz w:val="28"/>
          <w:szCs w:val="36"/>
          <w:lang w:eastAsia="en-GB"/>
        </w:rPr>
      </w:pPr>
      <w:r w:rsidRPr="000D6141">
        <w:rPr>
          <w:rFonts w:ascii="Times New Roman" w:eastAsia="Times New Roman" w:hAnsi="Times New Roman" w:cs="Times New Roman"/>
          <w:b/>
          <w:bCs/>
          <w:spacing w:val="-15"/>
          <w:sz w:val="28"/>
          <w:szCs w:val="36"/>
          <w:lang w:eastAsia="en-GB"/>
        </w:rPr>
        <w:lastRenderedPageBreak/>
        <w:t>Financial</w:t>
      </w:r>
      <w:r w:rsidR="008640E8" w:rsidRPr="000D6141">
        <w:rPr>
          <w:rFonts w:ascii="Times New Roman" w:eastAsia="Times New Roman" w:hAnsi="Times New Roman" w:cs="Times New Roman"/>
          <w:b/>
          <w:bCs/>
          <w:spacing w:val="-15"/>
          <w:sz w:val="28"/>
          <w:szCs w:val="36"/>
          <w:lang w:eastAsia="en-GB"/>
        </w:rPr>
        <w:t xml:space="preserve"> Stability Oversight Council</w:t>
      </w:r>
    </w:p>
    <w:p w:rsidR="008640E8" w:rsidRPr="002411D8" w:rsidRDefault="002411D8" w:rsidP="002411D8">
      <w:pPr>
        <w:spacing w:line="360" w:lineRule="auto"/>
        <w:jc w:val="both"/>
        <w:rPr>
          <w:rFonts w:ascii="Times New Roman" w:hAnsi="Times New Roman" w:cs="Times New Roman"/>
          <w:color w:val="374151"/>
          <w:sz w:val="24"/>
        </w:rPr>
      </w:pPr>
      <w:r w:rsidRPr="002411D8">
        <w:rPr>
          <w:rFonts w:ascii="Times New Roman" w:hAnsi="Times New Roman" w:cs="Times New Roman"/>
          <w:color w:val="374151"/>
          <w:sz w:val="24"/>
        </w:rPr>
        <w:t>The statutory mandate empowers the Board to identify threats to the financial stability of the United States, foster market discipline, and address emerging risks to the health of the U.S. financial system.</w:t>
      </w:r>
    </w:p>
    <w:p w:rsidR="002411D8" w:rsidRPr="002411D8" w:rsidRDefault="002411D8" w:rsidP="002411D8">
      <w:pPr>
        <w:spacing w:line="360" w:lineRule="auto"/>
        <w:jc w:val="both"/>
        <w:rPr>
          <w:rFonts w:ascii="Times New Roman" w:hAnsi="Times New Roman" w:cs="Times New Roman"/>
          <w:color w:val="374151"/>
          <w:sz w:val="24"/>
        </w:rPr>
      </w:pPr>
      <w:r w:rsidRPr="002411D8">
        <w:rPr>
          <w:rFonts w:ascii="Times New Roman" w:hAnsi="Times New Roman" w:cs="Times New Roman"/>
          <w:color w:val="374151"/>
          <w:sz w:val="24"/>
        </w:rPr>
        <w:t>Chaired by the Secretary of the Treasury, the Committee comprises 10 voting members and 5 nonvoting members, thereby amalgamating the expertise of government financial regulators, state regulators, and an independent securities expert appointed by the president.</w:t>
      </w:r>
    </w:p>
    <w:p w:rsidR="002411D8" w:rsidRDefault="002411D8" w:rsidP="008640E8">
      <w:pPr>
        <w:spacing w:line="360" w:lineRule="auto"/>
        <w:jc w:val="both"/>
        <w:rPr>
          <w:rFonts w:ascii="Times New Roman" w:hAnsi="Times New Roman" w:cs="Times New Roman"/>
          <w:color w:val="374151"/>
          <w:sz w:val="24"/>
        </w:rPr>
      </w:pPr>
      <w:r w:rsidRPr="002411D8">
        <w:rPr>
          <w:rFonts w:ascii="Times New Roman" w:hAnsi="Times New Roman" w:cs="Times New Roman"/>
          <w:color w:val="374151"/>
          <w:sz w:val="24"/>
        </w:rPr>
        <w:t xml:space="preserve">The Committee harmonizes its members to assess, monitor, and mitigate risks to U.S. financial stability, enhances public awareness of these risks through reports and other publications, and facilitates collaboration and communication among member agencies on matters related to financial stability. </w:t>
      </w:r>
    </w:p>
    <w:p w:rsidR="002411D8" w:rsidRPr="002411D8" w:rsidRDefault="002411D8" w:rsidP="008640E8">
      <w:pPr>
        <w:spacing w:line="360" w:lineRule="auto"/>
        <w:jc w:val="both"/>
        <w:rPr>
          <w:rFonts w:ascii="Times New Roman" w:hAnsi="Times New Roman" w:cs="Times New Roman"/>
          <w:color w:val="374151"/>
          <w:sz w:val="24"/>
        </w:rPr>
      </w:pPr>
      <w:r w:rsidRPr="002411D8">
        <w:rPr>
          <w:rFonts w:ascii="Times New Roman" w:hAnsi="Times New Roman" w:cs="Times New Roman"/>
          <w:color w:val="374151"/>
          <w:sz w:val="24"/>
        </w:rPr>
        <w:t xml:space="preserve">The Council's annual reports delineate potential emerging risks and vulnerabilities, encompassing financial risks associated with real estate, credit, and various markets; operational risks linked to major bank holding companies and investment funds; risks </w:t>
      </w:r>
      <w:r w:rsidR="0031665B">
        <w:rPr>
          <w:rFonts w:ascii="Times New Roman" w:hAnsi="Times New Roman" w:cs="Times New Roman"/>
          <w:color w:val="374151"/>
          <w:sz w:val="24"/>
        </w:rPr>
        <w:t>about</w:t>
      </w:r>
      <w:r w:rsidRPr="002411D8">
        <w:rPr>
          <w:rFonts w:ascii="Times New Roman" w:hAnsi="Times New Roman" w:cs="Times New Roman"/>
          <w:color w:val="374151"/>
          <w:sz w:val="24"/>
        </w:rPr>
        <w:t xml:space="preserve"> the structure of Treasury markets and other financial markets; cyber security threats; and financial risks associated with climate-related factors.</w:t>
      </w:r>
    </w:p>
    <w:p w:rsidR="008640E8" w:rsidRDefault="002411D8" w:rsidP="008640E8">
      <w:pPr>
        <w:spacing w:line="360" w:lineRule="auto"/>
        <w:jc w:val="both"/>
        <w:rPr>
          <w:rFonts w:ascii="Times New Roman" w:hAnsi="Times New Roman" w:cs="Times New Roman"/>
          <w:color w:val="374151"/>
          <w:sz w:val="28"/>
        </w:rPr>
      </w:pPr>
      <w:r w:rsidRPr="002411D8">
        <w:rPr>
          <w:rFonts w:ascii="Times New Roman" w:hAnsi="Times New Roman" w:cs="Times New Roman"/>
          <w:color w:val="374151"/>
          <w:sz w:val="24"/>
        </w:rPr>
        <w:t xml:space="preserve">In the year 2021, the Board identified three paramount priorities </w:t>
      </w:r>
      <w:r w:rsidR="0031665B">
        <w:rPr>
          <w:rFonts w:ascii="Times New Roman" w:hAnsi="Times New Roman" w:cs="Times New Roman"/>
          <w:color w:val="374151"/>
          <w:sz w:val="24"/>
        </w:rPr>
        <w:t>regarding</w:t>
      </w:r>
      <w:r w:rsidRPr="002411D8">
        <w:rPr>
          <w:rFonts w:ascii="Times New Roman" w:hAnsi="Times New Roman" w:cs="Times New Roman"/>
          <w:color w:val="374151"/>
          <w:sz w:val="24"/>
        </w:rPr>
        <w:t xml:space="preserve"> critical vulnerabilities within the financial system: nonbank financial intermediation, climate-related financial risk, and Treasury market resilience. In the subsequent year, 2022, the Council identified a fourth crucial priority: risks associated with digital assets. The Council has made substantial progress on each of these four priorities, as elaborated upon below. </w:t>
      </w:r>
    </w:p>
    <w:p w:rsidR="00320574" w:rsidRDefault="00320574" w:rsidP="00320574">
      <w:pPr>
        <w:spacing w:line="360" w:lineRule="auto"/>
        <w:jc w:val="both"/>
        <w:rPr>
          <w:rFonts w:ascii="Times New Roman" w:hAnsi="Times New Roman" w:cs="Times New Roman"/>
          <w:color w:val="0F0F0F"/>
          <w:sz w:val="24"/>
        </w:rPr>
      </w:pPr>
    </w:p>
    <w:p w:rsidR="00320574" w:rsidRPr="00320574" w:rsidRDefault="00320574" w:rsidP="00320574">
      <w:pPr>
        <w:pStyle w:val="ListParagraph"/>
        <w:numPr>
          <w:ilvl w:val="0"/>
          <w:numId w:val="1"/>
        </w:numPr>
        <w:spacing w:line="360" w:lineRule="auto"/>
        <w:jc w:val="both"/>
        <w:rPr>
          <w:rFonts w:ascii="Times New Roman" w:hAnsi="Times New Roman" w:cs="Times New Roman"/>
          <w:color w:val="0F0F0F"/>
        </w:rPr>
      </w:pPr>
      <w:r w:rsidRPr="00320574">
        <w:rPr>
          <w:rStyle w:val="Strong"/>
          <w:rFonts w:ascii="Times New Roman" w:hAnsi="Times New Roman" w:cs="Times New Roman"/>
          <w:color w:val="393B3E"/>
          <w:sz w:val="24"/>
          <w:szCs w:val="26"/>
          <w:shd w:val="clear" w:color="auto" w:fill="FFFFFF"/>
        </w:rPr>
        <w:t>Nonbank financial intermediation</w:t>
      </w:r>
    </w:p>
    <w:p w:rsidR="00320574" w:rsidRPr="00320574" w:rsidRDefault="00320574" w:rsidP="00320574">
      <w:pPr>
        <w:spacing w:line="360" w:lineRule="auto"/>
        <w:jc w:val="both"/>
        <w:rPr>
          <w:rFonts w:ascii="Times New Roman" w:hAnsi="Times New Roman" w:cs="Times New Roman"/>
          <w:color w:val="374151"/>
          <w:sz w:val="24"/>
        </w:rPr>
      </w:pPr>
      <w:r w:rsidRPr="00320574">
        <w:rPr>
          <w:rFonts w:ascii="Times New Roman" w:hAnsi="Times New Roman" w:cs="Times New Roman"/>
          <w:color w:val="374151"/>
          <w:sz w:val="24"/>
        </w:rPr>
        <w:t xml:space="preserve">Nonbank financial institutions are an important source of money in financial markets and a critical source of finance for the US economy. While acknowledging these benefits, the Council has recognized several weaknesses. The March 2020 market dislocations highlighted that some nonbank financial entities are still susceptible and may magnify or transfer </w:t>
      </w:r>
      <w:r>
        <w:rPr>
          <w:rFonts w:ascii="Times New Roman" w:hAnsi="Times New Roman" w:cs="Times New Roman"/>
          <w:color w:val="374151"/>
          <w:sz w:val="24"/>
        </w:rPr>
        <w:t>stress in the financial system.</w:t>
      </w:r>
    </w:p>
    <w:p w:rsidR="00320574" w:rsidRDefault="00320574" w:rsidP="00320574">
      <w:pPr>
        <w:spacing w:line="360" w:lineRule="auto"/>
        <w:jc w:val="both"/>
        <w:rPr>
          <w:rFonts w:ascii="Times New Roman" w:hAnsi="Times New Roman" w:cs="Times New Roman"/>
          <w:color w:val="374151"/>
          <w:sz w:val="24"/>
        </w:rPr>
      </w:pPr>
      <w:r w:rsidRPr="00320574">
        <w:rPr>
          <w:rFonts w:ascii="Times New Roman" w:hAnsi="Times New Roman" w:cs="Times New Roman"/>
          <w:color w:val="374151"/>
          <w:sz w:val="24"/>
        </w:rPr>
        <w:lastRenderedPageBreak/>
        <w:t xml:space="preserve">The Council prioritized assessing and mitigating the risks to US financial stability presented by three categories of nonbank financial entities in 2021: hedge funds, open-end mutual funds, and money market funds. Its progress </w:t>
      </w:r>
      <w:r w:rsidR="0031665B">
        <w:rPr>
          <w:rFonts w:ascii="Times New Roman" w:hAnsi="Times New Roman" w:cs="Times New Roman"/>
          <w:color w:val="374151"/>
          <w:sz w:val="24"/>
        </w:rPr>
        <w:t>in</w:t>
      </w:r>
      <w:r w:rsidRPr="00320574">
        <w:rPr>
          <w:rFonts w:ascii="Times New Roman" w:hAnsi="Times New Roman" w:cs="Times New Roman"/>
          <w:color w:val="374151"/>
          <w:sz w:val="24"/>
        </w:rPr>
        <w:t xml:space="preserve"> these efforts has included the re-establishment of the Council's Hedge Fund Working Group, which has developed an interagency risk-monitoring framework to assess hedge fund-related risks to U.S. financial stability, as well as the formation of an Open-end Fund Working Group.</w:t>
      </w:r>
    </w:p>
    <w:p w:rsidR="0031665B" w:rsidRDefault="0031665B" w:rsidP="00320574">
      <w:pPr>
        <w:spacing w:line="360" w:lineRule="auto"/>
        <w:jc w:val="both"/>
        <w:rPr>
          <w:rFonts w:ascii="Times New Roman" w:hAnsi="Times New Roman" w:cs="Times New Roman"/>
          <w:color w:val="374151"/>
          <w:sz w:val="24"/>
        </w:rPr>
      </w:pPr>
    </w:p>
    <w:p w:rsidR="0031665B" w:rsidRPr="0031665B" w:rsidRDefault="0031665B" w:rsidP="0031665B">
      <w:pPr>
        <w:pStyle w:val="ListParagraph"/>
        <w:numPr>
          <w:ilvl w:val="0"/>
          <w:numId w:val="1"/>
        </w:numPr>
        <w:spacing w:line="360" w:lineRule="auto"/>
        <w:jc w:val="both"/>
        <w:rPr>
          <w:rFonts w:ascii="Times New Roman" w:hAnsi="Times New Roman" w:cs="Times New Roman"/>
          <w:color w:val="374151"/>
        </w:rPr>
      </w:pPr>
      <w:r w:rsidRPr="0031665B">
        <w:rPr>
          <w:rStyle w:val="Strong"/>
          <w:rFonts w:ascii="Times New Roman" w:hAnsi="Times New Roman" w:cs="Times New Roman"/>
          <w:color w:val="393B3E"/>
          <w:sz w:val="24"/>
          <w:szCs w:val="26"/>
          <w:shd w:val="clear" w:color="auto" w:fill="FFFFFF"/>
        </w:rPr>
        <w:t>Climate-related financial risk</w:t>
      </w:r>
    </w:p>
    <w:p w:rsidR="0031665B" w:rsidRDefault="0031665B" w:rsidP="00320574">
      <w:pPr>
        <w:spacing w:line="360" w:lineRule="auto"/>
        <w:jc w:val="both"/>
        <w:rPr>
          <w:rFonts w:ascii="Times New Roman" w:hAnsi="Times New Roman" w:cs="Times New Roman"/>
          <w:color w:val="374151"/>
          <w:sz w:val="24"/>
        </w:rPr>
      </w:pPr>
      <w:r w:rsidRPr="0031665B">
        <w:rPr>
          <w:rFonts w:ascii="Times New Roman" w:hAnsi="Times New Roman" w:cs="Times New Roman"/>
          <w:color w:val="374151"/>
          <w:sz w:val="24"/>
        </w:rPr>
        <w:t xml:space="preserve">In its October 2021 Report on Climate-related Budgetary Chance, the Committee underscored the heightening risk that climate </w:t>
      </w:r>
      <w:r>
        <w:rPr>
          <w:rFonts w:ascii="Times New Roman" w:hAnsi="Times New Roman" w:cs="Times New Roman"/>
          <w:color w:val="374151"/>
          <w:sz w:val="24"/>
        </w:rPr>
        <w:t>alters</w:t>
      </w:r>
      <w:r w:rsidRPr="0031665B">
        <w:rPr>
          <w:rFonts w:ascii="Times New Roman" w:hAnsi="Times New Roman" w:cs="Times New Roman"/>
          <w:color w:val="374151"/>
          <w:sz w:val="24"/>
        </w:rPr>
        <w:t xml:space="preserve"> postures to the budgetary steadiness of the Joined together States. The report sketched out the progressing </w:t>
      </w:r>
      <w:r w:rsidR="00785610">
        <w:rPr>
          <w:rFonts w:ascii="Times New Roman" w:hAnsi="Times New Roman" w:cs="Times New Roman"/>
          <w:color w:val="374151"/>
          <w:sz w:val="24"/>
        </w:rPr>
        <w:t>endeavors</w:t>
      </w:r>
      <w:r w:rsidRPr="0031665B">
        <w:rPr>
          <w:rFonts w:ascii="Times New Roman" w:hAnsi="Times New Roman" w:cs="Times New Roman"/>
          <w:color w:val="374151"/>
          <w:sz w:val="24"/>
        </w:rPr>
        <w:t xml:space="preserve"> attempted by part organizations of the Committee to recognize and lighten the </w:t>
      </w:r>
      <w:r>
        <w:rPr>
          <w:rFonts w:ascii="Times New Roman" w:hAnsi="Times New Roman" w:cs="Times New Roman"/>
          <w:color w:val="374151"/>
          <w:sz w:val="24"/>
        </w:rPr>
        <w:t>money-related</w:t>
      </w:r>
      <w:r w:rsidRPr="0031665B">
        <w:rPr>
          <w:rFonts w:ascii="Times New Roman" w:hAnsi="Times New Roman" w:cs="Times New Roman"/>
          <w:color w:val="374151"/>
          <w:sz w:val="24"/>
        </w:rPr>
        <w:t xml:space="preserve"> dangers related </w:t>
      </w:r>
      <w:r>
        <w:rPr>
          <w:rFonts w:ascii="Times New Roman" w:hAnsi="Times New Roman" w:cs="Times New Roman"/>
          <w:color w:val="374151"/>
          <w:sz w:val="24"/>
        </w:rPr>
        <w:t>to</w:t>
      </w:r>
      <w:r w:rsidRPr="0031665B">
        <w:rPr>
          <w:rFonts w:ascii="Times New Roman" w:hAnsi="Times New Roman" w:cs="Times New Roman"/>
          <w:color w:val="374151"/>
          <w:sz w:val="24"/>
        </w:rPr>
        <w:t xml:space="preserve"> climate </w:t>
      </w:r>
      <w:r w:rsidR="00785610">
        <w:rPr>
          <w:rFonts w:ascii="Times New Roman" w:hAnsi="Times New Roman" w:cs="Times New Roman"/>
          <w:color w:val="374151"/>
          <w:sz w:val="24"/>
        </w:rPr>
        <w:t>alteration</w:t>
      </w:r>
      <w:r w:rsidRPr="0031665B">
        <w:rPr>
          <w:rFonts w:ascii="Times New Roman" w:hAnsi="Times New Roman" w:cs="Times New Roman"/>
          <w:color w:val="374151"/>
          <w:sz w:val="24"/>
        </w:rPr>
        <w:t xml:space="preserve">. Moreover, it outfitted particular suggestions to part organizations, prompting them </w:t>
      </w:r>
      <w:r>
        <w:rPr>
          <w:rFonts w:ascii="Times New Roman" w:hAnsi="Times New Roman" w:cs="Times New Roman"/>
          <w:color w:val="374151"/>
          <w:sz w:val="24"/>
        </w:rPr>
        <w:t>to upgrade</w:t>
      </w:r>
      <w:r w:rsidRPr="0031665B">
        <w:rPr>
          <w:rFonts w:ascii="Times New Roman" w:hAnsi="Times New Roman" w:cs="Times New Roman"/>
          <w:color w:val="374151"/>
          <w:sz w:val="24"/>
        </w:rPr>
        <w:t xml:space="preserve"> divulgences relating to climate alter, refining the precision of evaluations of </w:t>
      </w:r>
      <w:r>
        <w:rPr>
          <w:rFonts w:ascii="Times New Roman" w:hAnsi="Times New Roman" w:cs="Times New Roman"/>
          <w:color w:val="374151"/>
          <w:sz w:val="24"/>
        </w:rPr>
        <w:t>money-related</w:t>
      </w:r>
      <w:r w:rsidRPr="0031665B">
        <w:rPr>
          <w:rFonts w:ascii="Times New Roman" w:hAnsi="Times New Roman" w:cs="Times New Roman"/>
          <w:color w:val="374151"/>
          <w:sz w:val="24"/>
        </w:rPr>
        <w:t xml:space="preserve"> steadiness dangers connected to climate alter, increasing the openness and quality of budgetary information relating to climate alter, and developing skill and competencies concerning climate alter and monetary hazard.</w:t>
      </w:r>
    </w:p>
    <w:p w:rsidR="0031665B" w:rsidRDefault="0031665B" w:rsidP="00320574">
      <w:pPr>
        <w:spacing w:line="360" w:lineRule="auto"/>
        <w:jc w:val="both"/>
        <w:rPr>
          <w:rFonts w:ascii="Times New Roman" w:hAnsi="Times New Roman" w:cs="Times New Roman"/>
          <w:color w:val="374151"/>
          <w:sz w:val="24"/>
        </w:rPr>
      </w:pPr>
    </w:p>
    <w:p w:rsidR="0031665B" w:rsidRPr="0031665B" w:rsidRDefault="0031665B" w:rsidP="0031665B">
      <w:pPr>
        <w:pStyle w:val="ListParagraph"/>
        <w:numPr>
          <w:ilvl w:val="0"/>
          <w:numId w:val="1"/>
        </w:numPr>
        <w:spacing w:line="360" w:lineRule="auto"/>
        <w:jc w:val="both"/>
        <w:rPr>
          <w:rFonts w:ascii="Times New Roman" w:hAnsi="Times New Roman" w:cs="Times New Roman"/>
          <w:b/>
          <w:color w:val="374151"/>
          <w:sz w:val="24"/>
        </w:rPr>
      </w:pPr>
      <w:r w:rsidRPr="0031665B">
        <w:rPr>
          <w:rFonts w:ascii="Times New Roman" w:hAnsi="Times New Roman" w:cs="Times New Roman"/>
          <w:b/>
          <w:color w:val="374151"/>
          <w:sz w:val="24"/>
        </w:rPr>
        <w:t>Digital assets</w:t>
      </w:r>
    </w:p>
    <w:p w:rsidR="006A6539" w:rsidRDefault="006A6539" w:rsidP="006A6539">
      <w:pPr>
        <w:spacing w:line="360" w:lineRule="auto"/>
        <w:jc w:val="both"/>
        <w:rPr>
          <w:rFonts w:ascii="Times New Roman" w:hAnsi="Times New Roman" w:cs="Times New Roman"/>
          <w:color w:val="374151"/>
          <w:sz w:val="24"/>
        </w:rPr>
      </w:pPr>
      <w:r w:rsidRPr="006A6539">
        <w:rPr>
          <w:rFonts w:ascii="Times New Roman" w:hAnsi="Times New Roman" w:cs="Times New Roman"/>
          <w:color w:val="374151"/>
          <w:sz w:val="24"/>
        </w:rPr>
        <w:t xml:space="preserve">The domain of crypto resources has seen a significant surge in movement in later a long time. In October 2022, the Chamber issued its Report on Advanced Resource Budgetary Steadiness Dangers and Direction. The </w:t>
      </w:r>
      <w:r>
        <w:rPr>
          <w:rFonts w:ascii="Times New Roman" w:hAnsi="Times New Roman" w:cs="Times New Roman"/>
          <w:color w:val="374151"/>
          <w:sz w:val="24"/>
        </w:rPr>
        <w:t>investigation</w:t>
      </w:r>
      <w:r w:rsidRPr="006A6539">
        <w:rPr>
          <w:rFonts w:ascii="Times New Roman" w:hAnsi="Times New Roman" w:cs="Times New Roman"/>
          <w:color w:val="374151"/>
          <w:sz w:val="24"/>
        </w:rPr>
        <w:t xml:space="preserve"> digs into the risks </w:t>
      </w:r>
      <w:r>
        <w:rPr>
          <w:rFonts w:ascii="Times New Roman" w:hAnsi="Times New Roman" w:cs="Times New Roman"/>
          <w:color w:val="374151"/>
          <w:sz w:val="24"/>
        </w:rPr>
        <w:t>posed</w:t>
      </w:r>
      <w:r w:rsidRPr="006A6539">
        <w:rPr>
          <w:rFonts w:ascii="Times New Roman" w:hAnsi="Times New Roman" w:cs="Times New Roman"/>
          <w:color w:val="374151"/>
          <w:sz w:val="24"/>
        </w:rPr>
        <w:t xml:space="preserve"> to </w:t>
      </w:r>
      <w:r>
        <w:rPr>
          <w:rFonts w:ascii="Times New Roman" w:hAnsi="Times New Roman" w:cs="Times New Roman"/>
          <w:color w:val="374151"/>
          <w:sz w:val="24"/>
        </w:rPr>
        <w:t>money-related</w:t>
      </w:r>
      <w:r w:rsidRPr="006A6539">
        <w:rPr>
          <w:rFonts w:ascii="Times New Roman" w:hAnsi="Times New Roman" w:cs="Times New Roman"/>
          <w:color w:val="374151"/>
          <w:sz w:val="24"/>
        </w:rPr>
        <w:t xml:space="preserve"> soundness and the administrative holes related </w:t>
      </w:r>
      <w:r>
        <w:rPr>
          <w:rFonts w:ascii="Times New Roman" w:hAnsi="Times New Roman" w:cs="Times New Roman"/>
          <w:color w:val="374151"/>
          <w:sz w:val="24"/>
        </w:rPr>
        <w:t>to</w:t>
      </w:r>
      <w:r w:rsidRPr="006A6539">
        <w:rPr>
          <w:rFonts w:ascii="Times New Roman" w:hAnsi="Times New Roman" w:cs="Times New Roman"/>
          <w:color w:val="374151"/>
          <w:sz w:val="24"/>
        </w:rPr>
        <w:t xml:space="preserve"> advanced resources, giving proposals for moderating such dangers. The think about sets that ought to the exercises including crypto-assets multiply without adherence to extant directions, including the authorization of the administrative system, or ought to their in general greatness or interconnects with the conventional monetary framework escalating, potential dangers to the steadiness of the U.S. money related framework might follow.</w:t>
      </w:r>
    </w:p>
    <w:p w:rsidR="00DF02F6" w:rsidRPr="006A6539" w:rsidRDefault="000010CE" w:rsidP="006A6539">
      <w:pPr>
        <w:spacing w:line="360" w:lineRule="auto"/>
        <w:jc w:val="both"/>
        <w:rPr>
          <w:rFonts w:ascii="Times New Roman" w:hAnsi="Times New Roman" w:cs="Times New Roman"/>
          <w:color w:val="374151"/>
          <w:sz w:val="24"/>
        </w:rPr>
      </w:pPr>
      <w:hyperlink r:id="rId10" w:history="1">
        <w:r w:rsidR="00DF02F6" w:rsidRPr="006A6539">
          <w:rPr>
            <w:rStyle w:val="Hyperlink"/>
            <w:rFonts w:ascii="Times New Roman" w:hAnsi="Times New Roman" w:cs="Times New Roman"/>
            <w:sz w:val="24"/>
          </w:rPr>
          <w:t>https://home.treasury.gov/policy-issues/financial-markets-financial-institutions-and-fiscal-service/fsoc</w:t>
        </w:r>
      </w:hyperlink>
    </w:p>
    <w:p w:rsidR="00DF02F6" w:rsidRDefault="00DF02F6" w:rsidP="00320574">
      <w:pPr>
        <w:spacing w:line="360" w:lineRule="auto"/>
        <w:jc w:val="both"/>
        <w:rPr>
          <w:rFonts w:ascii="Times New Roman" w:hAnsi="Times New Roman" w:cs="Times New Roman"/>
          <w:color w:val="374151"/>
          <w:sz w:val="24"/>
        </w:rPr>
      </w:pPr>
    </w:p>
    <w:p w:rsidR="00987E22" w:rsidRPr="00987E22" w:rsidRDefault="00987E22" w:rsidP="00987E22">
      <w:pPr>
        <w:pStyle w:val="ListParagraph"/>
        <w:numPr>
          <w:ilvl w:val="1"/>
          <w:numId w:val="12"/>
        </w:numPr>
        <w:spacing w:line="360" w:lineRule="auto"/>
        <w:ind w:left="426"/>
        <w:jc w:val="both"/>
        <w:rPr>
          <w:rFonts w:ascii="Times New Roman" w:hAnsi="Times New Roman" w:cs="Times New Roman"/>
          <w:b/>
          <w:bCs/>
          <w:color w:val="000000"/>
          <w:sz w:val="28"/>
          <w:szCs w:val="20"/>
          <w:shd w:val="clear" w:color="auto" w:fill="FFFFFF"/>
        </w:rPr>
      </w:pPr>
      <w:r>
        <w:rPr>
          <w:rStyle w:val="Strong"/>
          <w:rFonts w:ascii="Times New Roman" w:hAnsi="Times New Roman" w:cs="Times New Roman"/>
          <w:color w:val="000000"/>
          <w:sz w:val="28"/>
          <w:szCs w:val="20"/>
          <w:shd w:val="clear" w:color="auto" w:fill="FFFFFF"/>
        </w:rPr>
        <w:t xml:space="preserve"> </w:t>
      </w:r>
      <w:r w:rsidR="00DF02F6" w:rsidRPr="00987E22">
        <w:rPr>
          <w:rStyle w:val="Strong"/>
          <w:rFonts w:ascii="Times New Roman" w:hAnsi="Times New Roman" w:cs="Times New Roman"/>
          <w:color w:val="000000"/>
          <w:sz w:val="28"/>
          <w:szCs w:val="20"/>
          <w:shd w:val="clear" w:color="auto" w:fill="FFFFFF"/>
        </w:rPr>
        <w:t>Derivatives</w:t>
      </w:r>
    </w:p>
    <w:p w:rsidR="00DF02F6" w:rsidRPr="00FE7A7B" w:rsidRDefault="00DF02F6" w:rsidP="00DF02F6">
      <w:pPr>
        <w:spacing w:line="360" w:lineRule="auto"/>
        <w:jc w:val="both"/>
        <w:rPr>
          <w:rFonts w:ascii="Times New Roman" w:hAnsi="Times New Roman" w:cs="Times New Roman"/>
          <w:color w:val="000000" w:themeColor="text1"/>
          <w:sz w:val="24"/>
        </w:rPr>
      </w:pPr>
      <w:r w:rsidRPr="00FE7A7B">
        <w:rPr>
          <w:rFonts w:ascii="Times New Roman" w:hAnsi="Times New Roman" w:cs="Times New Roman"/>
          <w:color w:val="000000" w:themeColor="text1"/>
          <w:sz w:val="24"/>
        </w:rPr>
        <w:t>The Product Prospects Modernization Act of 2000 initially deregulated most derivatives exchanges, although the Act presently subjects them to comprehensive regulation. The legislation categorizes derivatives exchanges within its purview into three main types: "swaps," predominantly regulated by the Commodity Futures Trading Commission (CFTC); "security-based swaps," primarily regulated by the Securities and Exchange Commission (SEC); and "mixed swaps," jointly regulated by both the CFTC and SEC. This classification largely mirrors historical jurisdictional divisions between the CFTC and the SEC.</w:t>
      </w:r>
    </w:p>
    <w:p w:rsidR="00DF02F6" w:rsidRPr="00FE7A7B" w:rsidRDefault="00DF02F6" w:rsidP="00DF02F6">
      <w:pPr>
        <w:spacing w:line="360" w:lineRule="auto"/>
        <w:jc w:val="both"/>
        <w:rPr>
          <w:rFonts w:ascii="Times New Roman" w:hAnsi="Times New Roman" w:cs="Times New Roman"/>
          <w:color w:val="000000" w:themeColor="text1"/>
          <w:sz w:val="24"/>
        </w:rPr>
      </w:pPr>
      <w:r w:rsidRPr="00FE7A7B">
        <w:rPr>
          <w:rFonts w:ascii="Times New Roman" w:hAnsi="Times New Roman" w:cs="Times New Roman"/>
          <w:color w:val="000000" w:themeColor="text1"/>
          <w:sz w:val="24"/>
        </w:rPr>
        <w:t xml:space="preserve">The three principal features of the derivatives sector include (i) the introduction of new categories of regulated market participants, such as swap dealers and major swap participants; (ii) the prohibition of certain swap activities from banks, necessitating their relocation to bank affiliates; and (iii) the mandatory execution of trades through either regulated exchanges or swap execution facilities, with specific key exemptions. This information is based on the October 2010 Report of the 50th IBA Task Force on the Financial crisis. </w:t>
      </w:r>
    </w:p>
    <w:p w:rsidR="00EF22EB" w:rsidRDefault="00EF22EB" w:rsidP="00DF02F6">
      <w:pPr>
        <w:spacing w:line="360" w:lineRule="auto"/>
        <w:jc w:val="both"/>
        <w:rPr>
          <w:rFonts w:ascii="Times New Roman" w:hAnsi="Times New Roman" w:cs="Times New Roman"/>
          <w:color w:val="374151"/>
          <w:sz w:val="24"/>
        </w:rPr>
      </w:pPr>
    </w:p>
    <w:p w:rsidR="000D6141" w:rsidRPr="008F591B" w:rsidRDefault="00196C2A" w:rsidP="00987E22">
      <w:pPr>
        <w:pStyle w:val="NormalWeb"/>
        <w:numPr>
          <w:ilvl w:val="1"/>
          <w:numId w:val="12"/>
        </w:numPr>
        <w:shd w:val="clear" w:color="auto" w:fill="FFFFFF"/>
        <w:spacing w:before="60" w:beforeAutospacing="0" w:after="180" w:afterAutospacing="0" w:line="336" w:lineRule="atLeast"/>
        <w:ind w:left="426"/>
        <w:jc w:val="both"/>
        <w:rPr>
          <w:b/>
          <w:bCs/>
          <w:color w:val="000000"/>
          <w:sz w:val="28"/>
          <w:szCs w:val="20"/>
        </w:rPr>
      </w:pPr>
      <w:r>
        <w:rPr>
          <w:rStyle w:val="Strong"/>
          <w:color w:val="000000"/>
          <w:sz w:val="28"/>
          <w:szCs w:val="20"/>
        </w:rPr>
        <w:t xml:space="preserve"> </w:t>
      </w:r>
      <w:r w:rsidR="00EF22EB" w:rsidRPr="008F591B">
        <w:rPr>
          <w:rStyle w:val="Strong"/>
          <w:color w:val="000000"/>
          <w:sz w:val="28"/>
          <w:szCs w:val="20"/>
        </w:rPr>
        <w:t>Executive Compensation</w:t>
      </w:r>
    </w:p>
    <w:p w:rsidR="00EF22EB" w:rsidRPr="00FE7A7B" w:rsidRDefault="00EF22EB" w:rsidP="00EF22EB">
      <w:pPr>
        <w:spacing w:line="360" w:lineRule="auto"/>
        <w:jc w:val="both"/>
        <w:rPr>
          <w:rFonts w:ascii="Times New Roman" w:hAnsi="Times New Roman" w:cs="Times New Roman"/>
          <w:color w:val="000000" w:themeColor="text1"/>
          <w:sz w:val="24"/>
        </w:rPr>
      </w:pPr>
      <w:r w:rsidRPr="00FE7A7B">
        <w:rPr>
          <w:rFonts w:ascii="Times New Roman" w:hAnsi="Times New Roman" w:cs="Times New Roman"/>
          <w:color w:val="000000" w:themeColor="text1"/>
          <w:sz w:val="24"/>
        </w:rPr>
        <w:t>The legislation incorporates stipulations about executive compensation structures for publicly traded companies and financial discipline. While the Act predominantly relies on principles-based components, it necessitates the implementation of regulations, albeit without imposing stringent limitations and restrictions akin to those evident in preceding TARP legislation. Key provisions include the mandate for independent compensation committees in the case of listed corporations and a compulsory non-binding vote on executive remuneration.</w:t>
      </w:r>
    </w:p>
    <w:p w:rsidR="00EF22EB" w:rsidRDefault="00EF22EB" w:rsidP="00EF22EB">
      <w:pPr>
        <w:spacing w:line="360" w:lineRule="auto"/>
        <w:jc w:val="both"/>
        <w:rPr>
          <w:rFonts w:ascii="Times New Roman" w:hAnsi="Times New Roman" w:cs="Times New Roman"/>
          <w:color w:val="374151"/>
          <w:sz w:val="24"/>
        </w:rPr>
      </w:pPr>
    </w:p>
    <w:p w:rsidR="00EF22EB" w:rsidRPr="008F591B" w:rsidRDefault="00196C2A" w:rsidP="00987E22">
      <w:pPr>
        <w:pStyle w:val="NormalWeb"/>
        <w:numPr>
          <w:ilvl w:val="1"/>
          <w:numId w:val="12"/>
        </w:numPr>
        <w:shd w:val="clear" w:color="auto" w:fill="FFFFFF"/>
        <w:tabs>
          <w:tab w:val="center" w:pos="4513"/>
        </w:tabs>
        <w:spacing w:before="60" w:beforeAutospacing="0" w:after="180" w:afterAutospacing="0" w:line="336" w:lineRule="atLeast"/>
        <w:ind w:left="426"/>
        <w:jc w:val="both"/>
        <w:rPr>
          <w:b/>
          <w:bCs/>
          <w:color w:val="000000"/>
          <w:sz w:val="28"/>
          <w:szCs w:val="20"/>
        </w:rPr>
      </w:pPr>
      <w:r>
        <w:rPr>
          <w:rStyle w:val="Strong"/>
          <w:color w:val="000000"/>
          <w:sz w:val="28"/>
          <w:szCs w:val="20"/>
        </w:rPr>
        <w:t xml:space="preserve"> </w:t>
      </w:r>
      <w:r w:rsidR="00EF22EB" w:rsidRPr="008F591B">
        <w:rPr>
          <w:rStyle w:val="Strong"/>
          <w:color w:val="000000"/>
          <w:sz w:val="28"/>
          <w:szCs w:val="20"/>
        </w:rPr>
        <w:t>Payment, Clearing</w:t>
      </w:r>
      <w:r w:rsidR="00785610">
        <w:rPr>
          <w:rStyle w:val="Strong"/>
          <w:color w:val="000000"/>
          <w:sz w:val="28"/>
          <w:szCs w:val="20"/>
        </w:rPr>
        <w:t>,</w:t>
      </w:r>
      <w:r w:rsidR="00EF22EB" w:rsidRPr="008F591B">
        <w:rPr>
          <w:rStyle w:val="Strong"/>
          <w:color w:val="000000"/>
          <w:sz w:val="28"/>
          <w:szCs w:val="20"/>
        </w:rPr>
        <w:t xml:space="preserve"> and Settlement</w:t>
      </w:r>
      <w:r w:rsidR="000D6141" w:rsidRPr="008F591B">
        <w:rPr>
          <w:rStyle w:val="Strong"/>
          <w:color w:val="000000"/>
          <w:sz w:val="28"/>
          <w:szCs w:val="20"/>
        </w:rPr>
        <w:tab/>
      </w:r>
    </w:p>
    <w:p w:rsidR="00EF22EB" w:rsidRPr="00FE7A7B" w:rsidRDefault="00EF22EB" w:rsidP="00EF22EB">
      <w:pPr>
        <w:spacing w:line="360" w:lineRule="auto"/>
        <w:jc w:val="both"/>
        <w:rPr>
          <w:rFonts w:ascii="Times New Roman" w:hAnsi="Times New Roman" w:cs="Times New Roman"/>
          <w:color w:val="000000" w:themeColor="text1"/>
          <w:sz w:val="24"/>
        </w:rPr>
      </w:pPr>
      <w:r w:rsidRPr="00FE7A7B">
        <w:rPr>
          <w:rFonts w:ascii="Times New Roman" w:hAnsi="Times New Roman" w:cs="Times New Roman"/>
          <w:color w:val="000000" w:themeColor="text1"/>
          <w:sz w:val="24"/>
        </w:rPr>
        <w:t xml:space="preserve">The legislation's provisions on payment, clearing, and settlement regulations are designed to mitigate the threat of market and financial institution contagion. The Act seeks to reduce risks to the financial system by implementing enhanced prudential supervision and oversight of financial market utilities engaged in or supporting multilateral payment, clearing, or settlement </w:t>
      </w:r>
      <w:r w:rsidRPr="00FE7A7B">
        <w:rPr>
          <w:rFonts w:ascii="Times New Roman" w:hAnsi="Times New Roman" w:cs="Times New Roman"/>
          <w:color w:val="000000" w:themeColor="text1"/>
          <w:sz w:val="24"/>
        </w:rPr>
        <w:lastRenderedPageBreak/>
        <w:t>functions, along with related financial activities. These utilities are acknowledged to possess the potential to generate and concentrate risks within the financial system.</w:t>
      </w:r>
    </w:p>
    <w:p w:rsidR="00EF22EB" w:rsidRPr="00EF22EB" w:rsidRDefault="00EF22EB" w:rsidP="00EF22EB">
      <w:pPr>
        <w:spacing w:line="360" w:lineRule="auto"/>
        <w:jc w:val="both"/>
        <w:rPr>
          <w:rFonts w:ascii="Times New Roman" w:hAnsi="Times New Roman" w:cs="Times New Roman"/>
          <w:color w:val="374151"/>
          <w:sz w:val="24"/>
        </w:rPr>
      </w:pPr>
    </w:p>
    <w:p w:rsidR="00EF22EB" w:rsidRPr="00FE7A7B" w:rsidRDefault="00EF22EB" w:rsidP="00EF22EB">
      <w:pPr>
        <w:spacing w:line="360" w:lineRule="auto"/>
        <w:jc w:val="both"/>
        <w:rPr>
          <w:rFonts w:ascii="Times New Roman" w:hAnsi="Times New Roman" w:cs="Times New Roman"/>
          <w:color w:val="000000" w:themeColor="text1"/>
          <w:sz w:val="24"/>
        </w:rPr>
      </w:pPr>
      <w:r w:rsidRPr="00FE7A7B">
        <w:rPr>
          <w:rFonts w:ascii="Times New Roman" w:hAnsi="Times New Roman" w:cs="Times New Roman"/>
          <w:color w:val="000000" w:themeColor="text1"/>
          <w:sz w:val="24"/>
        </w:rPr>
        <w:t>This regulation primarily impacts financial market utilities and entities involved in payment, clearing, and settlement processes. These utilities and entities can have some or all of their operations designated as systemically important. Should this occur, the utility or entity becomes subject to the Act's provisions on payment, clearing, and settlement, encompassing risk management guidelines and regulatory assessments.</w:t>
      </w:r>
    </w:p>
    <w:p w:rsidR="00883D5B" w:rsidRDefault="00883D5B" w:rsidP="00EF22EB">
      <w:pPr>
        <w:spacing w:line="360" w:lineRule="auto"/>
        <w:jc w:val="both"/>
        <w:rPr>
          <w:rFonts w:ascii="Times New Roman" w:hAnsi="Times New Roman" w:cs="Times New Roman"/>
          <w:color w:val="374151"/>
          <w:sz w:val="24"/>
        </w:rPr>
      </w:pPr>
    </w:p>
    <w:p w:rsidR="00883D5B" w:rsidRDefault="00883D5B" w:rsidP="00EF22EB">
      <w:pPr>
        <w:spacing w:line="360" w:lineRule="auto"/>
        <w:jc w:val="both"/>
        <w:rPr>
          <w:rFonts w:ascii="Times New Roman" w:hAnsi="Times New Roman" w:cs="Times New Roman"/>
          <w:color w:val="374151"/>
          <w:sz w:val="24"/>
        </w:rPr>
      </w:pPr>
    </w:p>
    <w:p w:rsidR="00883D5B" w:rsidRDefault="00883D5B" w:rsidP="00EF22EB">
      <w:pPr>
        <w:spacing w:line="360" w:lineRule="auto"/>
        <w:jc w:val="both"/>
        <w:rPr>
          <w:rFonts w:ascii="Times New Roman" w:hAnsi="Times New Roman" w:cs="Times New Roman"/>
          <w:color w:val="374151"/>
          <w:sz w:val="24"/>
        </w:rPr>
      </w:pPr>
    </w:p>
    <w:p w:rsidR="006A4052" w:rsidRDefault="006A4052" w:rsidP="006A4052">
      <w:pPr>
        <w:pStyle w:val="ListParagraph"/>
        <w:numPr>
          <w:ilvl w:val="0"/>
          <w:numId w:val="3"/>
        </w:numPr>
        <w:spacing w:line="360" w:lineRule="auto"/>
        <w:jc w:val="both"/>
        <w:rPr>
          <w:rFonts w:ascii="Times New Roman" w:hAnsi="Times New Roman" w:cs="Times New Roman"/>
          <w:b/>
          <w:color w:val="374151"/>
          <w:sz w:val="32"/>
        </w:rPr>
      </w:pPr>
      <w:r w:rsidRPr="006A4052">
        <w:rPr>
          <w:rFonts w:ascii="Times New Roman" w:hAnsi="Times New Roman" w:cs="Times New Roman"/>
          <w:b/>
          <w:color w:val="374151"/>
          <w:sz w:val="32"/>
        </w:rPr>
        <w:t>The principal laws, rules, and agreements that India implemented in the wake of the 2008 financial crisis.</w:t>
      </w:r>
    </w:p>
    <w:p w:rsidR="006A4052" w:rsidRPr="006A4052" w:rsidRDefault="006A4052" w:rsidP="006A4052">
      <w:pPr>
        <w:spacing w:line="360" w:lineRule="auto"/>
        <w:jc w:val="both"/>
        <w:rPr>
          <w:rFonts w:ascii="Times New Roman" w:hAnsi="Times New Roman" w:cs="Times New Roman"/>
          <w:b/>
          <w:color w:val="374151"/>
          <w:sz w:val="32"/>
        </w:rPr>
      </w:pPr>
    </w:p>
    <w:p w:rsidR="005C6DF7" w:rsidRPr="005C6DF7" w:rsidRDefault="005C6DF7" w:rsidP="00987E22">
      <w:pPr>
        <w:pStyle w:val="ListParagraph"/>
        <w:numPr>
          <w:ilvl w:val="0"/>
          <w:numId w:val="1"/>
        </w:numPr>
        <w:spacing w:line="360" w:lineRule="auto"/>
        <w:ind w:left="142"/>
        <w:jc w:val="both"/>
        <w:rPr>
          <w:rFonts w:ascii="Times New Roman" w:hAnsi="Times New Roman" w:cs="Times New Roman"/>
          <w:b/>
          <w:color w:val="374151"/>
          <w:sz w:val="32"/>
        </w:rPr>
      </w:pPr>
      <w:r>
        <w:rPr>
          <w:rFonts w:ascii="Times New Roman" w:hAnsi="Times New Roman" w:cs="Times New Roman"/>
          <w:b/>
          <w:color w:val="374151"/>
          <w:sz w:val="32"/>
        </w:rPr>
        <w:t>Reason for choosing India country</w:t>
      </w:r>
    </w:p>
    <w:p w:rsidR="00E674DE" w:rsidRDefault="00E674DE" w:rsidP="00E674DE">
      <w:pPr>
        <w:spacing w:line="360" w:lineRule="auto"/>
        <w:jc w:val="both"/>
        <w:rPr>
          <w:rFonts w:ascii="Times New Roman" w:hAnsi="Times New Roman" w:cs="Times New Roman"/>
          <w:color w:val="374151"/>
          <w:sz w:val="24"/>
        </w:rPr>
      </w:pPr>
      <w:r w:rsidRPr="00E674DE">
        <w:rPr>
          <w:rFonts w:ascii="Times New Roman" w:hAnsi="Times New Roman" w:cs="Times New Roman"/>
          <w:color w:val="374151"/>
          <w:sz w:val="24"/>
        </w:rPr>
        <w:t xml:space="preserve">Firstly, India is one of the most developing </w:t>
      </w:r>
      <w:r w:rsidR="00196C2A">
        <w:rPr>
          <w:rFonts w:ascii="Times New Roman" w:hAnsi="Times New Roman" w:cs="Times New Roman"/>
          <w:color w:val="374151"/>
          <w:sz w:val="24"/>
        </w:rPr>
        <w:t>countries</w:t>
      </w:r>
      <w:r w:rsidRPr="00E674DE">
        <w:rPr>
          <w:rFonts w:ascii="Times New Roman" w:hAnsi="Times New Roman" w:cs="Times New Roman"/>
          <w:color w:val="374151"/>
          <w:sz w:val="24"/>
        </w:rPr>
        <w:t xml:space="preserve"> in the world with lots of job opportunities and facilities.</w:t>
      </w:r>
      <w:r>
        <w:rPr>
          <w:rFonts w:ascii="Times New Roman" w:hAnsi="Times New Roman" w:cs="Times New Roman"/>
          <w:color w:val="374151"/>
          <w:sz w:val="24"/>
        </w:rPr>
        <w:t xml:space="preserve"> After the 2008 crisis India made so many rules, laws, and regulations for development and it worked for the country. India is also the largest economy in Asian countries who runs Asian economy. </w:t>
      </w:r>
      <w:r w:rsidR="005C6DF7">
        <w:rPr>
          <w:rFonts w:ascii="Times New Roman" w:hAnsi="Times New Roman" w:cs="Times New Roman"/>
          <w:color w:val="374151"/>
          <w:sz w:val="24"/>
        </w:rPr>
        <w:t xml:space="preserve">Furthermore, India has made lots of improvements after the crisis and it is really interesting to know. </w:t>
      </w:r>
    </w:p>
    <w:p w:rsidR="00E674DE" w:rsidRPr="00E674DE" w:rsidRDefault="00E674DE" w:rsidP="00E674DE">
      <w:pPr>
        <w:spacing w:line="360" w:lineRule="auto"/>
        <w:jc w:val="both"/>
        <w:rPr>
          <w:rFonts w:ascii="Times New Roman" w:hAnsi="Times New Roman" w:cs="Times New Roman"/>
          <w:b/>
          <w:color w:val="374151"/>
          <w:sz w:val="32"/>
        </w:rPr>
      </w:pPr>
    </w:p>
    <w:p w:rsidR="00196C2A" w:rsidRPr="00196C2A" w:rsidRDefault="00883D5B" w:rsidP="00196C2A">
      <w:pPr>
        <w:pStyle w:val="ListParagraph"/>
        <w:numPr>
          <w:ilvl w:val="1"/>
          <w:numId w:val="16"/>
        </w:numPr>
        <w:spacing w:line="360" w:lineRule="auto"/>
        <w:jc w:val="both"/>
        <w:rPr>
          <w:rFonts w:ascii="Times New Roman" w:hAnsi="Times New Roman" w:cs="Times New Roman"/>
          <w:b/>
          <w:color w:val="374151"/>
          <w:sz w:val="28"/>
        </w:rPr>
      </w:pPr>
      <w:r w:rsidRPr="00883D5B">
        <w:rPr>
          <w:rFonts w:ascii="Times New Roman" w:hAnsi="Times New Roman" w:cs="Times New Roman"/>
          <w:b/>
          <w:color w:val="374151"/>
          <w:sz w:val="28"/>
        </w:rPr>
        <w:t>Monetary Measures</w:t>
      </w:r>
    </w:p>
    <w:p w:rsidR="00883D5B" w:rsidRPr="00FE7A7B" w:rsidRDefault="00883D5B" w:rsidP="00883D5B">
      <w:pPr>
        <w:spacing w:line="360" w:lineRule="auto"/>
        <w:jc w:val="both"/>
        <w:rPr>
          <w:rFonts w:ascii="Times New Roman" w:hAnsi="Times New Roman" w:cs="Times New Roman"/>
          <w:color w:val="000000" w:themeColor="text1"/>
          <w:sz w:val="24"/>
        </w:rPr>
      </w:pPr>
      <w:r w:rsidRPr="00FE7A7B">
        <w:rPr>
          <w:rFonts w:ascii="Times New Roman" w:hAnsi="Times New Roman" w:cs="Times New Roman"/>
          <w:color w:val="000000" w:themeColor="text1"/>
          <w:sz w:val="24"/>
        </w:rPr>
        <w:br/>
        <w:t xml:space="preserve">The contraction of monetary policy persisted until the conclusion of August 2009. Commencing in mid-September, the central bank initiated the relaxation of liquidity, notwithstanding the absence of a reduction in the base interest rate. In early August 2008, the Wholesale Price Index (WPI) reached its zenith at a 12.9% inflation rate, a condition that </w:t>
      </w:r>
      <w:r w:rsidRPr="00FE7A7B">
        <w:rPr>
          <w:rFonts w:ascii="Times New Roman" w:hAnsi="Times New Roman" w:cs="Times New Roman"/>
          <w:color w:val="000000" w:themeColor="text1"/>
          <w:sz w:val="24"/>
        </w:rPr>
        <w:lastRenderedPageBreak/>
        <w:t xml:space="preserve">endured for an extended period. As previously elucidated, the economy bore the brunt of the credit and liquidity crisis from mid-September to late October 2008. Subsequently, between mid-October and April 2009, the Reserve Bank of India (RBI) implemented decisive measures to assuage the situation, encompassing reductions in interest rates and augmentation of liquidity. </w:t>
      </w:r>
    </w:p>
    <w:p w:rsidR="000266D2" w:rsidRDefault="006A6539" w:rsidP="00883D5B">
      <w:pPr>
        <w:spacing w:line="360" w:lineRule="auto"/>
        <w:jc w:val="both"/>
        <w:rPr>
          <w:rFonts w:ascii="Times New Roman" w:hAnsi="Times New Roman" w:cs="Times New Roman"/>
          <w:color w:val="000000" w:themeColor="text1"/>
          <w:sz w:val="24"/>
        </w:rPr>
      </w:pPr>
      <w:r w:rsidRPr="006A6539">
        <w:rPr>
          <w:rFonts w:ascii="Times New Roman" w:hAnsi="Times New Roman" w:cs="Times New Roman"/>
          <w:color w:val="000000" w:themeColor="text1"/>
          <w:sz w:val="24"/>
        </w:rPr>
        <w:t xml:space="preserve">The RBI embraced </w:t>
      </w:r>
      <w:r>
        <w:rPr>
          <w:rFonts w:ascii="Times New Roman" w:hAnsi="Times New Roman" w:cs="Times New Roman"/>
          <w:color w:val="000000" w:themeColor="text1"/>
          <w:sz w:val="24"/>
        </w:rPr>
        <w:t>an</w:t>
      </w:r>
      <w:r w:rsidRPr="006A6539">
        <w:rPr>
          <w:rFonts w:ascii="Times New Roman" w:hAnsi="Times New Roman" w:cs="Times New Roman"/>
          <w:color w:val="000000" w:themeColor="text1"/>
          <w:sz w:val="24"/>
        </w:rPr>
        <w:t xml:space="preserve"> arrangement of measures, including a decrease within the statutory liquidity proportion (SLR) from 25% to 24%, a diminish within the repo proportion from 9% to 4.75%, a bringing down of the invert repo proportion from 6% to 3.25%, and a significant diminish within the cash save proportion (CRR) from 9% to 5%. Concurrently, the RBI built up a particular loaning window through which banks might expand advances to residential back companies, shared stores, and non-banking fund companies (NBFCs). Also, the central bank allowed get to renegotiating offices for substances such as the National Lodging Bank (NHB), EXIM Bank, Little Mechanical Improvement Bank of India (SIDBI), and different banks.</w:t>
      </w:r>
    </w:p>
    <w:p w:rsidR="00196C2A" w:rsidRPr="00883D5B" w:rsidRDefault="00196C2A" w:rsidP="00883D5B">
      <w:pPr>
        <w:spacing w:line="360" w:lineRule="auto"/>
        <w:jc w:val="both"/>
        <w:rPr>
          <w:rFonts w:ascii="Segoe UI" w:hAnsi="Segoe UI" w:cs="Segoe UI"/>
        </w:rPr>
      </w:pPr>
    </w:p>
    <w:p w:rsidR="00196C2A" w:rsidRPr="00196C2A" w:rsidRDefault="00196C2A" w:rsidP="00196C2A">
      <w:pPr>
        <w:pStyle w:val="ListParagraph"/>
        <w:numPr>
          <w:ilvl w:val="1"/>
          <w:numId w:val="16"/>
        </w:numPr>
        <w:spacing w:line="360" w:lineRule="auto"/>
        <w:jc w:val="both"/>
        <w:rPr>
          <w:rFonts w:ascii="Times New Roman" w:hAnsi="Times New Roman" w:cs="Times New Roman"/>
          <w:b/>
          <w:color w:val="374151"/>
          <w:sz w:val="28"/>
        </w:rPr>
      </w:pPr>
      <w:r>
        <w:rPr>
          <w:rFonts w:ascii="Times New Roman" w:hAnsi="Times New Roman" w:cs="Times New Roman"/>
          <w:b/>
          <w:color w:val="374151"/>
          <w:sz w:val="28"/>
        </w:rPr>
        <w:t xml:space="preserve"> </w:t>
      </w:r>
      <w:r w:rsidR="00883D5B" w:rsidRPr="00883D5B">
        <w:rPr>
          <w:rFonts w:ascii="Times New Roman" w:hAnsi="Times New Roman" w:cs="Times New Roman"/>
          <w:b/>
          <w:color w:val="374151"/>
          <w:sz w:val="28"/>
        </w:rPr>
        <w:t>Fiscal Stimulus Packages</w:t>
      </w:r>
    </w:p>
    <w:p w:rsidR="006A6539" w:rsidRDefault="006A6539" w:rsidP="000266D2">
      <w:pPr>
        <w:spacing w:line="360" w:lineRule="auto"/>
        <w:jc w:val="both"/>
        <w:rPr>
          <w:rFonts w:ascii="Times New Roman" w:hAnsi="Times New Roman" w:cs="Times New Roman"/>
          <w:sz w:val="24"/>
        </w:rPr>
      </w:pPr>
      <w:r w:rsidRPr="006A6539">
        <w:rPr>
          <w:rFonts w:ascii="Times New Roman" w:hAnsi="Times New Roman" w:cs="Times New Roman"/>
          <w:sz w:val="24"/>
        </w:rPr>
        <w:t xml:space="preserve">The government reported three progressive monetary boost bundles, with the beginning one disclosed in early December 2008, taken after by the moment in early 2009, and the ultimate one in early Walk 2009. These bundles included a few measures, counting a comprehensive 4-percentage-point diminishment in central extract obligations, an extra allotment of 200 billion rupees for arranged uses, an additional borrowing capacity of 300 billion rupees by state governments for arranged uses, back for particular </w:t>
      </w:r>
      <w:r>
        <w:rPr>
          <w:rFonts w:ascii="Times New Roman" w:hAnsi="Times New Roman" w:cs="Times New Roman"/>
          <w:sz w:val="24"/>
        </w:rPr>
        <w:t>send-out</w:t>
      </w:r>
      <w:r w:rsidRPr="006A6539">
        <w:rPr>
          <w:rFonts w:ascii="Times New Roman" w:hAnsi="Times New Roman" w:cs="Times New Roman"/>
          <w:sz w:val="24"/>
        </w:rPr>
        <w:t xml:space="preserve"> businesses through trade motivating forces, discounts of central deals assess and extract obligations, intrigued endowments on send out financing, and a 2-percentage-point lessening in central extract and benefit charge. The total budgetary suggestions of these bundles measured 1.8% of GDP.</w:t>
      </w:r>
    </w:p>
    <w:p w:rsidR="00883D5B" w:rsidRDefault="00883D5B" w:rsidP="000266D2">
      <w:pPr>
        <w:spacing w:line="360" w:lineRule="auto"/>
        <w:jc w:val="both"/>
        <w:rPr>
          <w:rFonts w:ascii="Times New Roman" w:hAnsi="Times New Roman" w:cs="Times New Roman"/>
          <w:sz w:val="24"/>
        </w:rPr>
      </w:pPr>
      <w:r w:rsidRPr="000266D2">
        <w:rPr>
          <w:rFonts w:ascii="Times New Roman" w:hAnsi="Times New Roman" w:cs="Times New Roman"/>
          <w:sz w:val="24"/>
        </w:rPr>
        <w:t xml:space="preserve">The federal government announced three successive fiscal stimulus packages, with the initial one unveiled in early December 2008, followed by the second in early 2009, and the final one in early March 2009. These packages featured several measures, including a comprehensive 4-percentage-point reduction in central excise duties, an additional allocation of 200 billion rupees for planned expenditures, an extra borrowing capacity of 300 billion rupees by state governments for planned expenditures, support for specific export industries through export incentives, refunds of central sales tax and excise duties, interest subsidies on export financing, </w:t>
      </w:r>
      <w:r w:rsidRPr="000266D2">
        <w:rPr>
          <w:rFonts w:ascii="Times New Roman" w:hAnsi="Times New Roman" w:cs="Times New Roman"/>
          <w:sz w:val="24"/>
        </w:rPr>
        <w:lastRenderedPageBreak/>
        <w:t>and a 2-percentage-point reduction in central excise and service tax. The aggregate financial implications of these packages amounted to 1.8% of</w:t>
      </w:r>
      <w:r w:rsidR="000266D2" w:rsidRPr="000266D2">
        <w:rPr>
          <w:rFonts w:ascii="Times New Roman" w:hAnsi="Times New Roman" w:cs="Times New Roman"/>
          <w:sz w:val="24"/>
        </w:rPr>
        <w:t xml:space="preserve"> GDP.</w:t>
      </w:r>
    </w:p>
    <w:p w:rsidR="000266D2" w:rsidRPr="000266D2" w:rsidRDefault="000266D2" w:rsidP="000266D2">
      <w:pPr>
        <w:spacing w:line="360" w:lineRule="auto"/>
        <w:jc w:val="both"/>
        <w:rPr>
          <w:rFonts w:ascii="Times New Roman" w:hAnsi="Times New Roman" w:cs="Times New Roman"/>
          <w:sz w:val="24"/>
        </w:rPr>
      </w:pPr>
    </w:p>
    <w:p w:rsidR="00FE7A7B" w:rsidRPr="0077487E" w:rsidRDefault="00196C2A" w:rsidP="00196C2A">
      <w:pPr>
        <w:pStyle w:val="Heading1"/>
        <w:numPr>
          <w:ilvl w:val="1"/>
          <w:numId w:val="16"/>
        </w:numPr>
        <w:spacing w:before="0" w:after="240"/>
        <w:ind w:left="426"/>
        <w:rPr>
          <w:rFonts w:ascii="Times New Roman" w:hAnsi="Times New Roman" w:cs="Times New Roman"/>
          <w:b/>
          <w:color w:val="000000" w:themeColor="text1"/>
          <w:sz w:val="28"/>
          <w:szCs w:val="24"/>
        </w:rPr>
      </w:pPr>
      <w:r>
        <w:rPr>
          <w:rFonts w:ascii="Times New Roman" w:hAnsi="Times New Roman" w:cs="Times New Roman"/>
          <w:b/>
          <w:color w:val="000000" w:themeColor="text1"/>
          <w:sz w:val="28"/>
          <w:szCs w:val="24"/>
        </w:rPr>
        <w:t xml:space="preserve"> </w:t>
      </w:r>
      <w:r w:rsidR="00FE7A7B" w:rsidRPr="0077487E">
        <w:rPr>
          <w:rFonts w:ascii="Times New Roman" w:hAnsi="Times New Roman" w:cs="Times New Roman"/>
          <w:b/>
          <w:color w:val="000000" w:themeColor="text1"/>
          <w:sz w:val="28"/>
          <w:szCs w:val="24"/>
        </w:rPr>
        <w:t>The Securities Laws (Amendment) Act, 2014</w:t>
      </w:r>
    </w:p>
    <w:p w:rsidR="00FE7A7B" w:rsidRPr="00FE7A7B" w:rsidRDefault="00FE7A7B" w:rsidP="00FE7A7B">
      <w:pPr>
        <w:spacing w:line="360" w:lineRule="auto"/>
        <w:jc w:val="both"/>
        <w:rPr>
          <w:rFonts w:ascii="Times New Roman" w:hAnsi="Times New Roman" w:cs="Times New Roman"/>
          <w:color w:val="000000" w:themeColor="text1"/>
          <w:sz w:val="24"/>
        </w:rPr>
      </w:pPr>
      <w:r w:rsidRPr="00FE7A7B">
        <w:rPr>
          <w:rFonts w:ascii="Times New Roman" w:hAnsi="Times New Roman" w:cs="Times New Roman"/>
          <w:color w:val="000000" w:themeColor="text1"/>
          <w:sz w:val="24"/>
        </w:rPr>
        <w:t>The provisions fortifying the regulatory authority of the securities regulator underwent a series of publications as ordinances on three occasions before formal incorporation into law on August 25, 2014, with the enactment of the Securities Laws (Amendment) Act, 2014. The primary objective of this Act is to ensure the availability of diverse avenues for the regulator to recover funds amassed by entities under its purview. Additionally, it amplifies the investigatory and enforcement capacities of the Securities and Exchange Board of India (SEBI) to combat illegitimate Ponzi schemes.</w:t>
      </w:r>
    </w:p>
    <w:p w:rsidR="00FE7A7B" w:rsidRPr="00FE7A7B" w:rsidRDefault="00FE7A7B" w:rsidP="00FE7A7B">
      <w:pPr>
        <w:spacing w:line="360" w:lineRule="auto"/>
        <w:jc w:val="both"/>
        <w:rPr>
          <w:rFonts w:ascii="Times New Roman" w:hAnsi="Times New Roman" w:cs="Times New Roman"/>
          <w:color w:val="000000" w:themeColor="text1"/>
          <w:sz w:val="24"/>
        </w:rPr>
      </w:pPr>
      <w:r w:rsidRPr="00FE7A7B">
        <w:rPr>
          <w:rFonts w:ascii="Times New Roman" w:hAnsi="Times New Roman" w:cs="Times New Roman"/>
          <w:color w:val="000000" w:themeColor="text1"/>
          <w:sz w:val="24"/>
        </w:rPr>
        <w:t xml:space="preserve">In essence, the Act aligns the authority to request information, facilitate the collection of funds from individuals resisting the payment of fines or other dues, and comply with disgorgement judgments with the provisions outlined in the antecedent ordinances. Notably, the Act rescinds the comprehensive authority previously vested in the chairman concerning the authorization of search and seizure activities, a power derived from the ordinances. Under the Act, the authorization for such actions must now be sought from a magistrate or a judge from a court recognized by the federal government. Consequently, the SEBI (Search and Seizure) Regulations, 2014, developed based on the authority granted by the ordinances, become obsolete in light of this alteration. </w:t>
      </w:r>
    </w:p>
    <w:p w:rsidR="000266D2" w:rsidRDefault="000010CE" w:rsidP="000266D2">
      <w:pPr>
        <w:spacing w:line="360" w:lineRule="auto"/>
        <w:jc w:val="both"/>
        <w:rPr>
          <w:rFonts w:ascii="Times New Roman" w:hAnsi="Times New Roman" w:cs="Times New Roman"/>
          <w:color w:val="374151"/>
          <w:sz w:val="24"/>
        </w:rPr>
      </w:pPr>
      <w:hyperlink r:id="rId11" w:history="1">
        <w:r w:rsidR="00FE7A7B" w:rsidRPr="00B216D0">
          <w:rPr>
            <w:rStyle w:val="Hyperlink"/>
            <w:rFonts w:ascii="Times New Roman" w:hAnsi="Times New Roman" w:cs="Times New Roman"/>
            <w:sz w:val="24"/>
          </w:rPr>
          <w:t>https://www.finseclaw.com/article/securities-laws-amendment-act-2014</w:t>
        </w:r>
      </w:hyperlink>
    </w:p>
    <w:p w:rsidR="00955F72" w:rsidRDefault="00955F72" w:rsidP="000266D2">
      <w:pPr>
        <w:spacing w:line="360" w:lineRule="auto"/>
        <w:jc w:val="both"/>
        <w:rPr>
          <w:rFonts w:ascii="Times New Roman" w:hAnsi="Times New Roman" w:cs="Times New Roman"/>
          <w:color w:val="374151"/>
          <w:sz w:val="24"/>
        </w:rPr>
      </w:pPr>
    </w:p>
    <w:p w:rsidR="00955F72" w:rsidRPr="00987E22" w:rsidRDefault="00196C2A" w:rsidP="00196C2A">
      <w:pPr>
        <w:pStyle w:val="ListParagraph"/>
        <w:numPr>
          <w:ilvl w:val="1"/>
          <w:numId w:val="16"/>
        </w:numPr>
        <w:spacing w:line="360" w:lineRule="auto"/>
        <w:ind w:left="426"/>
        <w:jc w:val="both"/>
        <w:rPr>
          <w:rFonts w:ascii="Times New Roman" w:hAnsi="Times New Roman" w:cs="Times New Roman"/>
          <w:b/>
          <w:color w:val="374151"/>
          <w:sz w:val="28"/>
        </w:rPr>
      </w:pPr>
      <w:r>
        <w:rPr>
          <w:rFonts w:ascii="Times New Roman" w:hAnsi="Times New Roman" w:cs="Times New Roman"/>
          <w:b/>
          <w:color w:val="374151"/>
          <w:sz w:val="28"/>
        </w:rPr>
        <w:t xml:space="preserve"> </w:t>
      </w:r>
      <w:r w:rsidR="00955F72" w:rsidRPr="00955F72">
        <w:rPr>
          <w:rFonts w:ascii="Times New Roman" w:hAnsi="Times New Roman" w:cs="Times New Roman"/>
          <w:b/>
          <w:color w:val="374151"/>
          <w:sz w:val="28"/>
        </w:rPr>
        <w:t xml:space="preserve">Insolvency and </w:t>
      </w:r>
      <w:r w:rsidR="00955F72">
        <w:rPr>
          <w:rFonts w:ascii="Times New Roman" w:hAnsi="Times New Roman" w:cs="Times New Roman"/>
          <w:b/>
          <w:color w:val="374151"/>
          <w:sz w:val="28"/>
        </w:rPr>
        <w:t>Bankruptcy Code</w:t>
      </w:r>
      <w:r w:rsidR="00955F72" w:rsidRPr="00955F72">
        <w:rPr>
          <w:rFonts w:ascii="Times New Roman" w:hAnsi="Times New Roman" w:cs="Times New Roman"/>
          <w:b/>
          <w:color w:val="374151"/>
          <w:sz w:val="28"/>
        </w:rPr>
        <w:t xml:space="preserve"> 2016 </w:t>
      </w:r>
    </w:p>
    <w:p w:rsidR="00955F72" w:rsidRPr="00955F72" w:rsidRDefault="00955F72" w:rsidP="00955F72">
      <w:pPr>
        <w:spacing w:line="360" w:lineRule="auto"/>
        <w:jc w:val="both"/>
        <w:rPr>
          <w:rFonts w:ascii="Times New Roman" w:hAnsi="Times New Roman" w:cs="Times New Roman"/>
          <w:color w:val="0F0F0F"/>
          <w:sz w:val="24"/>
        </w:rPr>
      </w:pPr>
      <w:r w:rsidRPr="00955F72">
        <w:rPr>
          <w:rFonts w:ascii="Times New Roman" w:hAnsi="Times New Roman" w:cs="Times New Roman"/>
          <w:color w:val="0F0F0F"/>
          <w:sz w:val="24"/>
        </w:rPr>
        <w:t xml:space="preserve">India's insolvency enactment, the Indebtedness and Liquidation Code, 2016 (IBC), points to </w:t>
      </w:r>
      <w:r>
        <w:rPr>
          <w:rFonts w:ascii="Times New Roman" w:hAnsi="Times New Roman" w:cs="Times New Roman"/>
          <w:color w:val="0F0F0F"/>
          <w:sz w:val="24"/>
        </w:rPr>
        <w:t>binding</w:t>
      </w:r>
      <w:r w:rsidRPr="00955F72">
        <w:rPr>
          <w:rFonts w:ascii="Times New Roman" w:hAnsi="Times New Roman" w:cs="Times New Roman"/>
          <w:color w:val="0F0F0F"/>
          <w:sz w:val="24"/>
        </w:rPr>
        <w:t xml:space="preserve"> together the current framework by setting up a </w:t>
      </w:r>
      <w:r>
        <w:rPr>
          <w:rFonts w:ascii="Times New Roman" w:hAnsi="Times New Roman" w:cs="Times New Roman"/>
          <w:color w:val="0F0F0F"/>
          <w:sz w:val="24"/>
        </w:rPr>
        <w:t>bound-together</w:t>
      </w:r>
      <w:r w:rsidRPr="00955F72">
        <w:rPr>
          <w:rFonts w:ascii="Times New Roman" w:hAnsi="Times New Roman" w:cs="Times New Roman"/>
          <w:color w:val="0F0F0F"/>
          <w:sz w:val="24"/>
        </w:rPr>
        <w:t xml:space="preserve"> liquidation and indebtedness law. In December 2015, the Lok </w:t>
      </w:r>
      <w:r>
        <w:rPr>
          <w:rFonts w:ascii="Times New Roman" w:hAnsi="Times New Roman" w:cs="Times New Roman"/>
          <w:color w:val="0F0F0F"/>
          <w:sz w:val="24"/>
        </w:rPr>
        <w:t>Sabh</w:t>
      </w:r>
      <w:r w:rsidRPr="00955F72">
        <w:rPr>
          <w:rFonts w:ascii="Times New Roman" w:hAnsi="Times New Roman" w:cs="Times New Roman"/>
          <w:color w:val="0F0F0F"/>
          <w:sz w:val="24"/>
        </w:rPr>
        <w:t>a listened</w:t>
      </w:r>
      <w:r>
        <w:rPr>
          <w:rFonts w:ascii="Times New Roman" w:hAnsi="Times New Roman" w:cs="Times New Roman"/>
          <w:color w:val="0F0F0F"/>
          <w:sz w:val="24"/>
        </w:rPr>
        <w:t xml:space="preserve"> to</w:t>
      </w:r>
      <w:r w:rsidRPr="00955F72">
        <w:rPr>
          <w:rFonts w:ascii="Times New Roman" w:hAnsi="Times New Roman" w:cs="Times New Roman"/>
          <w:color w:val="0F0F0F"/>
          <w:sz w:val="24"/>
        </w:rPr>
        <w:t xml:space="preserve"> the presentation of the Indebtedness and Liquidation Code, 2015. On May 5, 2016, the Lok Sabha endorsed it. On May 28, 2016, the Indian President endorsed the Code. Many of the Act's arrangements </w:t>
      </w:r>
      <w:r>
        <w:rPr>
          <w:rFonts w:ascii="Times New Roman" w:hAnsi="Times New Roman" w:cs="Times New Roman"/>
          <w:color w:val="0F0F0F"/>
          <w:sz w:val="24"/>
        </w:rPr>
        <w:t>impacted</w:t>
      </w:r>
      <w:r w:rsidRPr="00955F72">
        <w:rPr>
          <w:rFonts w:ascii="Times New Roman" w:hAnsi="Times New Roman" w:cs="Times New Roman"/>
          <w:color w:val="0F0F0F"/>
          <w:sz w:val="24"/>
        </w:rPr>
        <w:t xml:space="preserve"> Eminent 5 and Admirable 19, 2016.</w:t>
      </w:r>
    </w:p>
    <w:p w:rsidR="00955F72" w:rsidRPr="00955F72" w:rsidRDefault="00955F72" w:rsidP="00955F72">
      <w:pPr>
        <w:spacing w:line="360" w:lineRule="auto"/>
        <w:jc w:val="both"/>
        <w:rPr>
          <w:rFonts w:ascii="Times New Roman" w:hAnsi="Times New Roman" w:cs="Times New Roman"/>
          <w:color w:val="0F0F0F"/>
          <w:sz w:val="24"/>
        </w:rPr>
      </w:pPr>
      <w:r w:rsidRPr="00955F72">
        <w:rPr>
          <w:rFonts w:ascii="Times New Roman" w:hAnsi="Times New Roman" w:cs="Times New Roman"/>
          <w:color w:val="0F0F0F"/>
          <w:sz w:val="24"/>
        </w:rPr>
        <w:lastRenderedPageBreak/>
        <w:t xml:space="preserve"> The Indian Contract Act, the Recuperation of Obligations Due to Banks and Monetary Institution Act 1993, the Securitizations and Reproduction of Monetary Resources and Requirement of Security Intrigued Act 2002, and the Debilitated Mechanical Companies (Extraordinary Arrangements) Act, 1985 (SICA) were fair many of the laws that India had </w:t>
      </w:r>
      <w:r w:rsidR="00785610">
        <w:rPr>
          <w:rFonts w:ascii="Times New Roman" w:hAnsi="Times New Roman" w:cs="Times New Roman"/>
          <w:color w:val="0F0F0F"/>
          <w:sz w:val="24"/>
        </w:rPr>
        <w:t>input</w:t>
      </w:r>
      <w:r w:rsidRPr="00955F72">
        <w:rPr>
          <w:rFonts w:ascii="Times New Roman" w:hAnsi="Times New Roman" w:cs="Times New Roman"/>
          <w:color w:val="0F0F0F"/>
          <w:sz w:val="24"/>
        </w:rPr>
        <w:t xml:space="preserve"> to rebuff defaulters. The government </w:t>
      </w:r>
      <w:r w:rsidR="00785610">
        <w:rPr>
          <w:rFonts w:ascii="Times New Roman" w:hAnsi="Times New Roman" w:cs="Times New Roman"/>
          <w:color w:val="0F0F0F"/>
          <w:sz w:val="24"/>
        </w:rPr>
        <w:t>chose</w:t>
      </w:r>
      <w:r w:rsidRPr="00955F72">
        <w:rPr>
          <w:rFonts w:ascii="Times New Roman" w:hAnsi="Times New Roman" w:cs="Times New Roman"/>
          <w:color w:val="0F0F0F"/>
          <w:sz w:val="24"/>
        </w:rPr>
        <w:t xml:space="preserve"> to supplant the current indebtedness rules with stricter unused </w:t>
      </w:r>
      <w:r w:rsidR="00785610">
        <w:rPr>
          <w:rFonts w:ascii="Times New Roman" w:hAnsi="Times New Roman" w:cs="Times New Roman"/>
          <w:color w:val="0F0F0F"/>
          <w:sz w:val="24"/>
        </w:rPr>
        <w:t>enactments</w:t>
      </w:r>
      <w:r w:rsidRPr="00955F72">
        <w:rPr>
          <w:rFonts w:ascii="Times New Roman" w:hAnsi="Times New Roman" w:cs="Times New Roman"/>
          <w:color w:val="0F0F0F"/>
          <w:sz w:val="24"/>
        </w:rPr>
        <w:t xml:space="preserve"> that would give opportune help to current defaulters. </w:t>
      </w:r>
    </w:p>
    <w:p w:rsidR="00F06B39" w:rsidRPr="00F06B39" w:rsidRDefault="00955F72" w:rsidP="00F06B39">
      <w:pPr>
        <w:spacing w:line="360" w:lineRule="auto"/>
        <w:jc w:val="both"/>
        <w:rPr>
          <w:rFonts w:ascii="Times New Roman" w:hAnsi="Times New Roman" w:cs="Times New Roman"/>
          <w:color w:val="0F0F0F"/>
          <w:sz w:val="24"/>
        </w:rPr>
      </w:pPr>
      <w:r w:rsidRPr="00955F72">
        <w:rPr>
          <w:rFonts w:ascii="Times New Roman" w:hAnsi="Times New Roman" w:cs="Times New Roman"/>
          <w:color w:val="0F0F0F"/>
          <w:sz w:val="24"/>
        </w:rPr>
        <w:t xml:space="preserve">The reason </w:t>
      </w:r>
      <w:r w:rsidR="00785610">
        <w:rPr>
          <w:rFonts w:ascii="Times New Roman" w:hAnsi="Times New Roman" w:cs="Times New Roman"/>
          <w:color w:val="0F0F0F"/>
          <w:sz w:val="24"/>
        </w:rPr>
        <w:t>for</w:t>
      </w:r>
      <w:r w:rsidRPr="00955F72">
        <w:rPr>
          <w:rFonts w:ascii="Times New Roman" w:hAnsi="Times New Roman" w:cs="Times New Roman"/>
          <w:color w:val="0F0F0F"/>
          <w:sz w:val="24"/>
        </w:rPr>
        <w:t xml:space="preserve"> the proposed insolvency laws is to address the issues that are presently </w:t>
      </w:r>
      <w:r w:rsidR="00F06B39">
        <w:rPr>
          <w:rFonts w:ascii="Times New Roman" w:hAnsi="Times New Roman" w:cs="Times New Roman"/>
          <w:color w:val="0F0F0F"/>
          <w:sz w:val="24"/>
        </w:rPr>
        <w:t>displayed</w:t>
      </w:r>
      <w:r w:rsidRPr="00955F72">
        <w:rPr>
          <w:rFonts w:ascii="Times New Roman" w:hAnsi="Times New Roman" w:cs="Times New Roman"/>
          <w:color w:val="0F0F0F"/>
          <w:sz w:val="24"/>
        </w:rPr>
        <w:t xml:space="preserve"> with winding up and indebtedness. The Code's prerequisites apply to individuals, businesses, constrained risk companies, and enterprises.</w:t>
      </w:r>
    </w:p>
    <w:p w:rsidR="00F06B39" w:rsidRPr="00F06B39" w:rsidRDefault="00F06B39" w:rsidP="00F06B39">
      <w:pPr>
        <w:spacing w:line="360" w:lineRule="auto"/>
        <w:jc w:val="both"/>
        <w:rPr>
          <w:rFonts w:ascii="Times New Roman" w:hAnsi="Times New Roman" w:cs="Times New Roman"/>
          <w:color w:val="0F0F0F"/>
          <w:sz w:val="24"/>
        </w:rPr>
      </w:pPr>
      <w:r w:rsidRPr="00F06B39">
        <w:rPr>
          <w:rFonts w:ascii="Times New Roman" w:hAnsi="Times New Roman" w:cs="Times New Roman"/>
          <w:color w:val="0F0F0F"/>
          <w:sz w:val="24"/>
        </w:rPr>
        <w:t>The finance ministry has formulated a preliminary legal framework to establish a resolution company aimed at mitigating analogous challenges faced by financial institutions. This initiative follows the enactment of bankruptcy legislation in Parliament, designed to expedite the time-bound resolution of insolvency case</w:t>
      </w:r>
      <w:r>
        <w:rPr>
          <w:rFonts w:ascii="Times New Roman" w:hAnsi="Times New Roman" w:cs="Times New Roman"/>
          <w:color w:val="0F0F0F"/>
          <w:sz w:val="24"/>
        </w:rPr>
        <w:t>s in non-financial enterprises.</w:t>
      </w:r>
    </w:p>
    <w:p w:rsidR="00F06B39" w:rsidRPr="00F06B39" w:rsidRDefault="00F06B39" w:rsidP="00F06B39">
      <w:pPr>
        <w:spacing w:line="360" w:lineRule="auto"/>
        <w:jc w:val="both"/>
        <w:rPr>
          <w:rFonts w:ascii="Times New Roman" w:hAnsi="Times New Roman" w:cs="Times New Roman"/>
          <w:color w:val="0F0F0F"/>
          <w:sz w:val="24"/>
        </w:rPr>
      </w:pPr>
      <w:r w:rsidRPr="00F06B39">
        <w:rPr>
          <w:rFonts w:ascii="Times New Roman" w:hAnsi="Times New Roman" w:cs="Times New Roman"/>
          <w:color w:val="0F0F0F"/>
          <w:sz w:val="24"/>
        </w:rPr>
        <w:t xml:space="preserve">Beyond </w:t>
      </w:r>
      <w:r w:rsidR="00FD7773">
        <w:rPr>
          <w:rFonts w:ascii="Times New Roman" w:hAnsi="Times New Roman" w:cs="Times New Roman"/>
          <w:color w:val="0F0F0F"/>
          <w:sz w:val="24"/>
        </w:rPr>
        <w:t>streamlining</w:t>
      </w:r>
      <w:r w:rsidRPr="00F06B39">
        <w:rPr>
          <w:rFonts w:ascii="Times New Roman" w:hAnsi="Times New Roman" w:cs="Times New Roman"/>
          <w:color w:val="0F0F0F"/>
          <w:sz w:val="24"/>
        </w:rPr>
        <w:t xml:space="preserve"> business operations in India, the forthcoming legislation is poised to accelerate and enhance the debt recovery process. It is widely acknowledged that the full implementation of this law has the potential to reshape the negative perceptions surrounding Non-Performing Assets (NPAs), recovery proce</w:t>
      </w:r>
      <w:r>
        <w:rPr>
          <w:rFonts w:ascii="Times New Roman" w:hAnsi="Times New Roman" w:cs="Times New Roman"/>
          <w:color w:val="0F0F0F"/>
          <w:sz w:val="24"/>
        </w:rPr>
        <w:t>dures, and litigation in India.</w:t>
      </w:r>
    </w:p>
    <w:p w:rsidR="00F06B39" w:rsidRPr="00F06B39" w:rsidRDefault="00F06B39" w:rsidP="00F06B39">
      <w:pPr>
        <w:spacing w:line="360" w:lineRule="auto"/>
        <w:jc w:val="both"/>
        <w:rPr>
          <w:rFonts w:ascii="Times New Roman" w:hAnsi="Times New Roman" w:cs="Times New Roman"/>
          <w:color w:val="0F0F0F"/>
          <w:sz w:val="24"/>
        </w:rPr>
      </w:pPr>
      <w:r w:rsidRPr="00F06B39">
        <w:rPr>
          <w:rFonts w:ascii="Times New Roman" w:hAnsi="Times New Roman" w:cs="Times New Roman"/>
          <w:color w:val="0F0F0F"/>
          <w:sz w:val="24"/>
        </w:rPr>
        <w:t>From the perspective of Private Equity (PE) funds seeking to augment their investments in India, the new bankruptcy legislation emerges as a valuable tool for foreign creditors and investors.</w:t>
      </w:r>
    </w:p>
    <w:p w:rsidR="00F06B39" w:rsidRDefault="00F06B39" w:rsidP="00955F72">
      <w:pPr>
        <w:spacing w:line="360" w:lineRule="auto"/>
        <w:jc w:val="both"/>
        <w:rPr>
          <w:rFonts w:ascii="Times New Roman" w:hAnsi="Times New Roman" w:cs="Times New Roman"/>
          <w:color w:val="0F0F0F"/>
          <w:sz w:val="24"/>
        </w:rPr>
      </w:pPr>
    </w:p>
    <w:p w:rsidR="00955F72" w:rsidRPr="005C6DF7" w:rsidRDefault="000010CE" w:rsidP="00955F72">
      <w:pPr>
        <w:spacing w:line="360" w:lineRule="auto"/>
        <w:jc w:val="both"/>
        <w:rPr>
          <w:rFonts w:ascii="Times New Roman" w:hAnsi="Times New Roman" w:cs="Times New Roman"/>
          <w:color w:val="374151"/>
          <w:sz w:val="24"/>
        </w:rPr>
      </w:pPr>
      <w:hyperlink r:id="rId12" w:history="1">
        <w:r w:rsidR="00955F72" w:rsidRPr="005C6DF7">
          <w:rPr>
            <w:rStyle w:val="Hyperlink"/>
            <w:rFonts w:ascii="Times New Roman" w:hAnsi="Times New Roman" w:cs="Times New Roman"/>
            <w:sz w:val="24"/>
          </w:rPr>
          <w:t>https://www.indiainfoline.com/knowledge-center/financial-planning/economics-for-everyone-the-insolvency-and-bankruptcy-code-in-india-and-the-national-company-law-tribunal</w:t>
        </w:r>
      </w:hyperlink>
    </w:p>
    <w:p w:rsidR="00A26A70" w:rsidRDefault="00A26A70" w:rsidP="00955F72">
      <w:pPr>
        <w:spacing w:line="360" w:lineRule="auto"/>
        <w:jc w:val="both"/>
        <w:rPr>
          <w:rFonts w:ascii="Times New Roman" w:hAnsi="Times New Roman" w:cs="Times New Roman"/>
          <w:color w:val="374151"/>
          <w:sz w:val="28"/>
        </w:rPr>
      </w:pPr>
    </w:p>
    <w:p w:rsidR="00A26A70" w:rsidRDefault="00A26A70" w:rsidP="00955F72">
      <w:pPr>
        <w:spacing w:line="360" w:lineRule="auto"/>
        <w:jc w:val="both"/>
        <w:rPr>
          <w:rFonts w:ascii="Times New Roman" w:hAnsi="Times New Roman" w:cs="Times New Roman"/>
          <w:color w:val="374151"/>
          <w:sz w:val="28"/>
        </w:rPr>
      </w:pPr>
    </w:p>
    <w:p w:rsidR="00A26A70" w:rsidRDefault="00A26A70" w:rsidP="00955F72">
      <w:pPr>
        <w:spacing w:line="360" w:lineRule="auto"/>
        <w:jc w:val="both"/>
        <w:rPr>
          <w:rFonts w:ascii="Times New Roman" w:hAnsi="Times New Roman" w:cs="Times New Roman"/>
          <w:color w:val="374151"/>
          <w:sz w:val="28"/>
        </w:rPr>
      </w:pPr>
    </w:p>
    <w:p w:rsidR="00A26A70" w:rsidRDefault="00A26A70" w:rsidP="00955F72">
      <w:pPr>
        <w:spacing w:line="360" w:lineRule="auto"/>
        <w:jc w:val="both"/>
        <w:rPr>
          <w:rFonts w:ascii="Times New Roman" w:hAnsi="Times New Roman" w:cs="Times New Roman"/>
          <w:color w:val="374151"/>
          <w:sz w:val="28"/>
        </w:rPr>
      </w:pPr>
    </w:p>
    <w:p w:rsidR="005C6DF7" w:rsidRDefault="005C6DF7" w:rsidP="00955F72">
      <w:pPr>
        <w:spacing w:line="360" w:lineRule="auto"/>
        <w:jc w:val="both"/>
        <w:rPr>
          <w:rFonts w:ascii="Times New Roman" w:hAnsi="Times New Roman" w:cs="Times New Roman"/>
          <w:color w:val="374151"/>
          <w:sz w:val="28"/>
        </w:rPr>
      </w:pPr>
    </w:p>
    <w:p w:rsidR="00987E22" w:rsidRDefault="00987E22" w:rsidP="00955F72">
      <w:pPr>
        <w:spacing w:line="360" w:lineRule="auto"/>
        <w:jc w:val="both"/>
        <w:rPr>
          <w:rFonts w:ascii="Times New Roman" w:hAnsi="Times New Roman" w:cs="Times New Roman"/>
          <w:color w:val="374151"/>
          <w:sz w:val="28"/>
        </w:rPr>
      </w:pPr>
    </w:p>
    <w:p w:rsidR="00A26A70" w:rsidRPr="00987E22" w:rsidRDefault="00196C2A" w:rsidP="00196C2A">
      <w:pPr>
        <w:pStyle w:val="ListParagraph"/>
        <w:numPr>
          <w:ilvl w:val="1"/>
          <w:numId w:val="16"/>
        </w:numPr>
        <w:spacing w:line="360" w:lineRule="auto"/>
        <w:ind w:left="426"/>
        <w:jc w:val="both"/>
        <w:rPr>
          <w:rFonts w:ascii="Times New Roman" w:hAnsi="Times New Roman" w:cs="Times New Roman"/>
          <w:b/>
          <w:color w:val="374151"/>
          <w:sz w:val="28"/>
        </w:rPr>
      </w:pPr>
      <w:r>
        <w:rPr>
          <w:rFonts w:ascii="Times New Roman" w:hAnsi="Times New Roman" w:cs="Times New Roman"/>
          <w:b/>
          <w:color w:val="374151"/>
          <w:sz w:val="28"/>
        </w:rPr>
        <w:t xml:space="preserve"> </w:t>
      </w:r>
      <w:r w:rsidR="00A26A70" w:rsidRPr="00A26A70">
        <w:rPr>
          <w:rFonts w:ascii="Times New Roman" w:hAnsi="Times New Roman" w:cs="Times New Roman"/>
          <w:b/>
          <w:color w:val="374151"/>
          <w:sz w:val="28"/>
        </w:rPr>
        <w:t>Goods and Services Tax (GST)</w:t>
      </w:r>
    </w:p>
    <w:p w:rsidR="00E94C44" w:rsidRDefault="00E94C44" w:rsidP="00E94C44">
      <w:pPr>
        <w:spacing w:line="360" w:lineRule="auto"/>
        <w:jc w:val="both"/>
        <w:rPr>
          <w:rFonts w:ascii="Times New Roman" w:hAnsi="Times New Roman" w:cs="Times New Roman"/>
          <w:color w:val="374151"/>
          <w:sz w:val="24"/>
        </w:rPr>
      </w:pPr>
      <w:r w:rsidRPr="008F591B">
        <w:rPr>
          <w:rFonts w:ascii="Times New Roman" w:hAnsi="Times New Roman" w:cs="Times New Roman"/>
          <w:color w:val="374151"/>
          <w:sz w:val="24"/>
        </w:rPr>
        <w:t xml:space="preserve">Presented on July 1, 2017, the Merchandise and Administrations Assess (GST) is a roundabout </w:t>
      </w:r>
      <w:r w:rsidR="00785610">
        <w:rPr>
          <w:rFonts w:ascii="Times New Roman" w:hAnsi="Times New Roman" w:cs="Times New Roman"/>
          <w:color w:val="374151"/>
          <w:sz w:val="24"/>
        </w:rPr>
        <w:t>assessment</w:t>
      </w:r>
      <w:r w:rsidRPr="008F591B">
        <w:rPr>
          <w:rFonts w:ascii="Times New Roman" w:hAnsi="Times New Roman" w:cs="Times New Roman"/>
          <w:color w:val="374151"/>
          <w:sz w:val="24"/>
        </w:rPr>
        <w:t xml:space="preserve"> that's appropriate all through India. It took the put of other cascading charges collected by the national and state governments. After the 122nd Correction Act Charge was passed, it was presented as The Structure (One Hundred and to begin with Alteration) Act 2017. The Indian Back Serve serves as the chairman of the GST Board, which supervises the GST. The </w:t>
      </w:r>
      <w:r w:rsidR="00CA1262">
        <w:rPr>
          <w:rFonts w:ascii="Times New Roman" w:hAnsi="Times New Roman" w:cs="Times New Roman"/>
          <w:color w:val="374151"/>
          <w:sz w:val="24"/>
        </w:rPr>
        <w:t>taking-after</w:t>
      </w:r>
      <w:r w:rsidRPr="008F591B">
        <w:rPr>
          <w:rFonts w:ascii="Times New Roman" w:hAnsi="Times New Roman" w:cs="Times New Roman"/>
          <w:color w:val="374151"/>
          <w:sz w:val="24"/>
        </w:rPr>
        <w:t xml:space="preserve"> rates of tax assessment apply to products and administrations beneath the GST: 0%, 5%, 12%, 18%, and 28%. For crude valuable and semi-precious stones, there’s </w:t>
      </w:r>
      <w:r w:rsidR="00CA1262">
        <w:rPr>
          <w:rFonts w:ascii="Times New Roman" w:hAnsi="Times New Roman" w:cs="Times New Roman"/>
          <w:color w:val="374151"/>
          <w:sz w:val="24"/>
        </w:rPr>
        <w:t>an</w:t>
      </w:r>
      <w:r w:rsidRPr="008F591B">
        <w:rPr>
          <w:rFonts w:ascii="Times New Roman" w:hAnsi="Times New Roman" w:cs="Times New Roman"/>
          <w:color w:val="374151"/>
          <w:sz w:val="24"/>
        </w:rPr>
        <w:t xml:space="preserve"> extraordinary charge of 0.25%, and for gold, it is 3%. A 22% </w:t>
      </w:r>
      <w:r w:rsidR="00CA1262">
        <w:rPr>
          <w:rFonts w:ascii="Times New Roman" w:hAnsi="Times New Roman" w:cs="Times New Roman"/>
          <w:color w:val="374151"/>
          <w:sz w:val="24"/>
        </w:rPr>
        <w:t>tax</w:t>
      </w:r>
      <w:r w:rsidRPr="008F591B">
        <w:rPr>
          <w:rFonts w:ascii="Times New Roman" w:hAnsi="Times New Roman" w:cs="Times New Roman"/>
          <w:color w:val="374151"/>
          <w:sz w:val="24"/>
        </w:rPr>
        <w:t xml:space="preserve"> or other rates are additionally applicable on some commodities such as luxury automobiles, tobacco products, and aerated beverages, on top of the 28% GST. The country's $2 trillion economy would be significantly altered by the Goods and Services Tax (GST), which replaced several indirect taxes with a single tax.</w:t>
      </w:r>
    </w:p>
    <w:p w:rsidR="00CA1262" w:rsidRPr="008F591B" w:rsidRDefault="00CA1262" w:rsidP="00E94C44">
      <w:pPr>
        <w:spacing w:line="360" w:lineRule="auto"/>
        <w:jc w:val="both"/>
        <w:rPr>
          <w:rFonts w:ascii="Times New Roman" w:hAnsi="Times New Roman" w:cs="Times New Roman"/>
          <w:color w:val="374151"/>
          <w:sz w:val="24"/>
        </w:rPr>
      </w:pPr>
    </w:p>
    <w:p w:rsidR="00E94C44" w:rsidRPr="00CA1262" w:rsidRDefault="00CA1262" w:rsidP="00987E22">
      <w:pPr>
        <w:pStyle w:val="ListParagraph"/>
        <w:numPr>
          <w:ilvl w:val="0"/>
          <w:numId w:val="1"/>
        </w:numPr>
        <w:spacing w:line="360" w:lineRule="auto"/>
        <w:ind w:left="426"/>
        <w:jc w:val="both"/>
        <w:rPr>
          <w:rFonts w:ascii="Times New Roman" w:hAnsi="Times New Roman" w:cs="Times New Roman"/>
          <w:b/>
          <w:color w:val="374151"/>
          <w:sz w:val="24"/>
        </w:rPr>
      </w:pPr>
      <w:r w:rsidRPr="00CA1262">
        <w:rPr>
          <w:rFonts w:ascii="Times New Roman" w:hAnsi="Times New Roman" w:cs="Times New Roman"/>
          <w:b/>
          <w:color w:val="374151"/>
          <w:sz w:val="24"/>
        </w:rPr>
        <w:t xml:space="preserve">Influence of GST on </w:t>
      </w:r>
      <w:r w:rsidR="00785610">
        <w:rPr>
          <w:rFonts w:ascii="Times New Roman" w:hAnsi="Times New Roman" w:cs="Times New Roman"/>
          <w:b/>
          <w:color w:val="374151"/>
          <w:sz w:val="24"/>
        </w:rPr>
        <w:t xml:space="preserve">the </w:t>
      </w:r>
      <w:r w:rsidR="00FD7773">
        <w:rPr>
          <w:rFonts w:ascii="Times New Roman" w:hAnsi="Times New Roman" w:cs="Times New Roman"/>
          <w:b/>
          <w:color w:val="374151"/>
          <w:sz w:val="24"/>
        </w:rPr>
        <w:t>General Public</w:t>
      </w:r>
    </w:p>
    <w:p w:rsidR="00E94C44" w:rsidRPr="008F591B" w:rsidRDefault="00E94C44" w:rsidP="00E94C44">
      <w:pPr>
        <w:spacing w:line="360" w:lineRule="auto"/>
        <w:jc w:val="both"/>
        <w:rPr>
          <w:rFonts w:ascii="Times New Roman" w:hAnsi="Times New Roman" w:cs="Times New Roman"/>
          <w:color w:val="374151"/>
          <w:sz w:val="24"/>
        </w:rPr>
      </w:pPr>
      <w:r w:rsidRPr="008F591B">
        <w:rPr>
          <w:rFonts w:ascii="Times New Roman" w:hAnsi="Times New Roman" w:cs="Times New Roman"/>
          <w:color w:val="374151"/>
          <w:sz w:val="24"/>
        </w:rPr>
        <w:t xml:space="preserve">GST is viewed as an indirect tax that will unify the Indian economy and create a single, common market. It is a tax that is levied on the production, use, and sale of goods and services. There is just one tax that is applied to the flow of products and services from the producer to the consumer. In substance, GST could be </w:t>
      </w:r>
      <w:r w:rsidR="00CA1262">
        <w:rPr>
          <w:rFonts w:ascii="Times New Roman" w:hAnsi="Times New Roman" w:cs="Times New Roman"/>
          <w:color w:val="374151"/>
          <w:sz w:val="24"/>
        </w:rPr>
        <w:t>assessed</w:t>
      </w:r>
      <w:r w:rsidRPr="008F591B">
        <w:rPr>
          <w:rFonts w:ascii="Times New Roman" w:hAnsi="Times New Roman" w:cs="Times New Roman"/>
          <w:color w:val="374151"/>
          <w:sz w:val="24"/>
        </w:rPr>
        <w:t xml:space="preserve"> exclusively on the esteem expansion at each step since the credits for the input charges paid at each organize will be available within the esteem expansion stage that takes after. As it were the </w:t>
      </w:r>
      <w:r w:rsidR="00785610">
        <w:rPr>
          <w:rFonts w:ascii="Times New Roman" w:hAnsi="Times New Roman" w:cs="Times New Roman"/>
          <w:color w:val="374151"/>
          <w:sz w:val="24"/>
        </w:rPr>
        <w:t>assessment</w:t>
      </w:r>
      <w:r w:rsidRPr="008F591B">
        <w:rPr>
          <w:rFonts w:ascii="Times New Roman" w:hAnsi="Times New Roman" w:cs="Times New Roman"/>
          <w:color w:val="374151"/>
          <w:sz w:val="24"/>
        </w:rPr>
        <w:t xml:space="preserve"> forced by the final merchant within the supply chain, who too gets all preferences from prior stages, will be paid by the conclusion clients.</w:t>
      </w:r>
    </w:p>
    <w:p w:rsidR="00CA1262" w:rsidRDefault="00CA1262" w:rsidP="00CA1262">
      <w:pPr>
        <w:spacing w:line="360" w:lineRule="auto"/>
        <w:jc w:val="both"/>
        <w:rPr>
          <w:rFonts w:ascii="Times New Roman" w:hAnsi="Times New Roman" w:cs="Times New Roman"/>
          <w:color w:val="374151"/>
          <w:sz w:val="24"/>
        </w:rPr>
      </w:pPr>
      <w:r w:rsidRPr="00CA1262">
        <w:rPr>
          <w:rFonts w:ascii="Times New Roman" w:hAnsi="Times New Roman" w:cs="Times New Roman"/>
          <w:color w:val="374151"/>
          <w:sz w:val="24"/>
        </w:rPr>
        <w:t xml:space="preserve">A bundle of indirect taxes, including VAT, CST, Service Tax, CAD, SAD, and Excise Duty, is eliminated by the GST, a unified tax system that may benefit the general population. Less taxes would be due. </w:t>
      </w:r>
    </w:p>
    <w:p w:rsidR="00CA1262" w:rsidRPr="00CA1262" w:rsidRDefault="00785610" w:rsidP="00CA1262">
      <w:pPr>
        <w:spacing w:line="360" w:lineRule="auto"/>
        <w:jc w:val="both"/>
        <w:rPr>
          <w:rFonts w:ascii="Times New Roman" w:hAnsi="Times New Roman" w:cs="Times New Roman"/>
          <w:color w:val="374151"/>
          <w:sz w:val="24"/>
        </w:rPr>
      </w:pPr>
      <w:r>
        <w:rPr>
          <w:rFonts w:ascii="Times New Roman" w:hAnsi="Times New Roman" w:cs="Times New Roman"/>
          <w:color w:val="374151"/>
          <w:sz w:val="24"/>
        </w:rPr>
        <w:t>With agreements</w:t>
      </w:r>
      <w:r w:rsidR="00CA1262" w:rsidRPr="00CA1262">
        <w:rPr>
          <w:rFonts w:ascii="Times New Roman" w:hAnsi="Times New Roman" w:cs="Times New Roman"/>
          <w:color w:val="374151"/>
          <w:sz w:val="24"/>
        </w:rPr>
        <w:t xml:space="preserve"> and a more condensed tax bundle compared to the old tax structure, GST would lessen the effect of taxes—such as taxes on the judicial system—dropping. It will assist in lowering manufacturing costs, which will cut the price of commodities. The lower costs will </w:t>
      </w:r>
      <w:r w:rsidR="00CA1262" w:rsidRPr="00CA1262">
        <w:rPr>
          <w:rFonts w:ascii="Times New Roman" w:hAnsi="Times New Roman" w:cs="Times New Roman"/>
          <w:color w:val="374151"/>
          <w:sz w:val="24"/>
        </w:rPr>
        <w:lastRenderedPageBreak/>
        <w:t>also raise demand and product consumption; higher demand will lead to more supply, which might ultimately result in higher product output. More jobs will become available as a result of the increased output. The GST will stop the flow of illicit funds. Therefore, GST would benefit the general population in a variety of ways.</w:t>
      </w:r>
    </w:p>
    <w:p w:rsidR="00CA1262" w:rsidRDefault="00CA1262" w:rsidP="00CA1262">
      <w:pPr>
        <w:spacing w:line="360" w:lineRule="auto"/>
        <w:jc w:val="both"/>
        <w:rPr>
          <w:rFonts w:ascii="Times New Roman" w:hAnsi="Times New Roman" w:cs="Times New Roman"/>
          <w:color w:val="374151"/>
          <w:sz w:val="24"/>
        </w:rPr>
      </w:pPr>
    </w:p>
    <w:p w:rsidR="00CA1262" w:rsidRDefault="00CA1262" w:rsidP="00CA1262">
      <w:pPr>
        <w:spacing w:line="360" w:lineRule="auto"/>
        <w:jc w:val="center"/>
        <w:rPr>
          <w:rFonts w:ascii="Times New Roman" w:hAnsi="Times New Roman" w:cs="Times New Roman"/>
          <w:color w:val="374151"/>
          <w:sz w:val="24"/>
        </w:rPr>
      </w:pPr>
      <w:r w:rsidRPr="00CA1262">
        <w:rPr>
          <w:rFonts w:ascii="Times New Roman" w:hAnsi="Times New Roman" w:cs="Times New Roman"/>
          <w:noProof/>
          <w:color w:val="374151"/>
          <w:sz w:val="24"/>
          <w:lang w:eastAsia="en-GB"/>
        </w:rPr>
        <w:drawing>
          <wp:inline distT="0" distB="0" distL="0" distR="0" wp14:anchorId="502B84DD" wp14:editId="4FCC3155">
            <wp:extent cx="4171435" cy="251460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174734" cy="2516589"/>
                    </a:xfrm>
                    <a:prstGeom prst="rect">
                      <a:avLst/>
                    </a:prstGeom>
                  </pic:spPr>
                </pic:pic>
              </a:graphicData>
            </a:graphic>
          </wp:inline>
        </w:drawing>
      </w:r>
    </w:p>
    <w:p w:rsidR="00CA1262" w:rsidRPr="00CA1262" w:rsidRDefault="002A0752" w:rsidP="00CA1262">
      <w:pPr>
        <w:spacing w:line="360" w:lineRule="auto"/>
        <w:jc w:val="center"/>
        <w:rPr>
          <w:rFonts w:ascii="Times New Roman" w:hAnsi="Times New Roman" w:cs="Times New Roman"/>
          <w:color w:val="374151"/>
          <w:sz w:val="24"/>
        </w:rPr>
      </w:pPr>
      <w:r>
        <w:rPr>
          <w:rFonts w:ascii="Times New Roman" w:hAnsi="Times New Roman" w:cs="Times New Roman"/>
          <w:color w:val="374151"/>
          <w:sz w:val="24"/>
        </w:rPr>
        <w:t>(</w:t>
      </w:r>
      <w:r w:rsidR="00463CC6">
        <w:rPr>
          <w:rFonts w:ascii="Times New Roman" w:hAnsi="Times New Roman" w:cs="Times New Roman"/>
          <w:color w:val="374151"/>
          <w:sz w:val="24"/>
        </w:rPr>
        <w:t>Chart: percentage of GST worldwide</w:t>
      </w:r>
      <w:r>
        <w:rPr>
          <w:rFonts w:ascii="Times New Roman" w:hAnsi="Times New Roman" w:cs="Times New Roman"/>
          <w:color w:val="374151"/>
          <w:sz w:val="24"/>
        </w:rPr>
        <w:t>)</w:t>
      </w:r>
    </w:p>
    <w:p w:rsidR="008F591B" w:rsidRDefault="008F591B" w:rsidP="00955F72">
      <w:pPr>
        <w:spacing w:line="360" w:lineRule="auto"/>
        <w:jc w:val="both"/>
        <w:rPr>
          <w:rFonts w:ascii="Times New Roman" w:hAnsi="Times New Roman" w:cs="Times New Roman"/>
          <w:color w:val="374151"/>
          <w:sz w:val="28"/>
        </w:rPr>
      </w:pPr>
    </w:p>
    <w:p w:rsidR="006A4052" w:rsidRDefault="006A4052" w:rsidP="006A4052">
      <w:pPr>
        <w:pStyle w:val="ListParagraph"/>
        <w:numPr>
          <w:ilvl w:val="0"/>
          <w:numId w:val="3"/>
        </w:numPr>
        <w:spacing w:line="360" w:lineRule="auto"/>
        <w:jc w:val="both"/>
        <w:rPr>
          <w:rFonts w:ascii="Times New Roman" w:hAnsi="Times New Roman" w:cs="Times New Roman"/>
          <w:b/>
          <w:color w:val="374151"/>
          <w:sz w:val="32"/>
        </w:rPr>
      </w:pPr>
      <w:r w:rsidRPr="006A4052">
        <w:rPr>
          <w:rFonts w:ascii="Times New Roman" w:hAnsi="Times New Roman" w:cs="Times New Roman"/>
          <w:b/>
          <w:color w:val="374151"/>
          <w:sz w:val="32"/>
        </w:rPr>
        <w:t xml:space="preserve">Examine critically how much you believe these measures have helped to stabilize the banking industry and the financial system in the wake of the 2008 financial crises.  </w:t>
      </w:r>
    </w:p>
    <w:p w:rsidR="008D641B" w:rsidRPr="006A4052" w:rsidRDefault="006A4052" w:rsidP="006A4052">
      <w:pPr>
        <w:spacing w:line="360" w:lineRule="auto"/>
        <w:jc w:val="both"/>
        <w:rPr>
          <w:rFonts w:ascii="Times New Roman" w:hAnsi="Times New Roman" w:cs="Times New Roman"/>
          <w:b/>
          <w:color w:val="374151"/>
          <w:sz w:val="32"/>
        </w:rPr>
      </w:pPr>
      <w:r w:rsidRPr="006A4052">
        <w:rPr>
          <w:rFonts w:ascii="Times New Roman" w:hAnsi="Times New Roman" w:cs="Times New Roman"/>
          <w:b/>
          <w:color w:val="374151"/>
          <w:sz w:val="32"/>
        </w:rPr>
        <w:t xml:space="preserve"> </w:t>
      </w:r>
    </w:p>
    <w:p w:rsidR="00CA1262" w:rsidRDefault="008D641B" w:rsidP="00CA1262">
      <w:pPr>
        <w:pStyle w:val="ListParagraph"/>
        <w:numPr>
          <w:ilvl w:val="0"/>
          <w:numId w:val="13"/>
        </w:numPr>
        <w:spacing w:line="360" w:lineRule="auto"/>
        <w:ind w:left="0"/>
        <w:jc w:val="both"/>
        <w:rPr>
          <w:rFonts w:ascii="Times New Roman" w:hAnsi="Times New Roman" w:cs="Times New Roman"/>
          <w:b/>
          <w:color w:val="374151"/>
          <w:sz w:val="32"/>
        </w:rPr>
      </w:pPr>
      <w:r w:rsidRPr="008D641B">
        <w:rPr>
          <w:rFonts w:ascii="Times New Roman" w:hAnsi="Times New Roman" w:cs="Times New Roman"/>
          <w:b/>
          <w:color w:val="374151"/>
          <w:sz w:val="32"/>
        </w:rPr>
        <w:t>Advantages of laws and regulation</w:t>
      </w:r>
    </w:p>
    <w:p w:rsidR="00987E22" w:rsidRPr="00987E22" w:rsidRDefault="00987E22" w:rsidP="00987E22">
      <w:pPr>
        <w:spacing w:line="360" w:lineRule="auto"/>
        <w:jc w:val="both"/>
        <w:rPr>
          <w:rFonts w:ascii="Times New Roman" w:hAnsi="Times New Roman" w:cs="Times New Roman"/>
          <w:b/>
          <w:color w:val="374151"/>
          <w:sz w:val="32"/>
        </w:rPr>
      </w:pPr>
    </w:p>
    <w:p w:rsidR="006B1CA1" w:rsidRDefault="006B1CA1" w:rsidP="006B1CA1">
      <w:pPr>
        <w:pStyle w:val="ListParagraph"/>
        <w:numPr>
          <w:ilvl w:val="0"/>
          <w:numId w:val="4"/>
        </w:numPr>
        <w:spacing w:line="360" w:lineRule="auto"/>
        <w:ind w:left="142"/>
        <w:jc w:val="both"/>
        <w:rPr>
          <w:rFonts w:ascii="Times New Roman" w:hAnsi="Times New Roman" w:cs="Times New Roman"/>
          <w:b/>
          <w:color w:val="374151"/>
          <w:sz w:val="28"/>
        </w:rPr>
      </w:pPr>
      <w:r w:rsidRPr="006B1CA1">
        <w:rPr>
          <w:rFonts w:ascii="Times New Roman" w:hAnsi="Times New Roman" w:cs="Times New Roman"/>
          <w:b/>
          <w:color w:val="374151"/>
          <w:sz w:val="28"/>
        </w:rPr>
        <w:t>Derivatives</w:t>
      </w:r>
      <w:r w:rsidR="0036531F">
        <w:rPr>
          <w:rFonts w:ascii="Times New Roman" w:hAnsi="Times New Roman" w:cs="Times New Roman"/>
          <w:b/>
          <w:color w:val="374151"/>
          <w:sz w:val="28"/>
        </w:rPr>
        <w:t xml:space="preserve"> Advantages</w:t>
      </w:r>
    </w:p>
    <w:p w:rsidR="00196C2A" w:rsidRDefault="00196C2A" w:rsidP="00196C2A">
      <w:pPr>
        <w:spacing w:line="360" w:lineRule="auto"/>
        <w:jc w:val="both"/>
        <w:rPr>
          <w:rFonts w:ascii="Times New Roman" w:hAnsi="Times New Roman" w:cs="Times New Roman"/>
          <w:b/>
          <w:color w:val="374151"/>
          <w:sz w:val="28"/>
        </w:rPr>
      </w:pPr>
    </w:p>
    <w:p w:rsidR="00196C2A" w:rsidRPr="00196C2A" w:rsidRDefault="00196C2A" w:rsidP="00196C2A">
      <w:pPr>
        <w:spacing w:line="360" w:lineRule="auto"/>
        <w:jc w:val="both"/>
        <w:rPr>
          <w:rFonts w:ascii="Times New Roman" w:hAnsi="Times New Roman" w:cs="Times New Roman"/>
          <w:b/>
          <w:color w:val="374151"/>
          <w:sz w:val="28"/>
        </w:rPr>
      </w:pPr>
    </w:p>
    <w:p w:rsidR="006B1CA1" w:rsidRPr="006B1CA1" w:rsidRDefault="006B1CA1" w:rsidP="00987E22">
      <w:pPr>
        <w:pStyle w:val="ListParagraph"/>
        <w:numPr>
          <w:ilvl w:val="0"/>
          <w:numId w:val="1"/>
        </w:numPr>
        <w:spacing w:line="360" w:lineRule="auto"/>
        <w:ind w:left="142"/>
        <w:jc w:val="both"/>
        <w:rPr>
          <w:rFonts w:ascii="Times New Roman" w:hAnsi="Times New Roman" w:cs="Times New Roman"/>
          <w:b/>
          <w:color w:val="374151"/>
          <w:sz w:val="24"/>
        </w:rPr>
      </w:pPr>
      <w:r w:rsidRPr="006B1CA1">
        <w:rPr>
          <w:rFonts w:ascii="Times New Roman" w:hAnsi="Times New Roman" w:cs="Times New Roman"/>
          <w:b/>
          <w:color w:val="374151"/>
          <w:sz w:val="24"/>
        </w:rPr>
        <w:lastRenderedPageBreak/>
        <w:t>Hedge against risk exposure</w:t>
      </w:r>
    </w:p>
    <w:p w:rsidR="006B1CA1" w:rsidRPr="006B1CA1" w:rsidRDefault="006B1CA1" w:rsidP="006B1CA1">
      <w:pPr>
        <w:spacing w:line="360" w:lineRule="auto"/>
        <w:jc w:val="both"/>
        <w:rPr>
          <w:rFonts w:ascii="Times New Roman" w:hAnsi="Times New Roman" w:cs="Times New Roman"/>
          <w:color w:val="374151"/>
          <w:sz w:val="24"/>
        </w:rPr>
      </w:pPr>
      <w:r w:rsidRPr="006B1CA1">
        <w:rPr>
          <w:rFonts w:ascii="Times New Roman" w:hAnsi="Times New Roman" w:cs="Times New Roman"/>
          <w:color w:val="374151"/>
          <w:sz w:val="24"/>
        </w:rPr>
        <w:t>By transferring risk exposures connected to changes in the price of an underlying item, such as commodities or currency exchange rates, to a third party, derivatives provide investors with a way to hedge against turbulent markets.</w:t>
      </w:r>
    </w:p>
    <w:p w:rsidR="006B1CA1" w:rsidRPr="006B1CA1" w:rsidRDefault="006B1CA1" w:rsidP="006B1CA1">
      <w:pPr>
        <w:spacing w:line="360" w:lineRule="auto"/>
        <w:ind w:left="-142"/>
        <w:jc w:val="both"/>
        <w:rPr>
          <w:rFonts w:ascii="Times New Roman" w:hAnsi="Times New Roman" w:cs="Times New Roman"/>
          <w:color w:val="374151"/>
          <w:sz w:val="24"/>
        </w:rPr>
      </w:pPr>
      <w:r w:rsidRPr="006B1CA1">
        <w:rPr>
          <w:rFonts w:ascii="Times New Roman" w:hAnsi="Times New Roman" w:cs="Times New Roman"/>
          <w:color w:val="374151"/>
          <w:sz w:val="24"/>
        </w:rPr>
        <w:t>An investor can lower total risk by using a hedge, which increases possible rewards while lowering potential losses.</w:t>
      </w:r>
    </w:p>
    <w:p w:rsidR="006B1CA1" w:rsidRDefault="006B1CA1" w:rsidP="006B1CA1">
      <w:pPr>
        <w:spacing w:line="360" w:lineRule="auto"/>
        <w:ind w:left="-142"/>
        <w:jc w:val="both"/>
        <w:rPr>
          <w:rFonts w:ascii="Times New Roman" w:hAnsi="Times New Roman" w:cs="Times New Roman"/>
          <w:color w:val="374151"/>
          <w:sz w:val="24"/>
        </w:rPr>
      </w:pPr>
      <w:r w:rsidRPr="006B1CA1">
        <w:rPr>
          <w:rFonts w:ascii="Times New Roman" w:hAnsi="Times New Roman" w:cs="Times New Roman"/>
          <w:color w:val="374151"/>
          <w:sz w:val="24"/>
        </w:rPr>
        <w:t>Let's take an example where a corporation is subject to fluctuations in the price of crude oil. In that scenario, it can counteract any related instability by using derivatives like futures contracts or options. It will allow the business to continue turning a profit and competing in a volatile market.</w:t>
      </w:r>
    </w:p>
    <w:p w:rsidR="006B1CA1" w:rsidRDefault="006B1CA1" w:rsidP="006B1CA1">
      <w:pPr>
        <w:spacing w:line="360" w:lineRule="auto"/>
        <w:ind w:left="-142"/>
        <w:jc w:val="both"/>
        <w:rPr>
          <w:rFonts w:ascii="Times New Roman" w:hAnsi="Times New Roman" w:cs="Times New Roman"/>
          <w:color w:val="374151"/>
          <w:sz w:val="24"/>
        </w:rPr>
      </w:pPr>
    </w:p>
    <w:p w:rsidR="006B1CA1" w:rsidRPr="006B1CA1" w:rsidRDefault="006B1CA1" w:rsidP="00987E22">
      <w:pPr>
        <w:pStyle w:val="ListParagraph"/>
        <w:numPr>
          <w:ilvl w:val="0"/>
          <w:numId w:val="6"/>
        </w:numPr>
        <w:spacing w:line="360" w:lineRule="auto"/>
        <w:ind w:left="284"/>
        <w:jc w:val="both"/>
        <w:rPr>
          <w:rFonts w:ascii="Times New Roman" w:hAnsi="Times New Roman" w:cs="Times New Roman"/>
          <w:b/>
          <w:color w:val="374151"/>
          <w:sz w:val="24"/>
        </w:rPr>
      </w:pPr>
      <w:r w:rsidRPr="006B1CA1">
        <w:rPr>
          <w:rFonts w:ascii="Times New Roman" w:hAnsi="Times New Roman" w:cs="Times New Roman"/>
          <w:b/>
          <w:color w:val="374151"/>
          <w:sz w:val="24"/>
        </w:rPr>
        <w:t xml:space="preserve">Market efficiency </w:t>
      </w:r>
    </w:p>
    <w:p w:rsidR="006B1CA1" w:rsidRPr="006B1CA1" w:rsidRDefault="006B1CA1" w:rsidP="006B1CA1">
      <w:pPr>
        <w:spacing w:line="360" w:lineRule="auto"/>
        <w:ind w:left="-142"/>
        <w:jc w:val="both"/>
        <w:rPr>
          <w:rFonts w:ascii="Times New Roman" w:hAnsi="Times New Roman" w:cs="Times New Roman"/>
          <w:color w:val="374151"/>
          <w:sz w:val="24"/>
        </w:rPr>
      </w:pPr>
      <w:r w:rsidRPr="006B1CA1">
        <w:rPr>
          <w:rFonts w:ascii="Times New Roman" w:hAnsi="Times New Roman" w:cs="Times New Roman"/>
          <w:color w:val="374151"/>
          <w:sz w:val="24"/>
        </w:rPr>
        <w:t>With the use of derivatives, investors may ascertain an asset's value without ha</w:t>
      </w:r>
      <w:r>
        <w:rPr>
          <w:rFonts w:ascii="Times New Roman" w:hAnsi="Times New Roman" w:cs="Times New Roman"/>
          <w:color w:val="374151"/>
          <w:sz w:val="24"/>
        </w:rPr>
        <w:t>ving to make a direct purchase.</w:t>
      </w:r>
    </w:p>
    <w:p w:rsidR="006B1CA1" w:rsidRPr="006B1CA1" w:rsidRDefault="006B1CA1" w:rsidP="006B1CA1">
      <w:pPr>
        <w:spacing w:line="360" w:lineRule="auto"/>
        <w:ind w:left="-142"/>
        <w:jc w:val="both"/>
        <w:rPr>
          <w:rFonts w:ascii="Times New Roman" w:hAnsi="Times New Roman" w:cs="Times New Roman"/>
          <w:color w:val="374151"/>
          <w:sz w:val="24"/>
        </w:rPr>
      </w:pPr>
      <w:r w:rsidRPr="006B1CA1">
        <w:rPr>
          <w:rFonts w:ascii="Times New Roman" w:hAnsi="Times New Roman" w:cs="Times New Roman"/>
          <w:color w:val="374151"/>
          <w:sz w:val="24"/>
        </w:rPr>
        <w:t>An investor with a long time horizon, for instance, can examine options contracts to estimate how much an asset or commodity would cost in the future. It can be useful in figuring out if it would be lucrative to</w:t>
      </w:r>
      <w:r>
        <w:rPr>
          <w:rFonts w:ascii="Times New Roman" w:hAnsi="Times New Roman" w:cs="Times New Roman"/>
          <w:color w:val="374151"/>
          <w:sz w:val="24"/>
        </w:rPr>
        <w:t xml:space="preserve"> invest in that specific asset.</w:t>
      </w:r>
    </w:p>
    <w:p w:rsidR="00D8742B" w:rsidRDefault="006B1CA1" w:rsidP="00D8742B">
      <w:pPr>
        <w:spacing w:line="360" w:lineRule="auto"/>
        <w:ind w:left="-142"/>
        <w:jc w:val="both"/>
        <w:rPr>
          <w:rFonts w:ascii="Times New Roman" w:hAnsi="Times New Roman" w:cs="Times New Roman"/>
          <w:color w:val="374151"/>
          <w:sz w:val="24"/>
        </w:rPr>
      </w:pPr>
      <w:r w:rsidRPr="006B1CA1">
        <w:rPr>
          <w:rFonts w:ascii="Times New Roman" w:hAnsi="Times New Roman" w:cs="Times New Roman"/>
          <w:color w:val="374151"/>
          <w:sz w:val="24"/>
        </w:rPr>
        <w:t>Additionally, by enabling traders to act quickly and intelligently when deciding whether to purchase or sell an underlying asset, derivatives can help traders profit from short-</w:t>
      </w:r>
      <w:r>
        <w:rPr>
          <w:rFonts w:ascii="Times New Roman" w:hAnsi="Times New Roman" w:cs="Times New Roman"/>
          <w:color w:val="374151"/>
          <w:sz w:val="24"/>
        </w:rPr>
        <w:t>term market movement</w:t>
      </w:r>
      <w:r w:rsidRPr="006B1CA1">
        <w:rPr>
          <w:rFonts w:ascii="Times New Roman" w:hAnsi="Times New Roman" w:cs="Times New Roman"/>
          <w:color w:val="374151"/>
          <w:sz w:val="24"/>
        </w:rPr>
        <w:t>.</w:t>
      </w:r>
    </w:p>
    <w:p w:rsidR="006B1CA1" w:rsidRDefault="006B1CA1" w:rsidP="006B1CA1">
      <w:pPr>
        <w:spacing w:line="360" w:lineRule="auto"/>
        <w:ind w:left="-142"/>
        <w:jc w:val="both"/>
        <w:rPr>
          <w:rFonts w:ascii="Times New Roman" w:hAnsi="Times New Roman" w:cs="Times New Roman"/>
          <w:color w:val="374151"/>
          <w:sz w:val="24"/>
        </w:rPr>
      </w:pPr>
    </w:p>
    <w:p w:rsidR="00D8742B" w:rsidRPr="00D8742B" w:rsidRDefault="00D8742B" w:rsidP="00987E22">
      <w:pPr>
        <w:pStyle w:val="ListParagraph"/>
        <w:numPr>
          <w:ilvl w:val="0"/>
          <w:numId w:val="6"/>
        </w:numPr>
        <w:spacing w:line="360" w:lineRule="auto"/>
        <w:ind w:left="284"/>
        <w:jc w:val="both"/>
        <w:rPr>
          <w:rFonts w:ascii="Times New Roman" w:hAnsi="Times New Roman" w:cs="Times New Roman"/>
          <w:b/>
          <w:color w:val="374151"/>
          <w:sz w:val="24"/>
        </w:rPr>
      </w:pPr>
      <w:r w:rsidRPr="00D8742B">
        <w:rPr>
          <w:rFonts w:ascii="Times New Roman" w:hAnsi="Times New Roman" w:cs="Times New Roman"/>
          <w:b/>
          <w:color w:val="374151"/>
          <w:sz w:val="24"/>
        </w:rPr>
        <w:t>Leverage</w:t>
      </w:r>
    </w:p>
    <w:p w:rsidR="00D8742B" w:rsidRPr="00D8742B" w:rsidRDefault="00D8742B" w:rsidP="00D8742B">
      <w:pPr>
        <w:spacing w:line="360" w:lineRule="auto"/>
        <w:ind w:left="-142"/>
        <w:jc w:val="both"/>
        <w:rPr>
          <w:rFonts w:ascii="Times New Roman" w:hAnsi="Times New Roman" w:cs="Times New Roman"/>
          <w:color w:val="374151"/>
          <w:sz w:val="24"/>
        </w:rPr>
      </w:pPr>
      <w:r w:rsidRPr="00D8742B">
        <w:rPr>
          <w:rFonts w:ascii="Times New Roman" w:hAnsi="Times New Roman" w:cs="Times New Roman"/>
          <w:color w:val="374151"/>
          <w:sz w:val="24"/>
        </w:rPr>
        <w:t>Derivatives offer investors the opportunity to access a broader spectrum of assets compared to conventional investments. The utilization of leverage allows traders to augment their returns by employing borrowed funds.</w:t>
      </w:r>
    </w:p>
    <w:p w:rsidR="00D8742B" w:rsidRPr="00D8742B" w:rsidRDefault="00D8742B" w:rsidP="00D8742B">
      <w:pPr>
        <w:spacing w:line="360" w:lineRule="auto"/>
        <w:ind w:left="-142"/>
        <w:jc w:val="both"/>
        <w:rPr>
          <w:rFonts w:ascii="Times New Roman" w:hAnsi="Times New Roman" w:cs="Times New Roman"/>
          <w:color w:val="374151"/>
          <w:sz w:val="24"/>
        </w:rPr>
      </w:pPr>
    </w:p>
    <w:p w:rsidR="00D8742B" w:rsidRPr="00D8742B" w:rsidRDefault="00D8742B" w:rsidP="00D8742B">
      <w:pPr>
        <w:spacing w:line="360" w:lineRule="auto"/>
        <w:ind w:left="-142"/>
        <w:jc w:val="both"/>
        <w:rPr>
          <w:rFonts w:ascii="Times New Roman" w:hAnsi="Times New Roman" w:cs="Times New Roman"/>
          <w:color w:val="374151"/>
          <w:sz w:val="24"/>
        </w:rPr>
      </w:pPr>
      <w:r w:rsidRPr="00D8742B">
        <w:rPr>
          <w:rFonts w:ascii="Times New Roman" w:hAnsi="Times New Roman" w:cs="Times New Roman"/>
          <w:color w:val="374151"/>
          <w:sz w:val="24"/>
        </w:rPr>
        <w:lastRenderedPageBreak/>
        <w:t>For instance, an investor can use options contracts to gain exposure to stock prices without committing the entire cash amount required for traditional investment. This strategic use of derivatives enables investors to diversify the</w:t>
      </w:r>
      <w:r>
        <w:rPr>
          <w:rFonts w:ascii="Times New Roman" w:hAnsi="Times New Roman" w:cs="Times New Roman"/>
          <w:color w:val="374151"/>
          <w:sz w:val="24"/>
        </w:rPr>
        <w:t>ir portfolios more extensively.</w:t>
      </w:r>
    </w:p>
    <w:p w:rsidR="00D8742B" w:rsidRDefault="00D8742B" w:rsidP="00D8742B">
      <w:pPr>
        <w:spacing w:line="360" w:lineRule="auto"/>
        <w:ind w:left="-142"/>
        <w:jc w:val="both"/>
        <w:rPr>
          <w:rFonts w:ascii="Times New Roman" w:hAnsi="Times New Roman" w:cs="Times New Roman"/>
          <w:color w:val="374151"/>
          <w:sz w:val="24"/>
        </w:rPr>
      </w:pPr>
      <w:r w:rsidRPr="00D8742B">
        <w:rPr>
          <w:rFonts w:ascii="Times New Roman" w:hAnsi="Times New Roman" w:cs="Times New Roman"/>
          <w:color w:val="374151"/>
          <w:sz w:val="24"/>
        </w:rPr>
        <w:t>Additionally, derivatives can be employed in advanced strategies, such as spread trading, which has the potential to minimize risk and generate higher returns compared to more straightforward approaches like straightforward stock purchasing and holding. This exemplifies how derivatives provide investors with a range of tools to optimize their investment strategies and outcomes.</w:t>
      </w:r>
    </w:p>
    <w:p w:rsidR="00D8742B" w:rsidRDefault="000010CE" w:rsidP="00D8742B">
      <w:pPr>
        <w:spacing w:line="360" w:lineRule="auto"/>
        <w:ind w:left="-142"/>
        <w:jc w:val="both"/>
        <w:rPr>
          <w:rFonts w:ascii="Times New Roman" w:hAnsi="Times New Roman" w:cs="Times New Roman"/>
          <w:color w:val="374151"/>
          <w:sz w:val="24"/>
        </w:rPr>
      </w:pPr>
      <w:hyperlink r:id="rId14" w:history="1">
        <w:r w:rsidR="00D8742B" w:rsidRPr="006D37D1">
          <w:rPr>
            <w:rStyle w:val="Hyperlink"/>
            <w:rFonts w:ascii="Times New Roman" w:hAnsi="Times New Roman" w:cs="Times New Roman"/>
            <w:sz w:val="24"/>
          </w:rPr>
          <w:t>https://www.financestrategists.com/wealth-management/alternative-investment/derivatives/</w:t>
        </w:r>
      </w:hyperlink>
    </w:p>
    <w:p w:rsidR="00D8742B" w:rsidRDefault="00D8742B" w:rsidP="00D8742B">
      <w:pPr>
        <w:spacing w:line="360" w:lineRule="auto"/>
        <w:ind w:left="-142"/>
        <w:jc w:val="both"/>
        <w:rPr>
          <w:rFonts w:ascii="Times New Roman" w:hAnsi="Times New Roman" w:cs="Times New Roman"/>
          <w:color w:val="374151"/>
          <w:sz w:val="24"/>
        </w:rPr>
      </w:pPr>
    </w:p>
    <w:p w:rsidR="00263A7C" w:rsidRDefault="00263A7C" w:rsidP="00987E22">
      <w:pPr>
        <w:pStyle w:val="ListParagraph"/>
        <w:numPr>
          <w:ilvl w:val="0"/>
          <w:numId w:val="4"/>
        </w:numPr>
        <w:spacing w:line="360" w:lineRule="auto"/>
        <w:ind w:left="426"/>
        <w:jc w:val="both"/>
        <w:rPr>
          <w:rFonts w:ascii="Times New Roman" w:hAnsi="Times New Roman" w:cs="Times New Roman"/>
          <w:b/>
          <w:color w:val="374151"/>
          <w:sz w:val="28"/>
        </w:rPr>
      </w:pPr>
      <w:r w:rsidRPr="00F1013C">
        <w:rPr>
          <w:rFonts w:ascii="Times New Roman" w:hAnsi="Times New Roman" w:cs="Times New Roman"/>
          <w:b/>
          <w:color w:val="374151"/>
          <w:sz w:val="28"/>
        </w:rPr>
        <w:t xml:space="preserve">Goods and </w:t>
      </w:r>
      <w:r w:rsidR="00F1013C" w:rsidRPr="00F1013C">
        <w:rPr>
          <w:rFonts w:ascii="Times New Roman" w:hAnsi="Times New Roman" w:cs="Times New Roman"/>
          <w:b/>
          <w:color w:val="374151"/>
          <w:sz w:val="28"/>
        </w:rPr>
        <w:t>service tax (GST)</w:t>
      </w:r>
      <w:r w:rsidR="0036531F">
        <w:rPr>
          <w:rFonts w:ascii="Times New Roman" w:hAnsi="Times New Roman" w:cs="Times New Roman"/>
          <w:b/>
          <w:color w:val="374151"/>
          <w:sz w:val="28"/>
        </w:rPr>
        <w:t xml:space="preserve"> advantages</w:t>
      </w:r>
    </w:p>
    <w:p w:rsidR="009A5054" w:rsidRPr="009A5054" w:rsidRDefault="009A5054" w:rsidP="009A5054">
      <w:pPr>
        <w:spacing w:line="360" w:lineRule="auto"/>
        <w:jc w:val="both"/>
        <w:rPr>
          <w:rFonts w:ascii="Times New Roman" w:hAnsi="Times New Roman" w:cs="Times New Roman"/>
          <w:b/>
          <w:color w:val="374151"/>
          <w:sz w:val="28"/>
        </w:rPr>
      </w:pPr>
    </w:p>
    <w:p w:rsidR="009A5054" w:rsidRDefault="009A5054" w:rsidP="00987E22">
      <w:pPr>
        <w:pStyle w:val="Heading6"/>
        <w:numPr>
          <w:ilvl w:val="0"/>
          <w:numId w:val="6"/>
        </w:numPr>
        <w:shd w:val="clear" w:color="auto" w:fill="FFFFFF"/>
        <w:spacing w:before="0"/>
        <w:ind w:left="426"/>
        <w:rPr>
          <w:rFonts w:ascii="Times New Roman" w:hAnsi="Times New Roman" w:cs="Times New Roman"/>
          <w:b/>
          <w:bCs/>
          <w:color w:val="212529"/>
          <w:spacing w:val="-5"/>
          <w:sz w:val="24"/>
          <w:szCs w:val="30"/>
        </w:rPr>
      </w:pPr>
      <w:r w:rsidRPr="009A5054">
        <w:rPr>
          <w:rFonts w:ascii="Times New Roman" w:hAnsi="Times New Roman" w:cs="Times New Roman"/>
          <w:b/>
          <w:bCs/>
          <w:color w:val="212529"/>
          <w:spacing w:val="-5"/>
          <w:sz w:val="24"/>
          <w:szCs w:val="30"/>
        </w:rPr>
        <w:t>Increase in Foreign Investment </w:t>
      </w:r>
    </w:p>
    <w:p w:rsidR="009A5054" w:rsidRPr="009A5054" w:rsidRDefault="009A5054" w:rsidP="009A5054"/>
    <w:p w:rsidR="00F1013C" w:rsidRDefault="009A5054" w:rsidP="00F1013C">
      <w:pPr>
        <w:spacing w:line="360" w:lineRule="auto"/>
        <w:jc w:val="both"/>
        <w:rPr>
          <w:rFonts w:ascii="Times New Roman" w:hAnsi="Times New Roman" w:cs="Times New Roman"/>
          <w:color w:val="374151"/>
          <w:sz w:val="24"/>
        </w:rPr>
      </w:pPr>
      <w:r w:rsidRPr="009A5054">
        <w:rPr>
          <w:rFonts w:ascii="Times New Roman" w:hAnsi="Times New Roman" w:cs="Times New Roman"/>
          <w:color w:val="374151"/>
          <w:sz w:val="24"/>
        </w:rPr>
        <w:t xml:space="preserve">Following the implementation of the Goods and Services Tax (GST), India </w:t>
      </w:r>
      <w:r w:rsidR="0036531F">
        <w:rPr>
          <w:rFonts w:ascii="Times New Roman" w:hAnsi="Times New Roman" w:cs="Times New Roman"/>
          <w:color w:val="374151"/>
          <w:sz w:val="24"/>
        </w:rPr>
        <w:t>transformed</w:t>
      </w:r>
      <w:r w:rsidRPr="009A5054">
        <w:rPr>
          <w:rFonts w:ascii="Times New Roman" w:hAnsi="Times New Roman" w:cs="Times New Roman"/>
          <w:color w:val="374151"/>
          <w:sz w:val="24"/>
        </w:rPr>
        <w:t xml:space="preserve"> </w:t>
      </w:r>
      <w:r w:rsidR="00785610">
        <w:rPr>
          <w:rFonts w:ascii="Times New Roman" w:hAnsi="Times New Roman" w:cs="Times New Roman"/>
          <w:color w:val="374151"/>
          <w:sz w:val="24"/>
        </w:rPr>
        <w:t xml:space="preserve">into </w:t>
      </w:r>
      <w:r w:rsidRPr="009A5054">
        <w:rPr>
          <w:rFonts w:ascii="Times New Roman" w:hAnsi="Times New Roman" w:cs="Times New Roman"/>
          <w:color w:val="374151"/>
          <w:sz w:val="24"/>
        </w:rPr>
        <w:t>a unified market, experiencing a notable surge in foreign investments. The enhanced competitiveness of Indian goods in the global market, attributed to their reduced costs, has subsequently resulted in an upswing in export activities. The adoption of the GST framework has positioned India in alignment with international tax regulations, thereby streamlining and facilitating international sales for indigenous businesses.</w:t>
      </w:r>
    </w:p>
    <w:p w:rsidR="009A5054" w:rsidRDefault="009A5054" w:rsidP="00F1013C">
      <w:pPr>
        <w:spacing w:line="360" w:lineRule="auto"/>
        <w:jc w:val="both"/>
        <w:rPr>
          <w:rFonts w:ascii="Times New Roman" w:hAnsi="Times New Roman" w:cs="Times New Roman"/>
          <w:color w:val="374151"/>
          <w:sz w:val="24"/>
        </w:rPr>
      </w:pPr>
    </w:p>
    <w:p w:rsidR="009A5054" w:rsidRPr="009A5054" w:rsidRDefault="009A5054" w:rsidP="00987E22">
      <w:pPr>
        <w:pStyle w:val="ListParagraph"/>
        <w:numPr>
          <w:ilvl w:val="0"/>
          <w:numId w:val="6"/>
        </w:numPr>
        <w:spacing w:line="360" w:lineRule="auto"/>
        <w:ind w:left="426"/>
        <w:jc w:val="both"/>
        <w:rPr>
          <w:rFonts w:ascii="Times New Roman" w:hAnsi="Times New Roman" w:cs="Times New Roman"/>
          <w:b/>
          <w:color w:val="374151"/>
          <w:sz w:val="24"/>
        </w:rPr>
      </w:pPr>
      <w:r w:rsidRPr="009A5054">
        <w:rPr>
          <w:rFonts w:ascii="Times New Roman" w:hAnsi="Times New Roman" w:cs="Times New Roman"/>
          <w:b/>
          <w:color w:val="374151"/>
          <w:sz w:val="24"/>
        </w:rPr>
        <w:t>One Tax system</w:t>
      </w:r>
    </w:p>
    <w:p w:rsidR="009A5054" w:rsidRDefault="009A5054" w:rsidP="00F1013C">
      <w:pPr>
        <w:spacing w:line="360" w:lineRule="auto"/>
        <w:jc w:val="both"/>
        <w:rPr>
          <w:rFonts w:ascii="Times New Roman" w:hAnsi="Times New Roman" w:cs="Times New Roman"/>
          <w:color w:val="374151"/>
          <w:sz w:val="24"/>
        </w:rPr>
      </w:pPr>
      <w:r w:rsidRPr="009A5054">
        <w:rPr>
          <w:rFonts w:ascii="Times New Roman" w:hAnsi="Times New Roman" w:cs="Times New Roman"/>
          <w:color w:val="374151"/>
          <w:sz w:val="24"/>
        </w:rPr>
        <w:t>The primary objective behind the implementation of the Goods and Services Tax (GST) in India was the elimination of various levies within the tax system. Preceding the establishment of the GST, a multitude of taxes, such as service tax and Value Added Tax (VAT), were operational. The introduction of the GST resulted in the abolition of all these pre-existing levies, consolidating them into a singular tax structure. Presently, there exists a singular tax, yet the GST rates for diverse items exhibit variation, often leading to confusion due to the existence of multiple tax slabs.</w:t>
      </w:r>
    </w:p>
    <w:p w:rsidR="009A5054" w:rsidRDefault="009A5054" w:rsidP="00F1013C">
      <w:pPr>
        <w:spacing w:line="360" w:lineRule="auto"/>
        <w:jc w:val="both"/>
        <w:rPr>
          <w:rFonts w:ascii="Times New Roman" w:hAnsi="Times New Roman" w:cs="Times New Roman"/>
          <w:color w:val="374151"/>
          <w:sz w:val="24"/>
        </w:rPr>
      </w:pPr>
    </w:p>
    <w:p w:rsidR="00237526" w:rsidRPr="00237526" w:rsidRDefault="00237526" w:rsidP="00987E22">
      <w:pPr>
        <w:pStyle w:val="Heading6"/>
        <w:numPr>
          <w:ilvl w:val="0"/>
          <w:numId w:val="6"/>
        </w:numPr>
        <w:shd w:val="clear" w:color="auto" w:fill="FFFFFF"/>
        <w:spacing w:before="0"/>
        <w:ind w:left="426"/>
        <w:rPr>
          <w:rFonts w:ascii="Times New Roman" w:hAnsi="Times New Roman" w:cs="Times New Roman"/>
          <w:color w:val="212529"/>
          <w:spacing w:val="-5"/>
          <w:sz w:val="24"/>
          <w:szCs w:val="30"/>
        </w:rPr>
      </w:pPr>
      <w:r w:rsidRPr="00237526">
        <w:rPr>
          <w:rFonts w:ascii="Times New Roman" w:hAnsi="Times New Roman" w:cs="Times New Roman"/>
          <w:b/>
          <w:bCs/>
          <w:color w:val="212529"/>
          <w:spacing w:val="-5"/>
          <w:sz w:val="24"/>
          <w:szCs w:val="30"/>
        </w:rPr>
        <w:lastRenderedPageBreak/>
        <w:t>Less Compliance to be followed</w:t>
      </w:r>
    </w:p>
    <w:p w:rsidR="00237526" w:rsidRDefault="00237526" w:rsidP="00F1013C">
      <w:pPr>
        <w:spacing w:line="360" w:lineRule="auto"/>
        <w:jc w:val="both"/>
        <w:rPr>
          <w:rFonts w:ascii="Times New Roman" w:hAnsi="Times New Roman" w:cs="Times New Roman"/>
          <w:color w:val="374151"/>
          <w:sz w:val="24"/>
        </w:rPr>
      </w:pPr>
    </w:p>
    <w:p w:rsidR="009A5054" w:rsidRDefault="00785610" w:rsidP="00F1013C">
      <w:pPr>
        <w:spacing w:line="360" w:lineRule="auto"/>
        <w:jc w:val="both"/>
        <w:rPr>
          <w:rFonts w:ascii="Times New Roman" w:hAnsi="Times New Roman" w:cs="Times New Roman"/>
          <w:color w:val="374151"/>
          <w:sz w:val="24"/>
        </w:rPr>
      </w:pPr>
      <w:r>
        <w:rPr>
          <w:rFonts w:ascii="Times New Roman" w:hAnsi="Times New Roman" w:cs="Times New Roman"/>
          <w:color w:val="374151"/>
          <w:sz w:val="24"/>
        </w:rPr>
        <w:t>Before</w:t>
      </w:r>
      <w:r w:rsidR="00237526" w:rsidRPr="00237526">
        <w:rPr>
          <w:rFonts w:ascii="Times New Roman" w:hAnsi="Times New Roman" w:cs="Times New Roman"/>
          <w:color w:val="374151"/>
          <w:sz w:val="24"/>
        </w:rPr>
        <w:t xml:space="preserve"> the enactment of GST laws in 2017, numerous indirect taxes were in existence. Each of these taxes was associated with its distinct set of compliance requirements, contributing to the complexity of regulatory adherence. </w:t>
      </w:r>
      <w:r w:rsidR="00237526">
        <w:rPr>
          <w:rFonts w:ascii="Times New Roman" w:hAnsi="Times New Roman" w:cs="Times New Roman"/>
          <w:color w:val="374151"/>
          <w:sz w:val="24"/>
        </w:rPr>
        <w:t>After</w:t>
      </w:r>
      <w:r w:rsidR="00237526" w:rsidRPr="00237526">
        <w:rPr>
          <w:rFonts w:ascii="Times New Roman" w:hAnsi="Times New Roman" w:cs="Times New Roman"/>
          <w:color w:val="374151"/>
          <w:sz w:val="24"/>
        </w:rPr>
        <w:t xml:space="preserve"> the implementation of the new tax system, a notable simplification occurred, consolidating the various compliance obligations into a singular, unified return. Under the GST framework, there is now a requirement for only one consolidated return to be filed by taxpayers. Of the approximately eleven returns stipulated by the GST, four are considered fundamental taxes, applicable universally to all registered taxpayers, irrespective of their organizational structure. Notably, while GSTR-2 and GSTR-3 are automatically generated, the primary GSTR-1 necessitates manual input, streamlining the submission process for these reports.</w:t>
      </w:r>
    </w:p>
    <w:p w:rsidR="007E5839" w:rsidRDefault="007E5839" w:rsidP="00F1013C">
      <w:pPr>
        <w:spacing w:line="360" w:lineRule="auto"/>
        <w:jc w:val="both"/>
        <w:rPr>
          <w:rFonts w:ascii="Times New Roman" w:hAnsi="Times New Roman" w:cs="Times New Roman"/>
          <w:color w:val="374151"/>
          <w:sz w:val="24"/>
        </w:rPr>
      </w:pPr>
    </w:p>
    <w:p w:rsidR="007E5839" w:rsidRPr="007E5839" w:rsidRDefault="007E5839" w:rsidP="00987E22">
      <w:pPr>
        <w:pStyle w:val="Heading6"/>
        <w:numPr>
          <w:ilvl w:val="0"/>
          <w:numId w:val="6"/>
        </w:numPr>
        <w:shd w:val="clear" w:color="auto" w:fill="FFFFFF"/>
        <w:spacing w:before="0"/>
        <w:ind w:left="426"/>
        <w:rPr>
          <w:rFonts w:ascii="Times New Roman" w:hAnsi="Times New Roman" w:cs="Times New Roman"/>
          <w:color w:val="212529"/>
          <w:spacing w:val="-5"/>
          <w:sz w:val="24"/>
          <w:szCs w:val="30"/>
        </w:rPr>
      </w:pPr>
      <w:r w:rsidRPr="007E5839">
        <w:rPr>
          <w:rFonts w:ascii="Times New Roman" w:hAnsi="Times New Roman" w:cs="Times New Roman"/>
          <w:b/>
          <w:bCs/>
          <w:color w:val="212529"/>
          <w:spacing w:val="-5"/>
          <w:sz w:val="24"/>
          <w:szCs w:val="30"/>
        </w:rPr>
        <w:t>Efficiency in Logistics</w:t>
      </w:r>
    </w:p>
    <w:p w:rsidR="007E5839" w:rsidRDefault="007E5839" w:rsidP="00F1013C">
      <w:pPr>
        <w:spacing w:line="360" w:lineRule="auto"/>
        <w:jc w:val="both"/>
        <w:rPr>
          <w:rFonts w:ascii="Times New Roman" w:hAnsi="Times New Roman" w:cs="Times New Roman"/>
          <w:color w:val="374151"/>
          <w:sz w:val="24"/>
        </w:rPr>
      </w:pPr>
    </w:p>
    <w:p w:rsidR="007E5839" w:rsidRDefault="007E5839" w:rsidP="00F1013C">
      <w:pPr>
        <w:spacing w:line="360" w:lineRule="auto"/>
        <w:jc w:val="both"/>
        <w:rPr>
          <w:rFonts w:ascii="Times New Roman" w:hAnsi="Times New Roman" w:cs="Times New Roman"/>
          <w:color w:val="374151"/>
          <w:sz w:val="24"/>
        </w:rPr>
      </w:pPr>
      <w:r w:rsidRPr="007E5839">
        <w:rPr>
          <w:rFonts w:ascii="Times New Roman" w:hAnsi="Times New Roman" w:cs="Times New Roman"/>
          <w:color w:val="374151"/>
          <w:sz w:val="24"/>
        </w:rPr>
        <w:t xml:space="preserve">The implementation of GST has supplanted various antecedent tax regimes, notably Value Added Tax (VAT). As a result, the necessity to remit state-level taxes during interstate transactions has been obviated. The firm now </w:t>
      </w:r>
      <w:r w:rsidR="003E4BC4">
        <w:rPr>
          <w:rFonts w:ascii="Times New Roman" w:hAnsi="Times New Roman" w:cs="Times New Roman"/>
          <w:color w:val="374151"/>
          <w:sz w:val="24"/>
        </w:rPr>
        <w:t>fulfills</w:t>
      </w:r>
      <w:r w:rsidRPr="007E5839">
        <w:rPr>
          <w:rFonts w:ascii="Times New Roman" w:hAnsi="Times New Roman" w:cs="Times New Roman"/>
          <w:color w:val="374151"/>
          <w:sz w:val="24"/>
        </w:rPr>
        <w:t xml:space="preserve"> its tax obligations to the central and state authorities before transporting goods, thereby streamlining logistics and operational processes.</w:t>
      </w:r>
    </w:p>
    <w:p w:rsidR="00B272BF" w:rsidRDefault="000010CE" w:rsidP="00F1013C">
      <w:pPr>
        <w:spacing w:line="360" w:lineRule="auto"/>
        <w:jc w:val="both"/>
        <w:rPr>
          <w:rFonts w:ascii="Times New Roman" w:hAnsi="Times New Roman" w:cs="Times New Roman"/>
          <w:color w:val="374151"/>
          <w:sz w:val="24"/>
        </w:rPr>
      </w:pPr>
      <w:hyperlink r:id="rId15" w:history="1">
        <w:r w:rsidR="003E4BC4" w:rsidRPr="00BE0AFD">
          <w:rPr>
            <w:rStyle w:val="Hyperlink"/>
            <w:rFonts w:ascii="Times New Roman" w:hAnsi="Times New Roman" w:cs="Times New Roman"/>
            <w:sz w:val="24"/>
          </w:rPr>
          <w:t>https://signalx.ai/blog/top-10-advantages-and-disadvantages-of-gst/</w:t>
        </w:r>
      </w:hyperlink>
    </w:p>
    <w:p w:rsidR="0036531F" w:rsidRDefault="0036531F" w:rsidP="00F1013C">
      <w:pPr>
        <w:spacing w:line="360" w:lineRule="auto"/>
        <w:jc w:val="both"/>
        <w:rPr>
          <w:rFonts w:ascii="Times New Roman" w:hAnsi="Times New Roman" w:cs="Times New Roman"/>
          <w:color w:val="374151"/>
          <w:sz w:val="24"/>
        </w:rPr>
      </w:pPr>
    </w:p>
    <w:p w:rsidR="0036531F" w:rsidRDefault="0036531F" w:rsidP="00987E22">
      <w:pPr>
        <w:pStyle w:val="ListParagraph"/>
        <w:numPr>
          <w:ilvl w:val="1"/>
          <w:numId w:val="14"/>
        </w:numPr>
        <w:spacing w:line="360" w:lineRule="auto"/>
        <w:ind w:left="426"/>
        <w:jc w:val="both"/>
        <w:rPr>
          <w:rFonts w:ascii="Times New Roman" w:hAnsi="Times New Roman" w:cs="Times New Roman"/>
          <w:b/>
          <w:color w:val="374151"/>
          <w:sz w:val="32"/>
        </w:rPr>
      </w:pPr>
      <w:r>
        <w:rPr>
          <w:rFonts w:ascii="Times New Roman" w:hAnsi="Times New Roman" w:cs="Times New Roman"/>
          <w:b/>
          <w:color w:val="374151"/>
          <w:sz w:val="32"/>
        </w:rPr>
        <w:t>Disa</w:t>
      </w:r>
      <w:r w:rsidRPr="008D641B">
        <w:rPr>
          <w:rFonts w:ascii="Times New Roman" w:hAnsi="Times New Roman" w:cs="Times New Roman"/>
          <w:b/>
          <w:color w:val="374151"/>
          <w:sz w:val="32"/>
        </w:rPr>
        <w:t>dvantages of laws and regulation</w:t>
      </w:r>
    </w:p>
    <w:p w:rsidR="003E4BC4" w:rsidRDefault="003E4BC4" w:rsidP="00F1013C">
      <w:pPr>
        <w:spacing w:line="360" w:lineRule="auto"/>
        <w:jc w:val="both"/>
        <w:rPr>
          <w:rFonts w:ascii="Times New Roman" w:hAnsi="Times New Roman" w:cs="Times New Roman"/>
          <w:color w:val="374151"/>
          <w:sz w:val="24"/>
        </w:rPr>
      </w:pPr>
    </w:p>
    <w:p w:rsidR="0036531F" w:rsidRDefault="003E4BC4" w:rsidP="0036531F">
      <w:pPr>
        <w:pStyle w:val="ListParagraph"/>
        <w:numPr>
          <w:ilvl w:val="0"/>
          <w:numId w:val="7"/>
        </w:numPr>
        <w:spacing w:line="360" w:lineRule="auto"/>
        <w:ind w:left="426"/>
        <w:jc w:val="both"/>
        <w:rPr>
          <w:rFonts w:ascii="Times New Roman" w:hAnsi="Times New Roman" w:cs="Times New Roman"/>
          <w:b/>
          <w:color w:val="374151"/>
          <w:sz w:val="28"/>
        </w:rPr>
      </w:pPr>
      <w:r w:rsidRPr="0036531F">
        <w:rPr>
          <w:rFonts w:ascii="Times New Roman" w:hAnsi="Times New Roman" w:cs="Times New Roman"/>
          <w:b/>
          <w:color w:val="374151"/>
          <w:sz w:val="28"/>
        </w:rPr>
        <w:t>Derivatives</w:t>
      </w:r>
      <w:r w:rsidR="0036531F" w:rsidRPr="0036531F">
        <w:rPr>
          <w:rFonts w:ascii="Times New Roman" w:hAnsi="Times New Roman" w:cs="Times New Roman"/>
          <w:b/>
          <w:color w:val="374151"/>
          <w:sz w:val="28"/>
        </w:rPr>
        <w:t xml:space="preserve"> Disadvantages</w:t>
      </w:r>
    </w:p>
    <w:p w:rsidR="00196C2A" w:rsidRPr="00196C2A" w:rsidRDefault="00196C2A" w:rsidP="00196C2A">
      <w:pPr>
        <w:spacing w:line="360" w:lineRule="auto"/>
        <w:jc w:val="both"/>
        <w:rPr>
          <w:rFonts w:ascii="Times New Roman" w:hAnsi="Times New Roman" w:cs="Times New Roman"/>
          <w:b/>
          <w:color w:val="374151"/>
          <w:sz w:val="28"/>
        </w:rPr>
      </w:pPr>
    </w:p>
    <w:p w:rsidR="00D71920" w:rsidRPr="0036531F" w:rsidRDefault="00D71920" w:rsidP="00987E22">
      <w:pPr>
        <w:pStyle w:val="ListParagraph"/>
        <w:numPr>
          <w:ilvl w:val="0"/>
          <w:numId w:val="6"/>
        </w:numPr>
        <w:spacing w:line="360" w:lineRule="auto"/>
        <w:ind w:left="426"/>
        <w:jc w:val="both"/>
        <w:rPr>
          <w:rFonts w:ascii="Times New Roman" w:hAnsi="Times New Roman" w:cs="Times New Roman"/>
          <w:b/>
          <w:color w:val="374151"/>
          <w:sz w:val="24"/>
        </w:rPr>
      </w:pPr>
      <w:r w:rsidRPr="0036531F">
        <w:rPr>
          <w:rFonts w:ascii="Times New Roman" w:hAnsi="Times New Roman" w:cs="Times New Roman"/>
          <w:b/>
          <w:color w:val="374151"/>
          <w:sz w:val="24"/>
        </w:rPr>
        <w:t>Difficult to value</w:t>
      </w:r>
    </w:p>
    <w:p w:rsidR="00D71920" w:rsidRPr="00D71920" w:rsidRDefault="00D71920" w:rsidP="00D71920">
      <w:pPr>
        <w:spacing w:line="360" w:lineRule="auto"/>
        <w:jc w:val="both"/>
        <w:rPr>
          <w:rFonts w:ascii="Times New Roman" w:hAnsi="Times New Roman" w:cs="Times New Roman"/>
          <w:color w:val="374151"/>
          <w:sz w:val="24"/>
        </w:rPr>
      </w:pPr>
      <w:r w:rsidRPr="00D71920">
        <w:rPr>
          <w:rFonts w:ascii="Times New Roman" w:hAnsi="Times New Roman" w:cs="Times New Roman"/>
          <w:color w:val="374151"/>
          <w:sz w:val="24"/>
        </w:rPr>
        <w:t>Assessing derivatives presents a challenge, elevating levels of risk and uncertainty. The meticulous computation of these contracts is imperative for obtaining an accurate market price, given their intricate nature with multiple variables.</w:t>
      </w:r>
    </w:p>
    <w:p w:rsidR="003E4BC4" w:rsidRDefault="00D71920" w:rsidP="00D71920">
      <w:pPr>
        <w:spacing w:line="360" w:lineRule="auto"/>
        <w:jc w:val="both"/>
        <w:rPr>
          <w:rFonts w:ascii="Times New Roman" w:hAnsi="Times New Roman" w:cs="Times New Roman"/>
          <w:color w:val="374151"/>
          <w:sz w:val="24"/>
        </w:rPr>
      </w:pPr>
      <w:r w:rsidRPr="00D71920">
        <w:rPr>
          <w:rFonts w:ascii="Times New Roman" w:hAnsi="Times New Roman" w:cs="Times New Roman"/>
          <w:color w:val="374151"/>
          <w:sz w:val="24"/>
        </w:rPr>
        <w:lastRenderedPageBreak/>
        <w:t>Moreover, as derivatives involve speculation on prices, their values are susceptible to significant fluctuations influenced by the volatility of underlying assets and the prevailing sentiment in the market.</w:t>
      </w:r>
    </w:p>
    <w:p w:rsidR="00987E22" w:rsidRDefault="00987E22" w:rsidP="00D71920">
      <w:pPr>
        <w:spacing w:line="360" w:lineRule="auto"/>
        <w:jc w:val="both"/>
        <w:rPr>
          <w:rFonts w:ascii="Times New Roman" w:hAnsi="Times New Roman" w:cs="Times New Roman"/>
          <w:color w:val="374151"/>
          <w:sz w:val="24"/>
        </w:rPr>
      </w:pPr>
    </w:p>
    <w:p w:rsidR="0036531F" w:rsidRPr="0036531F" w:rsidRDefault="0036531F" w:rsidP="00987E22">
      <w:pPr>
        <w:pStyle w:val="ListParagraph"/>
        <w:numPr>
          <w:ilvl w:val="0"/>
          <w:numId w:val="6"/>
        </w:numPr>
        <w:spacing w:line="360" w:lineRule="auto"/>
        <w:ind w:left="426"/>
        <w:jc w:val="both"/>
        <w:rPr>
          <w:rFonts w:ascii="Times New Roman" w:hAnsi="Times New Roman" w:cs="Times New Roman"/>
          <w:b/>
          <w:color w:val="374151"/>
          <w:sz w:val="24"/>
        </w:rPr>
      </w:pPr>
      <w:r w:rsidRPr="0036531F">
        <w:rPr>
          <w:rFonts w:ascii="Times New Roman" w:hAnsi="Times New Roman" w:cs="Times New Roman"/>
          <w:b/>
          <w:color w:val="374151"/>
          <w:sz w:val="24"/>
        </w:rPr>
        <w:t>Counterparty risk</w:t>
      </w:r>
    </w:p>
    <w:p w:rsidR="0036531F" w:rsidRPr="0036531F" w:rsidRDefault="0036531F" w:rsidP="0036531F">
      <w:pPr>
        <w:spacing w:line="360" w:lineRule="auto"/>
        <w:jc w:val="both"/>
        <w:rPr>
          <w:rFonts w:ascii="Times New Roman" w:hAnsi="Times New Roman" w:cs="Times New Roman"/>
          <w:color w:val="374151"/>
          <w:sz w:val="24"/>
        </w:rPr>
      </w:pPr>
      <w:r w:rsidRPr="0036531F">
        <w:rPr>
          <w:rFonts w:ascii="Times New Roman" w:hAnsi="Times New Roman" w:cs="Times New Roman"/>
          <w:color w:val="374151"/>
          <w:sz w:val="24"/>
        </w:rPr>
        <w:t>Certain derivatives, particularly OTC transactions like futures, European options, and swaps, are susceptible to counterparty defaults. When one party lacks the necessary funds to meet their obligations, there is a default and the other side may suffer a l</w:t>
      </w:r>
      <w:r>
        <w:rPr>
          <w:rFonts w:ascii="Times New Roman" w:hAnsi="Times New Roman" w:cs="Times New Roman"/>
          <w:color w:val="374151"/>
          <w:sz w:val="24"/>
        </w:rPr>
        <w:t>oss.</w:t>
      </w:r>
    </w:p>
    <w:p w:rsidR="0036531F" w:rsidRDefault="0036531F" w:rsidP="0036531F">
      <w:pPr>
        <w:spacing w:line="360" w:lineRule="auto"/>
        <w:jc w:val="both"/>
        <w:rPr>
          <w:rFonts w:ascii="Times New Roman" w:hAnsi="Times New Roman" w:cs="Times New Roman"/>
          <w:color w:val="374151"/>
          <w:sz w:val="24"/>
        </w:rPr>
      </w:pPr>
      <w:r w:rsidRPr="0036531F">
        <w:rPr>
          <w:rFonts w:ascii="Times New Roman" w:hAnsi="Times New Roman" w:cs="Times New Roman"/>
          <w:color w:val="374151"/>
          <w:sz w:val="24"/>
        </w:rPr>
        <w:t>OTC derivatives have a higher default risk since they are private transactions and are not subject to Securities and Exchange Commission (SEC) regulation.</w:t>
      </w:r>
    </w:p>
    <w:p w:rsidR="0036531F" w:rsidRDefault="0036531F" w:rsidP="0036531F">
      <w:pPr>
        <w:spacing w:line="360" w:lineRule="auto"/>
        <w:jc w:val="both"/>
        <w:rPr>
          <w:rFonts w:ascii="Times New Roman" w:hAnsi="Times New Roman" w:cs="Times New Roman"/>
          <w:color w:val="374151"/>
          <w:sz w:val="24"/>
        </w:rPr>
      </w:pPr>
    </w:p>
    <w:p w:rsidR="0036531F" w:rsidRPr="0036531F" w:rsidRDefault="0036531F" w:rsidP="00987E22">
      <w:pPr>
        <w:pStyle w:val="ListParagraph"/>
        <w:numPr>
          <w:ilvl w:val="0"/>
          <w:numId w:val="6"/>
        </w:numPr>
        <w:spacing w:line="360" w:lineRule="auto"/>
        <w:ind w:left="426"/>
        <w:jc w:val="both"/>
        <w:rPr>
          <w:rFonts w:ascii="Times New Roman" w:hAnsi="Times New Roman" w:cs="Times New Roman"/>
          <w:b/>
          <w:color w:val="374151"/>
          <w:sz w:val="24"/>
        </w:rPr>
      </w:pPr>
      <w:r w:rsidRPr="0036531F">
        <w:rPr>
          <w:rFonts w:ascii="Times New Roman" w:hAnsi="Times New Roman" w:cs="Times New Roman"/>
          <w:b/>
          <w:color w:val="374151"/>
          <w:sz w:val="24"/>
        </w:rPr>
        <w:t>Complex</w:t>
      </w:r>
    </w:p>
    <w:p w:rsidR="0036531F" w:rsidRPr="0036531F" w:rsidRDefault="0036531F" w:rsidP="0036531F">
      <w:pPr>
        <w:spacing w:line="360" w:lineRule="auto"/>
        <w:jc w:val="both"/>
        <w:rPr>
          <w:rFonts w:ascii="Times New Roman" w:hAnsi="Times New Roman" w:cs="Times New Roman"/>
          <w:color w:val="374151"/>
          <w:sz w:val="24"/>
        </w:rPr>
      </w:pPr>
      <w:r w:rsidRPr="0036531F">
        <w:rPr>
          <w:rFonts w:ascii="Times New Roman" w:hAnsi="Times New Roman" w:cs="Times New Roman"/>
          <w:color w:val="374151"/>
          <w:sz w:val="24"/>
        </w:rPr>
        <w:t>For novice speculators, derivatives can be perplexing. To ascertain accurate pricing, various factors, necessitating intricate mathematical co</w:t>
      </w:r>
      <w:r>
        <w:rPr>
          <w:rFonts w:ascii="Times New Roman" w:hAnsi="Times New Roman" w:cs="Times New Roman"/>
          <w:color w:val="374151"/>
          <w:sz w:val="24"/>
        </w:rPr>
        <w:t>mputations, must be considered.</w:t>
      </w:r>
    </w:p>
    <w:p w:rsidR="0036531F" w:rsidRDefault="0036531F" w:rsidP="0036531F">
      <w:pPr>
        <w:spacing w:line="360" w:lineRule="auto"/>
        <w:jc w:val="both"/>
        <w:rPr>
          <w:rFonts w:ascii="Times New Roman" w:hAnsi="Times New Roman" w:cs="Times New Roman"/>
          <w:color w:val="374151"/>
          <w:sz w:val="24"/>
        </w:rPr>
      </w:pPr>
      <w:r w:rsidRPr="0036531F">
        <w:rPr>
          <w:rFonts w:ascii="Times New Roman" w:hAnsi="Times New Roman" w:cs="Times New Roman"/>
          <w:color w:val="374151"/>
          <w:sz w:val="24"/>
        </w:rPr>
        <w:t xml:space="preserve">Furthermore, derivatives often involve a significant degree of leverage, heightening the risk of loss </w:t>
      </w:r>
      <w:r>
        <w:rPr>
          <w:rFonts w:ascii="Times New Roman" w:hAnsi="Times New Roman" w:cs="Times New Roman"/>
          <w:color w:val="374151"/>
          <w:sz w:val="24"/>
        </w:rPr>
        <w:t>if</w:t>
      </w:r>
      <w:r w:rsidRPr="0036531F">
        <w:rPr>
          <w:rFonts w:ascii="Times New Roman" w:hAnsi="Times New Roman" w:cs="Times New Roman"/>
          <w:color w:val="374151"/>
          <w:sz w:val="24"/>
        </w:rPr>
        <w:t xml:space="preserve"> the underlying asset performs below expectations. This complexity may lead to elevated costs, such as higher brokerage fees or transaction expenses</w:t>
      </w:r>
    </w:p>
    <w:p w:rsidR="0036531F" w:rsidRDefault="000010CE" w:rsidP="0036531F">
      <w:pPr>
        <w:spacing w:line="360" w:lineRule="auto"/>
        <w:jc w:val="both"/>
        <w:rPr>
          <w:rFonts w:ascii="Times New Roman" w:hAnsi="Times New Roman" w:cs="Times New Roman"/>
          <w:color w:val="374151"/>
          <w:sz w:val="24"/>
        </w:rPr>
      </w:pPr>
      <w:hyperlink r:id="rId16" w:history="1">
        <w:r w:rsidR="0036531F" w:rsidRPr="00BE0AFD">
          <w:rPr>
            <w:rStyle w:val="Hyperlink"/>
            <w:rFonts w:ascii="Times New Roman" w:hAnsi="Times New Roman" w:cs="Times New Roman"/>
            <w:sz w:val="24"/>
          </w:rPr>
          <w:t>https://www.financestrategists.com/wealth-management/alternative-investment/derivatives/</w:t>
        </w:r>
      </w:hyperlink>
      <w:r w:rsidR="0036531F" w:rsidRPr="0036531F">
        <w:rPr>
          <w:rFonts w:ascii="Times New Roman" w:hAnsi="Times New Roman" w:cs="Times New Roman"/>
          <w:color w:val="374151"/>
          <w:sz w:val="24"/>
        </w:rPr>
        <w:t>.</w:t>
      </w:r>
    </w:p>
    <w:p w:rsidR="0036531F" w:rsidRDefault="0036531F" w:rsidP="0036531F">
      <w:pPr>
        <w:spacing w:line="360" w:lineRule="auto"/>
        <w:jc w:val="both"/>
        <w:rPr>
          <w:rFonts w:ascii="Times New Roman" w:hAnsi="Times New Roman" w:cs="Times New Roman"/>
          <w:color w:val="374151"/>
          <w:sz w:val="24"/>
        </w:rPr>
      </w:pPr>
    </w:p>
    <w:p w:rsidR="0077487E" w:rsidRDefault="0077487E" w:rsidP="0036531F">
      <w:pPr>
        <w:spacing w:line="360" w:lineRule="auto"/>
        <w:jc w:val="both"/>
        <w:rPr>
          <w:rFonts w:ascii="Times New Roman" w:hAnsi="Times New Roman" w:cs="Times New Roman"/>
          <w:color w:val="374151"/>
          <w:sz w:val="24"/>
        </w:rPr>
      </w:pPr>
    </w:p>
    <w:p w:rsidR="0077487E" w:rsidRDefault="0077487E" w:rsidP="0077487E">
      <w:pPr>
        <w:pStyle w:val="ListParagraph"/>
        <w:numPr>
          <w:ilvl w:val="0"/>
          <w:numId w:val="7"/>
        </w:numPr>
        <w:spacing w:line="360" w:lineRule="auto"/>
        <w:jc w:val="both"/>
        <w:rPr>
          <w:rFonts w:ascii="Times New Roman" w:hAnsi="Times New Roman" w:cs="Times New Roman"/>
          <w:b/>
          <w:color w:val="374151"/>
          <w:sz w:val="28"/>
        </w:rPr>
      </w:pPr>
      <w:r>
        <w:rPr>
          <w:rFonts w:ascii="Times New Roman" w:hAnsi="Times New Roman" w:cs="Times New Roman"/>
          <w:b/>
          <w:color w:val="374151"/>
          <w:sz w:val="28"/>
        </w:rPr>
        <w:t xml:space="preserve">Goods and </w:t>
      </w:r>
      <w:r w:rsidR="00754E69">
        <w:rPr>
          <w:rFonts w:ascii="Times New Roman" w:hAnsi="Times New Roman" w:cs="Times New Roman"/>
          <w:b/>
          <w:color w:val="374151"/>
          <w:sz w:val="28"/>
        </w:rPr>
        <w:t>Services</w:t>
      </w:r>
      <w:r>
        <w:rPr>
          <w:rFonts w:ascii="Times New Roman" w:hAnsi="Times New Roman" w:cs="Times New Roman"/>
          <w:b/>
          <w:color w:val="374151"/>
          <w:sz w:val="28"/>
        </w:rPr>
        <w:t xml:space="preserve"> Tax (GST)</w:t>
      </w:r>
      <w:r w:rsidRPr="0077487E">
        <w:rPr>
          <w:rFonts w:ascii="Times New Roman" w:hAnsi="Times New Roman" w:cs="Times New Roman"/>
          <w:b/>
          <w:color w:val="374151"/>
          <w:sz w:val="28"/>
        </w:rPr>
        <w:t xml:space="preserve"> Disadvantages</w:t>
      </w:r>
    </w:p>
    <w:p w:rsidR="00754E69" w:rsidRPr="00754E69" w:rsidRDefault="00754E69" w:rsidP="00754E69">
      <w:pPr>
        <w:spacing w:line="360" w:lineRule="auto"/>
        <w:jc w:val="both"/>
        <w:rPr>
          <w:rFonts w:ascii="Times New Roman" w:hAnsi="Times New Roman" w:cs="Times New Roman"/>
          <w:b/>
          <w:color w:val="374151"/>
          <w:sz w:val="28"/>
        </w:rPr>
      </w:pPr>
    </w:p>
    <w:p w:rsidR="00754E69" w:rsidRPr="00754E69" w:rsidRDefault="00754E69" w:rsidP="00754E69">
      <w:pPr>
        <w:pStyle w:val="ListParagraph"/>
        <w:numPr>
          <w:ilvl w:val="0"/>
          <w:numId w:val="10"/>
        </w:numPr>
        <w:spacing w:line="360" w:lineRule="auto"/>
        <w:jc w:val="both"/>
        <w:rPr>
          <w:rFonts w:ascii="Times New Roman" w:hAnsi="Times New Roman" w:cs="Times New Roman"/>
          <w:color w:val="374151"/>
          <w:sz w:val="24"/>
        </w:rPr>
      </w:pPr>
      <w:r w:rsidRPr="00754E69">
        <w:rPr>
          <w:rFonts w:ascii="Times New Roman" w:hAnsi="Times New Roman" w:cs="Times New Roman"/>
          <w:color w:val="374151"/>
          <w:sz w:val="24"/>
        </w:rPr>
        <w:t xml:space="preserve">According to some economists, the GST in India will </w:t>
      </w:r>
      <w:r w:rsidR="00785610">
        <w:rPr>
          <w:rFonts w:ascii="Times New Roman" w:hAnsi="Times New Roman" w:cs="Times New Roman"/>
          <w:color w:val="374151"/>
          <w:sz w:val="24"/>
        </w:rPr>
        <w:t>hurt</w:t>
      </w:r>
      <w:r w:rsidRPr="00754E69">
        <w:rPr>
          <w:rFonts w:ascii="Times New Roman" w:hAnsi="Times New Roman" w:cs="Times New Roman"/>
          <w:color w:val="374151"/>
          <w:sz w:val="24"/>
        </w:rPr>
        <w:t xml:space="preserve"> the real estate sector. The cost of new homes would increase by up to 8% as a result, and demand would decline by almost 12%.</w:t>
      </w:r>
    </w:p>
    <w:p w:rsidR="00754E69" w:rsidRPr="00754E69" w:rsidRDefault="00754E69" w:rsidP="00754E69">
      <w:pPr>
        <w:pStyle w:val="ListParagraph"/>
        <w:numPr>
          <w:ilvl w:val="0"/>
          <w:numId w:val="10"/>
        </w:numPr>
        <w:spacing w:line="360" w:lineRule="auto"/>
        <w:jc w:val="both"/>
        <w:rPr>
          <w:rFonts w:ascii="Times New Roman" w:hAnsi="Times New Roman" w:cs="Times New Roman"/>
          <w:color w:val="374151"/>
          <w:sz w:val="24"/>
        </w:rPr>
      </w:pPr>
      <w:r w:rsidRPr="00754E69">
        <w:rPr>
          <w:rFonts w:ascii="Times New Roman" w:hAnsi="Times New Roman" w:cs="Times New Roman"/>
          <w:color w:val="374151"/>
          <w:sz w:val="24"/>
        </w:rPr>
        <w:t>According to several specialists, CST, VAT, and CEF are just the new names for the Central Excise/Service Tax, Central GST, and State GST. As a result, the number of tax layers has not significantly decreased.</w:t>
      </w:r>
    </w:p>
    <w:p w:rsidR="00754E69" w:rsidRPr="00754E69" w:rsidRDefault="00754E69" w:rsidP="00754E69">
      <w:pPr>
        <w:pStyle w:val="ListParagraph"/>
        <w:numPr>
          <w:ilvl w:val="0"/>
          <w:numId w:val="10"/>
        </w:numPr>
        <w:spacing w:line="360" w:lineRule="auto"/>
        <w:jc w:val="both"/>
        <w:rPr>
          <w:rFonts w:ascii="Times New Roman" w:hAnsi="Times New Roman" w:cs="Times New Roman"/>
          <w:color w:val="374151"/>
          <w:sz w:val="24"/>
        </w:rPr>
      </w:pPr>
      <w:r w:rsidRPr="00754E69">
        <w:rPr>
          <w:rFonts w:ascii="Times New Roman" w:hAnsi="Times New Roman" w:cs="Times New Roman"/>
          <w:color w:val="374151"/>
          <w:sz w:val="24"/>
        </w:rPr>
        <w:lastRenderedPageBreak/>
        <w:t>There is now only a 4% tax on certain retail items. Clothing and accessories may become more expensive after GST.</w:t>
      </w:r>
    </w:p>
    <w:p w:rsidR="0077487E" w:rsidRPr="00754E69" w:rsidRDefault="00754E69" w:rsidP="0077487E">
      <w:pPr>
        <w:pStyle w:val="ListParagraph"/>
        <w:numPr>
          <w:ilvl w:val="0"/>
          <w:numId w:val="10"/>
        </w:numPr>
        <w:spacing w:line="360" w:lineRule="auto"/>
        <w:jc w:val="both"/>
        <w:rPr>
          <w:rFonts w:ascii="Times New Roman" w:hAnsi="Times New Roman" w:cs="Times New Roman"/>
          <w:color w:val="374151"/>
          <w:sz w:val="24"/>
        </w:rPr>
      </w:pPr>
      <w:r w:rsidRPr="00754E69">
        <w:rPr>
          <w:rFonts w:ascii="Times New Roman" w:hAnsi="Times New Roman" w:cs="Times New Roman"/>
          <w:color w:val="374151"/>
          <w:sz w:val="24"/>
        </w:rPr>
        <w:t>There would be an impact on the aviation sector. Currently, six to nine percent of airfares are subject to service taxes. This rate will be more than fifteen percent with GST, which will make the tax rate about twice as high.</w:t>
      </w:r>
    </w:p>
    <w:p w:rsidR="00236754" w:rsidRDefault="00754E69" w:rsidP="00785610">
      <w:pPr>
        <w:pStyle w:val="ListParagraph"/>
        <w:numPr>
          <w:ilvl w:val="0"/>
          <w:numId w:val="10"/>
        </w:numPr>
        <w:spacing w:line="360" w:lineRule="auto"/>
        <w:jc w:val="both"/>
        <w:rPr>
          <w:rFonts w:ascii="Times New Roman" w:hAnsi="Times New Roman" w:cs="Times New Roman"/>
          <w:color w:val="374151"/>
          <w:sz w:val="24"/>
        </w:rPr>
      </w:pPr>
      <w:r w:rsidRPr="00754E69">
        <w:rPr>
          <w:rFonts w:ascii="Times New Roman" w:hAnsi="Times New Roman" w:cs="Times New Roman"/>
          <w:color w:val="374151"/>
          <w:sz w:val="24"/>
        </w:rPr>
        <w:t>There will be transitional issues and learning for the whole ecosystem with the adoption and migration to the new GST system.</w:t>
      </w:r>
    </w:p>
    <w:p w:rsidR="00236754" w:rsidRDefault="00236754" w:rsidP="00236754">
      <w:pPr>
        <w:spacing w:line="360" w:lineRule="auto"/>
        <w:jc w:val="both"/>
        <w:rPr>
          <w:rFonts w:ascii="Times New Roman" w:hAnsi="Times New Roman" w:cs="Times New Roman"/>
          <w:color w:val="374151"/>
          <w:sz w:val="24"/>
        </w:rPr>
      </w:pPr>
    </w:p>
    <w:p w:rsidR="00A37426" w:rsidRPr="006A4052" w:rsidRDefault="006A4052" w:rsidP="006A4052">
      <w:pPr>
        <w:pStyle w:val="ListParagraph"/>
        <w:numPr>
          <w:ilvl w:val="0"/>
          <w:numId w:val="3"/>
        </w:numPr>
        <w:spacing w:line="360" w:lineRule="auto"/>
        <w:jc w:val="both"/>
        <w:rPr>
          <w:rFonts w:ascii="Times New Roman" w:hAnsi="Times New Roman" w:cs="Times New Roman"/>
          <w:b/>
          <w:color w:val="374151"/>
          <w:sz w:val="36"/>
        </w:rPr>
      </w:pPr>
      <w:bookmarkStart w:id="0" w:name="_GoBack"/>
      <w:bookmarkEnd w:id="0"/>
      <w:r w:rsidRPr="006A4052">
        <w:rPr>
          <w:rFonts w:ascii="Times New Roman" w:hAnsi="Times New Roman" w:cs="Times New Roman"/>
          <w:b/>
          <w:sz w:val="32"/>
        </w:rPr>
        <w:t>How much of an effect these measures have had on the business model of JPMorgan Chase &amp; Co.</w:t>
      </w:r>
    </w:p>
    <w:p w:rsidR="00A37426" w:rsidRPr="00A37426" w:rsidRDefault="00A37426" w:rsidP="00A37426">
      <w:pPr>
        <w:spacing w:before="100" w:after="100" w:line="360" w:lineRule="auto"/>
        <w:jc w:val="both"/>
        <w:rPr>
          <w:rFonts w:ascii="Times New Roman" w:eastAsia="Times New Roman" w:hAnsi="Times New Roman" w:cs="Times New Roman"/>
          <w:sz w:val="24"/>
          <w:szCs w:val="21"/>
          <w:lang w:eastAsia="en-GB"/>
        </w:rPr>
      </w:pPr>
      <w:r w:rsidRPr="00A37426">
        <w:rPr>
          <w:rFonts w:ascii="Times New Roman" w:eastAsia="Times New Roman" w:hAnsi="Times New Roman" w:cs="Times New Roman"/>
          <w:sz w:val="24"/>
          <w:szCs w:val="21"/>
          <w:lang w:eastAsia="en-GB"/>
        </w:rPr>
        <w:t xml:space="preserve">The world economy was on the verge of collapse due to the financial crisis, and many people believe that the bankruptcy of the investment firm Lehman Brothers in September 2008 marked the beginning of the </w:t>
      </w:r>
      <w:r w:rsidR="00FD7773">
        <w:rPr>
          <w:rFonts w:ascii="Times New Roman" w:eastAsia="Times New Roman" w:hAnsi="Times New Roman" w:cs="Times New Roman"/>
          <w:sz w:val="24"/>
          <w:szCs w:val="21"/>
          <w:lang w:eastAsia="en-GB"/>
        </w:rPr>
        <w:t>Great Recession</w:t>
      </w:r>
      <w:r w:rsidRPr="00A37426">
        <w:rPr>
          <w:rFonts w:ascii="Times New Roman" w:eastAsia="Times New Roman" w:hAnsi="Times New Roman" w:cs="Times New Roman"/>
          <w:sz w:val="24"/>
          <w:szCs w:val="21"/>
          <w:lang w:eastAsia="en-GB"/>
        </w:rPr>
        <w:t xml:space="preserve">. In the same year, the stock market plummeted, the Federal Reserve cut interest rates to a record low, the U.S. housing market collapsed, and J.P. Morgan purchased Bear Stearns at record speed before it too failed. After a decade, the J.P. Morgan Research team investigates the changes that have occurred as well as potential future developments for the world's markets and economy. </w:t>
      </w:r>
    </w:p>
    <w:p w:rsidR="005346E1" w:rsidRDefault="005346E1" w:rsidP="005346E1">
      <w:pPr>
        <w:spacing w:line="360" w:lineRule="auto"/>
        <w:jc w:val="both"/>
        <w:rPr>
          <w:rFonts w:ascii="Times New Roman" w:hAnsi="Times New Roman" w:cs="Times New Roman"/>
          <w:b/>
          <w:color w:val="374151"/>
          <w:sz w:val="36"/>
        </w:rPr>
      </w:pPr>
    </w:p>
    <w:p w:rsidR="00A37426" w:rsidRPr="00A37426" w:rsidRDefault="00A37426" w:rsidP="00987E22">
      <w:pPr>
        <w:pStyle w:val="Heading3"/>
        <w:numPr>
          <w:ilvl w:val="0"/>
          <w:numId w:val="6"/>
        </w:numPr>
        <w:shd w:val="clear" w:color="auto" w:fill="FFFFFF"/>
        <w:spacing w:before="0"/>
        <w:ind w:left="426"/>
        <w:rPr>
          <w:rFonts w:ascii="Times New Roman" w:hAnsi="Times New Roman" w:cs="Times New Roman"/>
          <w:color w:val="31373D"/>
          <w:spacing w:val="5"/>
        </w:rPr>
      </w:pPr>
      <w:r w:rsidRPr="00A37426">
        <w:rPr>
          <w:rStyle w:val="title-medium"/>
          <w:rFonts w:ascii="Times New Roman" w:hAnsi="Times New Roman" w:cs="Times New Roman"/>
          <w:b/>
          <w:bCs/>
          <w:color w:val="31373D"/>
          <w:spacing w:val="5"/>
        </w:rPr>
        <w:t>Global debt has ballooned</w:t>
      </w:r>
    </w:p>
    <w:p w:rsidR="00A37426" w:rsidRDefault="00A37426" w:rsidP="005346E1">
      <w:pPr>
        <w:spacing w:line="360" w:lineRule="auto"/>
        <w:jc w:val="both"/>
        <w:rPr>
          <w:rFonts w:ascii="Times New Roman" w:hAnsi="Times New Roman" w:cs="Times New Roman"/>
          <w:b/>
          <w:color w:val="374151"/>
          <w:sz w:val="36"/>
        </w:rPr>
      </w:pPr>
    </w:p>
    <w:p w:rsidR="00A37426" w:rsidRPr="00A37426" w:rsidRDefault="00A37426" w:rsidP="00A37426">
      <w:pPr>
        <w:spacing w:line="360" w:lineRule="auto"/>
        <w:jc w:val="both"/>
        <w:rPr>
          <w:rFonts w:ascii="Times New Roman" w:hAnsi="Times New Roman" w:cs="Times New Roman"/>
          <w:color w:val="374151"/>
          <w:sz w:val="24"/>
        </w:rPr>
      </w:pPr>
      <w:r w:rsidRPr="00A37426">
        <w:rPr>
          <w:rFonts w:ascii="Times New Roman" w:hAnsi="Times New Roman" w:cs="Times New Roman"/>
          <w:color w:val="374151"/>
          <w:sz w:val="24"/>
        </w:rPr>
        <w:t xml:space="preserve">Since 2007, there has been a notable surge in global sovereign debt, with an increase of 26 percentage points of GDP. While emerging economies have witnessed a 12-percentage-point rise in debt-to-GDP, the predominant escalation has been observed in developed markets (DM), where the figure has surged by approximately 41 percentage points. The prospect of </w:t>
      </w:r>
      <w:r w:rsidR="00FD7773">
        <w:rPr>
          <w:rFonts w:ascii="Times New Roman" w:hAnsi="Times New Roman" w:cs="Times New Roman"/>
          <w:color w:val="374151"/>
          <w:sz w:val="24"/>
        </w:rPr>
        <w:t xml:space="preserve">an </w:t>
      </w:r>
      <w:r w:rsidRPr="00A37426">
        <w:rPr>
          <w:rFonts w:ascii="Times New Roman" w:hAnsi="Times New Roman" w:cs="Times New Roman"/>
          <w:color w:val="374151"/>
          <w:sz w:val="24"/>
        </w:rPr>
        <w:t>imminent reduction in debt levels seems unlikely, given the persistence of comparatively high budget deficits.</w:t>
      </w:r>
    </w:p>
    <w:p w:rsidR="00A37426" w:rsidRPr="00A37426" w:rsidRDefault="00A37426" w:rsidP="00A37426">
      <w:pPr>
        <w:spacing w:line="360" w:lineRule="auto"/>
        <w:jc w:val="both"/>
        <w:rPr>
          <w:rFonts w:ascii="Times New Roman" w:hAnsi="Times New Roman" w:cs="Times New Roman"/>
          <w:b/>
          <w:color w:val="374151"/>
          <w:sz w:val="36"/>
        </w:rPr>
      </w:pPr>
    </w:p>
    <w:p w:rsidR="00A37426" w:rsidRDefault="00A37426" w:rsidP="00A37426">
      <w:pPr>
        <w:spacing w:line="360" w:lineRule="auto"/>
        <w:jc w:val="both"/>
        <w:rPr>
          <w:rFonts w:ascii="Times New Roman" w:hAnsi="Times New Roman" w:cs="Times New Roman"/>
          <w:color w:val="374151"/>
          <w:sz w:val="24"/>
        </w:rPr>
      </w:pPr>
      <w:r w:rsidRPr="00A37426">
        <w:rPr>
          <w:rFonts w:ascii="Times New Roman" w:hAnsi="Times New Roman" w:cs="Times New Roman"/>
          <w:color w:val="374151"/>
          <w:sz w:val="24"/>
        </w:rPr>
        <w:t xml:space="preserve">The fiscal landscape experienced a significant downturn in 2009, marked by a pronounced contraction in the fiscal lending position of developed markets as a proportion of GDP. This </w:t>
      </w:r>
      <w:r w:rsidRPr="00A37426">
        <w:rPr>
          <w:rFonts w:ascii="Times New Roman" w:hAnsi="Times New Roman" w:cs="Times New Roman"/>
          <w:color w:val="374151"/>
          <w:sz w:val="24"/>
        </w:rPr>
        <w:lastRenderedPageBreak/>
        <w:t>position plummeted by more than 8 percentage points, reaching a post-World War II low of roughly -9%. The enduring nature of elevated budget deficits implies a prolonged trajectory of heightened sovereign debt levels in the foreseeable future.</w:t>
      </w:r>
    </w:p>
    <w:p w:rsidR="00FD7773" w:rsidRPr="00A37426" w:rsidRDefault="00FD7773" w:rsidP="00A37426">
      <w:pPr>
        <w:spacing w:line="360" w:lineRule="auto"/>
        <w:jc w:val="both"/>
        <w:rPr>
          <w:rFonts w:ascii="Times New Roman" w:hAnsi="Times New Roman" w:cs="Times New Roman"/>
          <w:color w:val="374151"/>
          <w:sz w:val="24"/>
        </w:rPr>
      </w:pPr>
    </w:p>
    <w:p w:rsidR="00785610" w:rsidRPr="00785610" w:rsidRDefault="00FD7773" w:rsidP="002A0752">
      <w:pPr>
        <w:spacing w:line="360" w:lineRule="auto"/>
        <w:jc w:val="center"/>
        <w:rPr>
          <w:rFonts w:ascii="Times New Roman" w:hAnsi="Times New Roman" w:cs="Times New Roman"/>
          <w:color w:val="374151"/>
          <w:sz w:val="24"/>
        </w:rPr>
      </w:pPr>
      <w:r>
        <w:rPr>
          <w:noProof/>
          <w:lang w:eastAsia="en-GB"/>
        </w:rPr>
        <mc:AlternateContent>
          <mc:Choice Requires="wps">
            <w:drawing>
              <wp:inline distT="0" distB="0" distL="0" distR="0">
                <wp:extent cx="304800" cy="304800"/>
                <wp:effectExtent l="0" t="0" r="0" b="0"/>
                <wp:docPr id="2" name="Rectangle 2" descr="Infographic describes that Global sovereign debt has spiked"/>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D40530F" id="Rectangle 2" o:spid="_x0000_s1026" alt="Infographic describes that Global sovereign debt has spiked"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D9tKi/3AIAAPsFAAAOAAAAAAAAAAAAAAAAAC4CAABkcnMv&#10;ZTJvRG9jLnhtbFBLAQItABQABgAIAAAAIQBMoOks2AAAAAMBAAAPAAAAAAAAAAAAAAAAADYFAABk&#10;cnMvZG93bnJldi54bWxQSwUGAAAAAAQABADzAAAAOwYAAAAA&#10;" filled="f" stroked="f">
                <o:lock v:ext="edit" aspectratio="t"/>
                <w10:anchorlock/>
              </v:rect>
            </w:pict>
          </mc:Fallback>
        </mc:AlternateContent>
      </w:r>
      <w:r>
        <w:rPr>
          <w:noProof/>
          <w:lang w:eastAsia="en-GB"/>
        </w:rPr>
        <mc:AlternateContent>
          <mc:Choice Requires="wps">
            <w:drawing>
              <wp:inline distT="0" distB="0" distL="0" distR="0" wp14:anchorId="410852B6" wp14:editId="7A3D7076">
                <wp:extent cx="304800" cy="304800"/>
                <wp:effectExtent l="0" t="0" r="0" b="0"/>
                <wp:docPr id="3" name="AutoShape 4" descr="Infographic describes that Global sovereign debt has spiked"/>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F765489" id="AutoShape 4" o:spid="_x0000_s1026" alt="Infographic describes that Global sovereign debt has spiked"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" filled="f" stroked="f">
                <o:lock v:ext="edit" aspectratio="t"/>
                <w10:anchorlock/>
              </v:rect>
            </w:pict>
          </mc:Fallback>
        </mc:AlternateContent>
      </w:r>
      <w:r>
        <w:rPr>
          <w:noProof/>
          <w:lang w:eastAsia="en-GB"/>
        </w:rPr>
        <w:drawing>
          <wp:inline distT="0" distB="0" distL="0" distR="0" wp14:anchorId="5C1A9A4C">
            <wp:extent cx="3937000" cy="2380301"/>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37000" cy="2380301"/>
                    </a:xfrm>
                    <a:prstGeom prst="rect">
                      <a:avLst/>
                    </a:prstGeom>
                    <a:noFill/>
                  </pic:spPr>
                </pic:pic>
              </a:graphicData>
            </a:graphic>
          </wp:inline>
        </w:drawing>
      </w:r>
    </w:p>
    <w:p w:rsidR="00754E69" w:rsidRDefault="002A0752" w:rsidP="002A0752">
      <w:pPr>
        <w:spacing w:line="360" w:lineRule="auto"/>
        <w:jc w:val="right"/>
        <w:rPr>
          <w:rFonts w:ascii="Times New Roman" w:hAnsi="Times New Roman" w:cs="Times New Roman"/>
          <w:color w:val="374151"/>
          <w:sz w:val="24"/>
        </w:rPr>
      </w:pPr>
      <w:r>
        <w:rPr>
          <w:rFonts w:ascii="Times New Roman" w:hAnsi="Times New Roman" w:cs="Times New Roman"/>
          <w:color w:val="374151"/>
          <w:sz w:val="24"/>
        </w:rPr>
        <w:t>(Source: J.P Morgan. Shaded Area is forecast)</w:t>
      </w:r>
    </w:p>
    <w:p w:rsidR="00FD7773" w:rsidRPr="00FD7773" w:rsidRDefault="00FD7773" w:rsidP="00987E22">
      <w:pPr>
        <w:pStyle w:val="Heading3"/>
        <w:numPr>
          <w:ilvl w:val="0"/>
          <w:numId w:val="6"/>
        </w:numPr>
        <w:shd w:val="clear" w:color="auto" w:fill="FFFFFF"/>
        <w:spacing w:before="0"/>
        <w:ind w:left="284" w:hanging="208"/>
        <w:rPr>
          <w:rFonts w:ascii="Times New Roman" w:hAnsi="Times New Roman" w:cs="Times New Roman"/>
          <w:color w:val="31373D"/>
          <w:spacing w:val="5"/>
        </w:rPr>
      </w:pPr>
      <w:r w:rsidRPr="00FD7773">
        <w:rPr>
          <w:rStyle w:val="title-medium"/>
          <w:rFonts w:ascii="Times New Roman" w:hAnsi="Times New Roman" w:cs="Times New Roman"/>
          <w:b/>
          <w:bCs/>
          <w:color w:val="31373D"/>
          <w:spacing w:val="5"/>
        </w:rPr>
        <w:t>The housing bubble</w:t>
      </w:r>
    </w:p>
    <w:p w:rsidR="00FD7773" w:rsidRPr="00FD7773" w:rsidRDefault="00FD7773" w:rsidP="00FD7773">
      <w:pPr>
        <w:spacing w:line="360" w:lineRule="auto"/>
        <w:jc w:val="both"/>
        <w:rPr>
          <w:rFonts w:ascii="Times New Roman" w:hAnsi="Times New Roman" w:cs="Times New Roman"/>
          <w:color w:val="374151"/>
          <w:sz w:val="24"/>
        </w:rPr>
      </w:pPr>
    </w:p>
    <w:p w:rsidR="00E674DE" w:rsidRPr="00FD7773" w:rsidRDefault="00FD7773" w:rsidP="00FD7773">
      <w:pPr>
        <w:spacing w:line="360" w:lineRule="auto"/>
        <w:jc w:val="both"/>
        <w:rPr>
          <w:rFonts w:ascii="Times New Roman" w:hAnsi="Times New Roman" w:cs="Times New Roman"/>
          <w:color w:val="374151"/>
          <w:sz w:val="24"/>
        </w:rPr>
      </w:pPr>
      <w:r w:rsidRPr="00FD7773">
        <w:rPr>
          <w:rFonts w:ascii="Times New Roman" w:hAnsi="Times New Roman" w:cs="Times New Roman"/>
          <w:color w:val="374151"/>
          <w:sz w:val="24"/>
        </w:rPr>
        <w:t xml:space="preserve">In the </w:t>
      </w:r>
      <w:r>
        <w:rPr>
          <w:rFonts w:ascii="Times New Roman" w:hAnsi="Times New Roman" w:cs="Times New Roman"/>
          <w:color w:val="374151"/>
          <w:sz w:val="24"/>
        </w:rPr>
        <w:t>year</w:t>
      </w:r>
      <w:r w:rsidRPr="00FD7773">
        <w:rPr>
          <w:rFonts w:ascii="Times New Roman" w:hAnsi="Times New Roman" w:cs="Times New Roman"/>
          <w:color w:val="374151"/>
          <w:sz w:val="24"/>
        </w:rPr>
        <w:t xml:space="preserve"> antecedent to the financial crisis, the Federal Reserve implemented a pronounced tightening of monetary policy, characterized by a substantial elevation of interest rates amounting to 425 basis points between 2004 and 2006. Concurrently, the expansion of mortgage loans on the balance sheets of American households experienced a notable uptick, registering a 45% increase during the same timeframe. The mortgage market, particularly in the realm of non-residential mortgages, d</w:t>
      </w:r>
      <w:r w:rsidR="00E674DE">
        <w:rPr>
          <w:rFonts w:ascii="Times New Roman" w:hAnsi="Times New Roman" w:cs="Times New Roman"/>
          <w:color w:val="374151"/>
          <w:sz w:val="24"/>
        </w:rPr>
        <w:t>emonstrated discernible growth.</w:t>
      </w:r>
    </w:p>
    <w:p w:rsidR="00FD7773" w:rsidRDefault="00FD7773" w:rsidP="00FD7773">
      <w:pPr>
        <w:spacing w:line="360" w:lineRule="auto"/>
        <w:jc w:val="both"/>
        <w:rPr>
          <w:rFonts w:ascii="Times New Roman" w:hAnsi="Times New Roman" w:cs="Times New Roman"/>
          <w:color w:val="374151"/>
          <w:sz w:val="24"/>
        </w:rPr>
      </w:pPr>
      <w:r w:rsidRPr="00FD7773">
        <w:rPr>
          <w:rFonts w:ascii="Times New Roman" w:hAnsi="Times New Roman" w:cs="Times New Roman"/>
          <w:color w:val="374151"/>
          <w:sz w:val="24"/>
        </w:rPr>
        <w:t>Remittances, reflecting financial transfers, exhibited a substantial escalation from $125 billion in 2000 to surpass $1 billion annually in the years 2005-2006. Noteworthy is the heightened demand observed among investors for lenders specializing in subprime (alt-A and subprime) borrowers. A significant proportion of these mortgages underwent acquisition by the government-sponsored entities Fannie Mae and Freddie Mac from banks, subsequently being repackaged and sold to investors as mortgage-backed securities.</w:t>
      </w:r>
    </w:p>
    <w:p w:rsidR="00FD7773" w:rsidRDefault="00FD7773" w:rsidP="00FD7773">
      <w:pPr>
        <w:spacing w:line="360" w:lineRule="auto"/>
        <w:jc w:val="both"/>
        <w:rPr>
          <w:rFonts w:ascii="Times New Roman" w:hAnsi="Times New Roman" w:cs="Times New Roman"/>
          <w:color w:val="374151"/>
          <w:sz w:val="24"/>
        </w:rPr>
      </w:pPr>
    </w:p>
    <w:p w:rsidR="00E674DE" w:rsidRDefault="00E674DE" w:rsidP="00FD7773">
      <w:pPr>
        <w:spacing w:line="360" w:lineRule="auto"/>
        <w:jc w:val="both"/>
        <w:rPr>
          <w:rFonts w:ascii="Times New Roman" w:hAnsi="Times New Roman" w:cs="Times New Roman"/>
          <w:color w:val="374151"/>
          <w:sz w:val="24"/>
        </w:rPr>
      </w:pPr>
    </w:p>
    <w:p w:rsidR="00E674DE" w:rsidRPr="00E674DE" w:rsidRDefault="00E674DE" w:rsidP="00987E22">
      <w:pPr>
        <w:pStyle w:val="Heading3"/>
        <w:numPr>
          <w:ilvl w:val="0"/>
          <w:numId w:val="6"/>
        </w:numPr>
        <w:shd w:val="clear" w:color="auto" w:fill="FFFFFF"/>
        <w:spacing w:before="0"/>
        <w:ind w:left="284"/>
        <w:rPr>
          <w:rFonts w:ascii="Times New Roman" w:hAnsi="Times New Roman" w:cs="Times New Roman"/>
          <w:color w:val="31373D"/>
          <w:spacing w:val="5"/>
        </w:rPr>
      </w:pPr>
      <w:r w:rsidRPr="00E674DE">
        <w:rPr>
          <w:rStyle w:val="title-medium"/>
          <w:rFonts w:ascii="Times New Roman" w:hAnsi="Times New Roman" w:cs="Times New Roman"/>
          <w:b/>
          <w:bCs/>
          <w:color w:val="31373D"/>
          <w:spacing w:val="5"/>
        </w:rPr>
        <w:lastRenderedPageBreak/>
        <w:t>Fixed income liquidity and market depth</w:t>
      </w:r>
    </w:p>
    <w:p w:rsidR="00E674DE" w:rsidRPr="00E674DE" w:rsidRDefault="00E674DE" w:rsidP="00E674DE">
      <w:pPr>
        <w:spacing w:line="360" w:lineRule="auto"/>
        <w:jc w:val="both"/>
        <w:rPr>
          <w:rFonts w:ascii="Times New Roman" w:hAnsi="Times New Roman" w:cs="Times New Roman"/>
          <w:color w:val="374151"/>
          <w:sz w:val="24"/>
        </w:rPr>
      </w:pPr>
    </w:p>
    <w:p w:rsidR="00E674DE" w:rsidRPr="00E674DE" w:rsidRDefault="00E674DE" w:rsidP="00E674DE">
      <w:pPr>
        <w:spacing w:line="360" w:lineRule="auto"/>
        <w:jc w:val="both"/>
        <w:rPr>
          <w:rFonts w:ascii="Times New Roman" w:hAnsi="Times New Roman" w:cs="Times New Roman"/>
          <w:color w:val="374151"/>
          <w:sz w:val="24"/>
        </w:rPr>
      </w:pPr>
      <w:r w:rsidRPr="00E674DE">
        <w:rPr>
          <w:rFonts w:ascii="Times New Roman" w:hAnsi="Times New Roman" w:cs="Times New Roman"/>
          <w:color w:val="374151"/>
          <w:sz w:val="24"/>
        </w:rPr>
        <w:t xml:space="preserve">Despite the global bond market experiencing a more than fourfold expansion to reach $57 trillion since 2007, a discernible trend has emerged wherein banks are assuming less active roles as market makers. This shift has precipitated a decline in liquidity across fixed-income markets, constituting a significant disruption attributable to market dynamics evolving since 2008. This dwindling liquidity may emerge as a pivotal characteristic in the </w:t>
      </w:r>
      <w:r>
        <w:rPr>
          <w:rFonts w:ascii="Times New Roman" w:hAnsi="Times New Roman" w:cs="Times New Roman"/>
          <w:color w:val="374151"/>
          <w:sz w:val="24"/>
        </w:rPr>
        <w:t>context of an impending crisis.</w:t>
      </w:r>
    </w:p>
    <w:p w:rsidR="00FD7773" w:rsidRDefault="00E674DE" w:rsidP="00E674DE">
      <w:pPr>
        <w:spacing w:line="360" w:lineRule="auto"/>
        <w:jc w:val="both"/>
        <w:rPr>
          <w:rFonts w:ascii="Times New Roman" w:hAnsi="Times New Roman" w:cs="Times New Roman"/>
          <w:color w:val="374151"/>
          <w:sz w:val="24"/>
        </w:rPr>
      </w:pPr>
      <w:r w:rsidRPr="00E674DE">
        <w:rPr>
          <w:rFonts w:ascii="Times New Roman" w:hAnsi="Times New Roman" w:cs="Times New Roman"/>
          <w:color w:val="374151"/>
          <w:sz w:val="24"/>
        </w:rPr>
        <w:t>Over the past decade, the gross supply of high-grade bonds has surged by 50%. Paradoxically, the dealer holdings for investment-grade bonds have witnessed a substantial contraction of approximately 75%, concomitant with a 42% reduction in turnover within the U.S. investment-grade corporate bond market. In instances of heightened market volatility, the capacity to forestall substantial drawdowns is compromised by the confluence of diminished market liquidity and the ascent of passive investing.</w:t>
      </w:r>
    </w:p>
    <w:p w:rsidR="00E674DE" w:rsidRDefault="00E674DE" w:rsidP="00E674DE">
      <w:pPr>
        <w:spacing w:line="360" w:lineRule="auto"/>
        <w:jc w:val="both"/>
        <w:rPr>
          <w:rFonts w:ascii="Times New Roman" w:hAnsi="Times New Roman" w:cs="Times New Roman"/>
          <w:color w:val="374151"/>
          <w:sz w:val="24"/>
        </w:rPr>
      </w:pPr>
    </w:p>
    <w:p w:rsidR="005C6DF7" w:rsidRPr="005C6DF7" w:rsidRDefault="005C6DF7" w:rsidP="00987E22">
      <w:pPr>
        <w:pStyle w:val="Heading3"/>
        <w:numPr>
          <w:ilvl w:val="0"/>
          <w:numId w:val="6"/>
        </w:numPr>
        <w:shd w:val="clear" w:color="auto" w:fill="FFFFFF"/>
        <w:spacing w:before="0"/>
        <w:ind w:left="284"/>
        <w:rPr>
          <w:rFonts w:ascii="Times New Roman" w:hAnsi="Times New Roman" w:cs="Times New Roman"/>
          <w:color w:val="31373D"/>
          <w:spacing w:val="5"/>
        </w:rPr>
      </w:pPr>
      <w:r w:rsidRPr="005C6DF7">
        <w:rPr>
          <w:rStyle w:val="title-medium"/>
          <w:rFonts w:ascii="Times New Roman" w:hAnsi="Times New Roman" w:cs="Times New Roman"/>
          <w:b/>
          <w:bCs/>
          <w:color w:val="31373D"/>
          <w:spacing w:val="5"/>
        </w:rPr>
        <w:t>A blow to growth</w:t>
      </w:r>
    </w:p>
    <w:p w:rsidR="005C6DF7" w:rsidRDefault="005C6DF7" w:rsidP="00E674DE">
      <w:pPr>
        <w:spacing w:line="360" w:lineRule="auto"/>
        <w:jc w:val="both"/>
        <w:rPr>
          <w:rFonts w:ascii="Times New Roman" w:hAnsi="Times New Roman" w:cs="Times New Roman"/>
          <w:color w:val="374151"/>
          <w:sz w:val="24"/>
        </w:rPr>
      </w:pPr>
    </w:p>
    <w:p w:rsidR="005C6DF7" w:rsidRPr="005C6DF7" w:rsidRDefault="005C6DF7" w:rsidP="005C6DF7">
      <w:pPr>
        <w:spacing w:line="360" w:lineRule="auto"/>
        <w:jc w:val="both"/>
        <w:rPr>
          <w:rFonts w:ascii="Times New Roman" w:hAnsi="Times New Roman" w:cs="Times New Roman"/>
          <w:color w:val="374151"/>
          <w:sz w:val="24"/>
        </w:rPr>
      </w:pPr>
      <w:r w:rsidRPr="005C6DF7">
        <w:rPr>
          <w:rFonts w:ascii="Times New Roman" w:hAnsi="Times New Roman" w:cs="Times New Roman"/>
          <w:color w:val="374151"/>
          <w:sz w:val="24"/>
        </w:rPr>
        <w:t>Despite substantial efforts towards recovery since 2008, residual costs related to the financial crisis persist. Particularly alarming are the significant declines in long-term growth potential and weakened productivity growth. Research conducted by J.P. Morgan indicates a reduction in the global potential growth rate by 0.3 percentage points over the past decade, settling at 2.7%. It is noteworthy that regional decreases surpass this average, thereby understating the actual magnitude of the harm incurred. Notably, over the last 10 years, potential growth in emerging markets (EM) has contracted by 1.6 percentage points.</w:t>
      </w:r>
    </w:p>
    <w:p w:rsidR="005C6DF7" w:rsidRPr="005C6DF7" w:rsidRDefault="005C6DF7" w:rsidP="005C6DF7">
      <w:pPr>
        <w:spacing w:line="360" w:lineRule="auto"/>
        <w:jc w:val="both"/>
        <w:rPr>
          <w:rFonts w:ascii="Times New Roman" w:hAnsi="Times New Roman" w:cs="Times New Roman"/>
          <w:color w:val="374151"/>
          <w:sz w:val="24"/>
        </w:rPr>
      </w:pPr>
    </w:p>
    <w:p w:rsidR="005C6DF7" w:rsidRDefault="005C6DF7" w:rsidP="005C6DF7">
      <w:pPr>
        <w:spacing w:line="360" w:lineRule="auto"/>
        <w:jc w:val="both"/>
        <w:rPr>
          <w:rFonts w:ascii="Times New Roman" w:hAnsi="Times New Roman" w:cs="Times New Roman"/>
          <w:color w:val="374151"/>
          <w:sz w:val="24"/>
        </w:rPr>
      </w:pPr>
      <w:r w:rsidRPr="005C6DF7">
        <w:rPr>
          <w:rFonts w:ascii="Times New Roman" w:hAnsi="Times New Roman" w:cs="Times New Roman"/>
          <w:color w:val="374151"/>
          <w:sz w:val="24"/>
        </w:rPr>
        <w:t>Moreover, the ascent of global yearly productivity has witnessed a decline of approximately 1% since 2012, further contributing to the concerns surrounding the enduring consequences of the financial crisis.</w:t>
      </w:r>
    </w:p>
    <w:p w:rsidR="005C6DF7" w:rsidRDefault="000010CE" w:rsidP="005C6DF7">
      <w:pPr>
        <w:spacing w:line="360" w:lineRule="auto"/>
        <w:jc w:val="both"/>
        <w:rPr>
          <w:rFonts w:ascii="Times New Roman" w:hAnsi="Times New Roman" w:cs="Times New Roman"/>
          <w:color w:val="374151"/>
          <w:sz w:val="24"/>
        </w:rPr>
      </w:pPr>
      <w:hyperlink r:id="rId18" w:history="1">
        <w:r w:rsidR="005C6DF7" w:rsidRPr="000C5DC3">
          <w:rPr>
            <w:rStyle w:val="Hyperlink"/>
            <w:rFonts w:ascii="Times New Roman" w:hAnsi="Times New Roman" w:cs="Times New Roman"/>
            <w:sz w:val="24"/>
          </w:rPr>
          <w:t>https://www.jpmorgan.com/insights/global-research/markets/10-years-after-financial-crisis</w:t>
        </w:r>
      </w:hyperlink>
    </w:p>
    <w:p w:rsidR="00987E22" w:rsidRDefault="00987E22" w:rsidP="00751FBB">
      <w:pPr>
        <w:spacing w:line="360" w:lineRule="auto"/>
        <w:jc w:val="both"/>
        <w:rPr>
          <w:rFonts w:ascii="Times New Roman" w:hAnsi="Times New Roman" w:cs="Times New Roman"/>
          <w:color w:val="374151"/>
          <w:sz w:val="24"/>
        </w:rPr>
      </w:pPr>
    </w:p>
    <w:p w:rsidR="00751FBB" w:rsidRPr="00751FBB" w:rsidRDefault="005C6DF7" w:rsidP="00751FBB">
      <w:pPr>
        <w:spacing w:line="360" w:lineRule="auto"/>
        <w:jc w:val="both"/>
        <w:rPr>
          <w:rFonts w:ascii="Times New Roman" w:hAnsi="Times New Roman" w:cs="Times New Roman"/>
          <w:b/>
          <w:color w:val="374151"/>
          <w:sz w:val="32"/>
        </w:rPr>
      </w:pPr>
      <w:r w:rsidRPr="005C6DF7">
        <w:rPr>
          <w:rFonts w:ascii="Times New Roman" w:hAnsi="Times New Roman" w:cs="Times New Roman"/>
          <w:b/>
          <w:color w:val="374151"/>
          <w:sz w:val="32"/>
        </w:rPr>
        <w:lastRenderedPageBreak/>
        <w:t>References</w:t>
      </w:r>
    </w:p>
    <w:p w:rsidR="00751FBB" w:rsidRPr="00634762" w:rsidRDefault="00751FBB" w:rsidP="00751FBB">
      <w:pPr>
        <w:pStyle w:val="NormalWeb"/>
        <w:spacing w:before="0" w:beforeAutospacing="0" w:after="0" w:afterAutospacing="0" w:line="360" w:lineRule="atLeast"/>
        <w:jc w:val="both"/>
        <w:rPr>
          <w:color w:val="000000"/>
          <w:szCs w:val="27"/>
        </w:rPr>
      </w:pPr>
      <w:r w:rsidRPr="00634762">
        <w:rPr>
          <w:color w:val="000000"/>
          <w:szCs w:val="27"/>
        </w:rPr>
        <w:t xml:space="preserve">Dr. Chandu Ravi, K. (2017). GST in Indian Economy: </w:t>
      </w:r>
      <w:r w:rsidR="00E52366">
        <w:rPr>
          <w:color w:val="000000"/>
          <w:szCs w:val="27"/>
        </w:rPr>
        <w:t>Its</w:t>
      </w:r>
      <w:r w:rsidRPr="00634762">
        <w:rPr>
          <w:color w:val="000000"/>
          <w:szCs w:val="27"/>
        </w:rPr>
        <w:t xml:space="preserve"> Benefits and Impact. </w:t>
      </w:r>
      <w:r w:rsidRPr="00634762">
        <w:rPr>
          <w:i/>
          <w:iCs/>
          <w:color w:val="000000"/>
          <w:szCs w:val="27"/>
        </w:rPr>
        <w:t>International Journal of Science and Research (IJSR)</w:t>
      </w:r>
      <w:r w:rsidRPr="00634762">
        <w:rPr>
          <w:color w:val="000000"/>
          <w:szCs w:val="27"/>
        </w:rPr>
        <w:t>, [online] 6(11), pp.759–761. Available at: file:///C:/Users/pc/OneDrive/Desktop/GST_in_Indian_Economy_It_s_Benefits_and.pdf [Accessed 25 Nov. 2023].</w:t>
      </w:r>
    </w:p>
    <w:p w:rsidR="00751FBB" w:rsidRPr="00634762" w:rsidRDefault="00751FBB" w:rsidP="00751FBB">
      <w:pPr>
        <w:pStyle w:val="NormalWeb"/>
        <w:spacing w:before="0" w:beforeAutospacing="0" w:after="0" w:afterAutospacing="0" w:line="360" w:lineRule="atLeast"/>
        <w:jc w:val="both"/>
        <w:rPr>
          <w:color w:val="000000"/>
          <w:szCs w:val="27"/>
        </w:rPr>
      </w:pPr>
    </w:p>
    <w:p w:rsidR="00751FBB" w:rsidRPr="00634762" w:rsidRDefault="00751FBB" w:rsidP="00751FBB">
      <w:pPr>
        <w:pStyle w:val="NormalWeb"/>
        <w:spacing w:before="0" w:beforeAutospacing="0" w:after="0" w:afterAutospacing="0" w:line="360" w:lineRule="atLeast"/>
        <w:jc w:val="both"/>
        <w:rPr>
          <w:color w:val="000000"/>
          <w:szCs w:val="27"/>
        </w:rPr>
      </w:pPr>
      <w:r w:rsidRPr="00634762">
        <w:rPr>
          <w:color w:val="000000"/>
          <w:szCs w:val="27"/>
        </w:rPr>
        <w:t>‌Dr. KAMALAKKANNAN, K. (2017). Journal of Advance Management Research, ISSN: 2393-9664. </w:t>
      </w:r>
      <w:r w:rsidRPr="00634762">
        <w:rPr>
          <w:i/>
          <w:iCs/>
          <w:color w:val="000000"/>
          <w:szCs w:val="27"/>
        </w:rPr>
        <w:t>GOODS AND SERVICES TAX (GST) SYSTEM IN INDIA-OVERVIEW,</w:t>
      </w:r>
      <w:r w:rsidRPr="00634762">
        <w:rPr>
          <w:color w:val="000000"/>
          <w:szCs w:val="27"/>
        </w:rPr>
        <w:t xml:space="preserve"> [online] 05(04), pp.347–364. Available at: file:///C:/Users/pc/OneDrive/Desktop/THE_INTERNATIONALIZATION_OF_MEXICAN_FISH.pdf [Accessed 28 Nov. 2023].</w:t>
      </w:r>
    </w:p>
    <w:p w:rsidR="00751FBB" w:rsidRPr="00634762" w:rsidRDefault="00751FBB" w:rsidP="00751FBB">
      <w:pPr>
        <w:pStyle w:val="NormalWeb"/>
        <w:spacing w:before="0" w:beforeAutospacing="0" w:after="0" w:afterAutospacing="0" w:line="360" w:lineRule="atLeast"/>
        <w:jc w:val="both"/>
        <w:rPr>
          <w:color w:val="000000"/>
          <w:szCs w:val="27"/>
        </w:rPr>
      </w:pPr>
    </w:p>
    <w:p w:rsidR="00751FBB" w:rsidRPr="00634762" w:rsidRDefault="00751FBB" w:rsidP="00751FBB">
      <w:pPr>
        <w:pStyle w:val="NormalWeb"/>
        <w:spacing w:before="0" w:beforeAutospacing="0" w:after="0" w:afterAutospacing="0" w:line="360" w:lineRule="atLeast"/>
        <w:jc w:val="both"/>
        <w:rPr>
          <w:color w:val="000000"/>
          <w:szCs w:val="27"/>
        </w:rPr>
      </w:pPr>
      <w:r w:rsidRPr="00634762">
        <w:rPr>
          <w:color w:val="000000"/>
          <w:szCs w:val="27"/>
        </w:rPr>
        <w:t>‌Mathew, J. (2009). Global Financial Crisis: How was India Impacted?*. [Online] Available at: file:///C:/Users/pc/OneDrive/Desktop/Global_Financial_Crisis_How_was_India_Im.pdf [Accessed 29 Nov. 2023].</w:t>
      </w:r>
    </w:p>
    <w:p w:rsidR="00751FBB" w:rsidRPr="00634762" w:rsidRDefault="00751FBB" w:rsidP="00751FBB">
      <w:pPr>
        <w:pStyle w:val="NormalWeb"/>
        <w:spacing w:before="0" w:beforeAutospacing="0" w:after="0" w:afterAutospacing="0" w:line="360" w:lineRule="atLeast"/>
        <w:jc w:val="both"/>
        <w:rPr>
          <w:color w:val="000000"/>
          <w:szCs w:val="27"/>
        </w:rPr>
      </w:pPr>
    </w:p>
    <w:p w:rsidR="00751FBB" w:rsidRPr="00634762" w:rsidRDefault="00751FBB" w:rsidP="00751FBB">
      <w:pPr>
        <w:pStyle w:val="NormalWeb"/>
        <w:spacing w:before="0" w:beforeAutospacing="0" w:after="0" w:afterAutospacing="0" w:line="360" w:lineRule="atLeast"/>
        <w:jc w:val="both"/>
        <w:rPr>
          <w:color w:val="000000"/>
          <w:szCs w:val="27"/>
        </w:rPr>
      </w:pPr>
      <w:r w:rsidRPr="00634762">
        <w:rPr>
          <w:color w:val="000000"/>
          <w:szCs w:val="27"/>
        </w:rPr>
        <w:t>‌Randall D. Guynn, Davis Polk &amp; Wardwell LLP (2010). Harvard Law School Forum on Corporate Governance. </w:t>
      </w:r>
      <w:r w:rsidRPr="00634762">
        <w:rPr>
          <w:i/>
          <w:iCs/>
          <w:color w:val="000000"/>
          <w:szCs w:val="27"/>
        </w:rPr>
        <w:t>The Financial Panic of 2008 and Financial Regulatory Reform</w:t>
      </w:r>
      <w:r w:rsidRPr="00634762">
        <w:rPr>
          <w:color w:val="000000"/>
          <w:szCs w:val="27"/>
        </w:rPr>
        <w:t>. [Online] Available at: https://corpgov.law.harvard.edu/2010/11/20/the-financial-panic-of-2008-and-financial-regulatory-reform/ [Accessed 28 Nov. 2023].</w:t>
      </w:r>
    </w:p>
    <w:p w:rsidR="00751FBB" w:rsidRPr="00634762" w:rsidRDefault="00751FBB" w:rsidP="00751FBB">
      <w:pPr>
        <w:pStyle w:val="NormalWeb"/>
        <w:spacing w:before="0" w:beforeAutospacing="0" w:after="0" w:afterAutospacing="0" w:line="360" w:lineRule="atLeast"/>
        <w:jc w:val="both"/>
        <w:rPr>
          <w:color w:val="000000"/>
          <w:szCs w:val="27"/>
        </w:rPr>
      </w:pPr>
    </w:p>
    <w:p w:rsidR="00751FBB" w:rsidRPr="00634762" w:rsidRDefault="00751FBB" w:rsidP="00751FBB">
      <w:pPr>
        <w:pStyle w:val="NormalWeb"/>
        <w:spacing w:before="0" w:beforeAutospacing="0" w:after="0" w:afterAutospacing="0" w:line="360" w:lineRule="atLeast"/>
        <w:jc w:val="both"/>
        <w:rPr>
          <w:color w:val="000000"/>
          <w:szCs w:val="27"/>
        </w:rPr>
      </w:pPr>
      <w:r w:rsidRPr="00634762">
        <w:rPr>
          <w:color w:val="000000"/>
          <w:szCs w:val="27"/>
        </w:rPr>
        <w:t>Anon, (n.d.). </w:t>
      </w:r>
      <w:r w:rsidRPr="00634762">
        <w:rPr>
          <w:i/>
          <w:iCs/>
          <w:color w:val="000000"/>
          <w:szCs w:val="27"/>
        </w:rPr>
        <w:t>Financial Stability Oversight Council</w:t>
      </w:r>
      <w:r w:rsidRPr="00634762">
        <w:rPr>
          <w:color w:val="000000"/>
          <w:szCs w:val="27"/>
        </w:rPr>
        <w:t>. [Online] Available at: https://home.treasury.gov/policy-issues/financial-markets-financial-institutions-and-fiscal-service/fsoc [Accessed 24 Nov. 2023].</w:t>
      </w:r>
    </w:p>
    <w:p w:rsidR="00751FBB" w:rsidRPr="00634762" w:rsidRDefault="00751FBB" w:rsidP="00751FBB">
      <w:pPr>
        <w:pStyle w:val="NormalWeb"/>
        <w:spacing w:before="0" w:beforeAutospacing="0" w:after="0" w:afterAutospacing="0" w:line="360" w:lineRule="atLeast"/>
        <w:jc w:val="both"/>
        <w:rPr>
          <w:color w:val="000000"/>
          <w:szCs w:val="27"/>
        </w:rPr>
      </w:pPr>
    </w:p>
    <w:p w:rsidR="00751FBB" w:rsidRPr="00634762" w:rsidRDefault="00751FBB" w:rsidP="00751FBB">
      <w:pPr>
        <w:pStyle w:val="NormalWeb"/>
        <w:spacing w:before="0" w:beforeAutospacing="0" w:after="0" w:afterAutospacing="0" w:line="360" w:lineRule="atLeast"/>
        <w:jc w:val="both"/>
        <w:rPr>
          <w:color w:val="000000"/>
          <w:szCs w:val="27"/>
        </w:rPr>
      </w:pPr>
      <w:r w:rsidRPr="00634762">
        <w:rPr>
          <w:color w:val="000000"/>
          <w:szCs w:val="27"/>
        </w:rPr>
        <w:t>‌</w:t>
      </w:r>
      <w:r w:rsidRPr="00634762">
        <w:rPr>
          <w:i/>
          <w:iCs/>
          <w:color w:val="000000"/>
          <w:szCs w:val="27"/>
        </w:rPr>
        <w:t>The Securities Laws (Amendment) Act, 2014</w:t>
      </w:r>
      <w:r w:rsidRPr="00634762">
        <w:rPr>
          <w:color w:val="000000"/>
          <w:szCs w:val="27"/>
        </w:rPr>
        <w:t>. [Online] Available at: https://www.finseclaw.com/article/securities-laws-amendment-act-2014.</w:t>
      </w:r>
    </w:p>
    <w:p w:rsidR="00751FBB" w:rsidRPr="00634762" w:rsidRDefault="00751FBB" w:rsidP="00751FBB">
      <w:pPr>
        <w:pStyle w:val="NormalWeb"/>
        <w:jc w:val="both"/>
        <w:rPr>
          <w:color w:val="000000"/>
          <w:szCs w:val="27"/>
        </w:rPr>
      </w:pPr>
      <w:r w:rsidRPr="00634762">
        <w:rPr>
          <w:color w:val="000000"/>
          <w:szCs w:val="27"/>
        </w:rPr>
        <w:t>‌</w:t>
      </w:r>
    </w:p>
    <w:p w:rsidR="00751FBB" w:rsidRPr="00634762" w:rsidRDefault="00751FBB" w:rsidP="00751FBB">
      <w:pPr>
        <w:pStyle w:val="NormalWeb"/>
        <w:spacing w:before="0" w:beforeAutospacing="0" w:after="0" w:afterAutospacing="0" w:line="360" w:lineRule="atLeast"/>
        <w:jc w:val="both"/>
        <w:rPr>
          <w:color w:val="000000"/>
          <w:szCs w:val="27"/>
        </w:rPr>
      </w:pPr>
      <w:r w:rsidRPr="00634762">
        <w:rPr>
          <w:i/>
          <w:iCs/>
          <w:color w:val="000000"/>
          <w:szCs w:val="27"/>
        </w:rPr>
        <w:t>Economics for Everyone: The Insolvency and Bankruptcy Code in India and the National Company Law Tribunal</w:t>
      </w:r>
      <w:r w:rsidRPr="00634762">
        <w:rPr>
          <w:color w:val="000000"/>
          <w:szCs w:val="27"/>
        </w:rPr>
        <w:t>. [Online] Available at: https://www.indiainfoline.com/knowledge-center/financial-planning/economics-for-everyone-the-insolvency-and-bankruptcy-code-in-india-and-the-national-company-law-tribunal [Accessed 27 Nov. 2023].</w:t>
      </w:r>
    </w:p>
    <w:p w:rsidR="00751FBB" w:rsidRPr="00634762" w:rsidRDefault="00751FBB" w:rsidP="00751FBB">
      <w:pPr>
        <w:pStyle w:val="NormalWeb"/>
        <w:spacing w:before="0" w:beforeAutospacing="0" w:after="0" w:afterAutospacing="0" w:line="360" w:lineRule="atLeast"/>
        <w:jc w:val="both"/>
        <w:rPr>
          <w:color w:val="000000"/>
          <w:szCs w:val="27"/>
        </w:rPr>
      </w:pPr>
    </w:p>
    <w:p w:rsidR="00751FBB" w:rsidRPr="00634762" w:rsidRDefault="00751FBB" w:rsidP="00751FBB">
      <w:pPr>
        <w:pStyle w:val="NormalWeb"/>
        <w:spacing w:before="0" w:beforeAutospacing="0" w:after="0" w:afterAutospacing="0" w:line="360" w:lineRule="atLeast"/>
        <w:jc w:val="both"/>
        <w:rPr>
          <w:color w:val="000000"/>
          <w:szCs w:val="27"/>
        </w:rPr>
      </w:pPr>
      <w:r w:rsidRPr="00634762">
        <w:rPr>
          <w:color w:val="000000"/>
          <w:szCs w:val="27"/>
        </w:rPr>
        <w:t>Tamplin, T. (2023). </w:t>
      </w:r>
      <w:r w:rsidRPr="00634762">
        <w:rPr>
          <w:i/>
          <w:iCs/>
          <w:color w:val="000000"/>
          <w:szCs w:val="27"/>
        </w:rPr>
        <w:t>Derivatives</w:t>
      </w:r>
      <w:r w:rsidRPr="00634762">
        <w:rPr>
          <w:color w:val="000000"/>
          <w:szCs w:val="27"/>
        </w:rPr>
        <w:t>. [Online] Available at: https://www.financestrategists.com/wealth-management/alternative-investment/derivatives/ [Accessed 29 Nov. 2023].</w:t>
      </w:r>
    </w:p>
    <w:p w:rsidR="00751FBB" w:rsidRPr="00634762" w:rsidRDefault="00751FBB" w:rsidP="00751FBB">
      <w:pPr>
        <w:pStyle w:val="NormalWeb"/>
        <w:spacing w:before="0" w:beforeAutospacing="0" w:after="0" w:afterAutospacing="0" w:line="360" w:lineRule="atLeast"/>
        <w:jc w:val="both"/>
        <w:rPr>
          <w:color w:val="000000"/>
          <w:szCs w:val="27"/>
        </w:rPr>
      </w:pPr>
    </w:p>
    <w:p w:rsidR="00751FBB" w:rsidRPr="00634762" w:rsidRDefault="00751FBB" w:rsidP="00751FBB">
      <w:pPr>
        <w:pStyle w:val="NormalWeb"/>
        <w:spacing w:before="0" w:beforeAutospacing="0" w:after="0" w:afterAutospacing="0" w:line="360" w:lineRule="atLeast"/>
        <w:jc w:val="both"/>
        <w:rPr>
          <w:color w:val="000000"/>
          <w:szCs w:val="27"/>
        </w:rPr>
      </w:pPr>
      <w:r w:rsidRPr="00634762">
        <w:rPr>
          <w:color w:val="000000"/>
          <w:szCs w:val="27"/>
        </w:rPr>
        <w:t>Shatyoki, B. (2022). </w:t>
      </w:r>
      <w:r w:rsidRPr="00634762">
        <w:rPr>
          <w:i/>
          <w:iCs/>
          <w:color w:val="000000"/>
          <w:szCs w:val="27"/>
        </w:rPr>
        <w:t>Top 10 Advantages and Disadvantages of GST</w:t>
      </w:r>
      <w:r w:rsidRPr="00634762">
        <w:rPr>
          <w:color w:val="000000"/>
          <w:szCs w:val="27"/>
        </w:rPr>
        <w:t>. Available at: https://signalx.ai/blog/top-10-advantages-and-disadvantages-of-gst/ [Accessed 20 Nov. 2023].</w:t>
      </w:r>
    </w:p>
    <w:p w:rsidR="00751FBB" w:rsidRPr="00634762" w:rsidRDefault="00751FBB" w:rsidP="00751FBB">
      <w:pPr>
        <w:pStyle w:val="NormalWeb"/>
        <w:jc w:val="both"/>
        <w:rPr>
          <w:color w:val="000000"/>
          <w:szCs w:val="27"/>
        </w:rPr>
      </w:pPr>
    </w:p>
    <w:p w:rsidR="00751FBB" w:rsidRPr="00634762" w:rsidRDefault="00751FBB" w:rsidP="00751FBB">
      <w:pPr>
        <w:pStyle w:val="NormalWeb"/>
        <w:spacing w:before="0" w:beforeAutospacing="0" w:after="0" w:afterAutospacing="0" w:line="360" w:lineRule="atLeast"/>
        <w:jc w:val="both"/>
        <w:rPr>
          <w:color w:val="000000"/>
          <w:szCs w:val="27"/>
        </w:rPr>
      </w:pPr>
      <w:r w:rsidRPr="00634762">
        <w:rPr>
          <w:color w:val="000000"/>
          <w:szCs w:val="27"/>
        </w:rPr>
        <w:t>J.P. Morgan. (2020). </w:t>
      </w:r>
      <w:r w:rsidRPr="00634762">
        <w:rPr>
          <w:i/>
          <w:iCs/>
          <w:color w:val="000000"/>
          <w:szCs w:val="27"/>
        </w:rPr>
        <w:t>10 years after the financial crisis</w:t>
      </w:r>
      <w:r w:rsidRPr="00634762">
        <w:rPr>
          <w:color w:val="000000"/>
          <w:szCs w:val="27"/>
        </w:rPr>
        <w:t>. [Online] Available at: https://www.jpmorgan.com/insights/global-research/markets/10-years-after-financial-crisis [Accessed 21 Nov. 2023].</w:t>
      </w:r>
    </w:p>
    <w:p w:rsidR="00751FBB" w:rsidRPr="00634762" w:rsidRDefault="00751FBB" w:rsidP="00751FBB">
      <w:pPr>
        <w:pStyle w:val="NormalWeb"/>
        <w:jc w:val="both"/>
        <w:rPr>
          <w:color w:val="000000"/>
          <w:szCs w:val="27"/>
        </w:rPr>
      </w:pPr>
      <w:r w:rsidRPr="00634762">
        <w:rPr>
          <w:color w:val="000000"/>
          <w:szCs w:val="27"/>
        </w:rPr>
        <w:t>‌</w:t>
      </w:r>
    </w:p>
    <w:p w:rsidR="005C6DF7" w:rsidRPr="005C6DF7" w:rsidRDefault="005C6DF7" w:rsidP="005C6DF7">
      <w:pPr>
        <w:spacing w:line="360" w:lineRule="auto"/>
        <w:jc w:val="both"/>
        <w:rPr>
          <w:rFonts w:ascii="Times New Roman" w:hAnsi="Times New Roman" w:cs="Times New Roman"/>
          <w:b/>
          <w:color w:val="374151"/>
          <w:sz w:val="32"/>
        </w:rPr>
      </w:pPr>
    </w:p>
    <w:sectPr w:rsidR="005C6DF7" w:rsidRPr="005C6DF7" w:rsidSect="00867A31">
      <w:headerReference w:type="default" r:id="rId19"/>
      <w:footerReference w:type="defaul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10CE" w:rsidRDefault="000010CE" w:rsidP="004B0E3A">
      <w:pPr>
        <w:spacing w:after="0" w:line="240" w:lineRule="auto"/>
      </w:pPr>
      <w:r>
        <w:separator/>
      </w:r>
    </w:p>
  </w:endnote>
  <w:endnote w:type="continuationSeparator" w:id="0">
    <w:p w:rsidR="000010CE" w:rsidRDefault="000010CE" w:rsidP="004B0E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2BBF" w:rsidRPr="00112BBF" w:rsidRDefault="00112BBF" w:rsidP="00112BBF">
    <w:pPr>
      <w:pStyle w:val="Footer"/>
      <w:jc w:val="right"/>
      <w:rPr>
        <w:sz w:val="1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10CE" w:rsidRDefault="000010CE" w:rsidP="004B0E3A">
      <w:pPr>
        <w:spacing w:after="0" w:line="240" w:lineRule="auto"/>
      </w:pPr>
      <w:r>
        <w:separator/>
      </w:r>
    </w:p>
  </w:footnote>
  <w:footnote w:type="continuationSeparator" w:id="0">
    <w:p w:rsidR="000010CE" w:rsidRDefault="000010CE" w:rsidP="004B0E3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0E3A" w:rsidRPr="004B0E3A" w:rsidRDefault="004B0E3A">
    <w:pPr>
      <w:pStyle w:val="Header"/>
      <w:jc w:val="right"/>
      <w:rPr>
        <w:b/>
        <w:sz w:val="24"/>
        <w:szCs w:val="24"/>
      </w:rPr>
    </w:pPr>
    <w:r w:rsidRPr="004B0E3A">
      <w:rPr>
        <w:b/>
        <w:sz w:val="24"/>
        <w:szCs w:val="24"/>
      </w:rPr>
      <w:t xml:space="preserve">Page </w:t>
    </w:r>
    <w:r w:rsidRPr="004B0E3A">
      <w:rPr>
        <w:b/>
        <w:sz w:val="24"/>
        <w:szCs w:val="24"/>
      </w:rPr>
      <w:fldChar w:fldCharType="begin"/>
    </w:r>
    <w:r w:rsidRPr="004B0E3A">
      <w:rPr>
        <w:b/>
        <w:sz w:val="24"/>
        <w:szCs w:val="24"/>
      </w:rPr>
      <w:instrText xml:space="preserve"> PAGE   \* MERGEFORMAT </w:instrText>
    </w:r>
    <w:r w:rsidRPr="004B0E3A">
      <w:rPr>
        <w:b/>
        <w:sz w:val="24"/>
        <w:szCs w:val="24"/>
      </w:rPr>
      <w:fldChar w:fldCharType="separate"/>
    </w:r>
    <w:r w:rsidR="006A4052">
      <w:rPr>
        <w:b/>
        <w:noProof/>
        <w:sz w:val="24"/>
        <w:szCs w:val="24"/>
      </w:rPr>
      <w:t>1</w:t>
    </w:r>
    <w:r w:rsidRPr="004B0E3A">
      <w:rPr>
        <w:b/>
        <w:sz w:val="24"/>
        <w:szCs w:val="24"/>
      </w:rPr>
      <w:fldChar w:fldCharType="end"/>
    </w:r>
  </w:p>
  <w:p w:rsidR="004B0E3A" w:rsidRDefault="004B0E3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381374"/>
    <w:multiLevelType w:val="multilevel"/>
    <w:tmpl w:val="3FB43746"/>
    <w:lvl w:ilvl="0">
      <w:start w:val="1"/>
      <w:numFmt w:val="decimal"/>
      <w:lvlText w:val="%1."/>
      <w:lvlJc w:val="left"/>
      <w:pPr>
        <w:ind w:left="786" w:hanging="360"/>
      </w:pPr>
      <w:rPr>
        <w:rFonts w:hint="default"/>
      </w:rPr>
    </w:lvl>
    <w:lvl w:ilvl="1">
      <w:start w:val="1"/>
      <w:numFmt w:val="decimal"/>
      <w:isLgl/>
      <w:lvlText w:val="%1.%2"/>
      <w:lvlJc w:val="left"/>
      <w:pPr>
        <w:ind w:left="846" w:hanging="42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866" w:hanging="144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2226" w:hanging="1800"/>
      </w:pPr>
      <w:rPr>
        <w:rFonts w:hint="default"/>
      </w:rPr>
    </w:lvl>
    <w:lvl w:ilvl="8">
      <w:start w:val="1"/>
      <w:numFmt w:val="decimal"/>
      <w:isLgl/>
      <w:lvlText w:val="%1.%2.%3.%4.%5.%6.%7.%8.%9"/>
      <w:lvlJc w:val="left"/>
      <w:pPr>
        <w:ind w:left="2586" w:hanging="2160"/>
      </w:pPr>
      <w:rPr>
        <w:rFonts w:hint="default"/>
      </w:rPr>
    </w:lvl>
  </w:abstractNum>
  <w:abstractNum w:abstractNumId="1">
    <w:nsid w:val="11A1014F"/>
    <w:multiLevelType w:val="multilevel"/>
    <w:tmpl w:val="E50EFA4C"/>
    <w:lvl w:ilvl="0">
      <w:start w:val="1"/>
      <w:numFmt w:val="decimal"/>
      <w:lvlText w:val="%1"/>
      <w:lvlJc w:val="left"/>
      <w:pPr>
        <w:ind w:left="360" w:hanging="360"/>
      </w:pPr>
      <w:rPr>
        <w:rFonts w:hint="default"/>
      </w:rPr>
    </w:lvl>
    <w:lvl w:ilvl="1">
      <w:start w:val="3"/>
      <w:numFmt w:val="decimal"/>
      <w:lvlText w:val="%1.%2"/>
      <w:lvlJc w:val="left"/>
      <w:pPr>
        <w:ind w:left="1206" w:hanging="360"/>
      </w:pPr>
      <w:rPr>
        <w:rFonts w:hint="default"/>
      </w:rPr>
    </w:lvl>
    <w:lvl w:ilvl="2">
      <w:start w:val="1"/>
      <w:numFmt w:val="decimal"/>
      <w:lvlText w:val="%1.%2.%3"/>
      <w:lvlJc w:val="left"/>
      <w:pPr>
        <w:ind w:left="2412" w:hanging="720"/>
      </w:pPr>
      <w:rPr>
        <w:rFonts w:hint="default"/>
      </w:rPr>
    </w:lvl>
    <w:lvl w:ilvl="3">
      <w:start w:val="1"/>
      <w:numFmt w:val="decimal"/>
      <w:lvlText w:val="%1.%2.%3.%4"/>
      <w:lvlJc w:val="left"/>
      <w:pPr>
        <w:ind w:left="3618" w:hanging="1080"/>
      </w:pPr>
      <w:rPr>
        <w:rFonts w:hint="default"/>
      </w:rPr>
    </w:lvl>
    <w:lvl w:ilvl="4">
      <w:start w:val="1"/>
      <w:numFmt w:val="decimal"/>
      <w:lvlText w:val="%1.%2.%3.%4.%5"/>
      <w:lvlJc w:val="left"/>
      <w:pPr>
        <w:ind w:left="4464" w:hanging="1080"/>
      </w:pPr>
      <w:rPr>
        <w:rFonts w:hint="default"/>
      </w:rPr>
    </w:lvl>
    <w:lvl w:ilvl="5">
      <w:start w:val="1"/>
      <w:numFmt w:val="decimal"/>
      <w:lvlText w:val="%1.%2.%3.%4.%5.%6"/>
      <w:lvlJc w:val="left"/>
      <w:pPr>
        <w:ind w:left="5670" w:hanging="1440"/>
      </w:pPr>
      <w:rPr>
        <w:rFonts w:hint="default"/>
      </w:rPr>
    </w:lvl>
    <w:lvl w:ilvl="6">
      <w:start w:val="1"/>
      <w:numFmt w:val="decimal"/>
      <w:lvlText w:val="%1.%2.%3.%4.%5.%6.%7"/>
      <w:lvlJc w:val="left"/>
      <w:pPr>
        <w:ind w:left="6516" w:hanging="1440"/>
      </w:pPr>
      <w:rPr>
        <w:rFonts w:hint="default"/>
      </w:rPr>
    </w:lvl>
    <w:lvl w:ilvl="7">
      <w:start w:val="1"/>
      <w:numFmt w:val="decimal"/>
      <w:lvlText w:val="%1.%2.%3.%4.%5.%6.%7.%8"/>
      <w:lvlJc w:val="left"/>
      <w:pPr>
        <w:ind w:left="7722" w:hanging="1800"/>
      </w:pPr>
      <w:rPr>
        <w:rFonts w:hint="default"/>
      </w:rPr>
    </w:lvl>
    <w:lvl w:ilvl="8">
      <w:start w:val="1"/>
      <w:numFmt w:val="decimal"/>
      <w:lvlText w:val="%1.%2.%3.%4.%5.%6.%7.%8.%9"/>
      <w:lvlJc w:val="left"/>
      <w:pPr>
        <w:ind w:left="8928" w:hanging="2160"/>
      </w:pPr>
      <w:rPr>
        <w:rFonts w:hint="default"/>
      </w:rPr>
    </w:lvl>
  </w:abstractNum>
  <w:abstractNum w:abstractNumId="2">
    <w:nsid w:val="215567F8"/>
    <w:multiLevelType w:val="multilevel"/>
    <w:tmpl w:val="C2A24588"/>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2A1C2A19"/>
    <w:multiLevelType w:val="hybridMultilevel"/>
    <w:tmpl w:val="54326896"/>
    <w:lvl w:ilvl="0" w:tplc="AC721C62">
      <w:start w:val="1"/>
      <w:numFmt w:val="decimal"/>
      <w:lvlText w:val="%1."/>
      <w:lvlJc w:val="left"/>
      <w:pPr>
        <w:ind w:left="786" w:hanging="360"/>
      </w:pPr>
      <w:rPr>
        <w:rFonts w:hint="default"/>
      </w:rPr>
    </w:lvl>
    <w:lvl w:ilvl="1" w:tplc="08090019">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4">
    <w:nsid w:val="31BB035F"/>
    <w:multiLevelType w:val="hybridMultilevel"/>
    <w:tmpl w:val="035C40FA"/>
    <w:lvl w:ilvl="0" w:tplc="AC721C62">
      <w:start w:val="1"/>
      <w:numFmt w:val="decimal"/>
      <w:lvlText w:val="%1."/>
      <w:lvlJc w:val="left"/>
      <w:pPr>
        <w:ind w:left="786" w:hanging="360"/>
      </w:pPr>
      <w:rPr>
        <w:rFonts w:hint="default"/>
      </w:rPr>
    </w:lvl>
    <w:lvl w:ilvl="1" w:tplc="0809000B">
      <w:start w:val="1"/>
      <w:numFmt w:val="bullet"/>
      <w:lvlText w:val=""/>
      <w:lvlJc w:val="left"/>
      <w:pPr>
        <w:ind w:left="1506" w:hanging="360"/>
      </w:pPr>
      <w:rPr>
        <w:rFonts w:ascii="Wingdings" w:hAnsi="Wingdings" w:hint="default"/>
      </w:r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5">
    <w:nsid w:val="427957EB"/>
    <w:multiLevelType w:val="hybridMultilevel"/>
    <w:tmpl w:val="29F88DDE"/>
    <w:lvl w:ilvl="0" w:tplc="0809000B">
      <w:start w:val="1"/>
      <w:numFmt w:val="bullet"/>
      <w:lvlText w:val=""/>
      <w:lvlJc w:val="left"/>
      <w:pPr>
        <w:ind w:left="940" w:hanging="360"/>
      </w:pPr>
      <w:rPr>
        <w:rFonts w:ascii="Wingdings" w:hAnsi="Wingdings" w:hint="default"/>
      </w:rPr>
    </w:lvl>
    <w:lvl w:ilvl="1" w:tplc="08090003" w:tentative="1">
      <w:start w:val="1"/>
      <w:numFmt w:val="bullet"/>
      <w:lvlText w:val="o"/>
      <w:lvlJc w:val="left"/>
      <w:pPr>
        <w:ind w:left="1660" w:hanging="360"/>
      </w:pPr>
      <w:rPr>
        <w:rFonts w:ascii="Courier New" w:hAnsi="Courier New" w:cs="Courier New" w:hint="default"/>
      </w:rPr>
    </w:lvl>
    <w:lvl w:ilvl="2" w:tplc="08090005" w:tentative="1">
      <w:start w:val="1"/>
      <w:numFmt w:val="bullet"/>
      <w:lvlText w:val=""/>
      <w:lvlJc w:val="left"/>
      <w:pPr>
        <w:ind w:left="2380" w:hanging="360"/>
      </w:pPr>
      <w:rPr>
        <w:rFonts w:ascii="Wingdings" w:hAnsi="Wingdings" w:hint="default"/>
      </w:rPr>
    </w:lvl>
    <w:lvl w:ilvl="3" w:tplc="08090001" w:tentative="1">
      <w:start w:val="1"/>
      <w:numFmt w:val="bullet"/>
      <w:lvlText w:val=""/>
      <w:lvlJc w:val="left"/>
      <w:pPr>
        <w:ind w:left="3100" w:hanging="360"/>
      </w:pPr>
      <w:rPr>
        <w:rFonts w:ascii="Symbol" w:hAnsi="Symbol" w:hint="default"/>
      </w:rPr>
    </w:lvl>
    <w:lvl w:ilvl="4" w:tplc="08090003" w:tentative="1">
      <w:start w:val="1"/>
      <w:numFmt w:val="bullet"/>
      <w:lvlText w:val="o"/>
      <w:lvlJc w:val="left"/>
      <w:pPr>
        <w:ind w:left="3820" w:hanging="360"/>
      </w:pPr>
      <w:rPr>
        <w:rFonts w:ascii="Courier New" w:hAnsi="Courier New" w:cs="Courier New" w:hint="default"/>
      </w:rPr>
    </w:lvl>
    <w:lvl w:ilvl="5" w:tplc="08090005" w:tentative="1">
      <w:start w:val="1"/>
      <w:numFmt w:val="bullet"/>
      <w:lvlText w:val=""/>
      <w:lvlJc w:val="left"/>
      <w:pPr>
        <w:ind w:left="4540" w:hanging="360"/>
      </w:pPr>
      <w:rPr>
        <w:rFonts w:ascii="Wingdings" w:hAnsi="Wingdings" w:hint="default"/>
      </w:rPr>
    </w:lvl>
    <w:lvl w:ilvl="6" w:tplc="08090001" w:tentative="1">
      <w:start w:val="1"/>
      <w:numFmt w:val="bullet"/>
      <w:lvlText w:val=""/>
      <w:lvlJc w:val="left"/>
      <w:pPr>
        <w:ind w:left="5260" w:hanging="360"/>
      </w:pPr>
      <w:rPr>
        <w:rFonts w:ascii="Symbol" w:hAnsi="Symbol" w:hint="default"/>
      </w:rPr>
    </w:lvl>
    <w:lvl w:ilvl="7" w:tplc="08090003" w:tentative="1">
      <w:start w:val="1"/>
      <w:numFmt w:val="bullet"/>
      <w:lvlText w:val="o"/>
      <w:lvlJc w:val="left"/>
      <w:pPr>
        <w:ind w:left="5980" w:hanging="360"/>
      </w:pPr>
      <w:rPr>
        <w:rFonts w:ascii="Courier New" w:hAnsi="Courier New" w:cs="Courier New" w:hint="default"/>
      </w:rPr>
    </w:lvl>
    <w:lvl w:ilvl="8" w:tplc="08090005" w:tentative="1">
      <w:start w:val="1"/>
      <w:numFmt w:val="bullet"/>
      <w:lvlText w:val=""/>
      <w:lvlJc w:val="left"/>
      <w:pPr>
        <w:ind w:left="6700" w:hanging="360"/>
      </w:pPr>
      <w:rPr>
        <w:rFonts w:ascii="Wingdings" w:hAnsi="Wingdings" w:hint="default"/>
      </w:rPr>
    </w:lvl>
  </w:abstractNum>
  <w:abstractNum w:abstractNumId="6">
    <w:nsid w:val="50AE6501"/>
    <w:multiLevelType w:val="multilevel"/>
    <w:tmpl w:val="679EAE5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7">
    <w:nsid w:val="5132380A"/>
    <w:multiLevelType w:val="hybridMultilevel"/>
    <w:tmpl w:val="532E9160"/>
    <w:lvl w:ilvl="0" w:tplc="08090015">
      <w:start w:val="1"/>
      <w:numFmt w:val="upperLetter"/>
      <w:lvlText w:val="%1."/>
      <w:lvlJc w:val="left"/>
      <w:pPr>
        <w:ind w:left="578" w:hanging="360"/>
      </w:pPr>
    </w:lvl>
    <w:lvl w:ilvl="1" w:tplc="08090019" w:tentative="1">
      <w:start w:val="1"/>
      <w:numFmt w:val="lowerLetter"/>
      <w:lvlText w:val="%2."/>
      <w:lvlJc w:val="left"/>
      <w:pPr>
        <w:ind w:left="1298" w:hanging="360"/>
      </w:pPr>
    </w:lvl>
    <w:lvl w:ilvl="2" w:tplc="0809001B" w:tentative="1">
      <w:start w:val="1"/>
      <w:numFmt w:val="lowerRoman"/>
      <w:lvlText w:val="%3."/>
      <w:lvlJc w:val="right"/>
      <w:pPr>
        <w:ind w:left="2018" w:hanging="180"/>
      </w:pPr>
    </w:lvl>
    <w:lvl w:ilvl="3" w:tplc="0809000F" w:tentative="1">
      <w:start w:val="1"/>
      <w:numFmt w:val="decimal"/>
      <w:lvlText w:val="%4."/>
      <w:lvlJc w:val="left"/>
      <w:pPr>
        <w:ind w:left="2738" w:hanging="360"/>
      </w:pPr>
    </w:lvl>
    <w:lvl w:ilvl="4" w:tplc="08090019" w:tentative="1">
      <w:start w:val="1"/>
      <w:numFmt w:val="lowerLetter"/>
      <w:lvlText w:val="%5."/>
      <w:lvlJc w:val="left"/>
      <w:pPr>
        <w:ind w:left="3458" w:hanging="360"/>
      </w:pPr>
    </w:lvl>
    <w:lvl w:ilvl="5" w:tplc="0809001B" w:tentative="1">
      <w:start w:val="1"/>
      <w:numFmt w:val="lowerRoman"/>
      <w:lvlText w:val="%6."/>
      <w:lvlJc w:val="right"/>
      <w:pPr>
        <w:ind w:left="4178" w:hanging="180"/>
      </w:pPr>
    </w:lvl>
    <w:lvl w:ilvl="6" w:tplc="0809000F" w:tentative="1">
      <w:start w:val="1"/>
      <w:numFmt w:val="decimal"/>
      <w:lvlText w:val="%7."/>
      <w:lvlJc w:val="left"/>
      <w:pPr>
        <w:ind w:left="4898" w:hanging="360"/>
      </w:pPr>
    </w:lvl>
    <w:lvl w:ilvl="7" w:tplc="08090019" w:tentative="1">
      <w:start w:val="1"/>
      <w:numFmt w:val="lowerLetter"/>
      <w:lvlText w:val="%8."/>
      <w:lvlJc w:val="left"/>
      <w:pPr>
        <w:ind w:left="5618" w:hanging="360"/>
      </w:pPr>
    </w:lvl>
    <w:lvl w:ilvl="8" w:tplc="0809001B" w:tentative="1">
      <w:start w:val="1"/>
      <w:numFmt w:val="lowerRoman"/>
      <w:lvlText w:val="%9."/>
      <w:lvlJc w:val="right"/>
      <w:pPr>
        <w:ind w:left="6338" w:hanging="180"/>
      </w:pPr>
    </w:lvl>
  </w:abstractNum>
  <w:abstractNum w:abstractNumId="8">
    <w:nsid w:val="57C566F4"/>
    <w:multiLevelType w:val="hybridMultilevel"/>
    <w:tmpl w:val="9992ED70"/>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5FCD0FEB"/>
    <w:multiLevelType w:val="hybridMultilevel"/>
    <w:tmpl w:val="C988E1D0"/>
    <w:lvl w:ilvl="0" w:tplc="08090015">
      <w:start w:val="1"/>
      <w:numFmt w:val="upperLetter"/>
      <w:lvlText w:val="%1."/>
      <w:lvlJc w:val="left"/>
      <w:pPr>
        <w:ind w:left="578" w:hanging="360"/>
      </w:pPr>
    </w:lvl>
    <w:lvl w:ilvl="1" w:tplc="08090019" w:tentative="1">
      <w:start w:val="1"/>
      <w:numFmt w:val="lowerLetter"/>
      <w:lvlText w:val="%2."/>
      <w:lvlJc w:val="left"/>
      <w:pPr>
        <w:ind w:left="1298" w:hanging="360"/>
      </w:pPr>
    </w:lvl>
    <w:lvl w:ilvl="2" w:tplc="0809001B" w:tentative="1">
      <w:start w:val="1"/>
      <w:numFmt w:val="lowerRoman"/>
      <w:lvlText w:val="%3."/>
      <w:lvlJc w:val="right"/>
      <w:pPr>
        <w:ind w:left="2018" w:hanging="180"/>
      </w:pPr>
    </w:lvl>
    <w:lvl w:ilvl="3" w:tplc="0809000F" w:tentative="1">
      <w:start w:val="1"/>
      <w:numFmt w:val="decimal"/>
      <w:lvlText w:val="%4."/>
      <w:lvlJc w:val="left"/>
      <w:pPr>
        <w:ind w:left="2738" w:hanging="360"/>
      </w:pPr>
    </w:lvl>
    <w:lvl w:ilvl="4" w:tplc="08090019" w:tentative="1">
      <w:start w:val="1"/>
      <w:numFmt w:val="lowerLetter"/>
      <w:lvlText w:val="%5."/>
      <w:lvlJc w:val="left"/>
      <w:pPr>
        <w:ind w:left="3458" w:hanging="360"/>
      </w:pPr>
    </w:lvl>
    <w:lvl w:ilvl="5" w:tplc="0809001B" w:tentative="1">
      <w:start w:val="1"/>
      <w:numFmt w:val="lowerRoman"/>
      <w:lvlText w:val="%6."/>
      <w:lvlJc w:val="right"/>
      <w:pPr>
        <w:ind w:left="4178" w:hanging="180"/>
      </w:pPr>
    </w:lvl>
    <w:lvl w:ilvl="6" w:tplc="0809000F" w:tentative="1">
      <w:start w:val="1"/>
      <w:numFmt w:val="decimal"/>
      <w:lvlText w:val="%7."/>
      <w:lvlJc w:val="left"/>
      <w:pPr>
        <w:ind w:left="4898" w:hanging="360"/>
      </w:pPr>
    </w:lvl>
    <w:lvl w:ilvl="7" w:tplc="08090019" w:tentative="1">
      <w:start w:val="1"/>
      <w:numFmt w:val="lowerLetter"/>
      <w:lvlText w:val="%8."/>
      <w:lvlJc w:val="left"/>
      <w:pPr>
        <w:ind w:left="5618" w:hanging="360"/>
      </w:pPr>
    </w:lvl>
    <w:lvl w:ilvl="8" w:tplc="0809001B" w:tentative="1">
      <w:start w:val="1"/>
      <w:numFmt w:val="lowerRoman"/>
      <w:lvlText w:val="%9."/>
      <w:lvlJc w:val="right"/>
      <w:pPr>
        <w:ind w:left="6338" w:hanging="180"/>
      </w:pPr>
    </w:lvl>
  </w:abstractNum>
  <w:abstractNum w:abstractNumId="10">
    <w:nsid w:val="668D71CF"/>
    <w:multiLevelType w:val="hybridMultilevel"/>
    <w:tmpl w:val="B0C2AB8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67236B5E"/>
    <w:multiLevelType w:val="hybridMultilevel"/>
    <w:tmpl w:val="9992ED70"/>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6A922648"/>
    <w:multiLevelType w:val="hybridMultilevel"/>
    <w:tmpl w:val="19F8A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BAE473E"/>
    <w:multiLevelType w:val="hybridMultilevel"/>
    <w:tmpl w:val="C00AB4D0"/>
    <w:lvl w:ilvl="0" w:tplc="A0FE98E2">
      <w:start w:val="2"/>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nsid w:val="7A8E6ED4"/>
    <w:multiLevelType w:val="hybridMultilevel"/>
    <w:tmpl w:val="636E116A"/>
    <w:lvl w:ilvl="0" w:tplc="08090001">
      <w:start w:val="1"/>
      <w:numFmt w:val="bullet"/>
      <w:lvlText w:val=""/>
      <w:lvlJc w:val="left"/>
      <w:pPr>
        <w:ind w:left="578" w:hanging="360"/>
      </w:pPr>
      <w:rPr>
        <w:rFonts w:ascii="Symbol" w:hAnsi="Symbol" w:hint="default"/>
      </w:rPr>
    </w:lvl>
    <w:lvl w:ilvl="1" w:tplc="08090019" w:tentative="1">
      <w:start w:val="1"/>
      <w:numFmt w:val="lowerLetter"/>
      <w:lvlText w:val="%2."/>
      <w:lvlJc w:val="left"/>
      <w:pPr>
        <w:ind w:left="1298" w:hanging="360"/>
      </w:pPr>
    </w:lvl>
    <w:lvl w:ilvl="2" w:tplc="0809001B" w:tentative="1">
      <w:start w:val="1"/>
      <w:numFmt w:val="lowerRoman"/>
      <w:lvlText w:val="%3."/>
      <w:lvlJc w:val="right"/>
      <w:pPr>
        <w:ind w:left="2018" w:hanging="180"/>
      </w:pPr>
    </w:lvl>
    <w:lvl w:ilvl="3" w:tplc="0809000F" w:tentative="1">
      <w:start w:val="1"/>
      <w:numFmt w:val="decimal"/>
      <w:lvlText w:val="%4."/>
      <w:lvlJc w:val="left"/>
      <w:pPr>
        <w:ind w:left="2738" w:hanging="360"/>
      </w:pPr>
    </w:lvl>
    <w:lvl w:ilvl="4" w:tplc="08090019" w:tentative="1">
      <w:start w:val="1"/>
      <w:numFmt w:val="lowerLetter"/>
      <w:lvlText w:val="%5."/>
      <w:lvlJc w:val="left"/>
      <w:pPr>
        <w:ind w:left="3458" w:hanging="360"/>
      </w:pPr>
    </w:lvl>
    <w:lvl w:ilvl="5" w:tplc="0809001B" w:tentative="1">
      <w:start w:val="1"/>
      <w:numFmt w:val="lowerRoman"/>
      <w:lvlText w:val="%6."/>
      <w:lvlJc w:val="right"/>
      <w:pPr>
        <w:ind w:left="4178" w:hanging="180"/>
      </w:pPr>
    </w:lvl>
    <w:lvl w:ilvl="6" w:tplc="0809000F" w:tentative="1">
      <w:start w:val="1"/>
      <w:numFmt w:val="decimal"/>
      <w:lvlText w:val="%7."/>
      <w:lvlJc w:val="left"/>
      <w:pPr>
        <w:ind w:left="4898" w:hanging="360"/>
      </w:pPr>
    </w:lvl>
    <w:lvl w:ilvl="7" w:tplc="08090019" w:tentative="1">
      <w:start w:val="1"/>
      <w:numFmt w:val="lowerLetter"/>
      <w:lvlText w:val="%8."/>
      <w:lvlJc w:val="left"/>
      <w:pPr>
        <w:ind w:left="5618" w:hanging="360"/>
      </w:pPr>
    </w:lvl>
    <w:lvl w:ilvl="8" w:tplc="0809001B" w:tentative="1">
      <w:start w:val="1"/>
      <w:numFmt w:val="lowerRoman"/>
      <w:lvlText w:val="%9."/>
      <w:lvlJc w:val="right"/>
      <w:pPr>
        <w:ind w:left="6338" w:hanging="180"/>
      </w:pPr>
    </w:lvl>
  </w:abstractNum>
  <w:abstractNum w:abstractNumId="15">
    <w:nsid w:val="7CCA14B1"/>
    <w:multiLevelType w:val="hybridMultilevel"/>
    <w:tmpl w:val="EB329B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2"/>
  </w:num>
  <w:num w:numId="3">
    <w:abstractNumId w:val="0"/>
  </w:num>
  <w:num w:numId="4">
    <w:abstractNumId w:val="7"/>
  </w:num>
  <w:num w:numId="5">
    <w:abstractNumId w:val="9"/>
  </w:num>
  <w:num w:numId="6">
    <w:abstractNumId w:val="14"/>
  </w:num>
  <w:num w:numId="7">
    <w:abstractNumId w:val="11"/>
  </w:num>
  <w:num w:numId="8">
    <w:abstractNumId w:val="8"/>
  </w:num>
  <w:num w:numId="9">
    <w:abstractNumId w:val="13"/>
  </w:num>
  <w:num w:numId="10">
    <w:abstractNumId w:val="10"/>
  </w:num>
  <w:num w:numId="11">
    <w:abstractNumId w:val="3"/>
  </w:num>
  <w:num w:numId="12">
    <w:abstractNumId w:val="1"/>
  </w:num>
  <w:num w:numId="13">
    <w:abstractNumId w:val="5"/>
  </w:num>
  <w:num w:numId="14">
    <w:abstractNumId w:val="4"/>
  </w:num>
  <w:num w:numId="15">
    <w:abstractNumId w:val="15"/>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7A31"/>
    <w:rsid w:val="000010CE"/>
    <w:rsid w:val="000266D2"/>
    <w:rsid w:val="000C2349"/>
    <w:rsid w:val="000D6141"/>
    <w:rsid w:val="00112BBF"/>
    <w:rsid w:val="00196C2A"/>
    <w:rsid w:val="00236754"/>
    <w:rsid w:val="00237526"/>
    <w:rsid w:val="002411D8"/>
    <w:rsid w:val="00263A7C"/>
    <w:rsid w:val="002A0752"/>
    <w:rsid w:val="002F4DE9"/>
    <w:rsid w:val="0031665B"/>
    <w:rsid w:val="00320574"/>
    <w:rsid w:val="0036531F"/>
    <w:rsid w:val="00390BE7"/>
    <w:rsid w:val="003E4BC4"/>
    <w:rsid w:val="00463CC6"/>
    <w:rsid w:val="004B0E3A"/>
    <w:rsid w:val="004D12F4"/>
    <w:rsid w:val="005346E1"/>
    <w:rsid w:val="005500F5"/>
    <w:rsid w:val="005C6DF7"/>
    <w:rsid w:val="006533C7"/>
    <w:rsid w:val="006A4052"/>
    <w:rsid w:val="006A6539"/>
    <w:rsid w:val="006B1CA1"/>
    <w:rsid w:val="00713BF3"/>
    <w:rsid w:val="00751FBB"/>
    <w:rsid w:val="00754E69"/>
    <w:rsid w:val="0077487E"/>
    <w:rsid w:val="00785610"/>
    <w:rsid w:val="007E5839"/>
    <w:rsid w:val="008175D7"/>
    <w:rsid w:val="008640E8"/>
    <w:rsid w:val="00867A31"/>
    <w:rsid w:val="00883D5B"/>
    <w:rsid w:val="008C09EF"/>
    <w:rsid w:val="008D641B"/>
    <w:rsid w:val="008F591B"/>
    <w:rsid w:val="00906C97"/>
    <w:rsid w:val="00955F72"/>
    <w:rsid w:val="00987E22"/>
    <w:rsid w:val="009A5054"/>
    <w:rsid w:val="009B44D9"/>
    <w:rsid w:val="00A23978"/>
    <w:rsid w:val="00A26A70"/>
    <w:rsid w:val="00A37426"/>
    <w:rsid w:val="00A766AF"/>
    <w:rsid w:val="00B106FB"/>
    <w:rsid w:val="00B272BF"/>
    <w:rsid w:val="00B76C83"/>
    <w:rsid w:val="00BE4737"/>
    <w:rsid w:val="00CA1262"/>
    <w:rsid w:val="00CF787B"/>
    <w:rsid w:val="00D325F2"/>
    <w:rsid w:val="00D40839"/>
    <w:rsid w:val="00D71920"/>
    <w:rsid w:val="00D8742B"/>
    <w:rsid w:val="00DF02F6"/>
    <w:rsid w:val="00E2391D"/>
    <w:rsid w:val="00E52366"/>
    <w:rsid w:val="00E674DE"/>
    <w:rsid w:val="00E94C44"/>
    <w:rsid w:val="00EF22EB"/>
    <w:rsid w:val="00F06B39"/>
    <w:rsid w:val="00F1013C"/>
    <w:rsid w:val="00F1189A"/>
    <w:rsid w:val="00FC00FD"/>
    <w:rsid w:val="00FC665D"/>
    <w:rsid w:val="00FD7773"/>
    <w:rsid w:val="00FE7A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45810BB-8E67-4374-B318-DDD4B96B6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E7A7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8640E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unhideWhenUsed/>
    <w:qFormat/>
    <w:rsid w:val="006B1CA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6">
    <w:name w:val="heading 6"/>
    <w:basedOn w:val="Normal"/>
    <w:next w:val="Normal"/>
    <w:link w:val="Heading6Char"/>
    <w:uiPriority w:val="9"/>
    <w:unhideWhenUsed/>
    <w:qFormat/>
    <w:rsid w:val="009A5054"/>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67A3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867A31"/>
    <w:rPr>
      <w:i/>
      <w:iCs/>
    </w:rPr>
  </w:style>
  <w:style w:type="character" w:customStyle="1" w:styleId="Heading2Char">
    <w:name w:val="Heading 2 Char"/>
    <w:basedOn w:val="DefaultParagraphFont"/>
    <w:link w:val="Heading2"/>
    <w:uiPriority w:val="9"/>
    <w:rsid w:val="008640E8"/>
    <w:rPr>
      <w:rFonts w:ascii="Times New Roman" w:eastAsia="Times New Roman" w:hAnsi="Times New Roman" w:cs="Times New Roman"/>
      <w:b/>
      <w:bCs/>
      <w:sz w:val="36"/>
      <w:szCs w:val="36"/>
      <w:lang w:eastAsia="en-GB"/>
    </w:rPr>
  </w:style>
  <w:style w:type="character" w:customStyle="1" w:styleId="field">
    <w:name w:val="field"/>
    <w:basedOn w:val="DefaultParagraphFont"/>
    <w:rsid w:val="008640E8"/>
  </w:style>
  <w:style w:type="character" w:styleId="Strong">
    <w:name w:val="Strong"/>
    <w:basedOn w:val="DefaultParagraphFont"/>
    <w:uiPriority w:val="22"/>
    <w:qFormat/>
    <w:rsid w:val="00320574"/>
    <w:rPr>
      <w:b/>
      <w:bCs/>
    </w:rPr>
  </w:style>
  <w:style w:type="paragraph" w:styleId="ListParagraph">
    <w:name w:val="List Paragraph"/>
    <w:basedOn w:val="Normal"/>
    <w:uiPriority w:val="34"/>
    <w:qFormat/>
    <w:rsid w:val="00320574"/>
    <w:pPr>
      <w:ind w:left="720"/>
      <w:contextualSpacing/>
    </w:pPr>
  </w:style>
  <w:style w:type="character" w:styleId="Hyperlink">
    <w:name w:val="Hyperlink"/>
    <w:basedOn w:val="DefaultParagraphFont"/>
    <w:uiPriority w:val="99"/>
    <w:unhideWhenUsed/>
    <w:rsid w:val="00DF02F6"/>
    <w:rPr>
      <w:color w:val="0563C1" w:themeColor="hyperlink"/>
      <w:u w:val="single"/>
    </w:rPr>
  </w:style>
  <w:style w:type="paragraph" w:styleId="Header">
    <w:name w:val="header"/>
    <w:basedOn w:val="Normal"/>
    <w:link w:val="HeaderChar"/>
    <w:uiPriority w:val="99"/>
    <w:unhideWhenUsed/>
    <w:rsid w:val="004B0E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0E3A"/>
  </w:style>
  <w:style w:type="paragraph" w:styleId="Footer">
    <w:name w:val="footer"/>
    <w:basedOn w:val="Normal"/>
    <w:link w:val="FooterChar"/>
    <w:uiPriority w:val="99"/>
    <w:unhideWhenUsed/>
    <w:rsid w:val="004B0E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0E3A"/>
  </w:style>
  <w:style w:type="character" w:customStyle="1" w:styleId="headerfileinfooverlaystoragelabel1zoke">
    <w:name w:val="headerfileinfooverlay__storagelabel___1zoke"/>
    <w:basedOn w:val="DefaultParagraphFont"/>
    <w:rsid w:val="000266D2"/>
  </w:style>
  <w:style w:type="character" w:customStyle="1" w:styleId="Heading1Char">
    <w:name w:val="Heading 1 Char"/>
    <w:basedOn w:val="DefaultParagraphFont"/>
    <w:link w:val="Heading1"/>
    <w:uiPriority w:val="9"/>
    <w:rsid w:val="00FE7A7B"/>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6B1CA1"/>
    <w:rPr>
      <w:rFonts w:asciiTheme="majorHAnsi" w:eastAsiaTheme="majorEastAsia" w:hAnsiTheme="majorHAnsi" w:cstheme="majorBidi"/>
      <w:color w:val="1F4D78" w:themeColor="accent1" w:themeShade="7F"/>
      <w:sz w:val="24"/>
      <w:szCs w:val="24"/>
    </w:rPr>
  </w:style>
  <w:style w:type="character" w:customStyle="1" w:styleId="Heading6Char">
    <w:name w:val="Heading 6 Char"/>
    <w:basedOn w:val="DefaultParagraphFont"/>
    <w:link w:val="Heading6"/>
    <w:uiPriority w:val="9"/>
    <w:rsid w:val="009A5054"/>
    <w:rPr>
      <w:rFonts w:asciiTheme="majorHAnsi" w:eastAsiaTheme="majorEastAsia" w:hAnsiTheme="majorHAnsi" w:cstheme="majorBidi"/>
      <w:color w:val="1F4D78" w:themeColor="accent1" w:themeShade="7F"/>
    </w:rPr>
  </w:style>
  <w:style w:type="character" w:customStyle="1" w:styleId="title-medium">
    <w:name w:val="title-medium"/>
    <w:basedOn w:val="DefaultParagraphFont"/>
    <w:rsid w:val="00A374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813820">
      <w:bodyDiv w:val="1"/>
      <w:marLeft w:val="0"/>
      <w:marRight w:val="0"/>
      <w:marTop w:val="0"/>
      <w:marBottom w:val="0"/>
      <w:divBdr>
        <w:top w:val="none" w:sz="0" w:space="0" w:color="auto"/>
        <w:left w:val="none" w:sz="0" w:space="0" w:color="auto"/>
        <w:bottom w:val="none" w:sz="0" w:space="0" w:color="auto"/>
        <w:right w:val="none" w:sz="0" w:space="0" w:color="auto"/>
      </w:divBdr>
      <w:divsChild>
        <w:div w:id="807938096">
          <w:marLeft w:val="0"/>
          <w:marRight w:val="0"/>
          <w:marTop w:val="0"/>
          <w:marBottom w:val="0"/>
          <w:divBdr>
            <w:top w:val="none" w:sz="0" w:space="0" w:color="auto"/>
            <w:left w:val="none" w:sz="0" w:space="0" w:color="auto"/>
            <w:bottom w:val="none" w:sz="0" w:space="0" w:color="auto"/>
            <w:right w:val="none" w:sz="0" w:space="0" w:color="auto"/>
          </w:divBdr>
          <w:divsChild>
            <w:div w:id="924073716">
              <w:marLeft w:val="0"/>
              <w:marRight w:val="0"/>
              <w:marTop w:val="0"/>
              <w:marBottom w:val="0"/>
              <w:divBdr>
                <w:top w:val="none" w:sz="0" w:space="0" w:color="auto"/>
                <w:left w:val="none" w:sz="0" w:space="0" w:color="auto"/>
                <w:bottom w:val="none" w:sz="0" w:space="0" w:color="auto"/>
                <w:right w:val="none" w:sz="0" w:space="0" w:color="auto"/>
              </w:divBdr>
              <w:divsChild>
                <w:div w:id="520170157">
                  <w:marLeft w:val="0"/>
                  <w:marRight w:val="0"/>
                  <w:marTop w:val="0"/>
                  <w:marBottom w:val="0"/>
                  <w:divBdr>
                    <w:top w:val="none" w:sz="0" w:space="0" w:color="auto"/>
                    <w:left w:val="none" w:sz="0" w:space="0" w:color="auto"/>
                    <w:bottom w:val="none" w:sz="0" w:space="0" w:color="auto"/>
                    <w:right w:val="none" w:sz="0" w:space="0" w:color="auto"/>
                  </w:divBdr>
                  <w:divsChild>
                    <w:div w:id="1274361560">
                      <w:marLeft w:val="0"/>
                      <w:marRight w:val="0"/>
                      <w:marTop w:val="0"/>
                      <w:marBottom w:val="960"/>
                      <w:divBdr>
                        <w:top w:val="none" w:sz="0" w:space="0" w:color="auto"/>
                        <w:left w:val="none" w:sz="0" w:space="0" w:color="auto"/>
                        <w:bottom w:val="none" w:sz="0" w:space="0" w:color="auto"/>
                        <w:right w:val="none" w:sz="0" w:space="0" w:color="auto"/>
                      </w:divBdr>
                    </w:div>
                  </w:divsChild>
                </w:div>
              </w:divsChild>
            </w:div>
          </w:divsChild>
        </w:div>
      </w:divsChild>
    </w:div>
    <w:div w:id="492994157">
      <w:bodyDiv w:val="1"/>
      <w:marLeft w:val="0"/>
      <w:marRight w:val="0"/>
      <w:marTop w:val="0"/>
      <w:marBottom w:val="0"/>
      <w:divBdr>
        <w:top w:val="none" w:sz="0" w:space="0" w:color="auto"/>
        <w:left w:val="none" w:sz="0" w:space="0" w:color="auto"/>
        <w:bottom w:val="none" w:sz="0" w:space="0" w:color="auto"/>
        <w:right w:val="none" w:sz="0" w:space="0" w:color="auto"/>
      </w:divBdr>
    </w:div>
    <w:div w:id="539319889">
      <w:bodyDiv w:val="1"/>
      <w:marLeft w:val="0"/>
      <w:marRight w:val="0"/>
      <w:marTop w:val="0"/>
      <w:marBottom w:val="0"/>
      <w:divBdr>
        <w:top w:val="none" w:sz="0" w:space="0" w:color="auto"/>
        <w:left w:val="none" w:sz="0" w:space="0" w:color="auto"/>
        <w:bottom w:val="none" w:sz="0" w:space="0" w:color="auto"/>
        <w:right w:val="none" w:sz="0" w:space="0" w:color="auto"/>
      </w:divBdr>
      <w:divsChild>
        <w:div w:id="390887390">
          <w:marLeft w:val="0"/>
          <w:marRight w:val="0"/>
          <w:marTop w:val="0"/>
          <w:marBottom w:val="0"/>
          <w:divBdr>
            <w:top w:val="none" w:sz="0" w:space="0" w:color="auto"/>
            <w:left w:val="none" w:sz="0" w:space="0" w:color="auto"/>
            <w:bottom w:val="none" w:sz="0" w:space="0" w:color="auto"/>
            <w:right w:val="none" w:sz="0" w:space="0" w:color="auto"/>
          </w:divBdr>
          <w:divsChild>
            <w:div w:id="1469979407">
              <w:marLeft w:val="240"/>
              <w:marRight w:val="240"/>
              <w:marTop w:val="240"/>
              <w:marBottom w:val="240"/>
              <w:divBdr>
                <w:top w:val="none" w:sz="0" w:space="0" w:color="auto"/>
                <w:left w:val="none" w:sz="0" w:space="0" w:color="auto"/>
                <w:bottom w:val="none" w:sz="0" w:space="0" w:color="auto"/>
                <w:right w:val="none" w:sz="0" w:space="0" w:color="auto"/>
              </w:divBdr>
              <w:divsChild>
                <w:div w:id="2047942193">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 w:id="641928432">
      <w:bodyDiv w:val="1"/>
      <w:marLeft w:val="0"/>
      <w:marRight w:val="0"/>
      <w:marTop w:val="0"/>
      <w:marBottom w:val="0"/>
      <w:divBdr>
        <w:top w:val="none" w:sz="0" w:space="0" w:color="auto"/>
        <w:left w:val="none" w:sz="0" w:space="0" w:color="auto"/>
        <w:bottom w:val="none" w:sz="0" w:space="0" w:color="auto"/>
        <w:right w:val="none" w:sz="0" w:space="0" w:color="auto"/>
      </w:divBdr>
    </w:div>
    <w:div w:id="701785140">
      <w:bodyDiv w:val="1"/>
      <w:marLeft w:val="0"/>
      <w:marRight w:val="0"/>
      <w:marTop w:val="0"/>
      <w:marBottom w:val="0"/>
      <w:divBdr>
        <w:top w:val="none" w:sz="0" w:space="0" w:color="auto"/>
        <w:left w:val="none" w:sz="0" w:space="0" w:color="auto"/>
        <w:bottom w:val="none" w:sz="0" w:space="0" w:color="auto"/>
        <w:right w:val="none" w:sz="0" w:space="0" w:color="auto"/>
      </w:divBdr>
    </w:div>
    <w:div w:id="705177466">
      <w:bodyDiv w:val="1"/>
      <w:marLeft w:val="0"/>
      <w:marRight w:val="0"/>
      <w:marTop w:val="0"/>
      <w:marBottom w:val="0"/>
      <w:divBdr>
        <w:top w:val="none" w:sz="0" w:space="0" w:color="auto"/>
        <w:left w:val="none" w:sz="0" w:space="0" w:color="auto"/>
        <w:bottom w:val="none" w:sz="0" w:space="0" w:color="auto"/>
        <w:right w:val="none" w:sz="0" w:space="0" w:color="auto"/>
      </w:divBdr>
      <w:divsChild>
        <w:div w:id="1412240922">
          <w:marLeft w:val="0"/>
          <w:marRight w:val="0"/>
          <w:marTop w:val="0"/>
          <w:marBottom w:val="0"/>
          <w:divBdr>
            <w:top w:val="single" w:sz="2" w:space="0" w:color="D9D9E3"/>
            <w:left w:val="single" w:sz="2" w:space="0" w:color="D9D9E3"/>
            <w:bottom w:val="single" w:sz="2" w:space="0" w:color="D9D9E3"/>
            <w:right w:val="single" w:sz="2" w:space="0" w:color="D9D9E3"/>
          </w:divBdr>
          <w:divsChild>
            <w:div w:id="1520463909">
              <w:marLeft w:val="0"/>
              <w:marRight w:val="0"/>
              <w:marTop w:val="100"/>
              <w:marBottom w:val="100"/>
              <w:divBdr>
                <w:top w:val="single" w:sz="2" w:space="0" w:color="D9D9E3"/>
                <w:left w:val="single" w:sz="2" w:space="0" w:color="D9D9E3"/>
                <w:bottom w:val="single" w:sz="2" w:space="0" w:color="D9D9E3"/>
                <w:right w:val="single" w:sz="2" w:space="0" w:color="D9D9E3"/>
              </w:divBdr>
              <w:divsChild>
                <w:div w:id="68239093">
                  <w:marLeft w:val="0"/>
                  <w:marRight w:val="0"/>
                  <w:marTop w:val="0"/>
                  <w:marBottom w:val="0"/>
                  <w:divBdr>
                    <w:top w:val="single" w:sz="2" w:space="0" w:color="D9D9E3"/>
                    <w:left w:val="single" w:sz="2" w:space="0" w:color="D9D9E3"/>
                    <w:bottom w:val="single" w:sz="2" w:space="0" w:color="D9D9E3"/>
                    <w:right w:val="single" w:sz="2" w:space="0" w:color="D9D9E3"/>
                  </w:divBdr>
                  <w:divsChild>
                    <w:div w:id="2083486145">
                      <w:marLeft w:val="0"/>
                      <w:marRight w:val="0"/>
                      <w:marTop w:val="0"/>
                      <w:marBottom w:val="0"/>
                      <w:divBdr>
                        <w:top w:val="single" w:sz="2" w:space="0" w:color="D9D9E3"/>
                        <w:left w:val="single" w:sz="2" w:space="0" w:color="D9D9E3"/>
                        <w:bottom w:val="single" w:sz="2" w:space="0" w:color="D9D9E3"/>
                        <w:right w:val="single" w:sz="2" w:space="0" w:color="D9D9E3"/>
                      </w:divBdr>
                      <w:divsChild>
                        <w:div w:id="675961035">
                          <w:marLeft w:val="0"/>
                          <w:marRight w:val="0"/>
                          <w:marTop w:val="0"/>
                          <w:marBottom w:val="0"/>
                          <w:divBdr>
                            <w:top w:val="single" w:sz="2" w:space="0" w:color="D9D9E3"/>
                            <w:left w:val="single" w:sz="2" w:space="0" w:color="D9D9E3"/>
                            <w:bottom w:val="single" w:sz="2" w:space="0" w:color="D9D9E3"/>
                            <w:right w:val="single" w:sz="2" w:space="0" w:color="D9D9E3"/>
                          </w:divBdr>
                          <w:divsChild>
                            <w:div w:id="324481529">
                              <w:marLeft w:val="0"/>
                              <w:marRight w:val="0"/>
                              <w:marTop w:val="0"/>
                              <w:marBottom w:val="0"/>
                              <w:divBdr>
                                <w:top w:val="single" w:sz="2" w:space="0" w:color="D9D9E3"/>
                                <w:left w:val="single" w:sz="2" w:space="0" w:color="D9D9E3"/>
                                <w:bottom w:val="single" w:sz="2" w:space="0" w:color="D9D9E3"/>
                                <w:right w:val="single" w:sz="2" w:space="0" w:color="D9D9E3"/>
                              </w:divBdr>
                              <w:divsChild>
                                <w:div w:id="328945049">
                                  <w:marLeft w:val="0"/>
                                  <w:marRight w:val="0"/>
                                  <w:marTop w:val="0"/>
                                  <w:marBottom w:val="0"/>
                                  <w:divBdr>
                                    <w:top w:val="single" w:sz="2" w:space="0" w:color="D9D9E3"/>
                                    <w:left w:val="single" w:sz="2" w:space="0" w:color="D9D9E3"/>
                                    <w:bottom w:val="single" w:sz="2" w:space="0" w:color="D9D9E3"/>
                                    <w:right w:val="single" w:sz="2" w:space="0" w:color="D9D9E3"/>
                                  </w:divBdr>
                                  <w:divsChild>
                                    <w:div w:id="14530165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711612179">
      <w:bodyDiv w:val="1"/>
      <w:marLeft w:val="0"/>
      <w:marRight w:val="0"/>
      <w:marTop w:val="0"/>
      <w:marBottom w:val="0"/>
      <w:divBdr>
        <w:top w:val="none" w:sz="0" w:space="0" w:color="auto"/>
        <w:left w:val="none" w:sz="0" w:space="0" w:color="auto"/>
        <w:bottom w:val="none" w:sz="0" w:space="0" w:color="auto"/>
        <w:right w:val="none" w:sz="0" w:space="0" w:color="auto"/>
      </w:divBdr>
    </w:div>
    <w:div w:id="783620976">
      <w:bodyDiv w:val="1"/>
      <w:marLeft w:val="0"/>
      <w:marRight w:val="0"/>
      <w:marTop w:val="0"/>
      <w:marBottom w:val="0"/>
      <w:divBdr>
        <w:top w:val="none" w:sz="0" w:space="0" w:color="auto"/>
        <w:left w:val="none" w:sz="0" w:space="0" w:color="auto"/>
        <w:bottom w:val="none" w:sz="0" w:space="0" w:color="auto"/>
        <w:right w:val="none" w:sz="0" w:space="0" w:color="auto"/>
      </w:divBdr>
    </w:div>
    <w:div w:id="790125419">
      <w:bodyDiv w:val="1"/>
      <w:marLeft w:val="0"/>
      <w:marRight w:val="0"/>
      <w:marTop w:val="0"/>
      <w:marBottom w:val="0"/>
      <w:divBdr>
        <w:top w:val="none" w:sz="0" w:space="0" w:color="auto"/>
        <w:left w:val="none" w:sz="0" w:space="0" w:color="auto"/>
        <w:bottom w:val="none" w:sz="0" w:space="0" w:color="auto"/>
        <w:right w:val="none" w:sz="0" w:space="0" w:color="auto"/>
      </w:divBdr>
    </w:div>
    <w:div w:id="859855827">
      <w:bodyDiv w:val="1"/>
      <w:marLeft w:val="0"/>
      <w:marRight w:val="0"/>
      <w:marTop w:val="0"/>
      <w:marBottom w:val="0"/>
      <w:divBdr>
        <w:top w:val="none" w:sz="0" w:space="0" w:color="auto"/>
        <w:left w:val="none" w:sz="0" w:space="0" w:color="auto"/>
        <w:bottom w:val="none" w:sz="0" w:space="0" w:color="auto"/>
        <w:right w:val="none" w:sz="0" w:space="0" w:color="auto"/>
      </w:divBdr>
    </w:div>
    <w:div w:id="892228892">
      <w:bodyDiv w:val="1"/>
      <w:marLeft w:val="0"/>
      <w:marRight w:val="0"/>
      <w:marTop w:val="0"/>
      <w:marBottom w:val="0"/>
      <w:divBdr>
        <w:top w:val="none" w:sz="0" w:space="0" w:color="auto"/>
        <w:left w:val="none" w:sz="0" w:space="0" w:color="auto"/>
        <w:bottom w:val="none" w:sz="0" w:space="0" w:color="auto"/>
        <w:right w:val="none" w:sz="0" w:space="0" w:color="auto"/>
      </w:divBdr>
    </w:div>
    <w:div w:id="955335209">
      <w:bodyDiv w:val="1"/>
      <w:marLeft w:val="0"/>
      <w:marRight w:val="0"/>
      <w:marTop w:val="0"/>
      <w:marBottom w:val="0"/>
      <w:divBdr>
        <w:top w:val="none" w:sz="0" w:space="0" w:color="auto"/>
        <w:left w:val="none" w:sz="0" w:space="0" w:color="auto"/>
        <w:bottom w:val="none" w:sz="0" w:space="0" w:color="auto"/>
        <w:right w:val="none" w:sz="0" w:space="0" w:color="auto"/>
      </w:divBdr>
    </w:div>
    <w:div w:id="1062094848">
      <w:bodyDiv w:val="1"/>
      <w:marLeft w:val="0"/>
      <w:marRight w:val="0"/>
      <w:marTop w:val="0"/>
      <w:marBottom w:val="0"/>
      <w:divBdr>
        <w:top w:val="none" w:sz="0" w:space="0" w:color="auto"/>
        <w:left w:val="none" w:sz="0" w:space="0" w:color="auto"/>
        <w:bottom w:val="none" w:sz="0" w:space="0" w:color="auto"/>
        <w:right w:val="none" w:sz="0" w:space="0" w:color="auto"/>
      </w:divBdr>
    </w:div>
    <w:div w:id="1141967879">
      <w:bodyDiv w:val="1"/>
      <w:marLeft w:val="0"/>
      <w:marRight w:val="0"/>
      <w:marTop w:val="0"/>
      <w:marBottom w:val="0"/>
      <w:divBdr>
        <w:top w:val="none" w:sz="0" w:space="0" w:color="auto"/>
        <w:left w:val="none" w:sz="0" w:space="0" w:color="auto"/>
        <w:bottom w:val="none" w:sz="0" w:space="0" w:color="auto"/>
        <w:right w:val="none" w:sz="0" w:space="0" w:color="auto"/>
      </w:divBdr>
      <w:divsChild>
        <w:div w:id="947736194">
          <w:marLeft w:val="0"/>
          <w:marRight w:val="0"/>
          <w:marTop w:val="0"/>
          <w:marBottom w:val="0"/>
          <w:divBdr>
            <w:top w:val="single" w:sz="2" w:space="0" w:color="D9D9E3"/>
            <w:left w:val="single" w:sz="2" w:space="0" w:color="D9D9E3"/>
            <w:bottom w:val="single" w:sz="2" w:space="0" w:color="D9D9E3"/>
            <w:right w:val="single" w:sz="2" w:space="0" w:color="D9D9E3"/>
          </w:divBdr>
          <w:divsChild>
            <w:div w:id="832139223">
              <w:marLeft w:val="0"/>
              <w:marRight w:val="0"/>
              <w:marTop w:val="0"/>
              <w:marBottom w:val="0"/>
              <w:divBdr>
                <w:top w:val="single" w:sz="2" w:space="0" w:color="D9D9E3"/>
                <w:left w:val="single" w:sz="2" w:space="0" w:color="D9D9E3"/>
                <w:bottom w:val="single" w:sz="2" w:space="0" w:color="D9D9E3"/>
                <w:right w:val="single" w:sz="2" w:space="0" w:color="D9D9E3"/>
              </w:divBdr>
              <w:divsChild>
                <w:div w:id="1791121982">
                  <w:marLeft w:val="0"/>
                  <w:marRight w:val="0"/>
                  <w:marTop w:val="0"/>
                  <w:marBottom w:val="0"/>
                  <w:divBdr>
                    <w:top w:val="single" w:sz="2" w:space="0" w:color="D9D9E3"/>
                    <w:left w:val="single" w:sz="2" w:space="0" w:color="D9D9E3"/>
                    <w:bottom w:val="single" w:sz="2" w:space="0" w:color="D9D9E3"/>
                    <w:right w:val="single" w:sz="2" w:space="0" w:color="D9D9E3"/>
                  </w:divBdr>
                  <w:divsChild>
                    <w:div w:id="235827484">
                      <w:marLeft w:val="0"/>
                      <w:marRight w:val="0"/>
                      <w:marTop w:val="0"/>
                      <w:marBottom w:val="0"/>
                      <w:divBdr>
                        <w:top w:val="single" w:sz="2" w:space="0" w:color="D9D9E3"/>
                        <w:left w:val="single" w:sz="2" w:space="0" w:color="D9D9E3"/>
                        <w:bottom w:val="single" w:sz="2" w:space="0" w:color="D9D9E3"/>
                        <w:right w:val="single" w:sz="2" w:space="0" w:color="D9D9E3"/>
                      </w:divBdr>
                      <w:divsChild>
                        <w:div w:id="297683903">
                          <w:marLeft w:val="0"/>
                          <w:marRight w:val="0"/>
                          <w:marTop w:val="0"/>
                          <w:marBottom w:val="0"/>
                          <w:divBdr>
                            <w:top w:val="single" w:sz="2" w:space="0" w:color="D9D9E3"/>
                            <w:left w:val="single" w:sz="2" w:space="0" w:color="D9D9E3"/>
                            <w:bottom w:val="single" w:sz="2" w:space="0" w:color="D9D9E3"/>
                            <w:right w:val="single" w:sz="2" w:space="0" w:color="D9D9E3"/>
                          </w:divBdr>
                          <w:divsChild>
                            <w:div w:id="755056678">
                              <w:marLeft w:val="0"/>
                              <w:marRight w:val="0"/>
                              <w:marTop w:val="100"/>
                              <w:marBottom w:val="100"/>
                              <w:divBdr>
                                <w:top w:val="single" w:sz="2" w:space="0" w:color="D9D9E3"/>
                                <w:left w:val="single" w:sz="2" w:space="0" w:color="D9D9E3"/>
                                <w:bottom w:val="single" w:sz="2" w:space="0" w:color="D9D9E3"/>
                                <w:right w:val="single" w:sz="2" w:space="0" w:color="D9D9E3"/>
                              </w:divBdr>
                              <w:divsChild>
                                <w:div w:id="1884780343">
                                  <w:marLeft w:val="0"/>
                                  <w:marRight w:val="0"/>
                                  <w:marTop w:val="0"/>
                                  <w:marBottom w:val="0"/>
                                  <w:divBdr>
                                    <w:top w:val="single" w:sz="2" w:space="0" w:color="D9D9E3"/>
                                    <w:left w:val="single" w:sz="2" w:space="0" w:color="D9D9E3"/>
                                    <w:bottom w:val="single" w:sz="2" w:space="0" w:color="D9D9E3"/>
                                    <w:right w:val="single" w:sz="2" w:space="0" w:color="D9D9E3"/>
                                  </w:divBdr>
                                  <w:divsChild>
                                    <w:div w:id="489832605">
                                      <w:marLeft w:val="0"/>
                                      <w:marRight w:val="0"/>
                                      <w:marTop w:val="0"/>
                                      <w:marBottom w:val="0"/>
                                      <w:divBdr>
                                        <w:top w:val="single" w:sz="2" w:space="0" w:color="D9D9E3"/>
                                        <w:left w:val="single" w:sz="2" w:space="0" w:color="D9D9E3"/>
                                        <w:bottom w:val="single" w:sz="2" w:space="0" w:color="D9D9E3"/>
                                        <w:right w:val="single" w:sz="2" w:space="0" w:color="D9D9E3"/>
                                      </w:divBdr>
                                      <w:divsChild>
                                        <w:div w:id="1935819901">
                                          <w:marLeft w:val="0"/>
                                          <w:marRight w:val="0"/>
                                          <w:marTop w:val="0"/>
                                          <w:marBottom w:val="0"/>
                                          <w:divBdr>
                                            <w:top w:val="single" w:sz="2" w:space="0" w:color="D9D9E3"/>
                                            <w:left w:val="single" w:sz="2" w:space="0" w:color="D9D9E3"/>
                                            <w:bottom w:val="single" w:sz="2" w:space="0" w:color="D9D9E3"/>
                                            <w:right w:val="single" w:sz="2" w:space="0" w:color="D9D9E3"/>
                                          </w:divBdr>
                                          <w:divsChild>
                                            <w:div w:id="1023366290">
                                              <w:marLeft w:val="0"/>
                                              <w:marRight w:val="0"/>
                                              <w:marTop w:val="0"/>
                                              <w:marBottom w:val="0"/>
                                              <w:divBdr>
                                                <w:top w:val="single" w:sz="2" w:space="0" w:color="D9D9E3"/>
                                                <w:left w:val="single" w:sz="2" w:space="0" w:color="D9D9E3"/>
                                                <w:bottom w:val="single" w:sz="2" w:space="0" w:color="D9D9E3"/>
                                                <w:right w:val="single" w:sz="2" w:space="0" w:color="D9D9E3"/>
                                              </w:divBdr>
                                              <w:divsChild>
                                                <w:div w:id="681467302">
                                                  <w:marLeft w:val="0"/>
                                                  <w:marRight w:val="0"/>
                                                  <w:marTop w:val="0"/>
                                                  <w:marBottom w:val="0"/>
                                                  <w:divBdr>
                                                    <w:top w:val="single" w:sz="2" w:space="0" w:color="D9D9E3"/>
                                                    <w:left w:val="single" w:sz="2" w:space="0" w:color="D9D9E3"/>
                                                    <w:bottom w:val="single" w:sz="2" w:space="0" w:color="D9D9E3"/>
                                                    <w:right w:val="single" w:sz="2" w:space="0" w:color="D9D9E3"/>
                                                  </w:divBdr>
                                                  <w:divsChild>
                                                    <w:div w:id="19235670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384407065">
          <w:marLeft w:val="0"/>
          <w:marRight w:val="0"/>
          <w:marTop w:val="0"/>
          <w:marBottom w:val="0"/>
          <w:divBdr>
            <w:top w:val="none" w:sz="0" w:space="0" w:color="auto"/>
            <w:left w:val="none" w:sz="0" w:space="0" w:color="auto"/>
            <w:bottom w:val="none" w:sz="0" w:space="0" w:color="auto"/>
            <w:right w:val="none" w:sz="0" w:space="0" w:color="auto"/>
          </w:divBdr>
        </w:div>
      </w:divsChild>
    </w:div>
    <w:div w:id="1163273964">
      <w:bodyDiv w:val="1"/>
      <w:marLeft w:val="0"/>
      <w:marRight w:val="0"/>
      <w:marTop w:val="0"/>
      <w:marBottom w:val="0"/>
      <w:divBdr>
        <w:top w:val="none" w:sz="0" w:space="0" w:color="auto"/>
        <w:left w:val="none" w:sz="0" w:space="0" w:color="auto"/>
        <w:bottom w:val="none" w:sz="0" w:space="0" w:color="auto"/>
        <w:right w:val="none" w:sz="0" w:space="0" w:color="auto"/>
      </w:divBdr>
    </w:div>
    <w:div w:id="1241715920">
      <w:bodyDiv w:val="1"/>
      <w:marLeft w:val="0"/>
      <w:marRight w:val="0"/>
      <w:marTop w:val="0"/>
      <w:marBottom w:val="0"/>
      <w:divBdr>
        <w:top w:val="none" w:sz="0" w:space="0" w:color="auto"/>
        <w:left w:val="none" w:sz="0" w:space="0" w:color="auto"/>
        <w:bottom w:val="none" w:sz="0" w:space="0" w:color="auto"/>
        <w:right w:val="none" w:sz="0" w:space="0" w:color="auto"/>
      </w:divBdr>
    </w:div>
    <w:div w:id="1268121948">
      <w:bodyDiv w:val="1"/>
      <w:marLeft w:val="0"/>
      <w:marRight w:val="0"/>
      <w:marTop w:val="0"/>
      <w:marBottom w:val="0"/>
      <w:divBdr>
        <w:top w:val="none" w:sz="0" w:space="0" w:color="auto"/>
        <w:left w:val="none" w:sz="0" w:space="0" w:color="auto"/>
        <w:bottom w:val="none" w:sz="0" w:space="0" w:color="auto"/>
        <w:right w:val="none" w:sz="0" w:space="0" w:color="auto"/>
      </w:divBdr>
    </w:div>
    <w:div w:id="1282414719">
      <w:bodyDiv w:val="1"/>
      <w:marLeft w:val="0"/>
      <w:marRight w:val="0"/>
      <w:marTop w:val="0"/>
      <w:marBottom w:val="0"/>
      <w:divBdr>
        <w:top w:val="none" w:sz="0" w:space="0" w:color="auto"/>
        <w:left w:val="none" w:sz="0" w:space="0" w:color="auto"/>
        <w:bottom w:val="none" w:sz="0" w:space="0" w:color="auto"/>
        <w:right w:val="none" w:sz="0" w:space="0" w:color="auto"/>
      </w:divBdr>
    </w:div>
    <w:div w:id="1407141947">
      <w:bodyDiv w:val="1"/>
      <w:marLeft w:val="0"/>
      <w:marRight w:val="0"/>
      <w:marTop w:val="0"/>
      <w:marBottom w:val="0"/>
      <w:divBdr>
        <w:top w:val="none" w:sz="0" w:space="0" w:color="auto"/>
        <w:left w:val="none" w:sz="0" w:space="0" w:color="auto"/>
        <w:bottom w:val="none" w:sz="0" w:space="0" w:color="auto"/>
        <w:right w:val="none" w:sz="0" w:space="0" w:color="auto"/>
      </w:divBdr>
    </w:div>
    <w:div w:id="1479609645">
      <w:bodyDiv w:val="1"/>
      <w:marLeft w:val="0"/>
      <w:marRight w:val="0"/>
      <w:marTop w:val="0"/>
      <w:marBottom w:val="0"/>
      <w:divBdr>
        <w:top w:val="none" w:sz="0" w:space="0" w:color="auto"/>
        <w:left w:val="none" w:sz="0" w:space="0" w:color="auto"/>
        <w:bottom w:val="none" w:sz="0" w:space="0" w:color="auto"/>
        <w:right w:val="none" w:sz="0" w:space="0" w:color="auto"/>
      </w:divBdr>
    </w:div>
    <w:div w:id="1498618907">
      <w:bodyDiv w:val="1"/>
      <w:marLeft w:val="0"/>
      <w:marRight w:val="0"/>
      <w:marTop w:val="0"/>
      <w:marBottom w:val="0"/>
      <w:divBdr>
        <w:top w:val="none" w:sz="0" w:space="0" w:color="auto"/>
        <w:left w:val="none" w:sz="0" w:space="0" w:color="auto"/>
        <w:bottom w:val="none" w:sz="0" w:space="0" w:color="auto"/>
        <w:right w:val="none" w:sz="0" w:space="0" w:color="auto"/>
      </w:divBdr>
      <w:divsChild>
        <w:div w:id="653531554">
          <w:marLeft w:val="0"/>
          <w:marRight w:val="0"/>
          <w:marTop w:val="0"/>
          <w:marBottom w:val="300"/>
          <w:divBdr>
            <w:top w:val="none" w:sz="0" w:space="0" w:color="auto"/>
            <w:left w:val="none" w:sz="0" w:space="0" w:color="auto"/>
            <w:bottom w:val="none" w:sz="0" w:space="0" w:color="auto"/>
            <w:right w:val="none" w:sz="0" w:space="0" w:color="auto"/>
          </w:divBdr>
        </w:div>
      </w:divsChild>
    </w:div>
    <w:div w:id="1537346991">
      <w:bodyDiv w:val="1"/>
      <w:marLeft w:val="0"/>
      <w:marRight w:val="0"/>
      <w:marTop w:val="0"/>
      <w:marBottom w:val="0"/>
      <w:divBdr>
        <w:top w:val="none" w:sz="0" w:space="0" w:color="auto"/>
        <w:left w:val="none" w:sz="0" w:space="0" w:color="auto"/>
        <w:bottom w:val="none" w:sz="0" w:space="0" w:color="auto"/>
        <w:right w:val="none" w:sz="0" w:space="0" w:color="auto"/>
      </w:divBdr>
    </w:div>
    <w:div w:id="1576745698">
      <w:bodyDiv w:val="1"/>
      <w:marLeft w:val="0"/>
      <w:marRight w:val="0"/>
      <w:marTop w:val="0"/>
      <w:marBottom w:val="0"/>
      <w:divBdr>
        <w:top w:val="none" w:sz="0" w:space="0" w:color="auto"/>
        <w:left w:val="none" w:sz="0" w:space="0" w:color="auto"/>
        <w:bottom w:val="none" w:sz="0" w:space="0" w:color="auto"/>
        <w:right w:val="none" w:sz="0" w:space="0" w:color="auto"/>
      </w:divBdr>
    </w:div>
    <w:div w:id="1756173235">
      <w:bodyDiv w:val="1"/>
      <w:marLeft w:val="0"/>
      <w:marRight w:val="0"/>
      <w:marTop w:val="0"/>
      <w:marBottom w:val="0"/>
      <w:divBdr>
        <w:top w:val="none" w:sz="0" w:space="0" w:color="auto"/>
        <w:left w:val="none" w:sz="0" w:space="0" w:color="auto"/>
        <w:bottom w:val="none" w:sz="0" w:space="0" w:color="auto"/>
        <w:right w:val="none" w:sz="0" w:space="0" w:color="auto"/>
      </w:divBdr>
    </w:div>
    <w:div w:id="2126075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png"/><Relationship Id="rId18" Type="http://schemas.openxmlformats.org/officeDocument/2006/relationships/hyperlink" Target="https://www.jpmorgan.com/insights/global-research/markets/10-years-after-financial-crisi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indiainfoline.com/knowledge-center/financial-planning/economics-for-everyone-the-insolvency-and-bankruptcy-code-in-india-and-the-national-company-law-tribunal" TargetMode="Externa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yperlink" Target="https://www.financestrategists.com/wealth-management/alternative-investment/derivative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inseclaw.com/article/securities-laws-amendment-act-2014" TargetMode="External"/><Relationship Id="rId5" Type="http://schemas.openxmlformats.org/officeDocument/2006/relationships/webSettings" Target="webSettings.xml"/><Relationship Id="rId15" Type="http://schemas.openxmlformats.org/officeDocument/2006/relationships/hyperlink" Target="https://signalx.ai/blog/top-10-advantages-and-disadvantages-of-gst/" TargetMode="External"/><Relationship Id="rId10" Type="http://schemas.openxmlformats.org/officeDocument/2006/relationships/hyperlink" Target="https://home.treasury.gov/policy-issues/financial-markets-financial-institutions-and-fiscal-service/fsoc"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corpgov.law.harvard.edu/2010/11/20/the-financial-panic-of-2008-and-financial-regulatory-reform/" TargetMode="External"/><Relationship Id="rId14" Type="http://schemas.openxmlformats.org/officeDocument/2006/relationships/hyperlink" Target="https://www.financestrategists.com/wealth-management/alternative-investment/derivative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26F792-77B1-4C50-B9A4-5C846D3C88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1570</TotalTime>
  <Pages>21</Pages>
  <Words>4794</Words>
  <Characters>29694</Characters>
  <Application>Microsoft Office Word</Application>
  <DocSecurity>0</DocSecurity>
  <Lines>574</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20</cp:revision>
  <dcterms:created xsi:type="dcterms:W3CDTF">2023-12-14T12:50:00Z</dcterms:created>
  <dcterms:modified xsi:type="dcterms:W3CDTF">2024-01-05T00:38:00Z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c129ce6d-3139-4972-887d-96f5c62e5067</vt:lpwstr>
  </property>
</Properties>
</file>