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C100E" w14:textId="77777777" w:rsidR="004B3676" w:rsidRDefault="004B3676" w:rsidP="004B3676">
      <w:pPr>
        <w:jc w:val="center"/>
        <w:rPr>
          <w:rFonts w:ascii="Arial" w:hAnsi="Arial" w:cs="Arial"/>
          <w:b/>
          <w:bCs/>
          <w:sz w:val="40"/>
          <w:szCs w:val="40"/>
        </w:rPr>
      </w:pPr>
    </w:p>
    <w:p w14:paraId="3F63FE71" w14:textId="77777777" w:rsidR="004B3676" w:rsidRDefault="004B3676" w:rsidP="004B3676">
      <w:pPr>
        <w:jc w:val="center"/>
        <w:rPr>
          <w:rFonts w:ascii="Arial" w:hAnsi="Arial" w:cs="Arial"/>
          <w:b/>
          <w:bCs/>
          <w:sz w:val="40"/>
          <w:szCs w:val="40"/>
        </w:rPr>
      </w:pPr>
    </w:p>
    <w:p w14:paraId="78634466" w14:textId="77777777" w:rsidR="004B3676" w:rsidRDefault="004B3676" w:rsidP="004B3676">
      <w:pPr>
        <w:jc w:val="center"/>
        <w:rPr>
          <w:rFonts w:ascii="Arial" w:hAnsi="Arial" w:cs="Arial"/>
          <w:b/>
          <w:bCs/>
          <w:sz w:val="40"/>
          <w:szCs w:val="40"/>
        </w:rPr>
      </w:pPr>
    </w:p>
    <w:p w14:paraId="32E75842" w14:textId="77777777" w:rsidR="004B3676" w:rsidRDefault="004B3676" w:rsidP="004B3676">
      <w:pPr>
        <w:jc w:val="center"/>
        <w:rPr>
          <w:rFonts w:ascii="Arial" w:hAnsi="Arial" w:cs="Arial"/>
          <w:b/>
          <w:bCs/>
          <w:sz w:val="40"/>
          <w:szCs w:val="40"/>
        </w:rPr>
      </w:pPr>
    </w:p>
    <w:p w14:paraId="3CF0D1EB" w14:textId="77777777" w:rsidR="004B3676" w:rsidRDefault="004B3676" w:rsidP="004B3676">
      <w:pPr>
        <w:jc w:val="center"/>
        <w:rPr>
          <w:rFonts w:ascii="Arial" w:hAnsi="Arial" w:cs="Arial"/>
          <w:b/>
          <w:bCs/>
          <w:sz w:val="40"/>
          <w:szCs w:val="40"/>
        </w:rPr>
      </w:pPr>
    </w:p>
    <w:p w14:paraId="30C2ABAB" w14:textId="77777777" w:rsidR="004B3676" w:rsidRDefault="004B3676" w:rsidP="004B3676">
      <w:pPr>
        <w:jc w:val="center"/>
        <w:rPr>
          <w:rFonts w:ascii="Arial" w:hAnsi="Arial" w:cs="Arial"/>
          <w:b/>
          <w:bCs/>
          <w:sz w:val="40"/>
          <w:szCs w:val="40"/>
        </w:rPr>
      </w:pPr>
    </w:p>
    <w:p w14:paraId="6645CE5E" w14:textId="7DB2004E" w:rsidR="004B3676" w:rsidRDefault="004B3676" w:rsidP="004B3676">
      <w:pPr>
        <w:jc w:val="center"/>
        <w:rPr>
          <w:rFonts w:ascii="Arial" w:hAnsi="Arial" w:cs="Arial"/>
          <w:b/>
          <w:bCs/>
          <w:sz w:val="40"/>
          <w:szCs w:val="40"/>
        </w:rPr>
      </w:pPr>
      <w:r>
        <w:rPr>
          <w:rFonts w:ascii="Arial" w:hAnsi="Arial" w:cs="Arial"/>
          <w:b/>
          <w:bCs/>
          <w:sz w:val="40"/>
          <w:szCs w:val="40"/>
        </w:rPr>
        <w:t>Psychology in Health and Social Care</w:t>
      </w:r>
    </w:p>
    <w:p w14:paraId="3A8245E6" w14:textId="0BDE80D9" w:rsidR="004B3676" w:rsidRDefault="004B3676" w:rsidP="004B3676">
      <w:pPr>
        <w:jc w:val="center"/>
        <w:rPr>
          <w:rFonts w:ascii="Arial" w:hAnsi="Arial" w:cs="Arial"/>
          <w:b/>
          <w:bCs/>
          <w:sz w:val="40"/>
          <w:szCs w:val="40"/>
        </w:rPr>
      </w:pPr>
      <w:r>
        <w:rPr>
          <w:rFonts w:ascii="Arial" w:hAnsi="Arial" w:cs="Arial"/>
          <w:b/>
          <w:bCs/>
          <w:sz w:val="40"/>
          <w:szCs w:val="40"/>
        </w:rPr>
        <w:t>LCHS4010</w:t>
      </w:r>
    </w:p>
    <w:p w14:paraId="4786FAAE" w14:textId="4EB1ABFF" w:rsidR="004B3676" w:rsidRDefault="00461E7A" w:rsidP="004B3676">
      <w:pPr>
        <w:jc w:val="center"/>
        <w:rPr>
          <w:rFonts w:ascii="Arial" w:hAnsi="Arial" w:cs="Arial"/>
          <w:b/>
          <w:bCs/>
          <w:sz w:val="40"/>
          <w:szCs w:val="40"/>
        </w:rPr>
      </w:pPr>
      <w:r>
        <w:rPr>
          <w:rFonts w:ascii="Arial" w:hAnsi="Arial" w:cs="Arial"/>
          <w:b/>
          <w:bCs/>
          <w:sz w:val="40"/>
          <w:szCs w:val="40"/>
        </w:rPr>
        <w:t>Component</w:t>
      </w:r>
      <w:r w:rsidR="004B3676">
        <w:rPr>
          <w:rFonts w:ascii="Arial" w:hAnsi="Arial" w:cs="Arial"/>
          <w:b/>
          <w:bCs/>
          <w:sz w:val="40"/>
          <w:szCs w:val="40"/>
        </w:rPr>
        <w:t xml:space="preserve"> 2: Report</w:t>
      </w:r>
    </w:p>
    <w:p w14:paraId="44F2E4D8" w14:textId="37A43365" w:rsidR="004B3676" w:rsidRDefault="004B3676" w:rsidP="004B3676">
      <w:pPr>
        <w:jc w:val="center"/>
        <w:rPr>
          <w:rFonts w:ascii="Arial" w:hAnsi="Arial" w:cs="Arial"/>
          <w:b/>
          <w:bCs/>
          <w:sz w:val="40"/>
          <w:szCs w:val="40"/>
        </w:rPr>
      </w:pPr>
      <w:r>
        <w:rPr>
          <w:rFonts w:ascii="Arial" w:hAnsi="Arial" w:cs="Arial"/>
          <w:b/>
          <w:bCs/>
          <w:sz w:val="40"/>
          <w:szCs w:val="40"/>
        </w:rPr>
        <w:t>Alexandru Madalin Fudulu</w:t>
      </w:r>
      <w:r w:rsidR="00461E7A">
        <w:rPr>
          <w:rFonts w:ascii="Arial" w:hAnsi="Arial" w:cs="Arial"/>
          <w:b/>
          <w:bCs/>
          <w:sz w:val="40"/>
          <w:szCs w:val="40"/>
        </w:rPr>
        <w:t xml:space="preserve"> (2123177)</w:t>
      </w:r>
    </w:p>
    <w:p w14:paraId="7B7CB73B" w14:textId="41CDEDDC" w:rsidR="004B3676" w:rsidRPr="004B3676" w:rsidRDefault="00461E7A" w:rsidP="00461E7A">
      <w:pPr>
        <w:rPr>
          <w:rFonts w:ascii="Arial" w:hAnsi="Arial" w:cs="Arial"/>
          <w:b/>
          <w:bCs/>
          <w:sz w:val="40"/>
          <w:szCs w:val="40"/>
        </w:rPr>
      </w:pPr>
      <w:r>
        <w:rPr>
          <w:rFonts w:ascii="Arial" w:hAnsi="Arial" w:cs="Arial"/>
          <w:b/>
          <w:bCs/>
          <w:sz w:val="40"/>
          <w:szCs w:val="40"/>
        </w:rPr>
        <w:t xml:space="preserve">     Lecture name: Kenedy </w:t>
      </w:r>
      <w:proofErr w:type="spellStart"/>
      <w:r>
        <w:rPr>
          <w:rFonts w:ascii="Arial" w:hAnsi="Arial" w:cs="Arial"/>
          <w:b/>
          <w:bCs/>
          <w:sz w:val="40"/>
          <w:szCs w:val="40"/>
        </w:rPr>
        <w:t>Obohwenu</w:t>
      </w:r>
      <w:proofErr w:type="spellEnd"/>
    </w:p>
    <w:p w14:paraId="1F71690D" w14:textId="77777777" w:rsidR="004B3676" w:rsidRDefault="004B3676">
      <w:r>
        <w:br w:type="page"/>
      </w:r>
    </w:p>
    <w:sdt>
      <w:sdtPr>
        <w:rPr>
          <w:rFonts w:asciiTheme="minorHAnsi" w:eastAsiaTheme="minorHAnsi" w:hAnsiTheme="minorHAnsi" w:cstheme="minorBidi"/>
          <w:b w:val="0"/>
          <w:bCs w:val="0"/>
          <w:color w:val="auto"/>
          <w:kern w:val="2"/>
          <w:sz w:val="24"/>
          <w:szCs w:val="24"/>
          <w:lang w:val="en-GB"/>
          <w14:ligatures w14:val="standardContextual"/>
        </w:rPr>
        <w:id w:val="-1328438059"/>
        <w:docPartObj>
          <w:docPartGallery w:val="Table of Contents"/>
          <w:docPartUnique/>
        </w:docPartObj>
      </w:sdtPr>
      <w:sdtEndPr>
        <w:rPr>
          <w:noProof/>
        </w:rPr>
      </w:sdtEndPr>
      <w:sdtContent>
        <w:p w14:paraId="0855F8F7" w14:textId="0BAA2057" w:rsidR="00FF5FAF" w:rsidRDefault="00FF5FAF">
          <w:pPr>
            <w:pStyle w:val="TOCHeading"/>
          </w:pPr>
          <w:r>
            <w:t>Table of Contents</w:t>
          </w:r>
        </w:p>
        <w:p w14:paraId="338A67B0" w14:textId="6C19413C" w:rsidR="00872F12" w:rsidRDefault="00FF5FA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094065" w:history="1">
            <w:r w:rsidR="00872F12" w:rsidRPr="001D4173">
              <w:rPr>
                <w:rStyle w:val="Hyperlink"/>
                <w:noProof/>
              </w:rPr>
              <w:t>Introduction</w:t>
            </w:r>
            <w:r w:rsidR="00872F12">
              <w:rPr>
                <w:noProof/>
                <w:webHidden/>
              </w:rPr>
              <w:tab/>
            </w:r>
            <w:r w:rsidR="00872F12">
              <w:rPr>
                <w:noProof/>
                <w:webHidden/>
              </w:rPr>
              <w:fldChar w:fldCharType="begin"/>
            </w:r>
            <w:r w:rsidR="00872F12">
              <w:rPr>
                <w:noProof/>
                <w:webHidden/>
              </w:rPr>
              <w:instrText xml:space="preserve"> PAGEREF _Toc214094065 \h </w:instrText>
            </w:r>
            <w:r w:rsidR="00872F12">
              <w:rPr>
                <w:noProof/>
                <w:webHidden/>
              </w:rPr>
            </w:r>
            <w:r w:rsidR="00872F12">
              <w:rPr>
                <w:noProof/>
                <w:webHidden/>
              </w:rPr>
              <w:fldChar w:fldCharType="separate"/>
            </w:r>
            <w:r w:rsidR="00872F12">
              <w:rPr>
                <w:noProof/>
                <w:webHidden/>
              </w:rPr>
              <w:t>3</w:t>
            </w:r>
            <w:r w:rsidR="00872F12">
              <w:rPr>
                <w:noProof/>
                <w:webHidden/>
              </w:rPr>
              <w:fldChar w:fldCharType="end"/>
            </w:r>
          </w:hyperlink>
        </w:p>
        <w:p w14:paraId="5FB88C59" w14:textId="0A28EFA3" w:rsidR="00872F12" w:rsidRDefault="00872F12">
          <w:pPr>
            <w:pStyle w:val="TOC1"/>
            <w:tabs>
              <w:tab w:val="right" w:leader="dot" w:pos="9016"/>
            </w:tabs>
            <w:rPr>
              <w:rFonts w:eastAsiaTheme="minorEastAsia"/>
              <w:b w:val="0"/>
              <w:bCs w:val="0"/>
              <w:i w:val="0"/>
              <w:iCs w:val="0"/>
              <w:noProof/>
              <w:lang w:eastAsia="en-GB"/>
            </w:rPr>
          </w:pPr>
          <w:hyperlink w:anchor="_Toc214094066" w:history="1">
            <w:r w:rsidRPr="001D4173">
              <w:rPr>
                <w:rStyle w:val="Hyperlink"/>
                <w:noProof/>
              </w:rPr>
              <w:t>Context</w:t>
            </w:r>
            <w:r>
              <w:rPr>
                <w:noProof/>
                <w:webHidden/>
              </w:rPr>
              <w:tab/>
            </w:r>
            <w:r>
              <w:rPr>
                <w:noProof/>
                <w:webHidden/>
              </w:rPr>
              <w:fldChar w:fldCharType="begin"/>
            </w:r>
            <w:r>
              <w:rPr>
                <w:noProof/>
                <w:webHidden/>
              </w:rPr>
              <w:instrText xml:space="preserve"> PAGEREF _Toc214094066 \h </w:instrText>
            </w:r>
            <w:r>
              <w:rPr>
                <w:noProof/>
                <w:webHidden/>
              </w:rPr>
            </w:r>
            <w:r>
              <w:rPr>
                <w:noProof/>
                <w:webHidden/>
              </w:rPr>
              <w:fldChar w:fldCharType="separate"/>
            </w:r>
            <w:r>
              <w:rPr>
                <w:noProof/>
                <w:webHidden/>
              </w:rPr>
              <w:t>3</w:t>
            </w:r>
            <w:r>
              <w:rPr>
                <w:noProof/>
                <w:webHidden/>
              </w:rPr>
              <w:fldChar w:fldCharType="end"/>
            </w:r>
          </w:hyperlink>
        </w:p>
        <w:p w14:paraId="45ED2220" w14:textId="4C09719F" w:rsidR="00872F12" w:rsidRDefault="00872F12">
          <w:pPr>
            <w:pStyle w:val="TOC1"/>
            <w:tabs>
              <w:tab w:val="right" w:leader="dot" w:pos="9016"/>
            </w:tabs>
            <w:rPr>
              <w:rFonts w:eastAsiaTheme="minorEastAsia"/>
              <w:b w:val="0"/>
              <w:bCs w:val="0"/>
              <w:i w:val="0"/>
              <w:iCs w:val="0"/>
              <w:noProof/>
              <w:lang w:eastAsia="en-GB"/>
            </w:rPr>
          </w:pPr>
          <w:hyperlink w:anchor="_Toc214094067" w:history="1">
            <w:r w:rsidRPr="001D4173">
              <w:rPr>
                <w:rStyle w:val="Hyperlink"/>
                <w:noProof/>
              </w:rPr>
              <w:t>Detailed Overview of Two Theories</w:t>
            </w:r>
            <w:r>
              <w:rPr>
                <w:noProof/>
                <w:webHidden/>
              </w:rPr>
              <w:tab/>
            </w:r>
            <w:r>
              <w:rPr>
                <w:noProof/>
                <w:webHidden/>
              </w:rPr>
              <w:fldChar w:fldCharType="begin"/>
            </w:r>
            <w:r>
              <w:rPr>
                <w:noProof/>
                <w:webHidden/>
              </w:rPr>
              <w:instrText xml:space="preserve"> PAGEREF _Toc214094067 \h </w:instrText>
            </w:r>
            <w:r>
              <w:rPr>
                <w:noProof/>
                <w:webHidden/>
              </w:rPr>
            </w:r>
            <w:r>
              <w:rPr>
                <w:noProof/>
                <w:webHidden/>
              </w:rPr>
              <w:fldChar w:fldCharType="separate"/>
            </w:r>
            <w:r>
              <w:rPr>
                <w:noProof/>
                <w:webHidden/>
              </w:rPr>
              <w:t>3</w:t>
            </w:r>
            <w:r>
              <w:rPr>
                <w:noProof/>
                <w:webHidden/>
              </w:rPr>
              <w:fldChar w:fldCharType="end"/>
            </w:r>
          </w:hyperlink>
        </w:p>
        <w:p w14:paraId="3542FFC4" w14:textId="232C078D" w:rsidR="00872F12" w:rsidRDefault="00872F12">
          <w:pPr>
            <w:pStyle w:val="TOC2"/>
            <w:tabs>
              <w:tab w:val="right" w:leader="dot" w:pos="9016"/>
            </w:tabs>
            <w:rPr>
              <w:rFonts w:eastAsiaTheme="minorEastAsia"/>
              <w:b w:val="0"/>
              <w:bCs w:val="0"/>
              <w:noProof/>
              <w:sz w:val="24"/>
              <w:szCs w:val="24"/>
              <w:lang w:eastAsia="en-GB"/>
            </w:rPr>
          </w:pPr>
          <w:hyperlink w:anchor="_Toc214094068" w:history="1">
            <w:r w:rsidRPr="001D4173">
              <w:rPr>
                <w:rStyle w:val="Hyperlink"/>
                <w:noProof/>
              </w:rPr>
              <w:t>Erikson’s Psychosocial Theory</w:t>
            </w:r>
            <w:r>
              <w:rPr>
                <w:noProof/>
                <w:webHidden/>
              </w:rPr>
              <w:tab/>
            </w:r>
            <w:r>
              <w:rPr>
                <w:noProof/>
                <w:webHidden/>
              </w:rPr>
              <w:fldChar w:fldCharType="begin"/>
            </w:r>
            <w:r>
              <w:rPr>
                <w:noProof/>
                <w:webHidden/>
              </w:rPr>
              <w:instrText xml:space="preserve"> PAGEREF _Toc214094068 \h </w:instrText>
            </w:r>
            <w:r>
              <w:rPr>
                <w:noProof/>
                <w:webHidden/>
              </w:rPr>
            </w:r>
            <w:r>
              <w:rPr>
                <w:noProof/>
                <w:webHidden/>
              </w:rPr>
              <w:fldChar w:fldCharType="separate"/>
            </w:r>
            <w:r>
              <w:rPr>
                <w:noProof/>
                <w:webHidden/>
              </w:rPr>
              <w:t>3</w:t>
            </w:r>
            <w:r>
              <w:rPr>
                <w:noProof/>
                <w:webHidden/>
              </w:rPr>
              <w:fldChar w:fldCharType="end"/>
            </w:r>
          </w:hyperlink>
        </w:p>
        <w:p w14:paraId="665AC962" w14:textId="34148732" w:rsidR="00872F12" w:rsidRDefault="00872F12">
          <w:pPr>
            <w:pStyle w:val="TOC2"/>
            <w:tabs>
              <w:tab w:val="right" w:leader="dot" w:pos="9016"/>
            </w:tabs>
            <w:rPr>
              <w:rFonts w:eastAsiaTheme="minorEastAsia"/>
              <w:b w:val="0"/>
              <w:bCs w:val="0"/>
              <w:noProof/>
              <w:sz w:val="24"/>
              <w:szCs w:val="24"/>
              <w:lang w:eastAsia="en-GB"/>
            </w:rPr>
          </w:pPr>
          <w:hyperlink w:anchor="_Toc214094069" w:history="1">
            <w:r w:rsidRPr="001D4173">
              <w:rPr>
                <w:rStyle w:val="Hyperlink"/>
                <w:noProof/>
              </w:rPr>
              <w:t>Maslow’s Hierarchy of Needs</w:t>
            </w:r>
            <w:r>
              <w:rPr>
                <w:noProof/>
                <w:webHidden/>
              </w:rPr>
              <w:tab/>
            </w:r>
            <w:r>
              <w:rPr>
                <w:noProof/>
                <w:webHidden/>
              </w:rPr>
              <w:fldChar w:fldCharType="begin"/>
            </w:r>
            <w:r>
              <w:rPr>
                <w:noProof/>
                <w:webHidden/>
              </w:rPr>
              <w:instrText xml:space="preserve"> PAGEREF _Toc214094069 \h </w:instrText>
            </w:r>
            <w:r>
              <w:rPr>
                <w:noProof/>
                <w:webHidden/>
              </w:rPr>
            </w:r>
            <w:r>
              <w:rPr>
                <w:noProof/>
                <w:webHidden/>
              </w:rPr>
              <w:fldChar w:fldCharType="separate"/>
            </w:r>
            <w:r>
              <w:rPr>
                <w:noProof/>
                <w:webHidden/>
              </w:rPr>
              <w:t>4</w:t>
            </w:r>
            <w:r>
              <w:rPr>
                <w:noProof/>
                <w:webHidden/>
              </w:rPr>
              <w:fldChar w:fldCharType="end"/>
            </w:r>
          </w:hyperlink>
        </w:p>
        <w:p w14:paraId="43ECA3DF" w14:textId="2437CEF6" w:rsidR="00872F12" w:rsidRDefault="00872F12">
          <w:pPr>
            <w:pStyle w:val="TOC1"/>
            <w:tabs>
              <w:tab w:val="right" w:leader="dot" w:pos="9016"/>
            </w:tabs>
            <w:rPr>
              <w:rFonts w:eastAsiaTheme="minorEastAsia"/>
              <w:b w:val="0"/>
              <w:bCs w:val="0"/>
              <w:i w:val="0"/>
              <w:iCs w:val="0"/>
              <w:noProof/>
              <w:lang w:eastAsia="en-GB"/>
            </w:rPr>
          </w:pPr>
          <w:hyperlink w:anchor="_Toc214094070" w:history="1">
            <w:r w:rsidRPr="001D4173">
              <w:rPr>
                <w:rStyle w:val="Hyperlink"/>
                <w:noProof/>
              </w:rPr>
              <w:t>Application in the Health and Social Care Context</w:t>
            </w:r>
            <w:r>
              <w:rPr>
                <w:noProof/>
                <w:webHidden/>
              </w:rPr>
              <w:tab/>
            </w:r>
            <w:r>
              <w:rPr>
                <w:noProof/>
                <w:webHidden/>
              </w:rPr>
              <w:fldChar w:fldCharType="begin"/>
            </w:r>
            <w:r>
              <w:rPr>
                <w:noProof/>
                <w:webHidden/>
              </w:rPr>
              <w:instrText xml:space="preserve"> PAGEREF _Toc214094070 \h </w:instrText>
            </w:r>
            <w:r>
              <w:rPr>
                <w:noProof/>
                <w:webHidden/>
              </w:rPr>
            </w:r>
            <w:r>
              <w:rPr>
                <w:noProof/>
                <w:webHidden/>
              </w:rPr>
              <w:fldChar w:fldCharType="separate"/>
            </w:r>
            <w:r>
              <w:rPr>
                <w:noProof/>
                <w:webHidden/>
              </w:rPr>
              <w:t>4</w:t>
            </w:r>
            <w:r>
              <w:rPr>
                <w:noProof/>
                <w:webHidden/>
              </w:rPr>
              <w:fldChar w:fldCharType="end"/>
            </w:r>
          </w:hyperlink>
        </w:p>
        <w:p w14:paraId="685771BC" w14:textId="015E95E9" w:rsidR="00872F12" w:rsidRDefault="00872F12">
          <w:pPr>
            <w:pStyle w:val="TOC1"/>
            <w:tabs>
              <w:tab w:val="right" w:leader="dot" w:pos="9016"/>
            </w:tabs>
            <w:rPr>
              <w:rFonts w:eastAsiaTheme="minorEastAsia"/>
              <w:b w:val="0"/>
              <w:bCs w:val="0"/>
              <w:i w:val="0"/>
              <w:iCs w:val="0"/>
              <w:noProof/>
              <w:lang w:eastAsia="en-GB"/>
            </w:rPr>
          </w:pPr>
          <w:hyperlink w:anchor="_Toc214094071" w:history="1">
            <w:r w:rsidRPr="001D4173">
              <w:rPr>
                <w:rStyle w:val="Hyperlink"/>
                <w:noProof/>
              </w:rPr>
              <w:t>Conclusion</w:t>
            </w:r>
            <w:r>
              <w:rPr>
                <w:noProof/>
                <w:webHidden/>
              </w:rPr>
              <w:tab/>
            </w:r>
            <w:r>
              <w:rPr>
                <w:noProof/>
                <w:webHidden/>
              </w:rPr>
              <w:fldChar w:fldCharType="begin"/>
            </w:r>
            <w:r>
              <w:rPr>
                <w:noProof/>
                <w:webHidden/>
              </w:rPr>
              <w:instrText xml:space="preserve"> PAGEREF _Toc214094071 \h </w:instrText>
            </w:r>
            <w:r>
              <w:rPr>
                <w:noProof/>
                <w:webHidden/>
              </w:rPr>
            </w:r>
            <w:r>
              <w:rPr>
                <w:noProof/>
                <w:webHidden/>
              </w:rPr>
              <w:fldChar w:fldCharType="separate"/>
            </w:r>
            <w:r>
              <w:rPr>
                <w:noProof/>
                <w:webHidden/>
              </w:rPr>
              <w:t>5</w:t>
            </w:r>
            <w:r>
              <w:rPr>
                <w:noProof/>
                <w:webHidden/>
              </w:rPr>
              <w:fldChar w:fldCharType="end"/>
            </w:r>
          </w:hyperlink>
        </w:p>
        <w:p w14:paraId="7DB31D53" w14:textId="1A3884DD" w:rsidR="00872F12" w:rsidRDefault="00872F12">
          <w:pPr>
            <w:pStyle w:val="TOC1"/>
            <w:tabs>
              <w:tab w:val="right" w:leader="dot" w:pos="9016"/>
            </w:tabs>
            <w:rPr>
              <w:rFonts w:eastAsiaTheme="minorEastAsia"/>
              <w:b w:val="0"/>
              <w:bCs w:val="0"/>
              <w:i w:val="0"/>
              <w:iCs w:val="0"/>
              <w:noProof/>
              <w:lang w:eastAsia="en-GB"/>
            </w:rPr>
          </w:pPr>
          <w:hyperlink w:anchor="_Toc214094072" w:history="1">
            <w:r w:rsidRPr="001D4173">
              <w:rPr>
                <w:rStyle w:val="Hyperlink"/>
                <w:noProof/>
              </w:rPr>
              <w:t>References</w:t>
            </w:r>
            <w:r>
              <w:rPr>
                <w:noProof/>
                <w:webHidden/>
              </w:rPr>
              <w:tab/>
            </w:r>
            <w:r>
              <w:rPr>
                <w:noProof/>
                <w:webHidden/>
              </w:rPr>
              <w:fldChar w:fldCharType="begin"/>
            </w:r>
            <w:r>
              <w:rPr>
                <w:noProof/>
                <w:webHidden/>
              </w:rPr>
              <w:instrText xml:space="preserve"> PAGEREF _Toc214094072 \h </w:instrText>
            </w:r>
            <w:r>
              <w:rPr>
                <w:noProof/>
                <w:webHidden/>
              </w:rPr>
            </w:r>
            <w:r>
              <w:rPr>
                <w:noProof/>
                <w:webHidden/>
              </w:rPr>
              <w:fldChar w:fldCharType="separate"/>
            </w:r>
            <w:r>
              <w:rPr>
                <w:noProof/>
                <w:webHidden/>
              </w:rPr>
              <w:t>6</w:t>
            </w:r>
            <w:r>
              <w:rPr>
                <w:noProof/>
                <w:webHidden/>
              </w:rPr>
              <w:fldChar w:fldCharType="end"/>
            </w:r>
          </w:hyperlink>
        </w:p>
        <w:p w14:paraId="653CDECA" w14:textId="5B78E5CC" w:rsidR="00FF5FAF" w:rsidRDefault="00FF5FAF">
          <w:r>
            <w:rPr>
              <w:b/>
              <w:bCs/>
              <w:noProof/>
            </w:rPr>
            <w:fldChar w:fldCharType="end"/>
          </w:r>
        </w:p>
      </w:sdtContent>
    </w:sdt>
    <w:p w14:paraId="47A22B90" w14:textId="63D0F4E5" w:rsidR="004B3676" w:rsidRDefault="004B3676"/>
    <w:p w14:paraId="624FE6C8" w14:textId="77777777" w:rsidR="004B3676" w:rsidRDefault="004B3676">
      <w:r>
        <w:br w:type="page"/>
      </w:r>
    </w:p>
    <w:p w14:paraId="4421E813" w14:textId="4BDC207B" w:rsidR="004B3676" w:rsidRDefault="004B3676" w:rsidP="004B3676">
      <w:pPr>
        <w:pStyle w:val="Heading1"/>
        <w:spacing w:before="0" w:after="120" w:line="240" w:lineRule="auto"/>
      </w:pPr>
      <w:bookmarkStart w:id="0" w:name="_Toc214094065"/>
      <w:r>
        <w:lastRenderedPageBreak/>
        <w:t>Introduction</w:t>
      </w:r>
      <w:bookmarkEnd w:id="0"/>
      <w:r>
        <w:t xml:space="preserve"> </w:t>
      </w:r>
    </w:p>
    <w:p w14:paraId="6F61316C" w14:textId="080E4512" w:rsidR="004B3676" w:rsidRDefault="004B3676" w:rsidP="004B3676">
      <w:pPr>
        <w:spacing w:after="120" w:line="240" w:lineRule="auto"/>
        <w:rPr>
          <w:rFonts w:ascii="Arial" w:hAnsi="Arial" w:cs="Arial"/>
          <w:sz w:val="22"/>
          <w:szCs w:val="22"/>
        </w:rPr>
      </w:pPr>
      <w:r w:rsidRPr="004B3676">
        <w:rPr>
          <w:rFonts w:ascii="Arial" w:hAnsi="Arial" w:cs="Arial"/>
          <w:sz w:val="22"/>
          <w:szCs w:val="22"/>
        </w:rPr>
        <w:t>As a result of memory loss, confusion, as well as loss of independence, older people who are 65+ years old, staying in dementia care facilities, might experience different psychological/emotional issues. Their sense of identity, well-being, as well as interpersonal relationships, might all be severely affected as a result of these issues. To effectively support this group of individuals, professionals in health and social care need to understand their psychological needs in-depth. Psychological theories give valuable insights into behavior analysis as well as guidance for procedures in caring for dementia sufferers' dignity, respect, as well as quality of life.</w:t>
      </w:r>
    </w:p>
    <w:p w14:paraId="75572C7F" w14:textId="77777777" w:rsidR="00E74C57" w:rsidRPr="00872F12" w:rsidRDefault="00E74C57" w:rsidP="00872F12">
      <w:pPr>
        <w:spacing w:after="120" w:line="240" w:lineRule="auto"/>
        <w:rPr>
          <w:rFonts w:ascii="Arial" w:hAnsi="Arial" w:cs="Arial"/>
          <w:sz w:val="22"/>
          <w:szCs w:val="22"/>
        </w:rPr>
      </w:pPr>
      <w:r w:rsidRPr="00872F12">
        <w:rPr>
          <w:rFonts w:ascii="Arial" w:hAnsi="Arial" w:cs="Arial"/>
          <w:sz w:val="22"/>
          <w:szCs w:val="22"/>
        </w:rPr>
        <w:t>Maslow’s Hierarchy of Needs and Erikson’s Psychosocial Theory are two well-known psychological approaches which shed light on important details about the lives of older individuals with dementia. Although Maslow’s theory strongly stresses the fact that all humans, including Alzheimer’s sufferers, still possess bodily, social, and psychological needs which must be met for maximum well-being, Erikson’s theory focuses on the psychological tasks obtaining integrity, and not despair, in old age. In this respect, Mr. Peter, aged 68 and residing in an Alzheimer’s facility, also embodies the need for his sense of purpose, belonging, and identity, aside from his bodily security.</w:t>
      </w:r>
    </w:p>
    <w:p w14:paraId="1F8BCE24" w14:textId="4EC84DA2" w:rsidR="004B3676" w:rsidRDefault="004B3676" w:rsidP="004B3676">
      <w:pPr>
        <w:pStyle w:val="Heading1"/>
        <w:spacing w:before="0" w:after="120" w:line="240" w:lineRule="auto"/>
      </w:pPr>
      <w:bookmarkStart w:id="1" w:name="_Toc214094066"/>
      <w:r>
        <w:t>Context</w:t>
      </w:r>
      <w:bookmarkEnd w:id="1"/>
      <w:r>
        <w:t xml:space="preserve"> </w:t>
      </w:r>
    </w:p>
    <w:p w14:paraId="021D8AE3" w14:textId="7E74CE91" w:rsidR="004B3676" w:rsidRDefault="006D43B0" w:rsidP="004B3676">
      <w:pPr>
        <w:spacing w:after="120" w:line="240" w:lineRule="auto"/>
        <w:rPr>
          <w:rFonts w:ascii="Arial" w:hAnsi="Arial" w:cs="Arial"/>
          <w:sz w:val="22"/>
          <w:szCs w:val="22"/>
        </w:rPr>
      </w:pPr>
      <w:r w:rsidRPr="006D43B0">
        <w:rPr>
          <w:rFonts w:ascii="Arial" w:hAnsi="Arial" w:cs="Arial"/>
          <w:sz w:val="22"/>
          <w:szCs w:val="22"/>
        </w:rPr>
        <w:t>A range of complex cognitive, emotional, and behavioural changes affecting day-to-day functioning and general well-being is common in older individuals living in facilities for people suffering from dementia. Confusion, irritation, and anxiety arise from dementia, which is a degenerative condition influencing memory, cognition, and communication (Alzheimer’s Society, 202</w:t>
      </w:r>
      <w:r>
        <w:rPr>
          <w:rFonts w:ascii="Arial" w:hAnsi="Arial" w:cs="Arial"/>
          <w:sz w:val="22"/>
          <w:szCs w:val="22"/>
        </w:rPr>
        <w:t>4</w:t>
      </w:r>
      <w:r w:rsidRPr="006D43B0">
        <w:rPr>
          <w:rFonts w:ascii="Arial" w:hAnsi="Arial" w:cs="Arial"/>
          <w:sz w:val="22"/>
          <w:szCs w:val="22"/>
        </w:rPr>
        <w:t>). Residents may lose their feelings of autonomy, individuality, as they age; thus, empathetic care and emotional support for them is vital (Woods et al., 201</w:t>
      </w:r>
      <w:r>
        <w:rPr>
          <w:rFonts w:ascii="Arial" w:hAnsi="Arial" w:cs="Arial"/>
          <w:sz w:val="22"/>
          <w:szCs w:val="22"/>
        </w:rPr>
        <w:t>5</w:t>
      </w:r>
      <w:r w:rsidRPr="006D43B0">
        <w:rPr>
          <w:rFonts w:ascii="Arial" w:hAnsi="Arial" w:cs="Arial"/>
          <w:sz w:val="22"/>
          <w:szCs w:val="22"/>
        </w:rPr>
        <w:t>). For residents' physical, psychological, as well as social needs to be met, it is imperative to gauge the care home environment.</w:t>
      </w:r>
    </w:p>
    <w:p w14:paraId="7DC14D8E" w14:textId="5AC40EAB" w:rsidR="006D43B0" w:rsidRDefault="006D43B0" w:rsidP="004B3676">
      <w:pPr>
        <w:spacing w:after="120" w:line="240" w:lineRule="auto"/>
        <w:rPr>
          <w:rFonts w:ascii="Arial" w:hAnsi="Arial" w:cs="Arial"/>
          <w:sz w:val="22"/>
          <w:szCs w:val="22"/>
        </w:rPr>
      </w:pPr>
      <w:r w:rsidRPr="006D43B0">
        <w:rPr>
          <w:rFonts w:ascii="Arial" w:hAnsi="Arial" w:cs="Arial"/>
          <w:sz w:val="22"/>
          <w:szCs w:val="22"/>
        </w:rPr>
        <w:t>Supporting people who have poor communication skills, which makes it difficult for them to express themselves, is a challenge for healthcare professionals operating in this environment. A strong understanding of psychological theory allows healthcare practitioners to recognize behavior as an indication of an unchecked need as opposed to symptoms that require control (Kitwood, 1997). Health practitioners in this environment can adopt more person-centered, empathetic approaches that respect and maintain dignity for older people by employing psychological perspectives (Brooker &amp;amp; Latham, 201</w:t>
      </w:r>
      <w:r>
        <w:rPr>
          <w:rFonts w:ascii="Arial" w:hAnsi="Arial" w:cs="Arial"/>
          <w:sz w:val="22"/>
          <w:szCs w:val="22"/>
        </w:rPr>
        <w:t>5</w:t>
      </w:r>
      <w:r w:rsidRPr="006D43B0">
        <w:rPr>
          <w:rFonts w:ascii="Arial" w:hAnsi="Arial" w:cs="Arial"/>
          <w:sz w:val="22"/>
          <w:szCs w:val="22"/>
        </w:rPr>
        <w:t>). Health practitioners in this environment can promote wellness, relieve stress, promote identity, and bring people together by expressing in-depth understanding of psychological development principles pertaining to emotional connectivity.</w:t>
      </w:r>
    </w:p>
    <w:p w14:paraId="3635B333" w14:textId="231FE9EF" w:rsidR="006D43B0" w:rsidRDefault="006D43B0" w:rsidP="006D43B0">
      <w:pPr>
        <w:pStyle w:val="Heading1"/>
        <w:spacing w:before="0" w:after="120" w:line="240" w:lineRule="auto"/>
      </w:pPr>
      <w:bookmarkStart w:id="2" w:name="_Toc214094067"/>
      <w:r>
        <w:t>Detailed Overview of Two Theories</w:t>
      </w:r>
      <w:bookmarkEnd w:id="2"/>
      <w:r>
        <w:t xml:space="preserve"> </w:t>
      </w:r>
    </w:p>
    <w:p w14:paraId="14C8D7CF" w14:textId="3580BDA5" w:rsidR="006D43B0" w:rsidRDefault="006D43B0" w:rsidP="006D43B0">
      <w:pPr>
        <w:pStyle w:val="Heading2"/>
        <w:spacing w:before="0" w:after="120" w:line="240" w:lineRule="auto"/>
      </w:pPr>
      <w:bookmarkStart w:id="3" w:name="_Toc214094068"/>
      <w:r>
        <w:t>Erikson’s Psychosocial Theory</w:t>
      </w:r>
      <w:bookmarkEnd w:id="3"/>
      <w:r>
        <w:t xml:space="preserve"> </w:t>
      </w:r>
    </w:p>
    <w:p w14:paraId="3E6E3644" w14:textId="3E05E8CA" w:rsidR="006D43B0" w:rsidRDefault="006D43B0" w:rsidP="006D43B0">
      <w:pPr>
        <w:spacing w:after="120" w:line="240" w:lineRule="auto"/>
        <w:rPr>
          <w:rFonts w:ascii="Arial" w:hAnsi="Arial" w:cs="Arial"/>
          <w:sz w:val="22"/>
          <w:szCs w:val="22"/>
        </w:rPr>
      </w:pPr>
      <w:r w:rsidRPr="006D43B0">
        <w:rPr>
          <w:rFonts w:ascii="Arial" w:hAnsi="Arial" w:cs="Arial"/>
          <w:sz w:val="22"/>
          <w:szCs w:val="22"/>
        </w:rPr>
        <w:t>According to Erikson’s Psychosocial Theory of development, individuals pass through eight stages of development in which they encounter different psychological crises, which in turn influence their development of identity as well as personality (Erikson, 1950). The eighth stage, Integrity vs. Despair, is experienced in older adulthood, which is more focused upon looking back at life. Individuals attain integrity, which results in awareness and acceptance, if they feel as if they have lived an effective life (Erikson, 1982). Conversely, they feel despondent, sad, and even frightened of death if they feel as if they have lived a life of regrets, which is full of missed opportunities.</w:t>
      </w:r>
    </w:p>
    <w:p w14:paraId="64C571BB" w14:textId="67C8E849" w:rsidR="006D43B0" w:rsidRDefault="004F79DA" w:rsidP="006D43B0">
      <w:pPr>
        <w:spacing w:after="120" w:line="240" w:lineRule="auto"/>
        <w:rPr>
          <w:rFonts w:ascii="Arial" w:hAnsi="Arial" w:cs="Arial"/>
          <w:sz w:val="22"/>
          <w:szCs w:val="22"/>
        </w:rPr>
      </w:pPr>
      <w:r w:rsidRPr="004F79DA">
        <w:rPr>
          <w:rFonts w:ascii="Arial" w:hAnsi="Arial" w:cs="Arial"/>
          <w:sz w:val="22"/>
          <w:szCs w:val="22"/>
        </w:rPr>
        <w:lastRenderedPageBreak/>
        <w:t>Given the issues of loss of memory as well as loss of cognition, the processes of reviewing one’s life and maintaining identity could be very challenging for seniors suffering from dementia. Nonetheless, they may find themselves in a state of integrity as well as realization using encouraging conversation as well as remembrance-related activities (Butler, 1963). This hypothesis would allow practitioners in health as well as social care to recognize that emotional distress in seniors could more likely denote existential issues as opposed to merely symptoms of illness. Enhancing dignity as well as recognition of life stories makes people get hold of their enjoyable events, thus fostering emotional well-being (Clare, 2003). Consequently, Erikson’s paradigm does help caregivers to recognize the psychological significance of maintaining identity as well as introspection in dementia care.</w:t>
      </w:r>
    </w:p>
    <w:p w14:paraId="689DA195" w14:textId="188B1705" w:rsidR="004F79DA" w:rsidRDefault="00E74C57" w:rsidP="004F79DA">
      <w:pPr>
        <w:pStyle w:val="Heading2"/>
        <w:spacing w:before="0" w:after="120" w:line="240" w:lineRule="auto"/>
      </w:pPr>
      <w:bookmarkStart w:id="4" w:name="_Toc214094069"/>
      <w:r>
        <w:t>Maslow’s Hierarchy of Needs</w:t>
      </w:r>
      <w:bookmarkEnd w:id="4"/>
    </w:p>
    <w:p w14:paraId="64FAAB6B" w14:textId="77777777" w:rsidR="0055336C" w:rsidRPr="00872F12" w:rsidRDefault="0055336C" w:rsidP="00872F12">
      <w:pPr>
        <w:spacing w:after="120" w:line="240" w:lineRule="auto"/>
        <w:rPr>
          <w:rFonts w:ascii="Arial" w:hAnsi="Arial" w:cs="Arial"/>
          <w:sz w:val="22"/>
          <w:szCs w:val="22"/>
        </w:rPr>
      </w:pPr>
      <w:r w:rsidRPr="00872F12">
        <w:rPr>
          <w:rFonts w:ascii="Arial" w:hAnsi="Arial" w:cs="Arial"/>
          <w:sz w:val="22"/>
          <w:szCs w:val="22"/>
        </w:rPr>
        <w:t>The five consecutive stages of Maslow’s Need Hierarchy, namely physiological, safety, love and belonging, esteem, and self-actualization needs, provide an explanation for people’s behavior, which acts as a powerful motivational model for understanding human behavior (Maslow, 1943). Maslow proposed that individuals are never able to focus on improved psychological growth unless and until their lower-order needs are fulfilled. The relevance of this theory is very significant in health and social care, and particularly in the case of older people, as is evident in Mr. Peter, aged 68, residing in a dementia home, whose independence, memory, and communication abilities have progressively declined over the years.</w:t>
      </w:r>
    </w:p>
    <w:p w14:paraId="2FA86D9B" w14:textId="76A36FFD" w:rsidR="0055336C" w:rsidRPr="0055336C" w:rsidRDefault="0055336C" w:rsidP="0055336C">
      <w:pPr>
        <w:spacing w:after="120" w:line="240" w:lineRule="auto"/>
        <w:rPr>
          <w:rFonts w:ascii="Arial" w:hAnsi="Arial" w:cs="Arial"/>
          <w:sz w:val="22"/>
          <w:szCs w:val="22"/>
        </w:rPr>
      </w:pPr>
      <w:r w:rsidRPr="0055336C">
        <w:rPr>
          <w:rFonts w:ascii="Arial" w:hAnsi="Arial" w:cs="Arial"/>
          <w:sz w:val="22"/>
          <w:szCs w:val="22"/>
        </w:rPr>
        <w:t>The satisfaction of this need in people with dementia requires subtlety and an overall approach. The basic psychological needs of Mr. Peter can be satisfied through regular activities and secure surroundings, enabling professionals working with him to fulfil his higher-order needs, like those of affection, belongingness, and self-esteem. When Mr. Peter’s basic needs are already satisfied, his self-esteem and feeling of self-worth can be raised through activities like rememorise therapy, recognition of his past achievements, and participation in decision-making on everyday issues. Later, through self-actualization, he may experience feelings of acceptance, calmness, and meaning, and satisfaction may no longer depend on achievement. In order to improve well-being and dignity, working with people with dementia, Maslow’s theory advises health and social-care professionals to be person-centred and motivational, working on all levels of needs.</w:t>
      </w:r>
    </w:p>
    <w:p w14:paraId="3CC8B2A2" w14:textId="551A173F" w:rsidR="004F79DA" w:rsidRDefault="004F79DA" w:rsidP="004F79DA">
      <w:pPr>
        <w:pStyle w:val="Heading1"/>
        <w:spacing w:before="0" w:after="120" w:line="240" w:lineRule="auto"/>
      </w:pPr>
      <w:bookmarkStart w:id="5" w:name="_Toc214094070"/>
      <w:r>
        <w:t>Application in the Health and Social Care Context</w:t>
      </w:r>
      <w:bookmarkEnd w:id="5"/>
      <w:r>
        <w:t xml:space="preserve"> </w:t>
      </w:r>
    </w:p>
    <w:p w14:paraId="0CDE9233" w14:textId="7C9FC860" w:rsidR="004F79DA" w:rsidRDefault="004F79DA" w:rsidP="004F79DA">
      <w:pPr>
        <w:spacing w:after="120" w:line="240" w:lineRule="auto"/>
        <w:rPr>
          <w:rFonts w:ascii="Arial" w:hAnsi="Arial" w:cs="Arial"/>
          <w:sz w:val="22"/>
          <w:szCs w:val="22"/>
        </w:rPr>
      </w:pPr>
      <w:r w:rsidRPr="004F79DA">
        <w:rPr>
          <w:rFonts w:ascii="Arial" w:hAnsi="Arial" w:cs="Arial"/>
          <w:sz w:val="22"/>
          <w:szCs w:val="22"/>
        </w:rPr>
        <w:t>Professionals can positively contribute to emotional as well as cognitive well-being in older people suffering from dementia by employing psychological theories in this domain. Erikson’s Psychosocial Theory is beneficial for professionals to understand the psychological issues of aging, in which finding integrity in old age is an issue, but for people suffering from dementia, this issue is complicated by loss of memory and experiencing confusion, which leads to feelings of hopelessness as well as loss of identity (Erikson, 1982). Health professionals in this domain can capitalize upon this psychological understanding to formulate plans, for example, memory boxes, pictures, or storytelling, which help in either inducing pleasurable psychological episodes in individuals as well as increasing his/her sense of continuity (Butler, 1963; Clare, 2003).</w:t>
      </w:r>
    </w:p>
    <w:p w14:paraId="5A84C4F9" w14:textId="35AC946B" w:rsidR="0055336C" w:rsidRDefault="0055336C" w:rsidP="004F79DA">
      <w:pPr>
        <w:spacing w:after="120" w:line="240" w:lineRule="auto"/>
        <w:rPr>
          <w:rFonts w:ascii="Arial" w:hAnsi="Arial" w:cs="Arial"/>
          <w:sz w:val="22"/>
          <w:szCs w:val="22"/>
        </w:rPr>
      </w:pPr>
      <w:r w:rsidRPr="0055336C">
        <w:rPr>
          <w:rFonts w:ascii="Arial" w:hAnsi="Arial" w:cs="Arial"/>
          <w:sz w:val="22"/>
          <w:szCs w:val="22"/>
        </w:rPr>
        <w:t xml:space="preserve">The basis on which the various motivational and emotional demands of Mr. Peter, aged 68, and diagnosed with dementia, residing in an old home, can be met is by the basis of Maslow’s Need theory (1943). The personnel provide Mr. Peter with the basis of psychological well-being by ensuring his physiological and security needs, like food, comfort, cues, and security, are always met. Professionals have the opportunity to fulfil his social and self-esteem needs, beginning with bang participation and satisfaction, following the satisfaction of his fundamental needs. Mr. Peter’s needs may be met through participation in </w:t>
      </w:r>
      <w:r w:rsidRPr="0055336C">
        <w:rPr>
          <w:rFonts w:ascii="Arial" w:hAnsi="Arial" w:cs="Arial"/>
          <w:sz w:val="22"/>
          <w:szCs w:val="22"/>
        </w:rPr>
        <w:lastRenderedPageBreak/>
        <w:t>activities and games, through which identification and confidence may be generated, like light exercises or activity games.</w:t>
      </w:r>
    </w:p>
    <w:p w14:paraId="4AD7DE2F" w14:textId="77777777" w:rsidR="0055336C" w:rsidRDefault="0055336C" w:rsidP="004F79DA">
      <w:pPr>
        <w:spacing w:after="120" w:line="240" w:lineRule="auto"/>
        <w:rPr>
          <w:rFonts w:ascii="Arial" w:hAnsi="Arial" w:cs="Arial"/>
          <w:sz w:val="22"/>
          <w:szCs w:val="22"/>
        </w:rPr>
      </w:pPr>
      <w:r w:rsidRPr="0055336C">
        <w:rPr>
          <w:rFonts w:ascii="Arial" w:hAnsi="Arial" w:cs="Arial"/>
          <w:sz w:val="22"/>
          <w:szCs w:val="22"/>
        </w:rPr>
        <w:t>However, the application of these approaches in the real setting is also very challenging. Time constraints, lack of personnel, burnout, and communication are some of the factors that may affect this (Brooker &amp; Latham, 2015). On the other hand, as people grow older with dementia, they may have difficulties engaging in meaningful and therapeutic communication. In this regard, professionals can benefit by engaging in reflective supervision, working as a team, and regularly being trained on communication with people with dementia. When staff members are directed to prioritize the emotional and psychological needs of the residents, caring practices rooted in empathy and theory are achieved (Woods et al., 2015).</w:t>
      </w:r>
    </w:p>
    <w:p w14:paraId="1D9BDF8E" w14:textId="03CA063B" w:rsidR="00FF5FAF" w:rsidRDefault="00FF5FAF" w:rsidP="004F79DA">
      <w:pPr>
        <w:spacing w:after="120" w:line="240" w:lineRule="auto"/>
        <w:rPr>
          <w:rFonts w:ascii="Arial" w:hAnsi="Arial" w:cs="Arial"/>
          <w:sz w:val="22"/>
          <w:szCs w:val="22"/>
        </w:rPr>
      </w:pPr>
      <w:r w:rsidRPr="00FF5FAF">
        <w:rPr>
          <w:rFonts w:ascii="Arial" w:hAnsi="Arial" w:cs="Arial"/>
          <w:sz w:val="22"/>
          <w:szCs w:val="22"/>
        </w:rPr>
        <w:t xml:space="preserve">Carers can understand both the relational and development aspects of caring by using concepts from Erikson’s and </w:t>
      </w:r>
      <w:r w:rsidR="0055336C">
        <w:rPr>
          <w:rFonts w:ascii="Arial" w:hAnsi="Arial" w:cs="Arial"/>
          <w:sz w:val="22"/>
          <w:szCs w:val="22"/>
        </w:rPr>
        <w:t xml:space="preserve">Maslow’s </w:t>
      </w:r>
      <w:r w:rsidR="0055336C" w:rsidRPr="00FF5FAF">
        <w:rPr>
          <w:rFonts w:ascii="Arial" w:hAnsi="Arial" w:cs="Arial"/>
          <w:sz w:val="22"/>
          <w:szCs w:val="22"/>
        </w:rPr>
        <w:t>theories</w:t>
      </w:r>
      <w:r w:rsidRPr="00FF5FAF">
        <w:rPr>
          <w:rFonts w:ascii="Arial" w:hAnsi="Arial" w:cs="Arial"/>
          <w:sz w:val="22"/>
          <w:szCs w:val="22"/>
        </w:rPr>
        <w:t>. A full platform for implementing wellness as well as dignity in people suffering from dementia in old age is enabled by using Erikson’s concepts for implementing integrity and identity, in addition to using concepts of respect from Rogers’ theory.</w:t>
      </w:r>
    </w:p>
    <w:p w14:paraId="5D7886F4" w14:textId="3B1E3D4A" w:rsidR="00FF5FAF" w:rsidRDefault="00FF5FAF" w:rsidP="00FF5FAF">
      <w:pPr>
        <w:pStyle w:val="Heading1"/>
        <w:spacing w:before="0" w:after="120" w:line="240" w:lineRule="auto"/>
      </w:pPr>
      <w:bookmarkStart w:id="6" w:name="_Toc214094071"/>
      <w:r>
        <w:t>Conclusion</w:t>
      </w:r>
      <w:bookmarkEnd w:id="6"/>
      <w:r>
        <w:t xml:space="preserve"> </w:t>
      </w:r>
    </w:p>
    <w:p w14:paraId="2F86A475" w14:textId="11D814A2" w:rsidR="00FF5FAF" w:rsidRDefault="00FF5FAF" w:rsidP="00FF5FAF">
      <w:pPr>
        <w:spacing w:after="120" w:line="240" w:lineRule="auto"/>
        <w:rPr>
          <w:rFonts w:ascii="Arial" w:hAnsi="Arial" w:cs="Arial"/>
          <w:sz w:val="22"/>
          <w:szCs w:val="22"/>
        </w:rPr>
      </w:pPr>
      <w:r w:rsidRPr="00FF5FAF">
        <w:rPr>
          <w:rFonts w:ascii="Arial" w:hAnsi="Arial" w:cs="Arial"/>
          <w:sz w:val="22"/>
          <w:szCs w:val="22"/>
        </w:rPr>
        <w:t>One of the most fundamental foundations in understanding senior citizens living with dementia is established by psychological theories. Professionals dealing in healthcare and social support for seniors can grasp needs, feelings, and behavior in order to promote understanding and compassion by relying upon psychological theories. According to Erikson’s Psychosocial Theory, the critical issue at stake in development at old age is maintaining integrity, as older people, reflecting upon their existence, feel a search for acceptance and meaning when they express judgments about themselves.</w:t>
      </w:r>
    </w:p>
    <w:p w14:paraId="10552695" w14:textId="20433EED" w:rsidR="004F79DA" w:rsidRDefault="00872F12" w:rsidP="006D43B0">
      <w:pPr>
        <w:spacing w:after="120" w:line="240" w:lineRule="auto"/>
        <w:rPr>
          <w:rFonts w:ascii="Arial" w:hAnsi="Arial" w:cs="Arial"/>
          <w:sz w:val="22"/>
          <w:szCs w:val="22"/>
        </w:rPr>
      </w:pPr>
      <w:r w:rsidRPr="00872F12">
        <w:rPr>
          <w:rFonts w:ascii="Arial" w:hAnsi="Arial" w:cs="Arial"/>
          <w:sz w:val="22"/>
          <w:szCs w:val="22"/>
        </w:rPr>
        <w:t>Beginning with basic survival and ending at self-actualization, the theory of Maslow’s Hierarchy of Needs insists on the necessity of accounting for human motivation and well-being by systematically understanding needs. This notion is pertinent today as it reminds those involved in caring for those with dementia, like Mr. Peter, that they still need to be nurtured and cherished, no matter how much their level of independence may dwindle. When combined with Erikson’s views on integrity and life review, Maslow’s paradigm ensures a well-rounded understanding of the person and caring for him/her with psychological sensitivity.</w:t>
      </w:r>
    </w:p>
    <w:p w14:paraId="5751B03C" w14:textId="77777777" w:rsidR="006D43B0" w:rsidRPr="006D43B0" w:rsidRDefault="006D43B0" w:rsidP="006D43B0">
      <w:pPr>
        <w:spacing w:after="120" w:line="240" w:lineRule="auto"/>
        <w:rPr>
          <w:rFonts w:ascii="Arial" w:hAnsi="Arial" w:cs="Arial"/>
          <w:sz w:val="22"/>
          <w:szCs w:val="22"/>
        </w:rPr>
      </w:pPr>
    </w:p>
    <w:p w14:paraId="59F33C33" w14:textId="77777777" w:rsidR="004B3676" w:rsidRDefault="004B3676">
      <w:r>
        <w:br w:type="page"/>
      </w:r>
    </w:p>
    <w:p w14:paraId="1E80217F" w14:textId="36D65C4E" w:rsidR="004B3676" w:rsidRDefault="004B3676" w:rsidP="004B3676">
      <w:pPr>
        <w:pStyle w:val="Heading1"/>
        <w:spacing w:before="0" w:after="120" w:line="240" w:lineRule="auto"/>
      </w:pPr>
      <w:bookmarkStart w:id="7" w:name="_Toc214094072"/>
      <w:r>
        <w:lastRenderedPageBreak/>
        <w:t>References</w:t>
      </w:r>
      <w:bookmarkEnd w:id="7"/>
      <w:r>
        <w:t xml:space="preserve"> </w:t>
      </w:r>
    </w:p>
    <w:p w14:paraId="03F980DB" w14:textId="77777777" w:rsidR="00872F12" w:rsidRDefault="00872F12" w:rsidP="004B3676">
      <w:pPr>
        <w:spacing w:after="120" w:line="240" w:lineRule="auto"/>
        <w:rPr>
          <w:rFonts w:ascii="Arial" w:hAnsi="Arial" w:cs="Arial"/>
          <w:sz w:val="22"/>
          <w:szCs w:val="22"/>
        </w:rPr>
      </w:pPr>
      <w:r w:rsidRPr="006D43B0">
        <w:rPr>
          <w:rFonts w:ascii="Arial" w:hAnsi="Arial" w:cs="Arial"/>
          <w:sz w:val="22"/>
          <w:szCs w:val="22"/>
        </w:rPr>
        <w:t>Brooker, D., &amp; Latham, I. (2015). </w:t>
      </w:r>
      <w:r w:rsidRPr="006D43B0">
        <w:rPr>
          <w:rFonts w:ascii="Arial" w:hAnsi="Arial" w:cs="Arial"/>
          <w:i/>
          <w:iCs/>
          <w:sz w:val="22"/>
          <w:szCs w:val="22"/>
        </w:rPr>
        <w:t>Person-centred dementia care: Making services better with the VIPS framework</w:t>
      </w:r>
      <w:r w:rsidRPr="006D43B0">
        <w:rPr>
          <w:rFonts w:ascii="Arial" w:hAnsi="Arial" w:cs="Arial"/>
          <w:sz w:val="22"/>
          <w:szCs w:val="22"/>
        </w:rPr>
        <w:t>. Jessica Kingsley Publishers.</w:t>
      </w:r>
    </w:p>
    <w:p w14:paraId="15D1166C" w14:textId="77777777" w:rsidR="00872F12" w:rsidRDefault="00872F12" w:rsidP="004B3676">
      <w:pPr>
        <w:spacing w:after="120" w:line="240" w:lineRule="auto"/>
        <w:rPr>
          <w:rFonts w:ascii="Arial" w:hAnsi="Arial" w:cs="Arial"/>
          <w:sz w:val="22"/>
          <w:szCs w:val="22"/>
        </w:rPr>
      </w:pPr>
      <w:r w:rsidRPr="004F79DA">
        <w:rPr>
          <w:rFonts w:ascii="Arial" w:hAnsi="Arial" w:cs="Arial"/>
          <w:sz w:val="22"/>
          <w:szCs w:val="22"/>
        </w:rPr>
        <w:t>Butler, R. N. (1963). The life review: An interpretation of reminiscence in the aged. </w:t>
      </w:r>
      <w:r w:rsidRPr="004F79DA">
        <w:rPr>
          <w:rFonts w:ascii="Arial" w:hAnsi="Arial" w:cs="Arial"/>
          <w:i/>
          <w:iCs/>
          <w:sz w:val="22"/>
          <w:szCs w:val="22"/>
        </w:rPr>
        <w:t>Psychiatry</w:t>
      </w:r>
      <w:r w:rsidRPr="004F79DA">
        <w:rPr>
          <w:rFonts w:ascii="Arial" w:hAnsi="Arial" w:cs="Arial"/>
          <w:sz w:val="22"/>
          <w:szCs w:val="22"/>
        </w:rPr>
        <w:t>, </w:t>
      </w:r>
      <w:r w:rsidRPr="004F79DA">
        <w:rPr>
          <w:rFonts w:ascii="Arial" w:hAnsi="Arial" w:cs="Arial"/>
          <w:i/>
          <w:iCs/>
          <w:sz w:val="22"/>
          <w:szCs w:val="22"/>
        </w:rPr>
        <w:t>26</w:t>
      </w:r>
      <w:r w:rsidRPr="004F79DA">
        <w:rPr>
          <w:rFonts w:ascii="Arial" w:hAnsi="Arial" w:cs="Arial"/>
          <w:sz w:val="22"/>
          <w:szCs w:val="22"/>
        </w:rPr>
        <w:t>(1), 65-76.</w:t>
      </w:r>
    </w:p>
    <w:p w14:paraId="1155DDF1" w14:textId="77777777" w:rsidR="00872F12" w:rsidRDefault="00872F12" w:rsidP="004B3676">
      <w:pPr>
        <w:spacing w:after="120" w:line="240" w:lineRule="auto"/>
        <w:rPr>
          <w:rFonts w:ascii="Arial" w:hAnsi="Arial" w:cs="Arial"/>
          <w:sz w:val="22"/>
          <w:szCs w:val="22"/>
        </w:rPr>
      </w:pPr>
      <w:r w:rsidRPr="004F79DA">
        <w:rPr>
          <w:rFonts w:ascii="Arial" w:hAnsi="Arial" w:cs="Arial"/>
          <w:sz w:val="22"/>
          <w:szCs w:val="22"/>
        </w:rPr>
        <w:t xml:space="preserve">Clare, L. (2003). Managing threats to self: awareness in </w:t>
      </w:r>
      <w:proofErr w:type="gramStart"/>
      <w:r w:rsidRPr="004F79DA">
        <w:rPr>
          <w:rFonts w:ascii="Arial" w:hAnsi="Arial" w:cs="Arial"/>
          <w:sz w:val="22"/>
          <w:szCs w:val="22"/>
        </w:rPr>
        <w:t>early stage</w:t>
      </w:r>
      <w:proofErr w:type="gramEnd"/>
      <w:r w:rsidRPr="004F79DA">
        <w:rPr>
          <w:rFonts w:ascii="Arial" w:hAnsi="Arial" w:cs="Arial"/>
          <w:sz w:val="22"/>
          <w:szCs w:val="22"/>
        </w:rPr>
        <w:t xml:space="preserve"> Alzheimer's disease. </w:t>
      </w:r>
      <w:r w:rsidRPr="004F79DA">
        <w:rPr>
          <w:rFonts w:ascii="Arial" w:hAnsi="Arial" w:cs="Arial"/>
          <w:i/>
          <w:iCs/>
          <w:sz w:val="22"/>
          <w:szCs w:val="22"/>
        </w:rPr>
        <w:t>Social science &amp; medicine</w:t>
      </w:r>
      <w:r w:rsidRPr="004F79DA">
        <w:rPr>
          <w:rFonts w:ascii="Arial" w:hAnsi="Arial" w:cs="Arial"/>
          <w:sz w:val="22"/>
          <w:szCs w:val="22"/>
        </w:rPr>
        <w:t>, </w:t>
      </w:r>
      <w:r w:rsidRPr="004F79DA">
        <w:rPr>
          <w:rFonts w:ascii="Arial" w:hAnsi="Arial" w:cs="Arial"/>
          <w:i/>
          <w:iCs/>
          <w:sz w:val="22"/>
          <w:szCs w:val="22"/>
        </w:rPr>
        <w:t>57</w:t>
      </w:r>
      <w:r w:rsidRPr="004F79DA">
        <w:rPr>
          <w:rFonts w:ascii="Arial" w:hAnsi="Arial" w:cs="Arial"/>
          <w:sz w:val="22"/>
          <w:szCs w:val="22"/>
        </w:rPr>
        <w:t>(6), 1017-1029.</w:t>
      </w:r>
    </w:p>
    <w:p w14:paraId="26301C93" w14:textId="77777777" w:rsidR="00872F12" w:rsidRDefault="00872F12" w:rsidP="004B3676">
      <w:pPr>
        <w:spacing w:after="120" w:line="240" w:lineRule="auto"/>
        <w:rPr>
          <w:rFonts w:ascii="Arial" w:hAnsi="Arial" w:cs="Arial"/>
          <w:sz w:val="22"/>
          <w:szCs w:val="22"/>
        </w:rPr>
      </w:pPr>
      <w:r w:rsidRPr="004F79DA">
        <w:rPr>
          <w:rFonts w:ascii="Arial" w:hAnsi="Arial" w:cs="Arial"/>
          <w:sz w:val="22"/>
          <w:szCs w:val="22"/>
        </w:rPr>
        <w:t>Erikson, E. (1982). The life cycle completed. NY.</w:t>
      </w:r>
    </w:p>
    <w:p w14:paraId="1EC50BD2" w14:textId="77777777" w:rsidR="00872F12" w:rsidRDefault="00872F12" w:rsidP="004B3676">
      <w:pPr>
        <w:spacing w:after="120" w:line="240" w:lineRule="auto"/>
        <w:rPr>
          <w:rFonts w:ascii="Arial" w:hAnsi="Arial" w:cs="Arial"/>
          <w:sz w:val="22"/>
          <w:szCs w:val="22"/>
        </w:rPr>
      </w:pPr>
      <w:r w:rsidRPr="004F79DA">
        <w:rPr>
          <w:rFonts w:ascii="Arial" w:hAnsi="Arial" w:cs="Arial"/>
          <w:sz w:val="22"/>
          <w:szCs w:val="22"/>
        </w:rPr>
        <w:t>Erikson, E. H. (1950). Childhood and Society. New York: Norton.</w:t>
      </w:r>
    </w:p>
    <w:p w14:paraId="086337A8" w14:textId="77777777" w:rsidR="00872F12" w:rsidRDefault="00872F12" w:rsidP="004B3676">
      <w:pPr>
        <w:spacing w:after="120" w:line="240" w:lineRule="auto"/>
        <w:rPr>
          <w:rFonts w:ascii="Arial" w:hAnsi="Arial" w:cs="Arial"/>
          <w:sz w:val="22"/>
          <w:szCs w:val="22"/>
        </w:rPr>
      </w:pPr>
      <w:r w:rsidRPr="006D43B0">
        <w:rPr>
          <w:rFonts w:ascii="Arial" w:hAnsi="Arial" w:cs="Arial"/>
          <w:sz w:val="22"/>
          <w:szCs w:val="22"/>
        </w:rPr>
        <w:t>Kitwood, T. (1997) Dementia reconsidered: The person comes first. Open University Press, Buckingham.</w:t>
      </w:r>
    </w:p>
    <w:p w14:paraId="615ADCA1" w14:textId="77777777" w:rsidR="00872F12" w:rsidRDefault="00872F12" w:rsidP="004B3676">
      <w:pPr>
        <w:spacing w:after="120" w:line="240" w:lineRule="auto"/>
        <w:rPr>
          <w:rFonts w:ascii="Arial" w:hAnsi="Arial" w:cs="Arial"/>
          <w:sz w:val="22"/>
          <w:szCs w:val="22"/>
        </w:rPr>
      </w:pPr>
      <w:r w:rsidRPr="00E74C57">
        <w:rPr>
          <w:rFonts w:ascii="Arial" w:hAnsi="Arial" w:cs="Arial"/>
          <w:sz w:val="22"/>
          <w:szCs w:val="22"/>
        </w:rPr>
        <w:t>Maslow, A. H. (1943). A theory of human motivation. </w:t>
      </w:r>
      <w:r w:rsidRPr="00E74C57">
        <w:rPr>
          <w:rFonts w:ascii="Arial" w:hAnsi="Arial" w:cs="Arial"/>
          <w:i/>
          <w:iCs/>
          <w:sz w:val="22"/>
          <w:szCs w:val="22"/>
        </w:rPr>
        <w:t>Psychological Review google schola</w:t>
      </w:r>
      <w:r w:rsidRPr="00E74C57">
        <w:rPr>
          <w:rFonts w:ascii="Arial" w:hAnsi="Arial" w:cs="Arial"/>
          <w:sz w:val="22"/>
          <w:szCs w:val="22"/>
        </w:rPr>
        <w:t>, </w:t>
      </w:r>
      <w:r w:rsidRPr="00E74C57">
        <w:rPr>
          <w:rFonts w:ascii="Arial" w:hAnsi="Arial" w:cs="Arial"/>
          <w:i/>
          <w:iCs/>
          <w:sz w:val="22"/>
          <w:szCs w:val="22"/>
        </w:rPr>
        <w:t>2</w:t>
      </w:r>
      <w:r w:rsidRPr="00E74C57">
        <w:rPr>
          <w:rFonts w:ascii="Arial" w:hAnsi="Arial" w:cs="Arial"/>
          <w:sz w:val="22"/>
          <w:szCs w:val="22"/>
        </w:rPr>
        <w:t>, 21-28.</w:t>
      </w:r>
    </w:p>
    <w:p w14:paraId="75CEF9F5" w14:textId="77777777" w:rsidR="00872F12" w:rsidRPr="0055336C" w:rsidRDefault="00872F12" w:rsidP="0055336C">
      <w:pPr>
        <w:spacing w:after="120" w:line="240" w:lineRule="auto"/>
        <w:rPr>
          <w:rFonts w:ascii="Arial" w:hAnsi="Arial" w:cs="Arial"/>
          <w:sz w:val="22"/>
          <w:szCs w:val="22"/>
        </w:rPr>
      </w:pPr>
      <w:r w:rsidRPr="0055336C">
        <w:rPr>
          <w:rFonts w:ascii="Arial" w:hAnsi="Arial" w:cs="Arial"/>
          <w:sz w:val="22"/>
          <w:szCs w:val="22"/>
        </w:rPr>
        <w:t>Maslow, A. H. (1954). Motivation and Personality. New York, NY: Harper &amp; Row Publishers.</w:t>
      </w:r>
    </w:p>
    <w:p w14:paraId="2058144E" w14:textId="77777777" w:rsidR="00872F12" w:rsidRPr="006D43B0" w:rsidRDefault="00872F12" w:rsidP="006D43B0">
      <w:pPr>
        <w:spacing w:after="120" w:line="240" w:lineRule="auto"/>
        <w:rPr>
          <w:rFonts w:ascii="Arial" w:hAnsi="Arial" w:cs="Arial"/>
          <w:sz w:val="22"/>
          <w:szCs w:val="22"/>
        </w:rPr>
      </w:pPr>
      <w:r w:rsidRPr="006D43B0">
        <w:rPr>
          <w:rFonts w:ascii="Arial" w:hAnsi="Arial" w:cs="Arial"/>
          <w:i/>
          <w:iCs/>
          <w:sz w:val="22"/>
          <w:szCs w:val="22"/>
        </w:rPr>
        <w:t>What is dementia? symptoms, causes and treatments</w:t>
      </w:r>
      <w:r w:rsidRPr="006D43B0">
        <w:rPr>
          <w:rFonts w:ascii="Arial" w:hAnsi="Arial" w:cs="Arial"/>
          <w:sz w:val="22"/>
          <w:szCs w:val="22"/>
        </w:rPr>
        <w:t xml:space="preserve"> (2024) </w:t>
      </w:r>
      <w:r w:rsidRPr="006D43B0">
        <w:rPr>
          <w:rFonts w:ascii="Arial" w:hAnsi="Arial" w:cs="Arial"/>
          <w:i/>
          <w:iCs/>
          <w:sz w:val="22"/>
          <w:szCs w:val="22"/>
        </w:rPr>
        <w:t>Alzheimer’s Society</w:t>
      </w:r>
      <w:r w:rsidRPr="006D43B0">
        <w:rPr>
          <w:rFonts w:ascii="Arial" w:hAnsi="Arial" w:cs="Arial"/>
          <w:sz w:val="22"/>
          <w:szCs w:val="22"/>
        </w:rPr>
        <w:t xml:space="preserve">. Available at: https://www.alzheimers.org.uk/about-dementia/types-dementia/what-is-dementia. </w:t>
      </w:r>
    </w:p>
    <w:p w14:paraId="6E0FC82E" w14:textId="77777777" w:rsidR="00872F12" w:rsidRDefault="00872F12" w:rsidP="004B3676">
      <w:pPr>
        <w:spacing w:after="120" w:line="240" w:lineRule="auto"/>
        <w:rPr>
          <w:rFonts w:ascii="Arial" w:hAnsi="Arial" w:cs="Arial"/>
          <w:sz w:val="22"/>
          <w:szCs w:val="22"/>
        </w:rPr>
      </w:pPr>
      <w:r w:rsidRPr="006D43B0">
        <w:rPr>
          <w:rFonts w:ascii="Arial" w:hAnsi="Arial" w:cs="Arial"/>
          <w:sz w:val="22"/>
          <w:szCs w:val="22"/>
        </w:rPr>
        <w:t>Woods, R. T., &amp; Clare, L. (Eds.). (2015). </w:t>
      </w:r>
      <w:r w:rsidRPr="006D43B0">
        <w:rPr>
          <w:rFonts w:ascii="Arial" w:hAnsi="Arial" w:cs="Arial"/>
          <w:i/>
          <w:iCs/>
          <w:sz w:val="22"/>
          <w:szCs w:val="22"/>
        </w:rPr>
        <w:t>Handbook of the clinical psychology of ageing</w:t>
      </w:r>
      <w:r w:rsidRPr="006D43B0">
        <w:rPr>
          <w:rFonts w:ascii="Arial" w:hAnsi="Arial" w:cs="Arial"/>
          <w:sz w:val="22"/>
          <w:szCs w:val="22"/>
        </w:rPr>
        <w:t>. John Wiley &amp; Sons.</w:t>
      </w:r>
    </w:p>
    <w:p w14:paraId="682335D1" w14:textId="77777777" w:rsidR="006D43B0" w:rsidRPr="004B3676" w:rsidRDefault="006D43B0" w:rsidP="004B3676">
      <w:pPr>
        <w:spacing w:after="120" w:line="240" w:lineRule="auto"/>
        <w:rPr>
          <w:rFonts w:ascii="Arial" w:hAnsi="Arial" w:cs="Arial"/>
          <w:sz w:val="22"/>
          <w:szCs w:val="22"/>
        </w:rPr>
      </w:pPr>
    </w:p>
    <w:sectPr w:rsidR="006D43B0" w:rsidRPr="004B36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676"/>
    <w:rsid w:val="00461E7A"/>
    <w:rsid w:val="004729EF"/>
    <w:rsid w:val="004B3676"/>
    <w:rsid w:val="004F79DA"/>
    <w:rsid w:val="0055336C"/>
    <w:rsid w:val="005E0EE8"/>
    <w:rsid w:val="006D3E2C"/>
    <w:rsid w:val="006D43B0"/>
    <w:rsid w:val="00872F12"/>
    <w:rsid w:val="00902D27"/>
    <w:rsid w:val="00BA268A"/>
    <w:rsid w:val="00C01B46"/>
    <w:rsid w:val="00E74C57"/>
    <w:rsid w:val="00FF5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3C4C9"/>
  <w15:chartTrackingRefBased/>
  <w15:docId w15:val="{407E4882-CB6F-E34E-831E-D9C54520A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6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36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36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6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6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6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6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6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6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6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36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6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6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6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6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6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6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676"/>
    <w:rPr>
      <w:rFonts w:eastAsiaTheme="majorEastAsia" w:cstheme="majorBidi"/>
      <w:color w:val="272727" w:themeColor="text1" w:themeTint="D8"/>
    </w:rPr>
  </w:style>
  <w:style w:type="paragraph" w:styleId="Title">
    <w:name w:val="Title"/>
    <w:basedOn w:val="Normal"/>
    <w:next w:val="Normal"/>
    <w:link w:val="TitleChar"/>
    <w:uiPriority w:val="10"/>
    <w:qFormat/>
    <w:rsid w:val="004B36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6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6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6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676"/>
    <w:pPr>
      <w:spacing w:before="160"/>
      <w:jc w:val="center"/>
    </w:pPr>
    <w:rPr>
      <w:i/>
      <w:iCs/>
      <w:color w:val="404040" w:themeColor="text1" w:themeTint="BF"/>
    </w:rPr>
  </w:style>
  <w:style w:type="character" w:customStyle="1" w:styleId="QuoteChar">
    <w:name w:val="Quote Char"/>
    <w:basedOn w:val="DefaultParagraphFont"/>
    <w:link w:val="Quote"/>
    <w:uiPriority w:val="29"/>
    <w:rsid w:val="004B3676"/>
    <w:rPr>
      <w:i/>
      <w:iCs/>
      <w:color w:val="404040" w:themeColor="text1" w:themeTint="BF"/>
    </w:rPr>
  </w:style>
  <w:style w:type="paragraph" w:styleId="ListParagraph">
    <w:name w:val="List Paragraph"/>
    <w:basedOn w:val="Normal"/>
    <w:uiPriority w:val="34"/>
    <w:qFormat/>
    <w:rsid w:val="004B3676"/>
    <w:pPr>
      <w:ind w:left="720"/>
      <w:contextualSpacing/>
    </w:pPr>
  </w:style>
  <w:style w:type="character" w:styleId="IntenseEmphasis">
    <w:name w:val="Intense Emphasis"/>
    <w:basedOn w:val="DefaultParagraphFont"/>
    <w:uiPriority w:val="21"/>
    <w:qFormat/>
    <w:rsid w:val="004B3676"/>
    <w:rPr>
      <w:i/>
      <w:iCs/>
      <w:color w:val="0F4761" w:themeColor="accent1" w:themeShade="BF"/>
    </w:rPr>
  </w:style>
  <w:style w:type="paragraph" w:styleId="IntenseQuote">
    <w:name w:val="Intense Quote"/>
    <w:basedOn w:val="Normal"/>
    <w:next w:val="Normal"/>
    <w:link w:val="IntenseQuoteChar"/>
    <w:uiPriority w:val="30"/>
    <w:qFormat/>
    <w:rsid w:val="004B36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3676"/>
    <w:rPr>
      <w:i/>
      <w:iCs/>
      <w:color w:val="0F4761" w:themeColor="accent1" w:themeShade="BF"/>
    </w:rPr>
  </w:style>
  <w:style w:type="character" w:styleId="IntenseReference">
    <w:name w:val="Intense Reference"/>
    <w:basedOn w:val="DefaultParagraphFont"/>
    <w:uiPriority w:val="32"/>
    <w:qFormat/>
    <w:rsid w:val="004B3676"/>
    <w:rPr>
      <w:b/>
      <w:bCs/>
      <w:smallCaps/>
      <w:color w:val="0F4761" w:themeColor="accent1" w:themeShade="BF"/>
      <w:spacing w:val="5"/>
    </w:rPr>
  </w:style>
  <w:style w:type="paragraph" w:styleId="TOCHeading">
    <w:name w:val="TOC Heading"/>
    <w:basedOn w:val="Heading1"/>
    <w:next w:val="Normal"/>
    <w:uiPriority w:val="39"/>
    <w:unhideWhenUsed/>
    <w:qFormat/>
    <w:rsid w:val="00FF5FA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F5FAF"/>
    <w:pPr>
      <w:spacing w:before="120" w:after="0"/>
    </w:pPr>
    <w:rPr>
      <w:b/>
      <w:bCs/>
      <w:i/>
      <w:iCs/>
    </w:rPr>
  </w:style>
  <w:style w:type="paragraph" w:styleId="TOC2">
    <w:name w:val="toc 2"/>
    <w:basedOn w:val="Normal"/>
    <w:next w:val="Normal"/>
    <w:autoRedefine/>
    <w:uiPriority w:val="39"/>
    <w:unhideWhenUsed/>
    <w:rsid w:val="00FF5FAF"/>
    <w:pPr>
      <w:spacing w:before="120" w:after="0"/>
      <w:ind w:left="240"/>
    </w:pPr>
    <w:rPr>
      <w:b/>
      <w:bCs/>
      <w:sz w:val="22"/>
      <w:szCs w:val="22"/>
    </w:rPr>
  </w:style>
  <w:style w:type="character" w:styleId="Hyperlink">
    <w:name w:val="Hyperlink"/>
    <w:basedOn w:val="DefaultParagraphFont"/>
    <w:uiPriority w:val="99"/>
    <w:unhideWhenUsed/>
    <w:rsid w:val="00FF5FAF"/>
    <w:rPr>
      <w:color w:val="467886" w:themeColor="hyperlink"/>
      <w:u w:val="single"/>
    </w:rPr>
  </w:style>
  <w:style w:type="paragraph" w:styleId="TOC3">
    <w:name w:val="toc 3"/>
    <w:basedOn w:val="Normal"/>
    <w:next w:val="Normal"/>
    <w:autoRedefine/>
    <w:uiPriority w:val="39"/>
    <w:semiHidden/>
    <w:unhideWhenUsed/>
    <w:rsid w:val="00FF5FAF"/>
    <w:pPr>
      <w:spacing w:after="0"/>
      <w:ind w:left="480"/>
    </w:pPr>
    <w:rPr>
      <w:sz w:val="20"/>
      <w:szCs w:val="20"/>
    </w:rPr>
  </w:style>
  <w:style w:type="paragraph" w:styleId="TOC4">
    <w:name w:val="toc 4"/>
    <w:basedOn w:val="Normal"/>
    <w:next w:val="Normal"/>
    <w:autoRedefine/>
    <w:uiPriority w:val="39"/>
    <w:semiHidden/>
    <w:unhideWhenUsed/>
    <w:rsid w:val="00FF5FAF"/>
    <w:pPr>
      <w:spacing w:after="0"/>
      <w:ind w:left="720"/>
    </w:pPr>
    <w:rPr>
      <w:sz w:val="20"/>
      <w:szCs w:val="20"/>
    </w:rPr>
  </w:style>
  <w:style w:type="paragraph" w:styleId="TOC5">
    <w:name w:val="toc 5"/>
    <w:basedOn w:val="Normal"/>
    <w:next w:val="Normal"/>
    <w:autoRedefine/>
    <w:uiPriority w:val="39"/>
    <w:semiHidden/>
    <w:unhideWhenUsed/>
    <w:rsid w:val="00FF5FAF"/>
    <w:pPr>
      <w:spacing w:after="0"/>
      <w:ind w:left="960"/>
    </w:pPr>
    <w:rPr>
      <w:sz w:val="20"/>
      <w:szCs w:val="20"/>
    </w:rPr>
  </w:style>
  <w:style w:type="paragraph" w:styleId="TOC6">
    <w:name w:val="toc 6"/>
    <w:basedOn w:val="Normal"/>
    <w:next w:val="Normal"/>
    <w:autoRedefine/>
    <w:uiPriority w:val="39"/>
    <w:semiHidden/>
    <w:unhideWhenUsed/>
    <w:rsid w:val="00FF5FAF"/>
    <w:pPr>
      <w:spacing w:after="0"/>
      <w:ind w:left="1200"/>
    </w:pPr>
    <w:rPr>
      <w:sz w:val="20"/>
      <w:szCs w:val="20"/>
    </w:rPr>
  </w:style>
  <w:style w:type="paragraph" w:styleId="TOC7">
    <w:name w:val="toc 7"/>
    <w:basedOn w:val="Normal"/>
    <w:next w:val="Normal"/>
    <w:autoRedefine/>
    <w:uiPriority w:val="39"/>
    <w:semiHidden/>
    <w:unhideWhenUsed/>
    <w:rsid w:val="00FF5FAF"/>
    <w:pPr>
      <w:spacing w:after="0"/>
      <w:ind w:left="1440"/>
    </w:pPr>
    <w:rPr>
      <w:sz w:val="20"/>
      <w:szCs w:val="20"/>
    </w:rPr>
  </w:style>
  <w:style w:type="paragraph" w:styleId="TOC8">
    <w:name w:val="toc 8"/>
    <w:basedOn w:val="Normal"/>
    <w:next w:val="Normal"/>
    <w:autoRedefine/>
    <w:uiPriority w:val="39"/>
    <w:semiHidden/>
    <w:unhideWhenUsed/>
    <w:rsid w:val="00FF5FAF"/>
    <w:pPr>
      <w:spacing w:after="0"/>
      <w:ind w:left="1680"/>
    </w:pPr>
    <w:rPr>
      <w:sz w:val="20"/>
      <w:szCs w:val="20"/>
    </w:rPr>
  </w:style>
  <w:style w:type="paragraph" w:styleId="TOC9">
    <w:name w:val="toc 9"/>
    <w:basedOn w:val="Normal"/>
    <w:next w:val="Normal"/>
    <w:autoRedefine/>
    <w:uiPriority w:val="39"/>
    <w:semiHidden/>
    <w:unhideWhenUsed/>
    <w:rsid w:val="00FF5FAF"/>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262450">
      <w:bodyDiv w:val="1"/>
      <w:marLeft w:val="0"/>
      <w:marRight w:val="0"/>
      <w:marTop w:val="0"/>
      <w:marBottom w:val="0"/>
      <w:divBdr>
        <w:top w:val="none" w:sz="0" w:space="0" w:color="auto"/>
        <w:left w:val="none" w:sz="0" w:space="0" w:color="auto"/>
        <w:bottom w:val="none" w:sz="0" w:space="0" w:color="auto"/>
        <w:right w:val="none" w:sz="0" w:space="0" w:color="auto"/>
      </w:divBdr>
    </w:div>
    <w:div w:id="1303848908">
      <w:bodyDiv w:val="1"/>
      <w:marLeft w:val="0"/>
      <w:marRight w:val="0"/>
      <w:marTop w:val="0"/>
      <w:marBottom w:val="0"/>
      <w:divBdr>
        <w:top w:val="none" w:sz="0" w:space="0" w:color="auto"/>
        <w:left w:val="none" w:sz="0" w:space="0" w:color="auto"/>
        <w:bottom w:val="none" w:sz="0" w:space="0" w:color="auto"/>
        <w:right w:val="none" w:sz="0" w:space="0" w:color="auto"/>
      </w:divBdr>
    </w:div>
    <w:div w:id="1799763384">
      <w:bodyDiv w:val="1"/>
      <w:marLeft w:val="0"/>
      <w:marRight w:val="0"/>
      <w:marTop w:val="0"/>
      <w:marBottom w:val="0"/>
      <w:divBdr>
        <w:top w:val="none" w:sz="0" w:space="0" w:color="auto"/>
        <w:left w:val="none" w:sz="0" w:space="0" w:color="auto"/>
        <w:bottom w:val="none" w:sz="0" w:space="0" w:color="auto"/>
        <w:right w:val="none" w:sz="0" w:space="0" w:color="auto"/>
      </w:divBdr>
    </w:div>
    <w:div w:id="198681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93FAA-FCCC-3641-A5FA-763A70D9A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1674</Words>
  <Characters>9962</Characters>
  <Application>Microsoft Office Word</Application>
  <DocSecurity>0</DocSecurity>
  <Lines>170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Augustina-Oana Petrunescu</dc:creator>
  <cp:keywords/>
  <dc:description/>
  <cp:lastModifiedBy>Alexandru Fudulu</cp:lastModifiedBy>
  <cp:revision>7</cp:revision>
  <dcterms:created xsi:type="dcterms:W3CDTF">2025-11-15T10:16:00Z</dcterms:created>
  <dcterms:modified xsi:type="dcterms:W3CDTF">2025-11-18T17:03:00Z</dcterms:modified>
</cp:coreProperties>
</file>