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1A64" w:rsidRDefault="00F1734E" w:rsidP="0079499B">
      <w:pPr>
        <w:spacing w:line="276" w:lineRule="auto"/>
        <w:rPr>
          <w:rFonts w:eastAsiaTheme="majorEastAsia" w:cstheme="majorBidi"/>
          <w:b/>
          <w:color w:val="262626" w:themeColor="text1" w:themeTint="D9"/>
          <w:spacing w:val="5"/>
          <w:kern w:val="28"/>
          <w:sz w:val="36"/>
          <w:szCs w:val="52"/>
        </w:rPr>
      </w:pPr>
      <w:r>
        <w:rPr>
          <w:rFonts w:eastAsiaTheme="majorEastAsia" w:cstheme="majorBidi"/>
          <w:b/>
          <w:color w:val="262626" w:themeColor="text1" w:themeTint="D9"/>
          <w:spacing w:val="5"/>
          <w:kern w:val="28"/>
          <w:sz w:val="36"/>
          <w:szCs w:val="52"/>
        </w:rPr>
        <w:tab/>
      </w:r>
    </w:p>
    <w:p w:rsidR="00981A64" w:rsidRDefault="00981A64" w:rsidP="00981A64">
      <w:pPr>
        <w:spacing w:line="276" w:lineRule="auto"/>
        <w:rPr>
          <w:rFonts w:eastAsiaTheme="majorEastAsia" w:cstheme="majorBidi"/>
          <w:b/>
          <w:color w:val="262626" w:themeColor="text1" w:themeTint="D9"/>
          <w:spacing w:val="5"/>
          <w:kern w:val="28"/>
          <w:sz w:val="36"/>
          <w:szCs w:val="52"/>
        </w:rPr>
      </w:pPr>
    </w:p>
    <w:p w:rsidR="00981A64" w:rsidRDefault="00981A64" w:rsidP="00981A64">
      <w:pPr>
        <w:spacing w:line="276" w:lineRule="auto"/>
        <w:rPr>
          <w:rFonts w:eastAsiaTheme="majorEastAsia" w:cstheme="majorBidi"/>
          <w:b/>
          <w:color w:val="262626" w:themeColor="text1" w:themeTint="D9"/>
          <w:spacing w:val="5"/>
          <w:kern w:val="28"/>
          <w:sz w:val="36"/>
          <w:szCs w:val="52"/>
        </w:rPr>
      </w:pPr>
    </w:p>
    <w:p w:rsidR="0065208B" w:rsidRDefault="0065208B" w:rsidP="0065208B">
      <w:pPr>
        <w:pStyle w:val="Title"/>
        <w:jc w:val="center"/>
        <w:rPr>
          <w:b/>
        </w:rPr>
      </w:pPr>
    </w:p>
    <w:p w:rsidR="0065208B" w:rsidRDefault="0065208B" w:rsidP="0065208B">
      <w:pPr>
        <w:pStyle w:val="Title"/>
        <w:jc w:val="center"/>
        <w:rPr>
          <w:b/>
        </w:rPr>
      </w:pPr>
    </w:p>
    <w:p w:rsidR="0065208B" w:rsidRDefault="0065208B" w:rsidP="0065208B">
      <w:pPr>
        <w:pStyle w:val="Title"/>
        <w:jc w:val="center"/>
        <w:rPr>
          <w:b/>
        </w:rPr>
      </w:pPr>
    </w:p>
    <w:p w:rsidR="0065208B" w:rsidRDefault="0065208B" w:rsidP="0065208B">
      <w:pPr>
        <w:pStyle w:val="Title"/>
        <w:jc w:val="center"/>
        <w:rPr>
          <w:b/>
        </w:rPr>
      </w:pPr>
    </w:p>
    <w:p w:rsidR="00DB26B7" w:rsidRDefault="00DB26B7" w:rsidP="00DB26B7">
      <w:pPr>
        <w:pStyle w:val="Title"/>
        <w:jc w:val="center"/>
        <w:rPr>
          <w:b/>
        </w:rPr>
      </w:pPr>
      <w:r>
        <w:rPr>
          <w:b/>
        </w:rPr>
        <w:t>University of Wales</w:t>
      </w:r>
    </w:p>
    <w:p w:rsidR="00DB26B7" w:rsidRPr="00DB26B7" w:rsidRDefault="00DB26B7" w:rsidP="00DB26B7">
      <w:pPr>
        <w:jc w:val="center"/>
        <w:rPr>
          <w:b/>
          <w:bCs/>
          <w:sz w:val="36"/>
          <w:szCs w:val="36"/>
        </w:rPr>
      </w:pPr>
      <w:r w:rsidRPr="00DB26B7">
        <w:rPr>
          <w:b/>
          <w:bCs/>
          <w:sz w:val="36"/>
          <w:szCs w:val="36"/>
        </w:rPr>
        <w:t>Trinity Saint David</w:t>
      </w:r>
    </w:p>
    <w:p w:rsidR="00DB26B7" w:rsidRPr="00DB26B7" w:rsidRDefault="00DB26B7" w:rsidP="00DB26B7">
      <w:pPr>
        <w:jc w:val="center"/>
      </w:pPr>
    </w:p>
    <w:p w:rsidR="00DB26B7" w:rsidRPr="00DB26B7" w:rsidRDefault="00AF61F4" w:rsidP="00DB26B7">
      <w:pPr>
        <w:pStyle w:val="Title"/>
        <w:jc w:val="center"/>
        <w:rPr>
          <w:b/>
          <w:bCs/>
        </w:rPr>
      </w:pPr>
      <w:r w:rsidRPr="00DB26B7">
        <w:rPr>
          <w:b/>
          <w:bCs/>
        </w:rPr>
        <w:t>Name</w:t>
      </w:r>
      <w:r w:rsidR="00981A64" w:rsidRPr="00DB26B7">
        <w:rPr>
          <w:b/>
          <w:bCs/>
        </w:rPr>
        <w:t xml:space="preserve"> of Student</w:t>
      </w:r>
      <w:r w:rsidRPr="00DB26B7">
        <w:rPr>
          <w:b/>
          <w:bCs/>
        </w:rPr>
        <w:t>:</w:t>
      </w:r>
      <w:r w:rsidR="00DB26B7" w:rsidRPr="00DB26B7">
        <w:rPr>
          <w:b/>
          <w:bCs/>
        </w:rPr>
        <w:t xml:space="preserve"> Raluca Narcisa Nemes</w:t>
      </w:r>
    </w:p>
    <w:p w:rsidR="00AF61F4" w:rsidRDefault="00AF61F4" w:rsidP="00DB26B7">
      <w:pPr>
        <w:pStyle w:val="Title"/>
        <w:jc w:val="center"/>
        <w:rPr>
          <w:b/>
          <w:bCs/>
        </w:rPr>
      </w:pPr>
      <w:r w:rsidRPr="00DB26B7">
        <w:rPr>
          <w:b/>
          <w:bCs/>
        </w:rPr>
        <w:t xml:space="preserve">Student number: </w:t>
      </w:r>
      <w:r w:rsidR="00DB26B7" w:rsidRPr="00DB26B7">
        <w:rPr>
          <w:b/>
          <w:bCs/>
        </w:rPr>
        <w:t>1905163</w:t>
      </w:r>
    </w:p>
    <w:p w:rsidR="00DB26B7" w:rsidRPr="00DB26B7" w:rsidRDefault="00DB26B7" w:rsidP="00DB26B7">
      <w:pPr>
        <w:jc w:val="center"/>
      </w:pPr>
    </w:p>
    <w:p w:rsidR="00585557" w:rsidRPr="00DB26B7" w:rsidRDefault="00AF61F4" w:rsidP="00DB26B7">
      <w:pPr>
        <w:pStyle w:val="Title"/>
        <w:jc w:val="center"/>
        <w:rPr>
          <w:b/>
          <w:bCs/>
        </w:rPr>
      </w:pPr>
      <w:r w:rsidRPr="00DB26B7">
        <w:rPr>
          <w:b/>
          <w:bCs/>
        </w:rPr>
        <w:t>Module Title:</w:t>
      </w:r>
      <w:r w:rsidR="00DB26B7" w:rsidRPr="00DB26B7">
        <w:rPr>
          <w:b/>
          <w:bCs/>
        </w:rPr>
        <w:t xml:space="preserve"> Financial management</w:t>
      </w:r>
    </w:p>
    <w:p w:rsidR="009527CE" w:rsidRDefault="00585557" w:rsidP="00DB26B7">
      <w:pPr>
        <w:pStyle w:val="Title"/>
        <w:jc w:val="center"/>
      </w:pPr>
      <w:r w:rsidRPr="00DB26B7">
        <w:rPr>
          <w:b/>
          <w:bCs/>
        </w:rPr>
        <w:t>Module Lecturer’s Name</w:t>
      </w:r>
      <w:r w:rsidR="00152DA9" w:rsidRPr="00DB26B7">
        <w:rPr>
          <w:b/>
          <w:bCs/>
        </w:rPr>
        <w:t>: Jia Miao</w:t>
      </w:r>
      <w:r w:rsidR="009527CE">
        <w:br w:type="page"/>
      </w:r>
    </w:p>
    <w:p w:rsidR="004D558B" w:rsidRPr="0008312A" w:rsidRDefault="004D558B" w:rsidP="0008312A">
      <w:pPr>
        <w:pStyle w:val="TableofFigures"/>
        <w:tabs>
          <w:tab w:val="right" w:leader="dot" w:pos="9350"/>
        </w:tabs>
        <w:jc w:val="center"/>
        <w:rPr>
          <w:rFonts w:cs="Times New Roman"/>
          <w:b/>
          <w:szCs w:val="24"/>
        </w:rPr>
      </w:pPr>
      <w:r w:rsidRPr="0008312A">
        <w:rPr>
          <w:rFonts w:cs="Times New Roman"/>
          <w:b/>
          <w:szCs w:val="24"/>
        </w:rPr>
        <w:lastRenderedPageBreak/>
        <w:t>Table of Contents</w:t>
      </w:r>
    </w:p>
    <w:p w:rsidR="000D4B49" w:rsidRPr="0008312A" w:rsidRDefault="008E44C4" w:rsidP="0008312A">
      <w:pPr>
        <w:pStyle w:val="TableofFigures"/>
        <w:tabs>
          <w:tab w:val="right" w:leader="dot" w:pos="9350"/>
        </w:tabs>
        <w:rPr>
          <w:rFonts w:cs="Times New Roman"/>
          <w:noProof/>
          <w:szCs w:val="24"/>
        </w:rPr>
      </w:pPr>
      <w:r w:rsidRPr="0008312A">
        <w:rPr>
          <w:rFonts w:cs="Times New Roman"/>
          <w:szCs w:val="24"/>
        </w:rPr>
        <w:fldChar w:fldCharType="begin"/>
      </w:r>
      <w:r w:rsidR="000D4B49" w:rsidRPr="0008312A">
        <w:rPr>
          <w:rFonts w:cs="Times New Roman"/>
          <w:szCs w:val="24"/>
        </w:rPr>
        <w:instrText xml:space="preserve"> TOC \h \z \t "Heading 1" \c </w:instrText>
      </w:r>
      <w:r w:rsidRPr="0008312A">
        <w:rPr>
          <w:rFonts w:cs="Times New Roman"/>
          <w:szCs w:val="24"/>
        </w:rPr>
        <w:fldChar w:fldCharType="separate"/>
      </w:r>
      <w:hyperlink w:anchor="_Toc25790416" w:history="1">
        <w:r w:rsidR="000D4B49" w:rsidRPr="0008312A">
          <w:rPr>
            <w:rStyle w:val="Hyperlink"/>
            <w:rFonts w:cs="Times New Roman"/>
            <w:noProof/>
            <w:szCs w:val="24"/>
          </w:rPr>
          <w:t>Introduction</w:t>
        </w:r>
        <w:r w:rsidR="000D4B49" w:rsidRPr="0008312A">
          <w:rPr>
            <w:rFonts w:cs="Times New Roman"/>
            <w:noProof/>
            <w:webHidden/>
            <w:szCs w:val="24"/>
          </w:rPr>
          <w:tab/>
        </w:r>
        <w:r w:rsidRPr="0008312A">
          <w:rPr>
            <w:rFonts w:cs="Times New Roman"/>
            <w:noProof/>
            <w:webHidden/>
            <w:szCs w:val="24"/>
          </w:rPr>
          <w:fldChar w:fldCharType="begin"/>
        </w:r>
        <w:r w:rsidR="000D4B49" w:rsidRPr="0008312A">
          <w:rPr>
            <w:rFonts w:cs="Times New Roman"/>
            <w:noProof/>
            <w:webHidden/>
            <w:szCs w:val="24"/>
          </w:rPr>
          <w:instrText xml:space="preserve"> PAGEREF _Toc25790416 \h </w:instrText>
        </w:r>
        <w:r w:rsidRPr="0008312A">
          <w:rPr>
            <w:rFonts w:cs="Times New Roman"/>
            <w:noProof/>
            <w:webHidden/>
            <w:szCs w:val="24"/>
          </w:rPr>
        </w:r>
        <w:r w:rsidRPr="0008312A">
          <w:rPr>
            <w:rFonts w:cs="Times New Roman"/>
            <w:noProof/>
            <w:webHidden/>
            <w:szCs w:val="24"/>
          </w:rPr>
          <w:fldChar w:fldCharType="separate"/>
        </w:r>
        <w:r w:rsidR="000D4B49" w:rsidRPr="0008312A">
          <w:rPr>
            <w:rFonts w:cs="Times New Roman"/>
            <w:noProof/>
            <w:webHidden/>
            <w:szCs w:val="24"/>
          </w:rPr>
          <w:t>3</w:t>
        </w:r>
        <w:r w:rsidRPr="0008312A">
          <w:rPr>
            <w:rFonts w:cs="Times New Roman"/>
            <w:noProof/>
            <w:webHidden/>
            <w:szCs w:val="24"/>
          </w:rPr>
          <w:fldChar w:fldCharType="end"/>
        </w:r>
      </w:hyperlink>
    </w:p>
    <w:p w:rsidR="000D4B49" w:rsidRPr="0008312A" w:rsidRDefault="00FB7A9F" w:rsidP="0008312A">
      <w:pPr>
        <w:pStyle w:val="TableofFigures"/>
        <w:tabs>
          <w:tab w:val="right" w:leader="dot" w:pos="9350"/>
        </w:tabs>
        <w:rPr>
          <w:rFonts w:cs="Times New Roman"/>
          <w:noProof/>
          <w:szCs w:val="24"/>
        </w:rPr>
      </w:pPr>
      <w:hyperlink w:anchor="_Toc25790417" w:history="1">
        <w:r w:rsidR="000D4B49" w:rsidRPr="0008312A">
          <w:rPr>
            <w:rStyle w:val="Hyperlink"/>
            <w:rFonts w:cs="Times New Roman"/>
            <w:noProof/>
            <w:szCs w:val="24"/>
          </w:rPr>
          <w:t>Part a</w:t>
        </w:r>
        <w:r w:rsidR="000D4B49" w:rsidRPr="0008312A">
          <w:rPr>
            <w:rFonts w:cs="Times New Roman"/>
            <w:noProof/>
            <w:webHidden/>
            <w:szCs w:val="24"/>
          </w:rPr>
          <w:tab/>
        </w:r>
        <w:r w:rsidR="008E44C4" w:rsidRPr="0008312A">
          <w:rPr>
            <w:rFonts w:cs="Times New Roman"/>
            <w:noProof/>
            <w:webHidden/>
            <w:szCs w:val="24"/>
          </w:rPr>
          <w:fldChar w:fldCharType="begin"/>
        </w:r>
        <w:r w:rsidR="000D4B49" w:rsidRPr="0008312A">
          <w:rPr>
            <w:rFonts w:cs="Times New Roman"/>
            <w:noProof/>
            <w:webHidden/>
            <w:szCs w:val="24"/>
          </w:rPr>
          <w:instrText xml:space="preserve"> PAGEREF _Toc25790417 \h </w:instrText>
        </w:r>
        <w:r w:rsidR="008E44C4" w:rsidRPr="0008312A">
          <w:rPr>
            <w:rFonts w:cs="Times New Roman"/>
            <w:noProof/>
            <w:webHidden/>
            <w:szCs w:val="24"/>
          </w:rPr>
        </w:r>
        <w:r w:rsidR="008E44C4" w:rsidRPr="0008312A">
          <w:rPr>
            <w:rFonts w:cs="Times New Roman"/>
            <w:noProof/>
            <w:webHidden/>
            <w:szCs w:val="24"/>
          </w:rPr>
          <w:fldChar w:fldCharType="separate"/>
        </w:r>
        <w:r w:rsidR="000D4B49" w:rsidRPr="0008312A">
          <w:rPr>
            <w:rFonts w:cs="Times New Roman"/>
            <w:noProof/>
            <w:webHidden/>
            <w:szCs w:val="24"/>
          </w:rPr>
          <w:t>4</w:t>
        </w:r>
        <w:r w:rsidR="008E44C4" w:rsidRPr="0008312A">
          <w:rPr>
            <w:rFonts w:cs="Times New Roman"/>
            <w:noProof/>
            <w:webHidden/>
            <w:szCs w:val="24"/>
          </w:rPr>
          <w:fldChar w:fldCharType="end"/>
        </w:r>
      </w:hyperlink>
    </w:p>
    <w:p w:rsidR="000D4B49" w:rsidRPr="0008312A" w:rsidRDefault="00FB7A9F" w:rsidP="0008312A">
      <w:pPr>
        <w:pStyle w:val="TableofFigures"/>
        <w:tabs>
          <w:tab w:val="right" w:leader="dot" w:pos="9350"/>
        </w:tabs>
        <w:rPr>
          <w:rFonts w:cs="Times New Roman"/>
          <w:noProof/>
          <w:szCs w:val="24"/>
        </w:rPr>
      </w:pPr>
      <w:hyperlink w:anchor="_Toc25790418" w:history="1">
        <w:r w:rsidR="000D4B49" w:rsidRPr="0008312A">
          <w:rPr>
            <w:rStyle w:val="Hyperlink"/>
            <w:rFonts w:cs="Times New Roman"/>
            <w:noProof/>
            <w:szCs w:val="24"/>
          </w:rPr>
          <w:t>Part b</w:t>
        </w:r>
        <w:r w:rsidR="000D4B49" w:rsidRPr="0008312A">
          <w:rPr>
            <w:rFonts w:cs="Times New Roman"/>
            <w:noProof/>
            <w:webHidden/>
            <w:szCs w:val="24"/>
          </w:rPr>
          <w:tab/>
        </w:r>
        <w:r w:rsidR="008E44C4" w:rsidRPr="0008312A">
          <w:rPr>
            <w:rFonts w:cs="Times New Roman"/>
            <w:noProof/>
            <w:webHidden/>
            <w:szCs w:val="24"/>
          </w:rPr>
          <w:fldChar w:fldCharType="begin"/>
        </w:r>
        <w:r w:rsidR="000D4B49" w:rsidRPr="0008312A">
          <w:rPr>
            <w:rFonts w:cs="Times New Roman"/>
            <w:noProof/>
            <w:webHidden/>
            <w:szCs w:val="24"/>
          </w:rPr>
          <w:instrText xml:space="preserve"> PAGEREF _Toc25790418 \h </w:instrText>
        </w:r>
        <w:r w:rsidR="008E44C4" w:rsidRPr="0008312A">
          <w:rPr>
            <w:rFonts w:cs="Times New Roman"/>
            <w:noProof/>
            <w:webHidden/>
            <w:szCs w:val="24"/>
          </w:rPr>
        </w:r>
        <w:r w:rsidR="008E44C4" w:rsidRPr="0008312A">
          <w:rPr>
            <w:rFonts w:cs="Times New Roman"/>
            <w:noProof/>
            <w:webHidden/>
            <w:szCs w:val="24"/>
          </w:rPr>
          <w:fldChar w:fldCharType="separate"/>
        </w:r>
        <w:r w:rsidR="000D4B49" w:rsidRPr="0008312A">
          <w:rPr>
            <w:rFonts w:cs="Times New Roman"/>
            <w:noProof/>
            <w:webHidden/>
            <w:szCs w:val="24"/>
          </w:rPr>
          <w:t>7</w:t>
        </w:r>
        <w:r w:rsidR="008E44C4" w:rsidRPr="0008312A">
          <w:rPr>
            <w:rFonts w:cs="Times New Roman"/>
            <w:noProof/>
            <w:webHidden/>
            <w:szCs w:val="24"/>
          </w:rPr>
          <w:fldChar w:fldCharType="end"/>
        </w:r>
      </w:hyperlink>
    </w:p>
    <w:p w:rsidR="000D4B49" w:rsidRPr="0008312A" w:rsidRDefault="00FB7A9F" w:rsidP="0008312A">
      <w:pPr>
        <w:pStyle w:val="TableofFigures"/>
        <w:tabs>
          <w:tab w:val="right" w:leader="dot" w:pos="9350"/>
        </w:tabs>
        <w:rPr>
          <w:rFonts w:cs="Times New Roman"/>
          <w:noProof/>
          <w:szCs w:val="24"/>
        </w:rPr>
      </w:pPr>
      <w:hyperlink w:anchor="_Toc25790419" w:history="1">
        <w:r w:rsidR="000D4B49" w:rsidRPr="0008312A">
          <w:rPr>
            <w:rStyle w:val="Hyperlink"/>
            <w:rFonts w:cs="Times New Roman"/>
            <w:noProof/>
            <w:szCs w:val="24"/>
          </w:rPr>
          <w:t>Part c</w:t>
        </w:r>
        <w:r w:rsidR="000D4B49" w:rsidRPr="0008312A">
          <w:rPr>
            <w:rFonts w:cs="Times New Roman"/>
            <w:noProof/>
            <w:webHidden/>
            <w:szCs w:val="24"/>
          </w:rPr>
          <w:tab/>
        </w:r>
        <w:r w:rsidR="008E44C4" w:rsidRPr="0008312A">
          <w:rPr>
            <w:rFonts w:cs="Times New Roman"/>
            <w:noProof/>
            <w:webHidden/>
            <w:szCs w:val="24"/>
          </w:rPr>
          <w:fldChar w:fldCharType="begin"/>
        </w:r>
        <w:r w:rsidR="000D4B49" w:rsidRPr="0008312A">
          <w:rPr>
            <w:rFonts w:cs="Times New Roman"/>
            <w:noProof/>
            <w:webHidden/>
            <w:szCs w:val="24"/>
          </w:rPr>
          <w:instrText xml:space="preserve"> PAGEREF _Toc25790419 \h </w:instrText>
        </w:r>
        <w:r w:rsidR="008E44C4" w:rsidRPr="0008312A">
          <w:rPr>
            <w:rFonts w:cs="Times New Roman"/>
            <w:noProof/>
            <w:webHidden/>
            <w:szCs w:val="24"/>
          </w:rPr>
        </w:r>
        <w:r w:rsidR="008E44C4" w:rsidRPr="0008312A">
          <w:rPr>
            <w:rFonts w:cs="Times New Roman"/>
            <w:noProof/>
            <w:webHidden/>
            <w:szCs w:val="24"/>
          </w:rPr>
          <w:fldChar w:fldCharType="separate"/>
        </w:r>
        <w:r w:rsidR="000D4B49" w:rsidRPr="0008312A">
          <w:rPr>
            <w:rFonts w:cs="Times New Roman"/>
            <w:noProof/>
            <w:webHidden/>
            <w:szCs w:val="24"/>
          </w:rPr>
          <w:t>16</w:t>
        </w:r>
        <w:r w:rsidR="008E44C4" w:rsidRPr="0008312A">
          <w:rPr>
            <w:rFonts w:cs="Times New Roman"/>
            <w:noProof/>
            <w:webHidden/>
            <w:szCs w:val="24"/>
          </w:rPr>
          <w:fldChar w:fldCharType="end"/>
        </w:r>
      </w:hyperlink>
    </w:p>
    <w:p w:rsidR="000D4B49" w:rsidRPr="0008312A" w:rsidRDefault="00FB7A9F" w:rsidP="0008312A">
      <w:pPr>
        <w:pStyle w:val="TableofFigures"/>
        <w:tabs>
          <w:tab w:val="right" w:leader="dot" w:pos="9350"/>
        </w:tabs>
        <w:rPr>
          <w:rFonts w:cs="Times New Roman"/>
          <w:noProof/>
          <w:szCs w:val="24"/>
        </w:rPr>
      </w:pPr>
      <w:hyperlink w:anchor="_Toc25790420" w:history="1">
        <w:r w:rsidR="000D4B49" w:rsidRPr="0008312A">
          <w:rPr>
            <w:rStyle w:val="Hyperlink"/>
            <w:rFonts w:cs="Times New Roman"/>
            <w:noProof/>
            <w:szCs w:val="24"/>
          </w:rPr>
          <w:t>Conclusion</w:t>
        </w:r>
        <w:r w:rsidR="000D4B49" w:rsidRPr="0008312A">
          <w:rPr>
            <w:rFonts w:cs="Times New Roman"/>
            <w:noProof/>
            <w:webHidden/>
            <w:szCs w:val="24"/>
          </w:rPr>
          <w:tab/>
        </w:r>
        <w:r w:rsidR="008E44C4" w:rsidRPr="0008312A">
          <w:rPr>
            <w:rFonts w:cs="Times New Roman"/>
            <w:noProof/>
            <w:webHidden/>
            <w:szCs w:val="24"/>
          </w:rPr>
          <w:fldChar w:fldCharType="begin"/>
        </w:r>
        <w:r w:rsidR="000D4B49" w:rsidRPr="0008312A">
          <w:rPr>
            <w:rFonts w:cs="Times New Roman"/>
            <w:noProof/>
            <w:webHidden/>
            <w:szCs w:val="24"/>
          </w:rPr>
          <w:instrText xml:space="preserve"> PAGEREF _Toc25790420 \h </w:instrText>
        </w:r>
        <w:r w:rsidR="008E44C4" w:rsidRPr="0008312A">
          <w:rPr>
            <w:rFonts w:cs="Times New Roman"/>
            <w:noProof/>
            <w:webHidden/>
            <w:szCs w:val="24"/>
          </w:rPr>
        </w:r>
        <w:r w:rsidR="008E44C4" w:rsidRPr="0008312A">
          <w:rPr>
            <w:rFonts w:cs="Times New Roman"/>
            <w:noProof/>
            <w:webHidden/>
            <w:szCs w:val="24"/>
          </w:rPr>
          <w:fldChar w:fldCharType="separate"/>
        </w:r>
        <w:r w:rsidR="000D4B49" w:rsidRPr="0008312A">
          <w:rPr>
            <w:rFonts w:cs="Times New Roman"/>
            <w:noProof/>
            <w:webHidden/>
            <w:szCs w:val="24"/>
          </w:rPr>
          <w:t>24</w:t>
        </w:r>
        <w:r w:rsidR="008E44C4" w:rsidRPr="0008312A">
          <w:rPr>
            <w:rFonts w:cs="Times New Roman"/>
            <w:noProof/>
            <w:webHidden/>
            <w:szCs w:val="24"/>
          </w:rPr>
          <w:fldChar w:fldCharType="end"/>
        </w:r>
      </w:hyperlink>
    </w:p>
    <w:p w:rsidR="000D4B49" w:rsidRPr="0008312A" w:rsidRDefault="00FB7A9F" w:rsidP="0008312A">
      <w:pPr>
        <w:pStyle w:val="TableofFigures"/>
        <w:tabs>
          <w:tab w:val="right" w:leader="dot" w:pos="9350"/>
        </w:tabs>
        <w:rPr>
          <w:rFonts w:cs="Times New Roman"/>
          <w:noProof/>
          <w:szCs w:val="24"/>
        </w:rPr>
      </w:pPr>
      <w:hyperlink w:anchor="_Toc25790421" w:history="1">
        <w:r w:rsidR="000D4B49" w:rsidRPr="0008312A">
          <w:rPr>
            <w:rStyle w:val="Hyperlink"/>
            <w:rFonts w:cs="Times New Roman"/>
            <w:noProof/>
            <w:szCs w:val="24"/>
          </w:rPr>
          <w:t>Reference List</w:t>
        </w:r>
        <w:r w:rsidR="000D4B49" w:rsidRPr="0008312A">
          <w:rPr>
            <w:rFonts w:cs="Times New Roman"/>
            <w:noProof/>
            <w:webHidden/>
            <w:szCs w:val="24"/>
          </w:rPr>
          <w:tab/>
        </w:r>
        <w:r w:rsidR="008E44C4" w:rsidRPr="0008312A">
          <w:rPr>
            <w:rFonts w:cs="Times New Roman"/>
            <w:noProof/>
            <w:webHidden/>
            <w:szCs w:val="24"/>
          </w:rPr>
          <w:fldChar w:fldCharType="begin"/>
        </w:r>
        <w:r w:rsidR="000D4B49" w:rsidRPr="0008312A">
          <w:rPr>
            <w:rFonts w:cs="Times New Roman"/>
            <w:noProof/>
            <w:webHidden/>
            <w:szCs w:val="24"/>
          </w:rPr>
          <w:instrText xml:space="preserve"> PAGEREF _Toc25790421 \h </w:instrText>
        </w:r>
        <w:r w:rsidR="008E44C4" w:rsidRPr="0008312A">
          <w:rPr>
            <w:rFonts w:cs="Times New Roman"/>
            <w:noProof/>
            <w:webHidden/>
            <w:szCs w:val="24"/>
          </w:rPr>
        </w:r>
        <w:r w:rsidR="008E44C4" w:rsidRPr="0008312A">
          <w:rPr>
            <w:rFonts w:cs="Times New Roman"/>
            <w:noProof/>
            <w:webHidden/>
            <w:szCs w:val="24"/>
          </w:rPr>
          <w:fldChar w:fldCharType="separate"/>
        </w:r>
        <w:r w:rsidR="000D4B49" w:rsidRPr="0008312A">
          <w:rPr>
            <w:rFonts w:cs="Times New Roman"/>
            <w:noProof/>
            <w:webHidden/>
            <w:szCs w:val="24"/>
          </w:rPr>
          <w:t>25</w:t>
        </w:r>
        <w:r w:rsidR="008E44C4" w:rsidRPr="0008312A">
          <w:rPr>
            <w:rFonts w:cs="Times New Roman"/>
            <w:noProof/>
            <w:webHidden/>
            <w:szCs w:val="24"/>
          </w:rPr>
          <w:fldChar w:fldCharType="end"/>
        </w:r>
      </w:hyperlink>
    </w:p>
    <w:p w:rsidR="000D4B49" w:rsidRPr="0008312A" w:rsidRDefault="00FB7A9F" w:rsidP="0008312A">
      <w:pPr>
        <w:pStyle w:val="TableofFigures"/>
        <w:tabs>
          <w:tab w:val="right" w:leader="dot" w:pos="9350"/>
        </w:tabs>
        <w:rPr>
          <w:rFonts w:cs="Times New Roman"/>
          <w:noProof/>
          <w:szCs w:val="24"/>
        </w:rPr>
      </w:pPr>
      <w:hyperlink w:anchor="_Toc25790422" w:history="1">
        <w:r w:rsidR="000D4B49" w:rsidRPr="0008312A">
          <w:rPr>
            <w:rStyle w:val="Hyperlink"/>
            <w:rFonts w:cs="Times New Roman"/>
            <w:noProof/>
            <w:szCs w:val="24"/>
          </w:rPr>
          <w:t>Appendix</w:t>
        </w:r>
        <w:r w:rsidR="000D4B49" w:rsidRPr="0008312A">
          <w:rPr>
            <w:rFonts w:cs="Times New Roman"/>
            <w:noProof/>
            <w:webHidden/>
            <w:szCs w:val="24"/>
          </w:rPr>
          <w:tab/>
        </w:r>
        <w:r w:rsidR="008E44C4" w:rsidRPr="0008312A">
          <w:rPr>
            <w:rFonts w:cs="Times New Roman"/>
            <w:noProof/>
            <w:webHidden/>
            <w:szCs w:val="24"/>
          </w:rPr>
          <w:fldChar w:fldCharType="begin"/>
        </w:r>
        <w:r w:rsidR="000D4B49" w:rsidRPr="0008312A">
          <w:rPr>
            <w:rFonts w:cs="Times New Roman"/>
            <w:noProof/>
            <w:webHidden/>
            <w:szCs w:val="24"/>
          </w:rPr>
          <w:instrText xml:space="preserve"> PAGEREF _Toc25790422 \h </w:instrText>
        </w:r>
        <w:r w:rsidR="008E44C4" w:rsidRPr="0008312A">
          <w:rPr>
            <w:rFonts w:cs="Times New Roman"/>
            <w:noProof/>
            <w:webHidden/>
            <w:szCs w:val="24"/>
          </w:rPr>
        </w:r>
        <w:r w:rsidR="008E44C4" w:rsidRPr="0008312A">
          <w:rPr>
            <w:rFonts w:cs="Times New Roman"/>
            <w:noProof/>
            <w:webHidden/>
            <w:szCs w:val="24"/>
          </w:rPr>
          <w:fldChar w:fldCharType="separate"/>
        </w:r>
        <w:r w:rsidR="000D4B49" w:rsidRPr="0008312A">
          <w:rPr>
            <w:rFonts w:cs="Times New Roman"/>
            <w:noProof/>
            <w:webHidden/>
            <w:szCs w:val="24"/>
          </w:rPr>
          <w:t>29</w:t>
        </w:r>
        <w:r w:rsidR="008E44C4" w:rsidRPr="0008312A">
          <w:rPr>
            <w:rFonts w:cs="Times New Roman"/>
            <w:noProof/>
            <w:webHidden/>
            <w:szCs w:val="24"/>
          </w:rPr>
          <w:fldChar w:fldCharType="end"/>
        </w:r>
      </w:hyperlink>
    </w:p>
    <w:p w:rsidR="000D4B49" w:rsidRPr="0008312A" w:rsidRDefault="008E44C4" w:rsidP="0008312A">
      <w:pPr>
        <w:jc w:val="left"/>
        <w:rPr>
          <w:rFonts w:eastAsiaTheme="majorEastAsia" w:cs="Times New Roman"/>
          <w:b/>
          <w:bCs/>
          <w:szCs w:val="24"/>
        </w:rPr>
      </w:pPr>
      <w:r w:rsidRPr="0008312A">
        <w:rPr>
          <w:rFonts w:cs="Times New Roman"/>
          <w:szCs w:val="24"/>
        </w:rPr>
        <w:fldChar w:fldCharType="end"/>
      </w:r>
      <w:r w:rsidR="000D4B49" w:rsidRPr="0008312A">
        <w:rPr>
          <w:rFonts w:cs="Times New Roman"/>
          <w:szCs w:val="24"/>
        </w:rPr>
        <w:br w:type="page"/>
      </w:r>
    </w:p>
    <w:p w:rsidR="009527CE" w:rsidRPr="0008312A" w:rsidRDefault="00A50946" w:rsidP="0008312A">
      <w:pPr>
        <w:pStyle w:val="Heading1"/>
        <w:rPr>
          <w:rFonts w:cs="Times New Roman"/>
          <w:szCs w:val="24"/>
        </w:rPr>
      </w:pPr>
      <w:bookmarkStart w:id="0" w:name="_Toc25790416"/>
      <w:r w:rsidRPr="0008312A">
        <w:rPr>
          <w:rFonts w:cs="Times New Roman"/>
          <w:szCs w:val="24"/>
        </w:rPr>
        <w:lastRenderedPageBreak/>
        <w:t>Introduction</w:t>
      </w:r>
      <w:bookmarkEnd w:id="0"/>
      <w:r w:rsidRPr="0008312A">
        <w:rPr>
          <w:rFonts w:cs="Times New Roman"/>
          <w:szCs w:val="24"/>
        </w:rPr>
        <w:t xml:space="preserve"> </w:t>
      </w:r>
    </w:p>
    <w:p w:rsidR="009E5A82" w:rsidRPr="00DB26B7" w:rsidRDefault="004F071C" w:rsidP="0008312A">
      <w:pPr>
        <w:rPr>
          <w:rFonts w:cs="Times New Roman"/>
          <w:color w:val="000000" w:themeColor="text1"/>
          <w:szCs w:val="24"/>
        </w:rPr>
      </w:pPr>
      <w:r w:rsidRPr="00DB26B7">
        <w:rPr>
          <w:rFonts w:cs="Times New Roman"/>
          <w:color w:val="000000" w:themeColor="text1"/>
          <w:szCs w:val="24"/>
        </w:rPr>
        <w:t xml:space="preserve">The analysis of the financial performance of a company is a significant factor that helps in the accomplishment of an idea of how well it is performing. This can be done through interpreting financial statements of a company while contrasting its performance within its competitors. </w:t>
      </w:r>
      <w:r w:rsidR="00C33643" w:rsidRPr="00DB26B7">
        <w:rPr>
          <w:rFonts w:cs="Times New Roman"/>
          <w:color w:val="000000" w:themeColor="text1"/>
          <w:szCs w:val="24"/>
        </w:rPr>
        <w:t xml:space="preserve">At the same time, a good financial performance can be achieved within organisations through using investment appraisal techniques in a suitable manner. </w:t>
      </w:r>
      <w:r w:rsidR="0013519B" w:rsidRPr="00DB26B7">
        <w:rPr>
          <w:rFonts w:cs="Times New Roman"/>
          <w:color w:val="000000" w:themeColor="text1"/>
          <w:szCs w:val="24"/>
        </w:rPr>
        <w:t xml:space="preserve">In this report, an in-depth financial analysis has been conducted for the organisation </w:t>
      </w:r>
      <w:r w:rsidR="001F61CB" w:rsidRPr="00DB26B7">
        <w:rPr>
          <w:rFonts w:cs="Times New Roman"/>
          <w:color w:val="000000" w:themeColor="text1"/>
          <w:szCs w:val="24"/>
        </w:rPr>
        <w:t xml:space="preserve">BT Group Plc. The BT Group Plc is a multinational telecommunications organisation, which is headquartered in the city of London </w:t>
      </w:r>
      <w:r w:rsidR="00751DC6" w:rsidRPr="00DB26B7">
        <w:rPr>
          <w:rFonts w:cs="Times New Roman"/>
          <w:color w:val="000000" w:themeColor="text1"/>
          <w:szCs w:val="24"/>
        </w:rPr>
        <w:t>and is operating in about 180 nations across the globe. It acts as the largest provider for mobile, broadband and fixed line services within the country with about 106700 employees (</w:t>
      </w:r>
      <w:r w:rsidR="0054010D" w:rsidRPr="00DB26B7">
        <w:rPr>
          <w:rFonts w:cs="Times New Roman"/>
          <w:color w:val="000000" w:themeColor="text1"/>
          <w:szCs w:val="24"/>
        </w:rPr>
        <w:t>bt.com, 2019</w:t>
      </w:r>
      <w:r w:rsidR="00751DC6" w:rsidRPr="00DB26B7">
        <w:rPr>
          <w:rFonts w:cs="Times New Roman"/>
          <w:color w:val="000000" w:themeColor="text1"/>
          <w:szCs w:val="24"/>
        </w:rPr>
        <w:t xml:space="preserve">). </w:t>
      </w:r>
      <w:r w:rsidR="004409EF" w:rsidRPr="00DB26B7">
        <w:rPr>
          <w:rFonts w:cs="Times New Roman"/>
          <w:color w:val="000000" w:themeColor="text1"/>
          <w:szCs w:val="24"/>
        </w:rPr>
        <w:t xml:space="preserve">Within this report, the financial performance of the entity has been evaluated while </w:t>
      </w:r>
      <w:r w:rsidR="00A27566" w:rsidRPr="00DB26B7">
        <w:rPr>
          <w:rFonts w:cs="Times New Roman"/>
          <w:color w:val="000000" w:themeColor="text1"/>
          <w:szCs w:val="24"/>
        </w:rPr>
        <w:t xml:space="preserve">the performance has been contrasted against that of its main competitor Vodafone UK Plc. </w:t>
      </w:r>
    </w:p>
    <w:p w:rsidR="004F071C" w:rsidRPr="0008312A" w:rsidRDefault="004F071C" w:rsidP="0008312A">
      <w:pPr>
        <w:jc w:val="left"/>
        <w:rPr>
          <w:rFonts w:cs="Times New Roman"/>
          <w:szCs w:val="24"/>
        </w:rPr>
      </w:pPr>
    </w:p>
    <w:p w:rsidR="00A50946" w:rsidRPr="001451A7" w:rsidRDefault="00A50946" w:rsidP="001451A7">
      <w:pPr>
        <w:jc w:val="left"/>
        <w:rPr>
          <w:rFonts w:cs="Times New Roman"/>
          <w:b/>
          <w:bCs/>
          <w:szCs w:val="24"/>
          <w:u w:val="single"/>
        </w:rPr>
      </w:pPr>
      <w:bookmarkStart w:id="1" w:name="_Toc25790417"/>
      <w:r w:rsidRPr="001451A7">
        <w:rPr>
          <w:rFonts w:cs="Times New Roman"/>
          <w:b/>
          <w:bCs/>
          <w:szCs w:val="24"/>
          <w:u w:val="single"/>
        </w:rPr>
        <w:t>Part a</w:t>
      </w:r>
      <w:bookmarkEnd w:id="1"/>
      <w:r w:rsidRPr="001451A7">
        <w:rPr>
          <w:rFonts w:cs="Times New Roman"/>
          <w:b/>
          <w:bCs/>
          <w:szCs w:val="24"/>
          <w:u w:val="single"/>
        </w:rPr>
        <w:t xml:space="preserve"> </w:t>
      </w:r>
    </w:p>
    <w:p w:rsidR="000511DA" w:rsidRPr="0008312A" w:rsidRDefault="00BA5CBE" w:rsidP="0008312A">
      <w:pPr>
        <w:pStyle w:val="Heading2"/>
        <w:rPr>
          <w:rFonts w:cs="Times New Roman"/>
          <w:szCs w:val="24"/>
        </w:rPr>
      </w:pPr>
      <w:r>
        <w:rPr>
          <w:rFonts w:cs="Times New Roman"/>
          <w:szCs w:val="24"/>
        </w:rPr>
        <w:t xml:space="preserve">A brief history of BT Group Plc </w:t>
      </w:r>
    </w:p>
    <w:p w:rsidR="00813C4C" w:rsidRDefault="003D40B0" w:rsidP="0008312A">
      <w:pPr>
        <w:rPr>
          <w:rFonts w:cs="Times New Roman"/>
          <w:b/>
          <w:szCs w:val="24"/>
        </w:rPr>
      </w:pPr>
      <w:r w:rsidRPr="0008312A">
        <w:rPr>
          <w:rFonts w:cs="Times New Roman"/>
          <w:b/>
          <w:szCs w:val="24"/>
        </w:rPr>
        <w:t xml:space="preserve">Company background </w:t>
      </w:r>
    </w:p>
    <w:p w:rsidR="00BA5CBE" w:rsidRPr="00DB26B7" w:rsidRDefault="00A97417" w:rsidP="0008312A">
      <w:pPr>
        <w:rPr>
          <w:color w:val="000000" w:themeColor="text1"/>
        </w:rPr>
      </w:pPr>
      <w:r w:rsidRPr="00DB26B7">
        <w:rPr>
          <w:color w:val="000000" w:themeColor="text1"/>
        </w:rPr>
        <w:t>The BT Group Plc, which was known as</w:t>
      </w:r>
      <w:r w:rsidR="003C1709" w:rsidRPr="00DB26B7">
        <w:rPr>
          <w:color w:val="000000" w:themeColor="text1"/>
        </w:rPr>
        <w:t xml:space="preserve"> British Telecom prior to be known as the BT Group, </w:t>
      </w:r>
      <w:r w:rsidR="00A12626" w:rsidRPr="00DB26B7">
        <w:rPr>
          <w:color w:val="000000" w:themeColor="text1"/>
        </w:rPr>
        <w:t>had b</w:t>
      </w:r>
      <w:r w:rsidR="00202F5B" w:rsidRPr="00DB26B7">
        <w:rPr>
          <w:color w:val="000000" w:themeColor="text1"/>
        </w:rPr>
        <w:t xml:space="preserve">een formed during the year 1969. </w:t>
      </w:r>
      <w:r w:rsidR="00ED7C1F" w:rsidRPr="00DB26B7">
        <w:rPr>
          <w:color w:val="000000" w:themeColor="text1"/>
        </w:rPr>
        <w:t>Serving a worldwide area, the organisation is not only listed under the London Stock Exchange but also serves as the part of the FTSE 100 Index</w:t>
      </w:r>
      <w:r w:rsidR="0054010D" w:rsidRPr="00DB26B7">
        <w:rPr>
          <w:color w:val="000000" w:themeColor="text1"/>
        </w:rPr>
        <w:t xml:space="preserve"> (bt.com, 2019)</w:t>
      </w:r>
      <w:r w:rsidR="00ED7C1F" w:rsidRPr="00DB26B7">
        <w:rPr>
          <w:color w:val="000000" w:themeColor="text1"/>
        </w:rPr>
        <w:t xml:space="preserve">. In addition </w:t>
      </w:r>
      <w:r w:rsidR="00D44B4C" w:rsidRPr="00DB26B7">
        <w:rPr>
          <w:color w:val="000000" w:themeColor="text1"/>
        </w:rPr>
        <w:t xml:space="preserve">to the common telecommunication products, the organisation also has products including telecommunications equipment, supply chain management, home security, IT and network services and such others. </w:t>
      </w:r>
      <w:r w:rsidR="000B59F6" w:rsidRPr="00DB26B7">
        <w:rPr>
          <w:color w:val="000000" w:themeColor="text1"/>
        </w:rPr>
        <w:t xml:space="preserve">The company also has a number of subsidiaries that include BT Italia, BT Ireland and </w:t>
      </w:r>
      <w:proofErr w:type="spellStart"/>
      <w:r w:rsidR="000B59F6" w:rsidRPr="00DB26B7">
        <w:rPr>
          <w:color w:val="000000" w:themeColor="text1"/>
        </w:rPr>
        <w:t>Plusnet</w:t>
      </w:r>
      <w:proofErr w:type="spellEnd"/>
      <w:r w:rsidR="000B59F6" w:rsidRPr="00DB26B7">
        <w:rPr>
          <w:color w:val="000000" w:themeColor="text1"/>
        </w:rPr>
        <w:t xml:space="preserve">. </w:t>
      </w:r>
      <w:r w:rsidR="00790017" w:rsidRPr="00DB26B7">
        <w:rPr>
          <w:color w:val="000000" w:themeColor="text1"/>
        </w:rPr>
        <w:t>It also has a number of divisions. The consumer division of the BT Group Plc provides subscription television, broadband and telephony services within the UK to about 18 million clients (</w:t>
      </w:r>
      <w:r w:rsidR="0054010D" w:rsidRPr="00DB26B7">
        <w:rPr>
          <w:color w:val="000000" w:themeColor="text1"/>
        </w:rPr>
        <w:t>btplc.com, 2019</w:t>
      </w:r>
      <w:r w:rsidR="00790017" w:rsidRPr="00DB26B7">
        <w:rPr>
          <w:color w:val="000000" w:themeColor="text1"/>
        </w:rPr>
        <w:t xml:space="preserve">). </w:t>
      </w:r>
    </w:p>
    <w:p w:rsidR="003D40B0" w:rsidRPr="00DB26B7" w:rsidRDefault="003D40B0" w:rsidP="0008312A">
      <w:pPr>
        <w:rPr>
          <w:rFonts w:cs="Times New Roman"/>
          <w:b/>
          <w:color w:val="000000" w:themeColor="text1"/>
          <w:szCs w:val="24"/>
        </w:rPr>
      </w:pPr>
      <w:r w:rsidRPr="00DB26B7">
        <w:rPr>
          <w:rFonts w:cs="Times New Roman"/>
          <w:b/>
          <w:color w:val="000000" w:themeColor="text1"/>
          <w:szCs w:val="24"/>
        </w:rPr>
        <w:t xml:space="preserve">Business model </w:t>
      </w:r>
    </w:p>
    <w:p w:rsidR="00BA5CBE" w:rsidRPr="00DB26B7" w:rsidRDefault="009B264F" w:rsidP="009B264F">
      <w:pPr>
        <w:rPr>
          <w:color w:val="000000" w:themeColor="text1"/>
        </w:rPr>
      </w:pPr>
      <w:r w:rsidRPr="00DB26B7">
        <w:rPr>
          <w:color w:val="000000" w:themeColor="text1"/>
        </w:rPr>
        <w:t xml:space="preserve">The BT Group Plc’s business model is based upon what it does and the way in which they are done. The three major values on which the business model is built includes providing services </w:t>
      </w:r>
      <w:r w:rsidRPr="00DB26B7">
        <w:rPr>
          <w:color w:val="000000" w:themeColor="text1"/>
        </w:rPr>
        <w:lastRenderedPageBreak/>
        <w:t>that are integral for the modern life</w:t>
      </w:r>
      <w:r w:rsidR="0054010D" w:rsidRPr="00DB26B7">
        <w:rPr>
          <w:color w:val="000000" w:themeColor="text1"/>
        </w:rPr>
        <w:t xml:space="preserve"> (btplc.com, 2019)</w:t>
      </w:r>
      <w:r w:rsidRPr="00DB26B7">
        <w:rPr>
          <w:color w:val="000000" w:themeColor="text1"/>
        </w:rPr>
        <w:t xml:space="preserve">. It also includes investment into what sets the company apart and the creation of value for each of its stakeholders. </w:t>
      </w:r>
      <w:r w:rsidR="00111CD6" w:rsidRPr="00DB26B7">
        <w:rPr>
          <w:color w:val="000000" w:themeColor="text1"/>
        </w:rPr>
        <w:t xml:space="preserve">The organisation does these through the means of ensuring sustainability, following ethics and promoting human rights. </w:t>
      </w:r>
      <w:r w:rsidR="00EB3FD5" w:rsidRPr="00DB26B7">
        <w:rPr>
          <w:color w:val="000000" w:themeColor="text1"/>
        </w:rPr>
        <w:t>In addition, it can be noticed that the BT Group Plc follows a multiband strategy, sells its products and services via its customer-faced units while keeping digitalisation as its priority. Within the figure that has been attached below, an overview is provided over the BT Group Plc’s business model</w:t>
      </w:r>
      <w:r w:rsidR="00DB26B7">
        <w:rPr>
          <w:color w:val="000000" w:themeColor="text1"/>
        </w:rPr>
        <w:t>.</w:t>
      </w:r>
    </w:p>
    <w:p w:rsidR="003D33D9" w:rsidRDefault="00EB3FD5" w:rsidP="00EB3FD5">
      <w:pPr>
        <w:jc w:val="center"/>
        <w:rPr>
          <w:rFonts w:cs="Times New Roman"/>
          <w:b/>
          <w:szCs w:val="24"/>
        </w:rPr>
      </w:pPr>
      <w:r>
        <w:rPr>
          <w:rFonts w:cs="Times New Roman"/>
          <w:b/>
          <w:noProof/>
          <w:szCs w:val="24"/>
          <w:lang w:val="en-US"/>
        </w:rPr>
        <w:drawing>
          <wp:inline distT="0" distB="0" distL="0" distR="0">
            <wp:extent cx="4042587" cy="3978403"/>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049281" cy="3984991"/>
                    </a:xfrm>
                    <a:prstGeom prst="rect">
                      <a:avLst/>
                    </a:prstGeom>
                    <a:noFill/>
                    <a:ln w="9525">
                      <a:noFill/>
                      <a:miter lim="800000"/>
                      <a:headEnd/>
                      <a:tailEnd/>
                    </a:ln>
                  </pic:spPr>
                </pic:pic>
              </a:graphicData>
            </a:graphic>
          </wp:inline>
        </w:drawing>
      </w:r>
    </w:p>
    <w:p w:rsidR="00BA5CBE" w:rsidRPr="00DB26B7" w:rsidRDefault="00D5168E" w:rsidP="00D5168E">
      <w:pPr>
        <w:jc w:val="center"/>
        <w:rPr>
          <w:rFonts w:cs="Times New Roman"/>
          <w:b/>
          <w:color w:val="000000" w:themeColor="text1"/>
          <w:szCs w:val="24"/>
        </w:rPr>
      </w:pPr>
      <w:r w:rsidRPr="00DB26B7">
        <w:rPr>
          <w:rFonts w:cs="Times New Roman"/>
          <w:b/>
          <w:color w:val="000000" w:themeColor="text1"/>
          <w:szCs w:val="24"/>
        </w:rPr>
        <w:t xml:space="preserve">Figure 1: Business model of the BT Group Plc </w:t>
      </w:r>
    </w:p>
    <w:p w:rsidR="00D5168E" w:rsidRPr="00DB26B7" w:rsidRDefault="00D5168E" w:rsidP="00D5168E">
      <w:pPr>
        <w:jc w:val="center"/>
        <w:rPr>
          <w:rFonts w:cs="Times New Roman"/>
          <w:color w:val="000000" w:themeColor="text1"/>
          <w:szCs w:val="24"/>
        </w:rPr>
      </w:pPr>
      <w:r w:rsidRPr="00DB26B7">
        <w:rPr>
          <w:rFonts w:cs="Times New Roman"/>
          <w:color w:val="000000" w:themeColor="text1"/>
          <w:szCs w:val="24"/>
        </w:rPr>
        <w:t xml:space="preserve">(Source: </w:t>
      </w:r>
      <w:r w:rsidR="00C77C4E" w:rsidRPr="00DB26B7">
        <w:rPr>
          <w:rFonts w:cs="Times New Roman"/>
          <w:color w:val="000000" w:themeColor="text1"/>
          <w:szCs w:val="24"/>
        </w:rPr>
        <w:t>btplc.com, 2019</w:t>
      </w:r>
      <w:r w:rsidRPr="00DB26B7">
        <w:rPr>
          <w:rFonts w:cs="Times New Roman"/>
          <w:color w:val="000000" w:themeColor="text1"/>
          <w:szCs w:val="24"/>
        </w:rPr>
        <w:t>)</w:t>
      </w:r>
    </w:p>
    <w:p w:rsidR="003D40B0" w:rsidRDefault="003D40B0" w:rsidP="0008312A">
      <w:pPr>
        <w:rPr>
          <w:rFonts w:cs="Times New Roman"/>
          <w:b/>
          <w:szCs w:val="24"/>
        </w:rPr>
      </w:pPr>
      <w:r w:rsidRPr="0008312A">
        <w:rPr>
          <w:rFonts w:cs="Times New Roman"/>
          <w:b/>
          <w:szCs w:val="24"/>
        </w:rPr>
        <w:t xml:space="preserve">Market place </w:t>
      </w:r>
      <w:r w:rsidR="00CE51DF" w:rsidRPr="0008312A">
        <w:rPr>
          <w:rFonts w:cs="Times New Roman"/>
          <w:b/>
          <w:szCs w:val="24"/>
        </w:rPr>
        <w:t>and m</w:t>
      </w:r>
      <w:r w:rsidRPr="0008312A">
        <w:rPr>
          <w:rFonts w:cs="Times New Roman"/>
          <w:b/>
          <w:szCs w:val="24"/>
        </w:rPr>
        <w:t xml:space="preserve">ajor competitors </w:t>
      </w:r>
    </w:p>
    <w:p w:rsidR="00BA5CBE" w:rsidRPr="00DB26B7" w:rsidRDefault="00B25EAA" w:rsidP="0008312A">
      <w:pPr>
        <w:rPr>
          <w:color w:val="000000" w:themeColor="text1"/>
        </w:rPr>
      </w:pPr>
      <w:r w:rsidRPr="00DB26B7">
        <w:rPr>
          <w:color w:val="000000" w:themeColor="text1"/>
        </w:rPr>
        <w:t xml:space="preserve">One of the largest, dynamic and rapidly developing industries of the UK economy is the telecommunications industry. The UK telecom market is one of the largest telecom markets within the Europe. Within the UK market place, the BT Group Plc </w:t>
      </w:r>
      <w:r w:rsidR="00F75A2B" w:rsidRPr="00DB26B7">
        <w:rPr>
          <w:color w:val="000000" w:themeColor="text1"/>
        </w:rPr>
        <w:t xml:space="preserve">holds a market share of 28%, </w:t>
      </w:r>
      <w:r w:rsidR="00F75A2B" w:rsidRPr="00DB26B7">
        <w:rPr>
          <w:color w:val="000000" w:themeColor="text1"/>
        </w:rPr>
        <w:lastRenderedPageBreak/>
        <w:t>which shows that it has a considerable positioning within in the UK telecommunication industry</w:t>
      </w:r>
      <w:r w:rsidR="006757C9" w:rsidRPr="00DB26B7">
        <w:rPr>
          <w:color w:val="000000" w:themeColor="text1"/>
        </w:rPr>
        <w:t xml:space="preserve"> (</w:t>
      </w:r>
      <w:r w:rsidR="009C6383" w:rsidRPr="00DB26B7">
        <w:rPr>
          <w:color w:val="000000" w:themeColor="text1"/>
        </w:rPr>
        <w:t>statista.com, 2019</w:t>
      </w:r>
      <w:r w:rsidR="006757C9" w:rsidRPr="00DB26B7">
        <w:rPr>
          <w:color w:val="000000" w:themeColor="text1"/>
        </w:rPr>
        <w:t>)</w:t>
      </w:r>
      <w:r w:rsidR="00F75A2B" w:rsidRPr="00DB26B7">
        <w:rPr>
          <w:color w:val="000000" w:themeColor="text1"/>
        </w:rPr>
        <w:t xml:space="preserve">. However, it can also be noticed that the overall telecommunications market place comprises of several players, who pose great challenges to the BT Group Plc. The major competitors of the business entity </w:t>
      </w:r>
      <w:r w:rsidR="0079499B" w:rsidRPr="00DB26B7">
        <w:rPr>
          <w:color w:val="000000" w:themeColor="text1"/>
        </w:rPr>
        <w:t>comprise</w:t>
      </w:r>
      <w:r w:rsidR="00F75A2B" w:rsidRPr="00DB26B7">
        <w:rPr>
          <w:color w:val="000000" w:themeColor="text1"/>
        </w:rPr>
        <w:t xml:space="preserve"> of Vodafone Group Plc, the Deutsche Telekom,</w:t>
      </w:r>
      <w:r w:rsidR="002947A9" w:rsidRPr="00DB26B7">
        <w:rPr>
          <w:color w:val="000000" w:themeColor="text1"/>
        </w:rPr>
        <w:t xml:space="preserve"> Orange, the Virgin Group and Telefonica. </w:t>
      </w:r>
      <w:r w:rsidR="006757C9" w:rsidRPr="00DB26B7">
        <w:rPr>
          <w:color w:val="000000" w:themeColor="text1"/>
        </w:rPr>
        <w:t xml:space="preserve">All these companies are growing at a rapid pace and is causing difficulties for BT to keep a leading position within the country. </w:t>
      </w:r>
    </w:p>
    <w:p w:rsidR="00DB26B7" w:rsidRDefault="00DB26B7" w:rsidP="0008312A">
      <w:pPr>
        <w:rPr>
          <w:rFonts w:cs="Times New Roman"/>
          <w:b/>
          <w:szCs w:val="24"/>
        </w:rPr>
      </w:pPr>
    </w:p>
    <w:p w:rsidR="003D40B0" w:rsidRDefault="003D40B0" w:rsidP="0008312A">
      <w:pPr>
        <w:rPr>
          <w:rFonts w:cs="Times New Roman"/>
          <w:b/>
          <w:szCs w:val="24"/>
        </w:rPr>
      </w:pPr>
      <w:r w:rsidRPr="0008312A">
        <w:rPr>
          <w:rFonts w:cs="Times New Roman"/>
          <w:b/>
          <w:szCs w:val="24"/>
        </w:rPr>
        <w:t xml:space="preserve">Most recent events </w:t>
      </w:r>
    </w:p>
    <w:p w:rsidR="00BA5CBE" w:rsidRPr="00DB26B7" w:rsidRDefault="00E77877" w:rsidP="00BE43F4">
      <w:pPr>
        <w:rPr>
          <w:color w:val="000000" w:themeColor="text1"/>
        </w:rPr>
      </w:pPr>
      <w:r w:rsidRPr="00DB26B7">
        <w:rPr>
          <w:color w:val="000000" w:themeColor="text1"/>
        </w:rPr>
        <w:t xml:space="preserve">As the BT Group Plc is a rapidly developing and advancing company along with being a major player within the UK marketplace, </w:t>
      </w:r>
      <w:r w:rsidR="008652D1" w:rsidRPr="00DB26B7">
        <w:rPr>
          <w:color w:val="000000" w:themeColor="text1"/>
        </w:rPr>
        <w:t>various events</w:t>
      </w:r>
      <w:r w:rsidR="00BE4089" w:rsidRPr="00DB26B7">
        <w:rPr>
          <w:color w:val="000000" w:themeColor="text1"/>
        </w:rPr>
        <w:t xml:space="preserve"> continue going on within it. One of the major events that </w:t>
      </w:r>
      <w:r w:rsidR="008652D1" w:rsidRPr="00DB26B7">
        <w:rPr>
          <w:color w:val="000000" w:themeColor="text1"/>
        </w:rPr>
        <w:t>have</w:t>
      </w:r>
      <w:r w:rsidR="00BE4089" w:rsidRPr="00DB26B7">
        <w:rPr>
          <w:color w:val="000000" w:themeColor="text1"/>
        </w:rPr>
        <w:t xml:space="preserve"> been </w:t>
      </w:r>
      <w:r w:rsidR="008652D1" w:rsidRPr="00DB26B7">
        <w:rPr>
          <w:color w:val="000000" w:themeColor="text1"/>
        </w:rPr>
        <w:t xml:space="preserve">flaring up in the BT Group Plc since July is the selling of the global headquarters of the company. The BT Centre </w:t>
      </w:r>
      <w:r w:rsidR="005730BD" w:rsidRPr="00DB26B7">
        <w:rPr>
          <w:color w:val="000000" w:themeColor="text1"/>
        </w:rPr>
        <w:t>is being sold off to the Orion Capital Managers for an amount of 210 million pounds (</w:t>
      </w:r>
      <w:r w:rsidR="00CE2339" w:rsidRPr="00DB26B7">
        <w:rPr>
          <w:color w:val="000000" w:themeColor="text1"/>
        </w:rPr>
        <w:t>bbc.com, 2019</w:t>
      </w:r>
      <w:r w:rsidR="005730BD" w:rsidRPr="00DB26B7">
        <w:rPr>
          <w:color w:val="000000" w:themeColor="text1"/>
        </w:rPr>
        <w:t xml:space="preserve">). </w:t>
      </w:r>
      <w:r w:rsidR="00C459CB" w:rsidRPr="00DB26B7">
        <w:rPr>
          <w:color w:val="000000" w:themeColor="text1"/>
        </w:rPr>
        <w:t xml:space="preserve">It has also mentioned the announcement of the details of its new headquarters within a short time. </w:t>
      </w:r>
      <w:r w:rsidR="00FB54BB" w:rsidRPr="00DB26B7">
        <w:rPr>
          <w:color w:val="000000" w:themeColor="text1"/>
        </w:rPr>
        <w:t xml:space="preserve">At the same time, it can be seen that the organisation </w:t>
      </w:r>
      <w:r w:rsidR="00AE4C82" w:rsidRPr="00DB26B7">
        <w:rPr>
          <w:color w:val="000000" w:themeColor="text1"/>
        </w:rPr>
        <w:t>has</w:t>
      </w:r>
      <w:r w:rsidR="00FB54BB" w:rsidRPr="00DB26B7">
        <w:rPr>
          <w:color w:val="000000" w:themeColor="text1"/>
        </w:rPr>
        <w:t xml:space="preserve"> </w:t>
      </w:r>
      <w:r w:rsidR="00AE4C82" w:rsidRPr="00DB26B7">
        <w:rPr>
          <w:color w:val="000000" w:themeColor="text1"/>
        </w:rPr>
        <w:t xml:space="preserve">launched its 5G service in the UK during the month of August (bbc.com, 2019). </w:t>
      </w:r>
    </w:p>
    <w:p w:rsidR="00A8704D" w:rsidRDefault="00A8704D" w:rsidP="00A8704D">
      <w:pPr>
        <w:jc w:val="left"/>
        <w:rPr>
          <w:rFonts w:cs="Times New Roman"/>
          <w:b/>
          <w:szCs w:val="24"/>
        </w:rPr>
      </w:pPr>
      <w:bookmarkStart w:id="2" w:name="_Toc25790418"/>
    </w:p>
    <w:p w:rsidR="00A50946" w:rsidRPr="001451A7" w:rsidRDefault="00A50946" w:rsidP="00A8704D">
      <w:pPr>
        <w:jc w:val="left"/>
        <w:rPr>
          <w:rFonts w:cs="Times New Roman"/>
          <w:b/>
          <w:bCs/>
          <w:szCs w:val="24"/>
          <w:u w:val="single"/>
        </w:rPr>
      </w:pPr>
      <w:r w:rsidRPr="001451A7">
        <w:rPr>
          <w:rFonts w:cs="Times New Roman"/>
          <w:b/>
          <w:bCs/>
          <w:szCs w:val="24"/>
          <w:u w:val="single"/>
        </w:rPr>
        <w:t>Part b</w:t>
      </w:r>
      <w:bookmarkEnd w:id="2"/>
      <w:r w:rsidRPr="001451A7">
        <w:rPr>
          <w:rFonts w:cs="Times New Roman"/>
          <w:b/>
          <w:bCs/>
          <w:szCs w:val="24"/>
          <w:u w:val="single"/>
        </w:rPr>
        <w:t xml:space="preserve"> </w:t>
      </w:r>
    </w:p>
    <w:p w:rsidR="00527B9E" w:rsidRPr="0008312A" w:rsidRDefault="000511DA" w:rsidP="0008312A">
      <w:pPr>
        <w:pStyle w:val="Heading2"/>
        <w:rPr>
          <w:rFonts w:cs="Times New Roman"/>
          <w:szCs w:val="24"/>
        </w:rPr>
      </w:pPr>
      <w:r w:rsidRPr="0008312A">
        <w:rPr>
          <w:rFonts w:cs="Times New Roman"/>
          <w:szCs w:val="24"/>
        </w:rPr>
        <w:t>A critical review of the company’s financial performances</w:t>
      </w:r>
    </w:p>
    <w:p w:rsidR="00A50946" w:rsidRPr="00DB26B7" w:rsidRDefault="00297985" w:rsidP="00BA5CBE">
      <w:pPr>
        <w:rPr>
          <w:rFonts w:cs="Times New Roman"/>
          <w:color w:val="000000" w:themeColor="text1"/>
          <w:szCs w:val="24"/>
        </w:rPr>
      </w:pPr>
      <w:r w:rsidRPr="0008312A">
        <w:rPr>
          <w:rFonts w:cs="Times New Roman"/>
          <w:szCs w:val="24"/>
        </w:rPr>
        <w:t>The financial performance accomplished in an organisation during a specific year or a number of years in the past can be analysed with ratio analysis (</w:t>
      </w:r>
      <w:r w:rsidR="0074470B" w:rsidRPr="0008312A">
        <w:rPr>
          <w:rFonts w:cs="Times New Roman"/>
          <w:szCs w:val="24"/>
        </w:rPr>
        <w:t>Williams and Dobelman, 2017</w:t>
      </w:r>
      <w:r w:rsidRPr="0008312A">
        <w:rPr>
          <w:rFonts w:cs="Times New Roman"/>
          <w:szCs w:val="24"/>
        </w:rPr>
        <w:t xml:space="preserve">). </w:t>
      </w:r>
      <w:r w:rsidR="00720D55" w:rsidRPr="0008312A">
        <w:rPr>
          <w:rFonts w:cs="Times New Roman"/>
          <w:szCs w:val="24"/>
        </w:rPr>
        <w:t xml:space="preserve">This is because financial analysis of an organisation becomes easy with </w:t>
      </w:r>
      <w:r w:rsidR="00B90101" w:rsidRPr="0008312A">
        <w:rPr>
          <w:rFonts w:cs="Times New Roman"/>
          <w:szCs w:val="24"/>
        </w:rPr>
        <w:t xml:space="preserve">the application of financial ratios to interpret the financial statements of an organisation. </w:t>
      </w:r>
      <w:r w:rsidR="00B647DD" w:rsidRPr="00DB26B7">
        <w:rPr>
          <w:rFonts w:cs="Times New Roman"/>
          <w:color w:val="000000" w:themeColor="text1"/>
          <w:szCs w:val="24"/>
        </w:rPr>
        <w:t xml:space="preserve">For the gaining of understanding of the financial performance of the business entity BT Group Plc, there has been a detailed interpretation of its financial ratios in the following section. In addition to it, there </w:t>
      </w:r>
      <w:r w:rsidR="00C04540" w:rsidRPr="00DB26B7">
        <w:rPr>
          <w:rFonts w:cs="Times New Roman"/>
          <w:color w:val="000000" w:themeColor="text1"/>
          <w:szCs w:val="24"/>
        </w:rPr>
        <w:t xml:space="preserve">has also been a comparison done on the financial performance of the BT Group Plc with its major competitor Vodafone Group Plc for the past five years. </w:t>
      </w:r>
    </w:p>
    <w:p w:rsidR="00C04540" w:rsidRPr="00DB26B7" w:rsidRDefault="00834197" w:rsidP="00BA5CBE">
      <w:pPr>
        <w:rPr>
          <w:rFonts w:cs="Times New Roman"/>
          <w:b/>
          <w:color w:val="000000" w:themeColor="text1"/>
          <w:szCs w:val="24"/>
        </w:rPr>
      </w:pPr>
      <w:r w:rsidRPr="00DB26B7">
        <w:rPr>
          <w:rFonts w:cs="Times New Roman"/>
          <w:b/>
          <w:color w:val="000000" w:themeColor="text1"/>
          <w:szCs w:val="24"/>
        </w:rPr>
        <w:t xml:space="preserve">Calculation of key financial ratios of BT Group Plc for last 5 years </w:t>
      </w:r>
    </w:p>
    <w:p w:rsidR="00834197" w:rsidRPr="00DB26B7" w:rsidRDefault="009A1F03" w:rsidP="00BA5CBE">
      <w:pPr>
        <w:rPr>
          <w:rFonts w:cs="Times New Roman"/>
          <w:color w:val="000000" w:themeColor="text1"/>
          <w:szCs w:val="24"/>
        </w:rPr>
      </w:pPr>
      <w:r w:rsidRPr="00DB26B7">
        <w:rPr>
          <w:rFonts w:cs="Times New Roman"/>
          <w:color w:val="000000" w:themeColor="text1"/>
          <w:szCs w:val="24"/>
        </w:rPr>
        <w:lastRenderedPageBreak/>
        <w:t xml:space="preserve">In order to derive and analyse the financial performance of the BT Group Plc, there are six </w:t>
      </w:r>
      <w:r w:rsidR="00944612" w:rsidRPr="00DB26B7">
        <w:rPr>
          <w:rFonts w:cs="Times New Roman"/>
          <w:color w:val="000000" w:themeColor="text1"/>
          <w:szCs w:val="24"/>
        </w:rPr>
        <w:t xml:space="preserve">major financial ratios used along with a few subsidiary ratios. The six major ratios used are as follows - </w:t>
      </w:r>
    </w:p>
    <w:p w:rsidR="003D6C80" w:rsidRPr="00DB26B7" w:rsidRDefault="003D6C80" w:rsidP="003D6C80">
      <w:pPr>
        <w:rPr>
          <w:rFonts w:cs="Times New Roman"/>
          <w:b/>
          <w:i/>
          <w:color w:val="000000" w:themeColor="text1"/>
          <w:szCs w:val="24"/>
        </w:rPr>
      </w:pPr>
      <w:r w:rsidRPr="00DB26B7">
        <w:rPr>
          <w:rFonts w:cs="Times New Roman"/>
          <w:b/>
          <w:i/>
          <w:color w:val="000000" w:themeColor="text1"/>
          <w:szCs w:val="24"/>
        </w:rPr>
        <w:t xml:space="preserve">Primary investment level ratios </w:t>
      </w:r>
    </w:p>
    <w:p w:rsidR="00944612" w:rsidRPr="00DB26B7" w:rsidRDefault="003D6C80" w:rsidP="003D6C80">
      <w:pPr>
        <w:pStyle w:val="ListParagraph"/>
        <w:numPr>
          <w:ilvl w:val="0"/>
          <w:numId w:val="4"/>
        </w:numPr>
        <w:rPr>
          <w:rFonts w:cs="Times New Roman"/>
          <w:color w:val="000000" w:themeColor="text1"/>
          <w:szCs w:val="24"/>
        </w:rPr>
      </w:pPr>
      <w:r w:rsidRPr="00DB26B7">
        <w:rPr>
          <w:rFonts w:cs="Times New Roman"/>
          <w:color w:val="000000" w:themeColor="text1"/>
          <w:szCs w:val="24"/>
        </w:rPr>
        <w:t>Operating return on equity (Primary investment ratio)</w:t>
      </w:r>
    </w:p>
    <w:p w:rsidR="009A1F03" w:rsidRPr="00DB26B7" w:rsidRDefault="003D6C80" w:rsidP="00BA5CBE">
      <w:pPr>
        <w:rPr>
          <w:rFonts w:cs="Times New Roman"/>
          <w:color w:val="000000" w:themeColor="text1"/>
          <w:szCs w:val="24"/>
        </w:rPr>
      </w:pPr>
      <w:r w:rsidRPr="00DB26B7">
        <w:rPr>
          <w:rFonts w:cs="Times New Roman"/>
          <w:color w:val="000000" w:themeColor="text1"/>
          <w:szCs w:val="24"/>
        </w:rPr>
        <w:t xml:space="preserve">Operating profit / Total shareholders’ equity </w:t>
      </w:r>
    </w:p>
    <w:p w:rsidR="003D6C80" w:rsidRPr="00DB26B7" w:rsidRDefault="0048760A" w:rsidP="003D6C80">
      <w:pPr>
        <w:pStyle w:val="ListParagraph"/>
        <w:numPr>
          <w:ilvl w:val="0"/>
          <w:numId w:val="4"/>
        </w:numPr>
        <w:rPr>
          <w:rFonts w:cs="Times New Roman"/>
          <w:color w:val="000000" w:themeColor="text1"/>
          <w:szCs w:val="24"/>
        </w:rPr>
      </w:pPr>
      <w:r w:rsidRPr="00DB26B7">
        <w:rPr>
          <w:rFonts w:cs="Times New Roman"/>
          <w:color w:val="000000" w:themeColor="text1"/>
          <w:szCs w:val="24"/>
        </w:rPr>
        <w:t>Financial leverage multiplier (Primary financing ratio)</w:t>
      </w:r>
    </w:p>
    <w:p w:rsidR="00F87E3B" w:rsidRPr="00DB26B7" w:rsidRDefault="0048760A" w:rsidP="00BA5CBE">
      <w:pPr>
        <w:rPr>
          <w:rFonts w:cs="Times New Roman"/>
          <w:color w:val="000000" w:themeColor="text1"/>
          <w:szCs w:val="24"/>
        </w:rPr>
      </w:pPr>
      <w:r w:rsidRPr="00DB26B7">
        <w:rPr>
          <w:rFonts w:cs="Times New Roman"/>
          <w:color w:val="000000" w:themeColor="text1"/>
          <w:szCs w:val="24"/>
        </w:rPr>
        <w:t xml:space="preserve">Capital employed / Total shareholders’ equity </w:t>
      </w:r>
    </w:p>
    <w:p w:rsidR="0048760A" w:rsidRPr="00DB26B7" w:rsidRDefault="0048760A" w:rsidP="00BA5CBE">
      <w:pPr>
        <w:rPr>
          <w:rFonts w:cs="Times New Roman"/>
          <w:b/>
          <w:i/>
          <w:color w:val="000000" w:themeColor="text1"/>
          <w:szCs w:val="24"/>
        </w:rPr>
      </w:pPr>
      <w:r w:rsidRPr="00DB26B7">
        <w:rPr>
          <w:rFonts w:cs="Times New Roman"/>
          <w:b/>
          <w:i/>
          <w:color w:val="000000" w:themeColor="text1"/>
          <w:szCs w:val="24"/>
        </w:rPr>
        <w:t xml:space="preserve">Primary operative level ratios </w:t>
      </w:r>
    </w:p>
    <w:p w:rsidR="0048760A" w:rsidRPr="00DB26B7" w:rsidRDefault="0048760A" w:rsidP="0048760A">
      <w:pPr>
        <w:pStyle w:val="ListParagraph"/>
        <w:numPr>
          <w:ilvl w:val="0"/>
          <w:numId w:val="4"/>
        </w:numPr>
        <w:rPr>
          <w:rFonts w:cs="Times New Roman"/>
          <w:color w:val="000000" w:themeColor="text1"/>
          <w:szCs w:val="24"/>
        </w:rPr>
      </w:pPr>
      <w:r w:rsidRPr="00DB26B7">
        <w:rPr>
          <w:rFonts w:cs="Times New Roman"/>
          <w:color w:val="000000" w:themeColor="text1"/>
          <w:szCs w:val="24"/>
        </w:rPr>
        <w:t>Return on capital employed (Primary operating ratio)</w:t>
      </w:r>
    </w:p>
    <w:p w:rsidR="0048760A" w:rsidRPr="00DB26B7" w:rsidRDefault="0048760A" w:rsidP="00BA5CBE">
      <w:pPr>
        <w:rPr>
          <w:rFonts w:cs="Times New Roman"/>
          <w:color w:val="000000" w:themeColor="text1"/>
          <w:szCs w:val="24"/>
        </w:rPr>
      </w:pPr>
      <w:r w:rsidRPr="00DB26B7">
        <w:rPr>
          <w:rFonts w:cs="Times New Roman"/>
          <w:color w:val="000000" w:themeColor="text1"/>
          <w:szCs w:val="24"/>
        </w:rPr>
        <w:t xml:space="preserve">Operating income / Capital employed </w:t>
      </w:r>
    </w:p>
    <w:p w:rsidR="0048760A" w:rsidRPr="00DB26B7" w:rsidRDefault="0048760A" w:rsidP="0048760A">
      <w:pPr>
        <w:pStyle w:val="ListParagraph"/>
        <w:numPr>
          <w:ilvl w:val="0"/>
          <w:numId w:val="4"/>
        </w:numPr>
        <w:rPr>
          <w:rFonts w:cs="Times New Roman"/>
          <w:color w:val="000000" w:themeColor="text1"/>
          <w:szCs w:val="24"/>
        </w:rPr>
      </w:pPr>
      <w:r w:rsidRPr="00DB26B7">
        <w:rPr>
          <w:rFonts w:cs="Times New Roman"/>
          <w:color w:val="000000" w:themeColor="text1"/>
          <w:szCs w:val="24"/>
        </w:rPr>
        <w:t>Asset turnover (Primary utilisation ratio)</w:t>
      </w:r>
    </w:p>
    <w:p w:rsidR="0048760A" w:rsidRPr="00DB26B7" w:rsidRDefault="0048760A" w:rsidP="00BA5CBE">
      <w:pPr>
        <w:rPr>
          <w:rFonts w:cs="Times New Roman"/>
          <w:color w:val="000000" w:themeColor="text1"/>
          <w:szCs w:val="24"/>
        </w:rPr>
      </w:pPr>
      <w:r w:rsidRPr="00DB26B7">
        <w:rPr>
          <w:rFonts w:cs="Times New Roman"/>
          <w:color w:val="000000" w:themeColor="text1"/>
          <w:szCs w:val="24"/>
        </w:rPr>
        <w:t xml:space="preserve">Revenues / Capital employed </w:t>
      </w:r>
    </w:p>
    <w:p w:rsidR="0048760A" w:rsidRPr="00DB26B7" w:rsidRDefault="0073619B" w:rsidP="0073619B">
      <w:pPr>
        <w:pStyle w:val="ListParagraph"/>
        <w:numPr>
          <w:ilvl w:val="0"/>
          <w:numId w:val="4"/>
        </w:numPr>
        <w:rPr>
          <w:rFonts w:cs="Times New Roman"/>
          <w:color w:val="000000" w:themeColor="text1"/>
          <w:szCs w:val="24"/>
        </w:rPr>
      </w:pPr>
      <w:r w:rsidRPr="00DB26B7">
        <w:rPr>
          <w:rFonts w:cs="Times New Roman"/>
          <w:color w:val="000000" w:themeColor="text1"/>
          <w:szCs w:val="24"/>
        </w:rPr>
        <w:t>Operating margin (Primary efficiency ratio)</w:t>
      </w:r>
    </w:p>
    <w:p w:rsidR="0048760A" w:rsidRPr="00DB26B7" w:rsidRDefault="0073619B" w:rsidP="00BA5CBE">
      <w:pPr>
        <w:rPr>
          <w:rFonts w:cs="Times New Roman"/>
          <w:color w:val="000000" w:themeColor="text1"/>
          <w:szCs w:val="24"/>
        </w:rPr>
      </w:pPr>
      <w:r w:rsidRPr="00DB26B7">
        <w:rPr>
          <w:rFonts w:cs="Times New Roman"/>
          <w:color w:val="000000" w:themeColor="text1"/>
          <w:szCs w:val="24"/>
        </w:rPr>
        <w:t xml:space="preserve">Operating income / Revenues </w:t>
      </w:r>
    </w:p>
    <w:p w:rsidR="0073619B" w:rsidRPr="00DB26B7" w:rsidRDefault="0073619B" w:rsidP="0073619B">
      <w:pPr>
        <w:pStyle w:val="ListParagraph"/>
        <w:numPr>
          <w:ilvl w:val="0"/>
          <w:numId w:val="4"/>
        </w:numPr>
        <w:rPr>
          <w:rFonts w:cs="Times New Roman"/>
          <w:color w:val="000000" w:themeColor="text1"/>
          <w:szCs w:val="24"/>
        </w:rPr>
      </w:pPr>
      <w:r w:rsidRPr="00DB26B7">
        <w:rPr>
          <w:rFonts w:cs="Times New Roman"/>
          <w:color w:val="000000" w:themeColor="text1"/>
          <w:szCs w:val="24"/>
        </w:rPr>
        <w:t>Current ratio (Primary liquidity ratio)</w:t>
      </w:r>
    </w:p>
    <w:p w:rsidR="0073619B" w:rsidRPr="00DB26B7" w:rsidRDefault="0073619B" w:rsidP="0073619B">
      <w:pPr>
        <w:rPr>
          <w:rFonts w:cs="Times New Roman"/>
          <w:color w:val="000000" w:themeColor="text1"/>
          <w:szCs w:val="24"/>
        </w:rPr>
      </w:pPr>
      <w:r w:rsidRPr="00DB26B7">
        <w:rPr>
          <w:rFonts w:cs="Times New Roman"/>
          <w:color w:val="000000" w:themeColor="text1"/>
          <w:szCs w:val="24"/>
        </w:rPr>
        <w:t xml:space="preserve">However, in addition to these ratios, a few subsidiary ratios are utilised and applied as well. These ratios are as follows - </w:t>
      </w:r>
    </w:p>
    <w:p w:rsidR="0073619B" w:rsidRPr="00DB26B7" w:rsidRDefault="0073619B" w:rsidP="0073619B">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Net profit ratio </w:t>
      </w:r>
    </w:p>
    <w:p w:rsidR="0073619B" w:rsidRPr="00DB26B7" w:rsidRDefault="0073619B" w:rsidP="0073619B">
      <w:pPr>
        <w:rPr>
          <w:rFonts w:cs="Times New Roman"/>
          <w:color w:val="000000" w:themeColor="text1"/>
          <w:szCs w:val="24"/>
        </w:rPr>
      </w:pPr>
      <w:r w:rsidRPr="00DB26B7">
        <w:rPr>
          <w:rFonts w:cs="Times New Roman"/>
          <w:color w:val="000000" w:themeColor="text1"/>
          <w:szCs w:val="24"/>
        </w:rPr>
        <w:t>Net income / Revenues x 100</w:t>
      </w:r>
    </w:p>
    <w:p w:rsidR="0073619B" w:rsidRPr="00DB26B7" w:rsidRDefault="0073619B" w:rsidP="0073619B">
      <w:pPr>
        <w:pStyle w:val="ListParagraph"/>
        <w:numPr>
          <w:ilvl w:val="0"/>
          <w:numId w:val="4"/>
        </w:numPr>
        <w:rPr>
          <w:rFonts w:cs="Times New Roman"/>
          <w:color w:val="000000" w:themeColor="text1"/>
          <w:szCs w:val="24"/>
        </w:rPr>
      </w:pPr>
      <w:r w:rsidRPr="00DB26B7">
        <w:rPr>
          <w:rFonts w:cs="Times New Roman"/>
          <w:color w:val="000000" w:themeColor="text1"/>
          <w:szCs w:val="24"/>
        </w:rPr>
        <w:t>Acid test ratio (Quick ratio)</w:t>
      </w:r>
    </w:p>
    <w:p w:rsidR="0073619B" w:rsidRPr="00DB26B7" w:rsidRDefault="0073619B" w:rsidP="0073619B">
      <w:pPr>
        <w:rPr>
          <w:rFonts w:cs="Times New Roman"/>
          <w:color w:val="000000" w:themeColor="text1"/>
          <w:szCs w:val="24"/>
        </w:rPr>
      </w:pPr>
      <w:r w:rsidRPr="00DB26B7">
        <w:rPr>
          <w:rFonts w:cs="Times New Roman"/>
          <w:color w:val="000000" w:themeColor="text1"/>
          <w:szCs w:val="24"/>
        </w:rPr>
        <w:t xml:space="preserve">Liquid assets / Total liabilities </w:t>
      </w:r>
    </w:p>
    <w:p w:rsidR="0073619B" w:rsidRPr="00DB26B7" w:rsidRDefault="0073619B" w:rsidP="0073619B">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Gearing ratio </w:t>
      </w:r>
    </w:p>
    <w:p w:rsidR="0073619B" w:rsidRPr="00DB26B7" w:rsidRDefault="00983054" w:rsidP="0073619B">
      <w:pPr>
        <w:rPr>
          <w:rFonts w:cs="Times New Roman"/>
          <w:color w:val="000000" w:themeColor="text1"/>
          <w:szCs w:val="24"/>
        </w:rPr>
      </w:pPr>
      <w:r w:rsidRPr="00DB26B7">
        <w:rPr>
          <w:rFonts w:cs="Times New Roman"/>
          <w:color w:val="000000" w:themeColor="text1"/>
          <w:szCs w:val="24"/>
        </w:rPr>
        <w:lastRenderedPageBreak/>
        <w:t xml:space="preserve">Non-current liabilities / Capital employed </w:t>
      </w:r>
    </w:p>
    <w:p w:rsidR="00983054" w:rsidRPr="00DB26B7" w:rsidRDefault="008C6738" w:rsidP="00983054">
      <w:pPr>
        <w:pStyle w:val="ListParagraph"/>
        <w:numPr>
          <w:ilvl w:val="0"/>
          <w:numId w:val="4"/>
        </w:numPr>
        <w:rPr>
          <w:rFonts w:cs="Times New Roman"/>
          <w:color w:val="000000" w:themeColor="text1"/>
          <w:szCs w:val="24"/>
        </w:rPr>
      </w:pPr>
      <w:r w:rsidRPr="00DB26B7">
        <w:rPr>
          <w:rFonts w:cs="Times New Roman"/>
          <w:color w:val="000000" w:themeColor="text1"/>
          <w:szCs w:val="24"/>
        </w:rPr>
        <w:t>Earnings per share (EPS)</w:t>
      </w:r>
    </w:p>
    <w:p w:rsidR="0073619B" w:rsidRPr="00DB26B7" w:rsidRDefault="008C6738" w:rsidP="0073619B">
      <w:pPr>
        <w:rPr>
          <w:rFonts w:cs="Times New Roman"/>
          <w:color w:val="000000" w:themeColor="text1"/>
          <w:szCs w:val="24"/>
        </w:rPr>
      </w:pPr>
      <w:r w:rsidRPr="00DB26B7">
        <w:rPr>
          <w:rFonts w:cs="Times New Roman"/>
          <w:color w:val="000000" w:themeColor="text1"/>
          <w:szCs w:val="24"/>
        </w:rPr>
        <w:t xml:space="preserve">Net income - Preference dividend / Ordinary shares </w:t>
      </w:r>
    </w:p>
    <w:p w:rsidR="008C6738" w:rsidRPr="00DB26B7" w:rsidRDefault="008C6738" w:rsidP="008C6738">
      <w:pPr>
        <w:pStyle w:val="ListParagraph"/>
        <w:numPr>
          <w:ilvl w:val="0"/>
          <w:numId w:val="4"/>
        </w:numPr>
        <w:rPr>
          <w:rFonts w:cs="Times New Roman"/>
          <w:color w:val="000000" w:themeColor="text1"/>
          <w:szCs w:val="24"/>
        </w:rPr>
      </w:pPr>
      <w:r w:rsidRPr="00DB26B7">
        <w:rPr>
          <w:rFonts w:cs="Times New Roman"/>
          <w:color w:val="000000" w:themeColor="text1"/>
          <w:szCs w:val="24"/>
        </w:rPr>
        <w:t>Price earnings ratio (PE ratio)</w:t>
      </w:r>
    </w:p>
    <w:p w:rsidR="00A8704D" w:rsidRDefault="00A8704D" w:rsidP="0073619B">
      <w:pPr>
        <w:rPr>
          <w:rFonts w:cs="Times New Roman"/>
          <w:color w:val="000000" w:themeColor="text1"/>
          <w:szCs w:val="24"/>
        </w:rPr>
      </w:pPr>
    </w:p>
    <w:p w:rsidR="008C6738" w:rsidRPr="00DB26B7" w:rsidRDefault="00564C32" w:rsidP="0073619B">
      <w:pPr>
        <w:rPr>
          <w:rFonts w:cs="Times New Roman"/>
          <w:color w:val="000000" w:themeColor="text1"/>
          <w:szCs w:val="24"/>
        </w:rPr>
      </w:pPr>
      <w:r w:rsidRPr="00DB26B7">
        <w:rPr>
          <w:rFonts w:cs="Times New Roman"/>
          <w:color w:val="000000" w:themeColor="text1"/>
          <w:szCs w:val="24"/>
        </w:rPr>
        <w:t xml:space="preserve">Share price / EPS </w:t>
      </w:r>
    </w:p>
    <w:p w:rsidR="008C6738" w:rsidRPr="00DB26B7" w:rsidRDefault="002E404E" w:rsidP="0073619B">
      <w:pPr>
        <w:rPr>
          <w:rFonts w:cs="Times New Roman"/>
          <w:color w:val="000000" w:themeColor="text1"/>
          <w:szCs w:val="24"/>
        </w:rPr>
      </w:pPr>
      <w:r w:rsidRPr="00DB26B7">
        <w:rPr>
          <w:rFonts w:cs="Times New Roman"/>
          <w:color w:val="000000" w:themeColor="text1"/>
          <w:szCs w:val="24"/>
        </w:rPr>
        <w:t>The following financial ratios of the BT Group Plc have been calculated and discussed in the section below</w:t>
      </w:r>
      <w:r w:rsidR="00A8704D">
        <w:rPr>
          <w:rFonts w:cs="Times New Roman"/>
          <w:color w:val="000000" w:themeColor="text1"/>
          <w:szCs w:val="24"/>
        </w:rPr>
        <w:t>:</w:t>
      </w:r>
    </w:p>
    <w:p w:rsidR="006C4FA0" w:rsidRPr="00DB26B7" w:rsidRDefault="006C4FA0" w:rsidP="0073619B">
      <w:pPr>
        <w:rPr>
          <w:rFonts w:cs="Times New Roman"/>
          <w:b/>
          <w:i/>
          <w:color w:val="000000" w:themeColor="text1"/>
          <w:szCs w:val="24"/>
        </w:rPr>
      </w:pPr>
      <w:r w:rsidRPr="00DB26B7">
        <w:rPr>
          <w:rFonts w:cs="Times New Roman"/>
          <w:b/>
          <w:i/>
          <w:color w:val="000000" w:themeColor="text1"/>
          <w:szCs w:val="24"/>
        </w:rPr>
        <w:t xml:space="preserve">Primary investment level ratios </w:t>
      </w:r>
    </w:p>
    <w:p w:rsidR="002E404E" w:rsidRPr="00DB26B7" w:rsidRDefault="003C0318" w:rsidP="003C0318">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Operating return on equity </w:t>
      </w:r>
    </w:p>
    <w:p w:rsidR="00564C32" w:rsidRPr="00DB26B7" w:rsidRDefault="003C0318" w:rsidP="0073619B">
      <w:pPr>
        <w:rPr>
          <w:rFonts w:cs="Times New Roman"/>
          <w:color w:val="000000" w:themeColor="text1"/>
          <w:szCs w:val="24"/>
        </w:rPr>
      </w:pPr>
      <w:r w:rsidRPr="00DB26B7">
        <w:rPr>
          <w:rFonts w:cs="Times New Roman"/>
          <w:color w:val="000000" w:themeColor="text1"/>
          <w:szCs w:val="24"/>
        </w:rPr>
        <w:t>This financial ratio is a presentation of the operating profit that a company earns before taxation and is expressed as a percent of the book valuation of equity (</w:t>
      </w:r>
      <w:r w:rsidR="004C06F0" w:rsidRPr="00DB26B7">
        <w:rPr>
          <w:rFonts w:cs="Times New Roman"/>
          <w:color w:val="000000" w:themeColor="text1"/>
          <w:szCs w:val="24"/>
        </w:rPr>
        <w:t>Penman, 2015</w:t>
      </w:r>
      <w:r w:rsidRPr="00DB26B7">
        <w:rPr>
          <w:rFonts w:cs="Times New Roman"/>
          <w:color w:val="000000" w:themeColor="text1"/>
          <w:szCs w:val="24"/>
        </w:rPr>
        <w:t xml:space="preserve">). </w:t>
      </w:r>
    </w:p>
    <w:p w:rsidR="008C6738" w:rsidRPr="00DB26B7" w:rsidRDefault="006C4FA0" w:rsidP="006C4FA0">
      <w:pPr>
        <w:pStyle w:val="ListParagraph"/>
        <w:numPr>
          <w:ilvl w:val="0"/>
          <w:numId w:val="4"/>
        </w:numPr>
        <w:rPr>
          <w:rFonts w:cs="Times New Roman"/>
          <w:color w:val="000000" w:themeColor="text1"/>
          <w:szCs w:val="24"/>
        </w:rPr>
      </w:pPr>
      <w:r w:rsidRPr="00DB26B7">
        <w:rPr>
          <w:rFonts w:cs="Times New Roman"/>
          <w:color w:val="000000" w:themeColor="text1"/>
          <w:szCs w:val="24"/>
        </w:rPr>
        <w:t>Financial leverage multiplier</w:t>
      </w:r>
    </w:p>
    <w:p w:rsidR="0073619B" w:rsidRPr="00DB26B7" w:rsidRDefault="006C4FA0" w:rsidP="0073619B">
      <w:pPr>
        <w:rPr>
          <w:rFonts w:cs="Times New Roman"/>
          <w:color w:val="000000" w:themeColor="text1"/>
          <w:szCs w:val="24"/>
        </w:rPr>
      </w:pPr>
      <w:r w:rsidRPr="00DB26B7">
        <w:rPr>
          <w:rFonts w:cs="Times New Roman"/>
          <w:color w:val="000000" w:themeColor="text1"/>
          <w:szCs w:val="24"/>
        </w:rPr>
        <w:t>This financial ratio is an expression of the number of times by which the capital employed is higher than the equity held by shareholders (</w:t>
      </w:r>
      <w:proofErr w:type="spellStart"/>
      <w:r w:rsidR="004C06F0" w:rsidRPr="00DB26B7">
        <w:rPr>
          <w:rFonts w:cs="Times New Roman"/>
          <w:color w:val="000000" w:themeColor="text1"/>
          <w:szCs w:val="24"/>
        </w:rPr>
        <w:t>Kijewska</w:t>
      </w:r>
      <w:proofErr w:type="spellEnd"/>
      <w:r w:rsidR="004C06F0" w:rsidRPr="00DB26B7">
        <w:rPr>
          <w:rFonts w:cs="Times New Roman"/>
          <w:color w:val="000000" w:themeColor="text1"/>
          <w:szCs w:val="24"/>
        </w:rPr>
        <w:t>, 2016</w:t>
      </w:r>
      <w:r w:rsidRPr="00DB26B7">
        <w:rPr>
          <w:rFonts w:cs="Times New Roman"/>
          <w:color w:val="000000" w:themeColor="text1"/>
          <w:szCs w:val="24"/>
        </w:rPr>
        <w:t xml:space="preserve">). </w:t>
      </w:r>
    </w:p>
    <w:tbl>
      <w:tblPr>
        <w:tblStyle w:val="TableGrid"/>
        <w:tblW w:w="0" w:type="auto"/>
        <w:tblLook w:val="04A0" w:firstRow="1" w:lastRow="0" w:firstColumn="1" w:lastColumn="0" w:noHBand="0" w:noVBand="1"/>
      </w:tblPr>
      <w:tblGrid>
        <w:gridCol w:w="2465"/>
        <w:gridCol w:w="1500"/>
        <w:gridCol w:w="1403"/>
        <w:gridCol w:w="1403"/>
        <w:gridCol w:w="1500"/>
        <w:gridCol w:w="1305"/>
      </w:tblGrid>
      <w:tr w:rsidR="00DB26B7" w:rsidRPr="00DB26B7" w:rsidTr="00203BFE">
        <w:trPr>
          <w:trHeight w:val="300"/>
        </w:trPr>
        <w:tc>
          <w:tcPr>
            <w:tcW w:w="0" w:type="auto"/>
            <w:gridSpan w:val="6"/>
            <w:noWrap/>
            <w:hideMark/>
          </w:tcPr>
          <w:p w:rsidR="00635A60" w:rsidRPr="00DB26B7" w:rsidRDefault="00635A60" w:rsidP="008D4A18">
            <w:pPr>
              <w:jc w:val="center"/>
              <w:rPr>
                <w:b/>
                <w:color w:val="000000" w:themeColor="text1"/>
                <w:sz w:val="24"/>
                <w:szCs w:val="24"/>
              </w:rPr>
            </w:pPr>
            <w:r w:rsidRPr="00DB26B7">
              <w:rPr>
                <w:b/>
                <w:color w:val="000000" w:themeColor="text1"/>
                <w:sz w:val="24"/>
                <w:szCs w:val="24"/>
              </w:rPr>
              <w:t xml:space="preserve">Primary investment level ratios </w:t>
            </w:r>
            <w:r w:rsidR="008D4A18" w:rsidRPr="00DB26B7">
              <w:rPr>
                <w:b/>
                <w:color w:val="000000" w:themeColor="text1"/>
                <w:sz w:val="24"/>
                <w:szCs w:val="24"/>
              </w:rPr>
              <w:t>calculated for</w:t>
            </w:r>
            <w:r w:rsidRPr="00DB26B7">
              <w:rPr>
                <w:b/>
                <w:color w:val="000000" w:themeColor="text1"/>
                <w:sz w:val="24"/>
                <w:szCs w:val="24"/>
              </w:rPr>
              <w:t xml:space="preserve"> BT Group Plc</w:t>
            </w:r>
          </w:p>
        </w:tc>
      </w:tr>
      <w:tr w:rsidR="00DB26B7" w:rsidRPr="00DB26B7" w:rsidTr="00203BFE">
        <w:trPr>
          <w:trHeight w:val="300"/>
        </w:trPr>
        <w:tc>
          <w:tcPr>
            <w:tcW w:w="0" w:type="auto"/>
            <w:noWrap/>
            <w:hideMark/>
          </w:tcPr>
          <w:p w:rsidR="00635A60" w:rsidRPr="00DB26B7" w:rsidRDefault="00635A60">
            <w:pPr>
              <w:rPr>
                <w:rFonts w:cs="Times New Roman"/>
                <w:color w:val="000000" w:themeColor="text1"/>
                <w:sz w:val="24"/>
                <w:szCs w:val="24"/>
              </w:rPr>
            </w:pPr>
          </w:p>
        </w:tc>
        <w:tc>
          <w:tcPr>
            <w:tcW w:w="0" w:type="auto"/>
            <w:noWrap/>
            <w:hideMark/>
          </w:tcPr>
          <w:p w:rsidR="00635A60" w:rsidRPr="00DB26B7" w:rsidRDefault="00635A60" w:rsidP="00635A60">
            <w:pPr>
              <w:rPr>
                <w:rFonts w:cs="Times New Roman"/>
                <w:b/>
                <w:color w:val="000000" w:themeColor="text1"/>
                <w:sz w:val="24"/>
                <w:szCs w:val="24"/>
              </w:rPr>
            </w:pPr>
            <w:r w:rsidRPr="00DB26B7">
              <w:rPr>
                <w:rFonts w:cs="Times New Roman"/>
                <w:b/>
                <w:color w:val="000000" w:themeColor="text1"/>
                <w:sz w:val="24"/>
                <w:szCs w:val="24"/>
              </w:rPr>
              <w:t>2019</w:t>
            </w:r>
          </w:p>
        </w:tc>
        <w:tc>
          <w:tcPr>
            <w:tcW w:w="0" w:type="auto"/>
            <w:noWrap/>
            <w:hideMark/>
          </w:tcPr>
          <w:p w:rsidR="00635A60" w:rsidRPr="00DB26B7" w:rsidRDefault="00635A60" w:rsidP="00635A60">
            <w:pPr>
              <w:rPr>
                <w:rFonts w:cs="Times New Roman"/>
                <w:b/>
                <w:color w:val="000000" w:themeColor="text1"/>
                <w:sz w:val="24"/>
                <w:szCs w:val="24"/>
              </w:rPr>
            </w:pPr>
            <w:r w:rsidRPr="00DB26B7">
              <w:rPr>
                <w:rFonts w:cs="Times New Roman"/>
                <w:b/>
                <w:color w:val="000000" w:themeColor="text1"/>
                <w:sz w:val="24"/>
                <w:szCs w:val="24"/>
              </w:rPr>
              <w:t>2018</w:t>
            </w:r>
          </w:p>
        </w:tc>
        <w:tc>
          <w:tcPr>
            <w:tcW w:w="0" w:type="auto"/>
            <w:noWrap/>
            <w:hideMark/>
          </w:tcPr>
          <w:p w:rsidR="00635A60" w:rsidRPr="00DB26B7" w:rsidRDefault="00635A60" w:rsidP="00635A60">
            <w:pPr>
              <w:rPr>
                <w:rFonts w:cs="Times New Roman"/>
                <w:b/>
                <w:color w:val="000000" w:themeColor="text1"/>
                <w:sz w:val="24"/>
                <w:szCs w:val="24"/>
              </w:rPr>
            </w:pPr>
            <w:r w:rsidRPr="00DB26B7">
              <w:rPr>
                <w:rFonts w:cs="Times New Roman"/>
                <w:b/>
                <w:color w:val="000000" w:themeColor="text1"/>
                <w:sz w:val="24"/>
                <w:szCs w:val="24"/>
              </w:rPr>
              <w:t>2017</w:t>
            </w:r>
          </w:p>
        </w:tc>
        <w:tc>
          <w:tcPr>
            <w:tcW w:w="0" w:type="auto"/>
            <w:noWrap/>
            <w:hideMark/>
          </w:tcPr>
          <w:p w:rsidR="00635A60" w:rsidRPr="00DB26B7" w:rsidRDefault="00635A60" w:rsidP="00635A60">
            <w:pPr>
              <w:rPr>
                <w:rFonts w:cs="Times New Roman"/>
                <w:b/>
                <w:color w:val="000000" w:themeColor="text1"/>
                <w:sz w:val="24"/>
                <w:szCs w:val="24"/>
              </w:rPr>
            </w:pPr>
            <w:r w:rsidRPr="00DB26B7">
              <w:rPr>
                <w:rFonts w:cs="Times New Roman"/>
                <w:b/>
                <w:color w:val="000000" w:themeColor="text1"/>
                <w:sz w:val="24"/>
                <w:szCs w:val="24"/>
              </w:rPr>
              <w:t>2016</w:t>
            </w:r>
          </w:p>
        </w:tc>
        <w:tc>
          <w:tcPr>
            <w:tcW w:w="0" w:type="auto"/>
            <w:noWrap/>
            <w:hideMark/>
          </w:tcPr>
          <w:p w:rsidR="00635A60" w:rsidRPr="00DB26B7" w:rsidRDefault="00635A60" w:rsidP="00635A60">
            <w:pPr>
              <w:rPr>
                <w:rFonts w:cs="Times New Roman"/>
                <w:b/>
                <w:color w:val="000000" w:themeColor="text1"/>
                <w:sz w:val="24"/>
                <w:szCs w:val="24"/>
              </w:rPr>
            </w:pPr>
            <w:r w:rsidRPr="00DB26B7">
              <w:rPr>
                <w:rFonts w:cs="Times New Roman"/>
                <w:b/>
                <w:color w:val="000000" w:themeColor="text1"/>
                <w:sz w:val="24"/>
                <w:szCs w:val="24"/>
              </w:rPr>
              <w:t>2015</w:t>
            </w:r>
          </w:p>
        </w:tc>
      </w:tr>
      <w:tr w:rsidR="00DB26B7" w:rsidRPr="00DB26B7" w:rsidTr="00203BFE">
        <w:trPr>
          <w:trHeight w:val="300"/>
        </w:trPr>
        <w:tc>
          <w:tcPr>
            <w:tcW w:w="0" w:type="auto"/>
            <w:noWrap/>
            <w:hideMark/>
          </w:tcPr>
          <w:p w:rsidR="00635A60" w:rsidRPr="00DB26B7" w:rsidRDefault="00635A60" w:rsidP="00573077">
            <w:pPr>
              <w:rPr>
                <w:rFonts w:cs="Times New Roman"/>
                <w:color w:val="000000" w:themeColor="text1"/>
                <w:sz w:val="24"/>
                <w:szCs w:val="24"/>
              </w:rPr>
            </w:pPr>
            <w:r w:rsidRPr="00DB26B7">
              <w:rPr>
                <w:rFonts w:cs="Times New Roman"/>
                <w:color w:val="000000" w:themeColor="text1"/>
                <w:sz w:val="24"/>
                <w:szCs w:val="24"/>
              </w:rPr>
              <w:t>Operating return on equity</w:t>
            </w:r>
          </w:p>
        </w:tc>
        <w:tc>
          <w:tcPr>
            <w:tcW w:w="0" w:type="auto"/>
            <w:noWrap/>
            <w:hideMark/>
          </w:tcPr>
          <w:p w:rsidR="004B10CC" w:rsidRPr="00DB26B7" w:rsidRDefault="00B41A2B" w:rsidP="00635A60">
            <w:pPr>
              <w:rPr>
                <w:rFonts w:cs="Times New Roman"/>
                <w:color w:val="000000" w:themeColor="text1"/>
                <w:sz w:val="24"/>
                <w:szCs w:val="24"/>
              </w:rPr>
            </w:pPr>
            <w:r w:rsidRPr="00DB26B7">
              <w:rPr>
                <w:rFonts w:cs="Times New Roman"/>
                <w:color w:val="000000" w:themeColor="text1"/>
                <w:sz w:val="24"/>
                <w:szCs w:val="24"/>
              </w:rPr>
              <w:t xml:space="preserve">= </w:t>
            </w:r>
            <w:r w:rsidR="004B10CC" w:rsidRPr="00DB26B7">
              <w:rPr>
                <w:rFonts w:cs="Times New Roman"/>
                <w:color w:val="000000" w:themeColor="text1"/>
                <w:sz w:val="24"/>
                <w:szCs w:val="24"/>
              </w:rPr>
              <w:t>3421 / 10167</w:t>
            </w:r>
          </w:p>
          <w:p w:rsidR="00635A60" w:rsidRPr="00DB26B7" w:rsidRDefault="004B10CC"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33.65</w:t>
            </w:r>
            <w:r w:rsidR="00203BFE" w:rsidRPr="00DB26B7">
              <w:rPr>
                <w:rFonts w:cs="Times New Roman"/>
                <w:color w:val="000000" w:themeColor="text1"/>
                <w:sz w:val="24"/>
                <w:szCs w:val="24"/>
              </w:rPr>
              <w:t>%</w:t>
            </w:r>
          </w:p>
        </w:tc>
        <w:tc>
          <w:tcPr>
            <w:tcW w:w="0" w:type="auto"/>
            <w:noWrap/>
            <w:hideMark/>
          </w:tcPr>
          <w:p w:rsidR="004B10CC" w:rsidRPr="00DB26B7" w:rsidRDefault="004B10CC" w:rsidP="00635A60">
            <w:pPr>
              <w:rPr>
                <w:rFonts w:cs="Times New Roman"/>
                <w:color w:val="000000" w:themeColor="text1"/>
                <w:sz w:val="24"/>
                <w:szCs w:val="24"/>
              </w:rPr>
            </w:pPr>
            <w:r w:rsidRPr="00DB26B7">
              <w:rPr>
                <w:rFonts w:cs="Times New Roman"/>
                <w:color w:val="000000" w:themeColor="text1"/>
                <w:sz w:val="24"/>
                <w:szCs w:val="24"/>
              </w:rPr>
              <w:t>= 3381 / 9911</w:t>
            </w:r>
          </w:p>
          <w:p w:rsidR="00635A60" w:rsidRPr="00DB26B7" w:rsidRDefault="004B10CC"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34.11</w:t>
            </w:r>
            <w:r w:rsidR="00203BFE" w:rsidRPr="00DB26B7">
              <w:rPr>
                <w:rFonts w:cs="Times New Roman"/>
                <w:color w:val="000000" w:themeColor="text1"/>
                <w:sz w:val="24"/>
                <w:szCs w:val="24"/>
              </w:rPr>
              <w:t>%</w:t>
            </w:r>
          </w:p>
        </w:tc>
        <w:tc>
          <w:tcPr>
            <w:tcW w:w="0" w:type="auto"/>
            <w:noWrap/>
            <w:hideMark/>
          </w:tcPr>
          <w:p w:rsidR="004B10CC" w:rsidRPr="00DB26B7" w:rsidRDefault="004B10CC" w:rsidP="00635A60">
            <w:pPr>
              <w:rPr>
                <w:rFonts w:cs="Times New Roman"/>
                <w:color w:val="000000" w:themeColor="text1"/>
                <w:sz w:val="24"/>
                <w:szCs w:val="24"/>
              </w:rPr>
            </w:pPr>
            <w:r w:rsidRPr="00DB26B7">
              <w:rPr>
                <w:rFonts w:cs="Times New Roman"/>
                <w:color w:val="000000" w:themeColor="text1"/>
                <w:sz w:val="24"/>
                <w:szCs w:val="24"/>
              </w:rPr>
              <w:t xml:space="preserve">= 3167 / </w:t>
            </w:r>
            <w:r w:rsidR="006F1D18" w:rsidRPr="00DB26B7">
              <w:rPr>
                <w:rFonts w:cs="Times New Roman"/>
                <w:color w:val="000000" w:themeColor="text1"/>
                <w:sz w:val="24"/>
                <w:szCs w:val="24"/>
              </w:rPr>
              <w:t>8335</w:t>
            </w:r>
          </w:p>
          <w:p w:rsidR="00635A60" w:rsidRPr="00DB26B7" w:rsidRDefault="004B10CC" w:rsidP="00635A60">
            <w:pPr>
              <w:rPr>
                <w:rFonts w:cs="Times New Roman"/>
                <w:color w:val="000000" w:themeColor="text1"/>
                <w:sz w:val="24"/>
                <w:szCs w:val="24"/>
              </w:rPr>
            </w:pPr>
            <w:r w:rsidRPr="00DB26B7">
              <w:rPr>
                <w:rFonts w:cs="Times New Roman"/>
                <w:color w:val="000000" w:themeColor="text1"/>
                <w:sz w:val="24"/>
                <w:szCs w:val="24"/>
              </w:rPr>
              <w:t xml:space="preserve">= </w:t>
            </w:r>
            <w:r w:rsidR="00203BFE" w:rsidRPr="00DB26B7">
              <w:rPr>
                <w:rFonts w:cs="Times New Roman"/>
                <w:color w:val="000000" w:themeColor="text1"/>
                <w:sz w:val="24"/>
                <w:szCs w:val="24"/>
              </w:rPr>
              <w:t>38%</w:t>
            </w:r>
          </w:p>
        </w:tc>
        <w:tc>
          <w:tcPr>
            <w:tcW w:w="0" w:type="auto"/>
            <w:noWrap/>
            <w:hideMark/>
          </w:tcPr>
          <w:p w:rsidR="006F1D18" w:rsidRPr="00DB26B7" w:rsidRDefault="006F1D18" w:rsidP="00635A60">
            <w:pPr>
              <w:rPr>
                <w:rFonts w:cs="Times New Roman"/>
                <w:color w:val="000000" w:themeColor="text1"/>
                <w:sz w:val="24"/>
                <w:szCs w:val="24"/>
              </w:rPr>
            </w:pPr>
            <w:r w:rsidRPr="00DB26B7">
              <w:rPr>
                <w:rFonts w:cs="Times New Roman"/>
                <w:color w:val="000000" w:themeColor="text1"/>
                <w:sz w:val="24"/>
                <w:szCs w:val="24"/>
              </w:rPr>
              <w:t xml:space="preserve">= 3613 / </w:t>
            </w:r>
            <w:r w:rsidR="00203BFE" w:rsidRPr="00DB26B7">
              <w:rPr>
                <w:rFonts w:cs="Times New Roman"/>
                <w:color w:val="000000" w:themeColor="text1"/>
                <w:sz w:val="24"/>
                <w:szCs w:val="24"/>
              </w:rPr>
              <w:t>10112</w:t>
            </w:r>
          </w:p>
          <w:p w:rsidR="00635A60" w:rsidRPr="00DB26B7" w:rsidRDefault="006F1D18"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35.73</w:t>
            </w:r>
            <w:r w:rsidR="00203BFE" w:rsidRPr="00DB26B7">
              <w:rPr>
                <w:rFonts w:cs="Times New Roman"/>
                <w:color w:val="000000" w:themeColor="text1"/>
                <w:sz w:val="24"/>
                <w:szCs w:val="24"/>
              </w:rPr>
              <w:t>%</w:t>
            </w:r>
          </w:p>
        </w:tc>
        <w:tc>
          <w:tcPr>
            <w:tcW w:w="0" w:type="auto"/>
            <w:noWrap/>
            <w:hideMark/>
          </w:tcPr>
          <w:p w:rsidR="006F1D18" w:rsidRPr="00DB26B7" w:rsidRDefault="006F1D18" w:rsidP="00635A60">
            <w:pPr>
              <w:rPr>
                <w:rFonts w:cs="Times New Roman"/>
                <w:color w:val="000000" w:themeColor="text1"/>
                <w:sz w:val="24"/>
                <w:szCs w:val="24"/>
              </w:rPr>
            </w:pPr>
            <w:r w:rsidRPr="00DB26B7">
              <w:rPr>
                <w:rFonts w:cs="Times New Roman"/>
                <w:color w:val="000000" w:themeColor="text1"/>
                <w:sz w:val="24"/>
                <w:szCs w:val="24"/>
              </w:rPr>
              <w:t xml:space="preserve">= 3402 / 681 </w:t>
            </w:r>
          </w:p>
          <w:p w:rsidR="00635A60" w:rsidRPr="00DB26B7" w:rsidRDefault="006F1D18"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499.56</w:t>
            </w:r>
            <w:r w:rsidR="00203BFE" w:rsidRPr="00DB26B7">
              <w:rPr>
                <w:rFonts w:cs="Times New Roman"/>
                <w:color w:val="000000" w:themeColor="text1"/>
                <w:sz w:val="24"/>
                <w:szCs w:val="24"/>
              </w:rPr>
              <w:t>%</w:t>
            </w:r>
          </w:p>
        </w:tc>
      </w:tr>
      <w:tr w:rsidR="00DB26B7" w:rsidRPr="00DB26B7" w:rsidTr="00203BFE">
        <w:trPr>
          <w:trHeight w:val="300"/>
        </w:trPr>
        <w:tc>
          <w:tcPr>
            <w:tcW w:w="0" w:type="auto"/>
            <w:noWrap/>
            <w:hideMark/>
          </w:tcPr>
          <w:p w:rsidR="00635A60" w:rsidRPr="00DB26B7" w:rsidRDefault="004B10CC">
            <w:pPr>
              <w:rPr>
                <w:rFonts w:cs="Times New Roman"/>
                <w:color w:val="000000" w:themeColor="text1"/>
                <w:sz w:val="24"/>
                <w:szCs w:val="24"/>
              </w:rPr>
            </w:pPr>
            <w:r w:rsidRPr="00DB26B7">
              <w:rPr>
                <w:rFonts w:cs="Times New Roman"/>
                <w:color w:val="000000" w:themeColor="text1"/>
                <w:sz w:val="24"/>
                <w:szCs w:val="24"/>
              </w:rPr>
              <w:t>F</w:t>
            </w:r>
            <w:r w:rsidR="00635A60" w:rsidRPr="00DB26B7">
              <w:rPr>
                <w:rFonts w:cs="Times New Roman"/>
                <w:color w:val="000000" w:themeColor="text1"/>
                <w:sz w:val="24"/>
                <w:szCs w:val="24"/>
              </w:rPr>
              <w:t>inancial leverage multiplier</w:t>
            </w:r>
          </w:p>
        </w:tc>
        <w:tc>
          <w:tcPr>
            <w:tcW w:w="0" w:type="auto"/>
            <w:noWrap/>
            <w:hideMark/>
          </w:tcPr>
          <w:p w:rsidR="00203BFE"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36685 / 10167</w:t>
            </w:r>
          </w:p>
          <w:p w:rsidR="00635A60"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3.61</w:t>
            </w:r>
          </w:p>
        </w:tc>
        <w:tc>
          <w:tcPr>
            <w:tcW w:w="0" w:type="auto"/>
            <w:noWrap/>
            <w:hideMark/>
          </w:tcPr>
          <w:p w:rsidR="00203BFE"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32657 / 9911</w:t>
            </w:r>
          </w:p>
          <w:p w:rsidR="00635A60"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3.30</w:t>
            </w:r>
          </w:p>
        </w:tc>
        <w:tc>
          <w:tcPr>
            <w:tcW w:w="0" w:type="auto"/>
            <w:noWrap/>
            <w:hideMark/>
          </w:tcPr>
          <w:p w:rsidR="00203BFE"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31447 / 8335</w:t>
            </w:r>
          </w:p>
          <w:p w:rsidR="00635A60"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3.77</w:t>
            </w:r>
          </w:p>
        </w:tc>
        <w:tc>
          <w:tcPr>
            <w:tcW w:w="0" w:type="auto"/>
            <w:noWrap/>
            <w:hideMark/>
          </w:tcPr>
          <w:p w:rsidR="00203BFE"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31315 / 10112</w:t>
            </w:r>
          </w:p>
          <w:p w:rsidR="00635A60"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3.10</w:t>
            </w:r>
          </w:p>
        </w:tc>
        <w:tc>
          <w:tcPr>
            <w:tcW w:w="0" w:type="auto"/>
            <w:noWrap/>
            <w:hideMark/>
          </w:tcPr>
          <w:p w:rsidR="00203BFE"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19352 / 681</w:t>
            </w:r>
          </w:p>
          <w:p w:rsidR="00635A60" w:rsidRPr="00DB26B7" w:rsidRDefault="00203BFE" w:rsidP="00635A60">
            <w:pPr>
              <w:rPr>
                <w:rFonts w:cs="Times New Roman"/>
                <w:color w:val="000000" w:themeColor="text1"/>
                <w:sz w:val="24"/>
                <w:szCs w:val="24"/>
              </w:rPr>
            </w:pPr>
            <w:r w:rsidRPr="00DB26B7">
              <w:rPr>
                <w:rFonts w:cs="Times New Roman"/>
                <w:color w:val="000000" w:themeColor="text1"/>
                <w:sz w:val="24"/>
                <w:szCs w:val="24"/>
              </w:rPr>
              <w:t xml:space="preserve">= </w:t>
            </w:r>
            <w:r w:rsidR="00635A60" w:rsidRPr="00DB26B7">
              <w:rPr>
                <w:rFonts w:cs="Times New Roman"/>
                <w:color w:val="000000" w:themeColor="text1"/>
                <w:sz w:val="24"/>
                <w:szCs w:val="24"/>
              </w:rPr>
              <w:t>28.42</w:t>
            </w:r>
          </w:p>
        </w:tc>
      </w:tr>
    </w:tbl>
    <w:p w:rsidR="006C4FA0" w:rsidRPr="00DB26B7" w:rsidRDefault="008E1EF3" w:rsidP="008E1EF3">
      <w:pPr>
        <w:tabs>
          <w:tab w:val="left" w:pos="2897"/>
        </w:tabs>
        <w:jc w:val="center"/>
        <w:rPr>
          <w:rFonts w:cs="Times New Roman"/>
          <w:color w:val="000000" w:themeColor="text1"/>
          <w:szCs w:val="24"/>
        </w:rPr>
      </w:pPr>
      <w:r w:rsidRPr="00DB26B7">
        <w:rPr>
          <w:rFonts w:cs="Times New Roman"/>
          <w:b/>
          <w:color w:val="000000" w:themeColor="text1"/>
          <w:szCs w:val="24"/>
        </w:rPr>
        <w:t>Table 1: Primary investment level ratios calculated for BT Group Plc</w:t>
      </w:r>
    </w:p>
    <w:p w:rsidR="00946816" w:rsidRPr="00DB26B7" w:rsidRDefault="00946816" w:rsidP="00946816">
      <w:pPr>
        <w:rPr>
          <w:rFonts w:cs="Times New Roman"/>
          <w:b/>
          <w:i/>
          <w:color w:val="000000" w:themeColor="text1"/>
          <w:szCs w:val="24"/>
        </w:rPr>
      </w:pPr>
      <w:r w:rsidRPr="00DB26B7">
        <w:rPr>
          <w:rFonts w:cs="Times New Roman"/>
          <w:b/>
          <w:i/>
          <w:color w:val="000000" w:themeColor="text1"/>
          <w:szCs w:val="24"/>
        </w:rPr>
        <w:t xml:space="preserve">Primary operative level ratios </w:t>
      </w:r>
    </w:p>
    <w:p w:rsidR="0048760A" w:rsidRPr="00DB26B7" w:rsidRDefault="00946816" w:rsidP="00946816">
      <w:pPr>
        <w:numPr>
          <w:ilvl w:val="0"/>
          <w:numId w:val="4"/>
        </w:numPr>
        <w:rPr>
          <w:rFonts w:cs="Times New Roman"/>
          <w:color w:val="000000" w:themeColor="text1"/>
          <w:szCs w:val="24"/>
        </w:rPr>
      </w:pPr>
      <w:r w:rsidRPr="00DB26B7">
        <w:rPr>
          <w:rFonts w:cs="Times New Roman"/>
          <w:color w:val="000000" w:themeColor="text1"/>
          <w:szCs w:val="24"/>
        </w:rPr>
        <w:lastRenderedPageBreak/>
        <w:t xml:space="preserve">Return on capital employed </w:t>
      </w:r>
    </w:p>
    <w:p w:rsidR="00946816" w:rsidRPr="00DB26B7" w:rsidRDefault="005B61B0" w:rsidP="00946816">
      <w:pPr>
        <w:rPr>
          <w:rFonts w:cs="Times New Roman"/>
          <w:color w:val="000000" w:themeColor="text1"/>
          <w:szCs w:val="24"/>
        </w:rPr>
      </w:pPr>
      <w:r w:rsidRPr="00DB26B7">
        <w:rPr>
          <w:rFonts w:cs="Times New Roman"/>
          <w:color w:val="000000" w:themeColor="text1"/>
          <w:szCs w:val="24"/>
        </w:rPr>
        <w:t>The return on capital employed acts as a measurement of profit that is relative to the funds that shareholders have invested along with funds invested by lenders and bankers</w:t>
      </w:r>
      <w:r w:rsidR="004C06F0" w:rsidRPr="00DB26B7">
        <w:rPr>
          <w:rFonts w:cs="Times New Roman"/>
          <w:color w:val="000000" w:themeColor="text1"/>
          <w:szCs w:val="24"/>
        </w:rPr>
        <w:t xml:space="preserve"> (Pinto and Joseph, 2017)</w:t>
      </w:r>
      <w:r w:rsidRPr="00DB26B7">
        <w:rPr>
          <w:rFonts w:cs="Times New Roman"/>
          <w:color w:val="000000" w:themeColor="text1"/>
          <w:szCs w:val="24"/>
        </w:rPr>
        <w:t xml:space="preserve">. </w:t>
      </w:r>
    </w:p>
    <w:p w:rsidR="0048760A" w:rsidRPr="00DB26B7" w:rsidRDefault="00946816" w:rsidP="00946816">
      <w:pPr>
        <w:numPr>
          <w:ilvl w:val="0"/>
          <w:numId w:val="4"/>
        </w:numPr>
        <w:rPr>
          <w:rFonts w:cs="Times New Roman"/>
          <w:color w:val="000000" w:themeColor="text1"/>
          <w:szCs w:val="24"/>
        </w:rPr>
      </w:pPr>
      <w:r w:rsidRPr="00DB26B7">
        <w:rPr>
          <w:rFonts w:cs="Times New Roman"/>
          <w:color w:val="000000" w:themeColor="text1"/>
          <w:szCs w:val="24"/>
        </w:rPr>
        <w:t xml:space="preserve">Asset turnover </w:t>
      </w:r>
    </w:p>
    <w:p w:rsidR="005B61B0" w:rsidRPr="00DB26B7" w:rsidRDefault="00D51936" w:rsidP="005B61B0">
      <w:pPr>
        <w:rPr>
          <w:rFonts w:cs="Times New Roman"/>
          <w:color w:val="000000" w:themeColor="text1"/>
          <w:szCs w:val="24"/>
        </w:rPr>
      </w:pPr>
      <w:r w:rsidRPr="00DB26B7">
        <w:rPr>
          <w:rFonts w:cs="Times New Roman"/>
          <w:color w:val="000000" w:themeColor="text1"/>
          <w:szCs w:val="24"/>
        </w:rPr>
        <w:t xml:space="preserve">This ratio is the measurement of the times in which one pound of assets </w:t>
      </w:r>
      <w:r w:rsidR="00C02C7F" w:rsidRPr="00DB26B7">
        <w:rPr>
          <w:rFonts w:cs="Times New Roman"/>
          <w:color w:val="000000" w:themeColor="text1"/>
          <w:szCs w:val="24"/>
        </w:rPr>
        <w:t xml:space="preserve">turns into one pound of revenue. </w:t>
      </w:r>
    </w:p>
    <w:p w:rsidR="0048760A" w:rsidRPr="00DB26B7" w:rsidRDefault="00946816" w:rsidP="00946816">
      <w:pPr>
        <w:numPr>
          <w:ilvl w:val="0"/>
          <w:numId w:val="4"/>
        </w:numPr>
        <w:rPr>
          <w:rFonts w:cs="Times New Roman"/>
          <w:color w:val="000000" w:themeColor="text1"/>
          <w:szCs w:val="24"/>
        </w:rPr>
      </w:pPr>
      <w:r w:rsidRPr="00DB26B7">
        <w:rPr>
          <w:rFonts w:cs="Times New Roman"/>
          <w:color w:val="000000" w:themeColor="text1"/>
          <w:szCs w:val="24"/>
        </w:rPr>
        <w:t xml:space="preserve">Operating margin </w:t>
      </w:r>
    </w:p>
    <w:p w:rsidR="00C02C7F" w:rsidRPr="00DB26B7" w:rsidRDefault="00C02C7F" w:rsidP="00C02C7F">
      <w:pPr>
        <w:rPr>
          <w:rFonts w:cs="Times New Roman"/>
          <w:color w:val="000000" w:themeColor="text1"/>
          <w:szCs w:val="24"/>
        </w:rPr>
      </w:pPr>
      <w:r w:rsidRPr="00DB26B7">
        <w:rPr>
          <w:rFonts w:cs="Times New Roman"/>
          <w:color w:val="000000" w:themeColor="text1"/>
          <w:szCs w:val="24"/>
        </w:rPr>
        <w:t xml:space="preserve">The margin of operating profit is ratio used in order to the conduct an examination of how well a company is performing relative to that of other business entities. </w:t>
      </w:r>
    </w:p>
    <w:p w:rsidR="006C4FA0" w:rsidRPr="00DB26B7" w:rsidRDefault="00946816" w:rsidP="0073619B">
      <w:pPr>
        <w:numPr>
          <w:ilvl w:val="0"/>
          <w:numId w:val="4"/>
        </w:numPr>
        <w:rPr>
          <w:rFonts w:cs="Times New Roman"/>
          <w:color w:val="000000" w:themeColor="text1"/>
          <w:szCs w:val="24"/>
        </w:rPr>
      </w:pPr>
      <w:r w:rsidRPr="00DB26B7">
        <w:rPr>
          <w:rFonts w:cs="Times New Roman"/>
          <w:color w:val="000000" w:themeColor="text1"/>
          <w:szCs w:val="24"/>
        </w:rPr>
        <w:t xml:space="preserve">Current ratio </w:t>
      </w:r>
    </w:p>
    <w:p w:rsidR="006C4FA0" w:rsidRPr="00DB26B7" w:rsidRDefault="008251C8" w:rsidP="0073619B">
      <w:pPr>
        <w:rPr>
          <w:rFonts w:cs="Times New Roman"/>
          <w:color w:val="000000" w:themeColor="text1"/>
          <w:szCs w:val="24"/>
        </w:rPr>
      </w:pPr>
      <w:r w:rsidRPr="00DB26B7">
        <w:rPr>
          <w:rFonts w:cs="Times New Roman"/>
          <w:color w:val="000000" w:themeColor="text1"/>
          <w:szCs w:val="24"/>
        </w:rPr>
        <w:t>The current ratio is the short-term measurement of an entity’s liquid positioning through contrasting current assets with current debts (</w:t>
      </w:r>
      <w:proofErr w:type="spellStart"/>
      <w:r w:rsidR="005D63CC" w:rsidRPr="00DB26B7">
        <w:rPr>
          <w:rFonts w:cs="Times New Roman"/>
          <w:color w:val="000000" w:themeColor="text1"/>
          <w:szCs w:val="24"/>
        </w:rPr>
        <w:t>Kajola</w:t>
      </w:r>
      <w:proofErr w:type="spellEnd"/>
      <w:r w:rsidR="005D63CC" w:rsidRPr="00DB26B7">
        <w:rPr>
          <w:rFonts w:cs="Times New Roman"/>
          <w:color w:val="000000" w:themeColor="text1"/>
          <w:szCs w:val="24"/>
        </w:rPr>
        <w:t xml:space="preserve"> </w:t>
      </w:r>
      <w:r w:rsidR="005D63CC" w:rsidRPr="00DB26B7">
        <w:rPr>
          <w:rFonts w:cs="Times New Roman"/>
          <w:i/>
          <w:color w:val="000000" w:themeColor="text1"/>
          <w:szCs w:val="24"/>
        </w:rPr>
        <w:t>et al</w:t>
      </w:r>
      <w:r w:rsidR="005D63CC" w:rsidRPr="00DB26B7">
        <w:rPr>
          <w:rFonts w:cs="Times New Roman"/>
          <w:color w:val="000000" w:themeColor="text1"/>
          <w:szCs w:val="24"/>
        </w:rPr>
        <w:t>., 2019</w:t>
      </w:r>
      <w:r w:rsidRPr="00DB26B7">
        <w:rPr>
          <w:rFonts w:cs="Times New Roman"/>
          <w:color w:val="000000" w:themeColor="text1"/>
          <w:szCs w:val="24"/>
        </w:rPr>
        <w:t xml:space="preserve">). </w:t>
      </w:r>
    </w:p>
    <w:tbl>
      <w:tblPr>
        <w:tblStyle w:val="TableGrid"/>
        <w:tblW w:w="0" w:type="auto"/>
        <w:tblLook w:val="04A0" w:firstRow="1" w:lastRow="0" w:firstColumn="1" w:lastColumn="0" w:noHBand="0" w:noVBand="1"/>
      </w:tblPr>
      <w:tblGrid>
        <w:gridCol w:w="2300"/>
        <w:gridCol w:w="1456"/>
        <w:gridCol w:w="1455"/>
        <w:gridCol w:w="1455"/>
        <w:gridCol w:w="1455"/>
        <w:gridCol w:w="1455"/>
      </w:tblGrid>
      <w:tr w:rsidR="00DB26B7" w:rsidRPr="00DB26B7" w:rsidTr="003F7BA3">
        <w:trPr>
          <w:trHeight w:val="300"/>
        </w:trPr>
        <w:tc>
          <w:tcPr>
            <w:tcW w:w="0" w:type="auto"/>
            <w:gridSpan w:val="6"/>
            <w:noWrap/>
            <w:hideMark/>
          </w:tcPr>
          <w:p w:rsidR="00DA19AF" w:rsidRPr="00DB26B7" w:rsidRDefault="00DA19AF" w:rsidP="00DA19AF">
            <w:pPr>
              <w:jc w:val="center"/>
              <w:rPr>
                <w:rFonts w:cs="Times New Roman"/>
                <w:b/>
                <w:color w:val="000000" w:themeColor="text1"/>
                <w:sz w:val="24"/>
                <w:szCs w:val="24"/>
              </w:rPr>
            </w:pPr>
            <w:r w:rsidRPr="00DB26B7">
              <w:rPr>
                <w:rFonts w:cs="Times New Roman"/>
                <w:b/>
                <w:color w:val="000000" w:themeColor="text1"/>
                <w:sz w:val="24"/>
                <w:szCs w:val="24"/>
              </w:rPr>
              <w:t>Primary operative level ratios calculated for BT Group Plc</w:t>
            </w:r>
          </w:p>
        </w:tc>
      </w:tr>
      <w:tr w:rsidR="00DB26B7" w:rsidRPr="00DB26B7" w:rsidTr="003F7BA3">
        <w:trPr>
          <w:trHeight w:val="300"/>
        </w:trPr>
        <w:tc>
          <w:tcPr>
            <w:tcW w:w="0" w:type="auto"/>
            <w:noWrap/>
            <w:hideMark/>
          </w:tcPr>
          <w:p w:rsidR="00DA19AF" w:rsidRPr="00DB26B7" w:rsidRDefault="00DA19AF">
            <w:pPr>
              <w:rPr>
                <w:rFonts w:cs="Times New Roman"/>
                <w:color w:val="000000" w:themeColor="text1"/>
                <w:sz w:val="24"/>
                <w:szCs w:val="24"/>
              </w:rPr>
            </w:pPr>
          </w:p>
        </w:tc>
        <w:tc>
          <w:tcPr>
            <w:tcW w:w="0" w:type="auto"/>
            <w:noWrap/>
            <w:hideMark/>
          </w:tcPr>
          <w:p w:rsidR="00DA19AF" w:rsidRPr="00DB26B7" w:rsidRDefault="00DA19AF" w:rsidP="00DA19AF">
            <w:pPr>
              <w:rPr>
                <w:rFonts w:cs="Times New Roman"/>
                <w:b/>
                <w:color w:val="000000" w:themeColor="text1"/>
                <w:sz w:val="24"/>
                <w:szCs w:val="24"/>
              </w:rPr>
            </w:pPr>
            <w:r w:rsidRPr="00DB26B7">
              <w:rPr>
                <w:rFonts w:cs="Times New Roman"/>
                <w:b/>
                <w:color w:val="000000" w:themeColor="text1"/>
                <w:sz w:val="24"/>
                <w:szCs w:val="24"/>
              </w:rPr>
              <w:t>2019</w:t>
            </w:r>
          </w:p>
        </w:tc>
        <w:tc>
          <w:tcPr>
            <w:tcW w:w="0" w:type="auto"/>
            <w:noWrap/>
            <w:hideMark/>
          </w:tcPr>
          <w:p w:rsidR="00DA19AF" w:rsidRPr="00DB26B7" w:rsidRDefault="00DA19AF" w:rsidP="00DA19AF">
            <w:pPr>
              <w:rPr>
                <w:rFonts w:cs="Times New Roman"/>
                <w:b/>
                <w:color w:val="000000" w:themeColor="text1"/>
                <w:sz w:val="24"/>
                <w:szCs w:val="24"/>
              </w:rPr>
            </w:pPr>
            <w:r w:rsidRPr="00DB26B7">
              <w:rPr>
                <w:rFonts w:cs="Times New Roman"/>
                <w:b/>
                <w:color w:val="000000" w:themeColor="text1"/>
                <w:sz w:val="24"/>
                <w:szCs w:val="24"/>
              </w:rPr>
              <w:t>2018</w:t>
            </w:r>
          </w:p>
        </w:tc>
        <w:tc>
          <w:tcPr>
            <w:tcW w:w="0" w:type="auto"/>
            <w:noWrap/>
            <w:hideMark/>
          </w:tcPr>
          <w:p w:rsidR="00DA19AF" w:rsidRPr="00DB26B7" w:rsidRDefault="00DA19AF" w:rsidP="00DA19AF">
            <w:pPr>
              <w:rPr>
                <w:rFonts w:cs="Times New Roman"/>
                <w:b/>
                <w:color w:val="000000" w:themeColor="text1"/>
                <w:sz w:val="24"/>
                <w:szCs w:val="24"/>
              </w:rPr>
            </w:pPr>
            <w:r w:rsidRPr="00DB26B7">
              <w:rPr>
                <w:rFonts w:cs="Times New Roman"/>
                <w:b/>
                <w:color w:val="000000" w:themeColor="text1"/>
                <w:sz w:val="24"/>
                <w:szCs w:val="24"/>
              </w:rPr>
              <w:t>2017</w:t>
            </w:r>
          </w:p>
        </w:tc>
        <w:tc>
          <w:tcPr>
            <w:tcW w:w="0" w:type="auto"/>
            <w:noWrap/>
            <w:hideMark/>
          </w:tcPr>
          <w:p w:rsidR="00DA19AF" w:rsidRPr="00DB26B7" w:rsidRDefault="00DA19AF" w:rsidP="00DA19AF">
            <w:pPr>
              <w:rPr>
                <w:rFonts w:cs="Times New Roman"/>
                <w:b/>
                <w:color w:val="000000" w:themeColor="text1"/>
                <w:sz w:val="24"/>
                <w:szCs w:val="24"/>
              </w:rPr>
            </w:pPr>
            <w:r w:rsidRPr="00DB26B7">
              <w:rPr>
                <w:rFonts w:cs="Times New Roman"/>
                <w:b/>
                <w:color w:val="000000" w:themeColor="text1"/>
                <w:sz w:val="24"/>
                <w:szCs w:val="24"/>
              </w:rPr>
              <w:t>2016</w:t>
            </w:r>
          </w:p>
        </w:tc>
        <w:tc>
          <w:tcPr>
            <w:tcW w:w="0" w:type="auto"/>
            <w:noWrap/>
            <w:hideMark/>
          </w:tcPr>
          <w:p w:rsidR="00DA19AF" w:rsidRPr="00DB26B7" w:rsidRDefault="00DA19AF" w:rsidP="00DA19AF">
            <w:pPr>
              <w:rPr>
                <w:rFonts w:cs="Times New Roman"/>
                <w:b/>
                <w:color w:val="000000" w:themeColor="text1"/>
                <w:sz w:val="24"/>
                <w:szCs w:val="24"/>
              </w:rPr>
            </w:pPr>
            <w:r w:rsidRPr="00DB26B7">
              <w:rPr>
                <w:rFonts w:cs="Times New Roman"/>
                <w:b/>
                <w:color w:val="000000" w:themeColor="text1"/>
                <w:sz w:val="24"/>
                <w:szCs w:val="24"/>
              </w:rPr>
              <w:t>2015</w:t>
            </w:r>
          </w:p>
        </w:tc>
      </w:tr>
      <w:tr w:rsidR="00DB26B7" w:rsidRPr="00DB26B7" w:rsidTr="003F7BA3">
        <w:trPr>
          <w:trHeight w:val="300"/>
        </w:trPr>
        <w:tc>
          <w:tcPr>
            <w:tcW w:w="0" w:type="auto"/>
            <w:noWrap/>
            <w:hideMark/>
          </w:tcPr>
          <w:p w:rsidR="00DA19AF" w:rsidRPr="00DB26B7" w:rsidRDefault="00DA19AF">
            <w:pPr>
              <w:rPr>
                <w:rFonts w:cs="Times New Roman"/>
                <w:color w:val="000000" w:themeColor="text1"/>
                <w:sz w:val="24"/>
                <w:szCs w:val="24"/>
              </w:rPr>
            </w:pPr>
            <w:r w:rsidRPr="00DB26B7">
              <w:rPr>
                <w:rFonts w:cs="Times New Roman"/>
                <w:color w:val="000000" w:themeColor="text1"/>
                <w:sz w:val="24"/>
                <w:szCs w:val="24"/>
              </w:rPr>
              <w:t xml:space="preserve">Return on capital employed </w:t>
            </w:r>
          </w:p>
        </w:tc>
        <w:tc>
          <w:tcPr>
            <w:tcW w:w="0" w:type="auto"/>
            <w:noWrap/>
            <w:hideMark/>
          </w:tcPr>
          <w:p w:rsidR="00DA19AF" w:rsidRPr="00DB26B7" w:rsidRDefault="00B351DE" w:rsidP="00DA19AF">
            <w:pPr>
              <w:rPr>
                <w:rFonts w:cs="Times New Roman"/>
                <w:color w:val="000000" w:themeColor="text1"/>
                <w:sz w:val="24"/>
                <w:szCs w:val="24"/>
              </w:rPr>
            </w:pPr>
            <w:r w:rsidRPr="00DB26B7">
              <w:rPr>
                <w:rFonts w:cs="Times New Roman"/>
                <w:color w:val="000000" w:themeColor="text1"/>
                <w:sz w:val="24"/>
                <w:szCs w:val="24"/>
              </w:rPr>
              <w:t xml:space="preserve">= 3421 / 36685 </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9.33</w:t>
            </w:r>
            <w:r w:rsidR="00B351DE" w:rsidRPr="00DB26B7">
              <w:rPr>
                <w:rFonts w:cs="Times New Roman"/>
                <w:color w:val="000000" w:themeColor="text1"/>
                <w:sz w:val="24"/>
                <w:szCs w:val="24"/>
              </w:rPr>
              <w:t>%</w:t>
            </w:r>
          </w:p>
        </w:tc>
        <w:tc>
          <w:tcPr>
            <w:tcW w:w="0" w:type="auto"/>
            <w:noWrap/>
            <w:hideMark/>
          </w:tcPr>
          <w:p w:rsidR="00DA19AF" w:rsidRPr="00DB26B7" w:rsidRDefault="00B351DE" w:rsidP="00DA19AF">
            <w:pPr>
              <w:rPr>
                <w:rFonts w:cs="Times New Roman"/>
                <w:color w:val="000000" w:themeColor="text1"/>
                <w:sz w:val="24"/>
                <w:szCs w:val="24"/>
              </w:rPr>
            </w:pPr>
            <w:r w:rsidRPr="00DB26B7">
              <w:rPr>
                <w:rFonts w:cs="Times New Roman"/>
                <w:color w:val="000000" w:themeColor="text1"/>
                <w:sz w:val="24"/>
                <w:szCs w:val="24"/>
              </w:rPr>
              <w:t xml:space="preserve">= 3381 / 32657 </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10.35</w:t>
            </w:r>
            <w:r w:rsidR="00B351DE" w:rsidRPr="00DB26B7">
              <w:rPr>
                <w:rFonts w:cs="Times New Roman"/>
                <w:color w:val="000000" w:themeColor="text1"/>
                <w:sz w:val="24"/>
                <w:szCs w:val="24"/>
              </w:rPr>
              <w:t>%</w:t>
            </w:r>
          </w:p>
        </w:tc>
        <w:tc>
          <w:tcPr>
            <w:tcW w:w="0" w:type="auto"/>
            <w:noWrap/>
            <w:hideMark/>
          </w:tcPr>
          <w:p w:rsidR="00DA19AF" w:rsidRPr="00DB26B7" w:rsidRDefault="00B351DE" w:rsidP="00DA19AF">
            <w:pPr>
              <w:rPr>
                <w:rFonts w:cs="Times New Roman"/>
                <w:color w:val="000000" w:themeColor="text1"/>
                <w:sz w:val="24"/>
                <w:szCs w:val="24"/>
              </w:rPr>
            </w:pPr>
            <w:r w:rsidRPr="00DB26B7">
              <w:rPr>
                <w:rFonts w:cs="Times New Roman"/>
                <w:color w:val="000000" w:themeColor="text1"/>
                <w:sz w:val="24"/>
                <w:szCs w:val="24"/>
              </w:rPr>
              <w:t>= 3167 / 31447</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10.07</w:t>
            </w:r>
            <w:r w:rsidR="00B351DE" w:rsidRPr="00DB26B7">
              <w:rPr>
                <w:rFonts w:cs="Times New Roman"/>
                <w:color w:val="000000" w:themeColor="text1"/>
                <w:sz w:val="24"/>
                <w:szCs w:val="24"/>
              </w:rPr>
              <w:t>%</w:t>
            </w:r>
          </w:p>
        </w:tc>
        <w:tc>
          <w:tcPr>
            <w:tcW w:w="0" w:type="auto"/>
            <w:noWrap/>
            <w:hideMark/>
          </w:tcPr>
          <w:p w:rsidR="00DA19AF" w:rsidRPr="00DB26B7" w:rsidRDefault="00B351DE" w:rsidP="00DA19AF">
            <w:pPr>
              <w:rPr>
                <w:rFonts w:cs="Times New Roman"/>
                <w:color w:val="000000" w:themeColor="text1"/>
                <w:sz w:val="24"/>
                <w:szCs w:val="24"/>
              </w:rPr>
            </w:pPr>
            <w:r w:rsidRPr="00DB26B7">
              <w:rPr>
                <w:rFonts w:cs="Times New Roman"/>
                <w:color w:val="000000" w:themeColor="text1"/>
                <w:sz w:val="24"/>
                <w:szCs w:val="24"/>
              </w:rPr>
              <w:t>= 3613 / 31315</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11.54</w:t>
            </w:r>
            <w:r w:rsidR="00B351DE" w:rsidRPr="00DB26B7">
              <w:rPr>
                <w:rFonts w:cs="Times New Roman"/>
                <w:color w:val="000000" w:themeColor="text1"/>
                <w:sz w:val="24"/>
                <w:szCs w:val="24"/>
              </w:rPr>
              <w:t>%</w:t>
            </w:r>
          </w:p>
        </w:tc>
        <w:tc>
          <w:tcPr>
            <w:tcW w:w="0" w:type="auto"/>
            <w:noWrap/>
            <w:hideMark/>
          </w:tcPr>
          <w:p w:rsidR="00DA19AF" w:rsidRPr="00DB26B7" w:rsidRDefault="00B351DE" w:rsidP="00DA19AF">
            <w:pPr>
              <w:rPr>
                <w:rFonts w:cs="Times New Roman"/>
                <w:color w:val="000000" w:themeColor="text1"/>
                <w:sz w:val="24"/>
                <w:szCs w:val="24"/>
              </w:rPr>
            </w:pPr>
            <w:r w:rsidRPr="00DB26B7">
              <w:rPr>
                <w:rFonts w:cs="Times New Roman"/>
                <w:color w:val="000000" w:themeColor="text1"/>
                <w:sz w:val="24"/>
                <w:szCs w:val="24"/>
              </w:rPr>
              <w:t xml:space="preserve">= 3402 / </w:t>
            </w:r>
            <w:r w:rsidR="003F7BA3" w:rsidRPr="00DB26B7">
              <w:rPr>
                <w:rFonts w:cs="Times New Roman"/>
                <w:color w:val="000000" w:themeColor="text1"/>
                <w:sz w:val="24"/>
                <w:szCs w:val="24"/>
              </w:rPr>
              <w:t>19352</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17.58</w:t>
            </w:r>
            <w:r w:rsidR="003F7BA3" w:rsidRPr="00DB26B7">
              <w:rPr>
                <w:rFonts w:cs="Times New Roman"/>
                <w:color w:val="000000" w:themeColor="text1"/>
                <w:sz w:val="24"/>
                <w:szCs w:val="24"/>
              </w:rPr>
              <w:t>%</w:t>
            </w:r>
          </w:p>
        </w:tc>
      </w:tr>
      <w:tr w:rsidR="00DB26B7" w:rsidRPr="00DB26B7" w:rsidTr="003F7BA3">
        <w:trPr>
          <w:trHeight w:val="300"/>
        </w:trPr>
        <w:tc>
          <w:tcPr>
            <w:tcW w:w="0" w:type="auto"/>
            <w:noWrap/>
            <w:hideMark/>
          </w:tcPr>
          <w:p w:rsidR="00DA19AF" w:rsidRPr="00DB26B7" w:rsidRDefault="00DA19AF">
            <w:pPr>
              <w:rPr>
                <w:rFonts w:cs="Times New Roman"/>
                <w:color w:val="000000" w:themeColor="text1"/>
                <w:sz w:val="24"/>
                <w:szCs w:val="24"/>
              </w:rPr>
            </w:pPr>
            <w:r w:rsidRPr="00DB26B7">
              <w:rPr>
                <w:rFonts w:cs="Times New Roman"/>
                <w:color w:val="000000" w:themeColor="text1"/>
                <w:sz w:val="24"/>
                <w:szCs w:val="24"/>
              </w:rPr>
              <w:t>Asset turnover</w:t>
            </w:r>
          </w:p>
        </w:tc>
        <w:tc>
          <w:tcPr>
            <w:tcW w:w="0" w:type="auto"/>
            <w:noWrap/>
            <w:hideMark/>
          </w:tcPr>
          <w:p w:rsidR="00DA19AF" w:rsidRPr="00DB26B7" w:rsidRDefault="00245E90" w:rsidP="00DA19AF">
            <w:pPr>
              <w:rPr>
                <w:rFonts w:cs="Times New Roman"/>
                <w:color w:val="000000" w:themeColor="text1"/>
                <w:sz w:val="24"/>
                <w:szCs w:val="24"/>
              </w:rPr>
            </w:pPr>
            <w:r w:rsidRPr="00DB26B7">
              <w:rPr>
                <w:rFonts w:cs="Times New Roman"/>
                <w:color w:val="000000" w:themeColor="text1"/>
                <w:sz w:val="24"/>
                <w:szCs w:val="24"/>
              </w:rPr>
              <w:t>= 23428 / 36685</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0.64</w:t>
            </w:r>
            <w:r w:rsidR="00245E90" w:rsidRPr="00DB26B7">
              <w:rPr>
                <w:rFonts w:cs="Times New Roman"/>
                <w:color w:val="000000" w:themeColor="text1"/>
                <w:sz w:val="24"/>
                <w:szCs w:val="24"/>
              </w:rPr>
              <w:t xml:space="preserve"> times </w:t>
            </w:r>
          </w:p>
        </w:tc>
        <w:tc>
          <w:tcPr>
            <w:tcW w:w="0" w:type="auto"/>
            <w:noWrap/>
            <w:hideMark/>
          </w:tcPr>
          <w:p w:rsidR="00DA19AF" w:rsidRPr="00DB26B7" w:rsidRDefault="00245E90" w:rsidP="00DA19AF">
            <w:pPr>
              <w:rPr>
                <w:rFonts w:cs="Times New Roman"/>
                <w:color w:val="000000" w:themeColor="text1"/>
                <w:sz w:val="24"/>
                <w:szCs w:val="24"/>
              </w:rPr>
            </w:pPr>
            <w:r w:rsidRPr="00DB26B7">
              <w:rPr>
                <w:rFonts w:cs="Times New Roman"/>
                <w:color w:val="000000" w:themeColor="text1"/>
                <w:sz w:val="24"/>
                <w:szCs w:val="24"/>
              </w:rPr>
              <w:t>= 23723 / 32657</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0.73</w:t>
            </w:r>
            <w:r w:rsidR="00245E90" w:rsidRPr="00DB26B7">
              <w:rPr>
                <w:rFonts w:cs="Times New Roman"/>
                <w:color w:val="000000" w:themeColor="text1"/>
                <w:sz w:val="24"/>
                <w:szCs w:val="24"/>
              </w:rPr>
              <w:t xml:space="preserve"> times </w:t>
            </w:r>
          </w:p>
        </w:tc>
        <w:tc>
          <w:tcPr>
            <w:tcW w:w="0" w:type="auto"/>
            <w:noWrap/>
            <w:hideMark/>
          </w:tcPr>
          <w:p w:rsidR="00DA19AF" w:rsidRPr="00DB26B7" w:rsidRDefault="00245E90" w:rsidP="00DA19AF">
            <w:pPr>
              <w:rPr>
                <w:rFonts w:cs="Times New Roman"/>
                <w:color w:val="000000" w:themeColor="text1"/>
                <w:sz w:val="24"/>
                <w:szCs w:val="24"/>
              </w:rPr>
            </w:pPr>
            <w:r w:rsidRPr="00DB26B7">
              <w:rPr>
                <w:rFonts w:cs="Times New Roman"/>
                <w:color w:val="000000" w:themeColor="text1"/>
                <w:sz w:val="24"/>
                <w:szCs w:val="24"/>
              </w:rPr>
              <w:t>= 24062 / 31447</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0.77</w:t>
            </w:r>
            <w:r w:rsidR="00245E90" w:rsidRPr="00DB26B7">
              <w:rPr>
                <w:rFonts w:cs="Times New Roman"/>
                <w:color w:val="000000" w:themeColor="text1"/>
                <w:sz w:val="24"/>
                <w:szCs w:val="24"/>
              </w:rPr>
              <w:t xml:space="preserve"> times </w:t>
            </w:r>
          </w:p>
        </w:tc>
        <w:tc>
          <w:tcPr>
            <w:tcW w:w="0" w:type="auto"/>
            <w:noWrap/>
            <w:hideMark/>
          </w:tcPr>
          <w:p w:rsidR="00DA19AF" w:rsidRPr="00DB26B7" w:rsidRDefault="00245E90" w:rsidP="00DA19AF">
            <w:pPr>
              <w:rPr>
                <w:rFonts w:cs="Times New Roman"/>
                <w:color w:val="000000" w:themeColor="text1"/>
                <w:sz w:val="24"/>
                <w:szCs w:val="24"/>
              </w:rPr>
            </w:pPr>
            <w:r w:rsidRPr="00DB26B7">
              <w:rPr>
                <w:rFonts w:cs="Times New Roman"/>
                <w:color w:val="000000" w:themeColor="text1"/>
                <w:sz w:val="24"/>
                <w:szCs w:val="24"/>
              </w:rPr>
              <w:t>= 19012 / 31315</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0.61</w:t>
            </w:r>
            <w:r w:rsidR="00245E90" w:rsidRPr="00DB26B7">
              <w:rPr>
                <w:rFonts w:cs="Times New Roman"/>
                <w:color w:val="000000" w:themeColor="text1"/>
                <w:sz w:val="24"/>
                <w:szCs w:val="24"/>
              </w:rPr>
              <w:t xml:space="preserve"> times </w:t>
            </w:r>
          </w:p>
        </w:tc>
        <w:tc>
          <w:tcPr>
            <w:tcW w:w="0" w:type="auto"/>
            <w:noWrap/>
            <w:hideMark/>
          </w:tcPr>
          <w:p w:rsidR="00DA19AF" w:rsidRPr="00DB26B7" w:rsidRDefault="00245E90" w:rsidP="00DA19AF">
            <w:pPr>
              <w:rPr>
                <w:rFonts w:cs="Times New Roman"/>
                <w:color w:val="000000" w:themeColor="text1"/>
                <w:sz w:val="24"/>
                <w:szCs w:val="24"/>
              </w:rPr>
            </w:pPr>
            <w:r w:rsidRPr="00DB26B7">
              <w:rPr>
                <w:rFonts w:cs="Times New Roman"/>
                <w:color w:val="000000" w:themeColor="text1"/>
                <w:sz w:val="24"/>
                <w:szCs w:val="24"/>
              </w:rPr>
              <w:t>= 17968 / 19352</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0.93</w:t>
            </w:r>
            <w:r w:rsidR="00245E90" w:rsidRPr="00DB26B7">
              <w:rPr>
                <w:rFonts w:cs="Times New Roman"/>
                <w:color w:val="000000" w:themeColor="text1"/>
                <w:sz w:val="24"/>
                <w:szCs w:val="24"/>
              </w:rPr>
              <w:t xml:space="preserve"> times </w:t>
            </w:r>
          </w:p>
        </w:tc>
      </w:tr>
      <w:tr w:rsidR="00DB26B7" w:rsidRPr="00DB26B7" w:rsidTr="005A72C8">
        <w:trPr>
          <w:trHeight w:val="300"/>
        </w:trPr>
        <w:tc>
          <w:tcPr>
            <w:tcW w:w="0" w:type="auto"/>
            <w:noWrap/>
            <w:hideMark/>
          </w:tcPr>
          <w:p w:rsidR="005D0F7A" w:rsidRPr="00DB26B7" w:rsidRDefault="005D0F7A">
            <w:pPr>
              <w:rPr>
                <w:rFonts w:cs="Times New Roman"/>
                <w:color w:val="000000" w:themeColor="text1"/>
                <w:sz w:val="24"/>
                <w:szCs w:val="24"/>
              </w:rPr>
            </w:pPr>
            <w:r w:rsidRPr="00DB26B7">
              <w:rPr>
                <w:rFonts w:cs="Times New Roman"/>
                <w:color w:val="000000" w:themeColor="text1"/>
                <w:sz w:val="24"/>
                <w:szCs w:val="24"/>
              </w:rPr>
              <w:t>Operating margin</w:t>
            </w:r>
          </w:p>
        </w:tc>
        <w:tc>
          <w:tcPr>
            <w:tcW w:w="0" w:type="auto"/>
            <w:noWrap/>
            <w:vAlign w:val="bottom"/>
            <w:hideMark/>
          </w:tcPr>
          <w:p w:rsidR="005D0F7A" w:rsidRPr="00DB26B7" w:rsidRDefault="00E70B5F" w:rsidP="005D0F7A">
            <w:pPr>
              <w:rPr>
                <w:rFonts w:cs="Times New Roman"/>
                <w:color w:val="000000" w:themeColor="text1"/>
                <w:sz w:val="24"/>
                <w:szCs w:val="24"/>
              </w:rPr>
            </w:pPr>
            <w:r w:rsidRPr="00DB26B7">
              <w:rPr>
                <w:rFonts w:cs="Times New Roman"/>
                <w:color w:val="000000" w:themeColor="text1"/>
                <w:sz w:val="24"/>
                <w:szCs w:val="24"/>
              </w:rPr>
              <w:t xml:space="preserve">= </w:t>
            </w:r>
            <w:r w:rsidR="00F6642A" w:rsidRPr="00DB26B7">
              <w:rPr>
                <w:rFonts w:cs="Times New Roman"/>
                <w:color w:val="000000" w:themeColor="text1"/>
                <w:sz w:val="24"/>
                <w:szCs w:val="24"/>
              </w:rPr>
              <w:t xml:space="preserve">3421 / </w:t>
            </w:r>
            <w:r w:rsidR="006C226B" w:rsidRPr="00DB26B7">
              <w:rPr>
                <w:rFonts w:cs="Times New Roman"/>
                <w:color w:val="000000" w:themeColor="text1"/>
                <w:sz w:val="24"/>
                <w:szCs w:val="24"/>
              </w:rPr>
              <w:t xml:space="preserve">23428 </w:t>
            </w:r>
          </w:p>
          <w:p w:rsidR="005D0F7A" w:rsidRPr="00DB26B7" w:rsidRDefault="005D0F7A" w:rsidP="005D0F7A">
            <w:pPr>
              <w:rPr>
                <w:rFonts w:cs="Times New Roman"/>
                <w:color w:val="000000" w:themeColor="text1"/>
                <w:sz w:val="24"/>
                <w:szCs w:val="24"/>
              </w:rPr>
            </w:pPr>
            <w:r w:rsidRPr="00DB26B7">
              <w:rPr>
                <w:rFonts w:cs="Times New Roman"/>
                <w:color w:val="000000" w:themeColor="text1"/>
                <w:sz w:val="24"/>
                <w:szCs w:val="24"/>
              </w:rPr>
              <w:t>= 14.60%</w:t>
            </w:r>
          </w:p>
        </w:tc>
        <w:tc>
          <w:tcPr>
            <w:tcW w:w="0" w:type="auto"/>
            <w:noWrap/>
            <w:vAlign w:val="bottom"/>
            <w:hideMark/>
          </w:tcPr>
          <w:p w:rsidR="00F6642A" w:rsidRPr="00DB26B7" w:rsidRDefault="00F6642A" w:rsidP="005D0F7A">
            <w:pPr>
              <w:rPr>
                <w:rFonts w:cs="Times New Roman"/>
                <w:color w:val="000000" w:themeColor="text1"/>
                <w:sz w:val="24"/>
                <w:szCs w:val="24"/>
              </w:rPr>
            </w:pPr>
            <w:r w:rsidRPr="00DB26B7">
              <w:rPr>
                <w:rFonts w:cs="Times New Roman"/>
                <w:color w:val="000000" w:themeColor="text1"/>
                <w:sz w:val="24"/>
                <w:szCs w:val="24"/>
              </w:rPr>
              <w:t>= 3381 /</w:t>
            </w:r>
            <w:r w:rsidR="006C226B" w:rsidRPr="00DB26B7">
              <w:rPr>
                <w:rFonts w:cs="Times New Roman"/>
                <w:color w:val="000000" w:themeColor="text1"/>
                <w:sz w:val="24"/>
                <w:szCs w:val="24"/>
              </w:rPr>
              <w:t xml:space="preserve"> 23723</w:t>
            </w:r>
          </w:p>
          <w:p w:rsidR="005D0F7A" w:rsidRPr="00DB26B7" w:rsidRDefault="005D0F7A" w:rsidP="005D0F7A">
            <w:pPr>
              <w:rPr>
                <w:rFonts w:cs="Times New Roman"/>
                <w:color w:val="000000" w:themeColor="text1"/>
                <w:sz w:val="24"/>
                <w:szCs w:val="24"/>
              </w:rPr>
            </w:pPr>
            <w:r w:rsidRPr="00DB26B7">
              <w:rPr>
                <w:rFonts w:cs="Times New Roman"/>
                <w:color w:val="000000" w:themeColor="text1"/>
                <w:sz w:val="24"/>
                <w:szCs w:val="24"/>
              </w:rPr>
              <w:t>= 14.25%</w:t>
            </w:r>
          </w:p>
        </w:tc>
        <w:tc>
          <w:tcPr>
            <w:tcW w:w="0" w:type="auto"/>
            <w:noWrap/>
            <w:vAlign w:val="bottom"/>
            <w:hideMark/>
          </w:tcPr>
          <w:p w:rsidR="00F6642A" w:rsidRPr="00DB26B7" w:rsidRDefault="00F6642A" w:rsidP="005D0F7A">
            <w:pPr>
              <w:rPr>
                <w:rFonts w:cs="Times New Roman"/>
                <w:color w:val="000000" w:themeColor="text1"/>
                <w:sz w:val="24"/>
                <w:szCs w:val="24"/>
              </w:rPr>
            </w:pPr>
            <w:r w:rsidRPr="00DB26B7">
              <w:rPr>
                <w:rFonts w:cs="Times New Roman"/>
                <w:color w:val="000000" w:themeColor="text1"/>
                <w:sz w:val="24"/>
                <w:szCs w:val="24"/>
              </w:rPr>
              <w:t xml:space="preserve">= 3167 / </w:t>
            </w:r>
            <w:r w:rsidR="006C226B" w:rsidRPr="00DB26B7">
              <w:rPr>
                <w:rFonts w:cs="Times New Roman"/>
                <w:color w:val="000000" w:themeColor="text1"/>
                <w:sz w:val="24"/>
                <w:szCs w:val="24"/>
              </w:rPr>
              <w:t>24062</w:t>
            </w:r>
          </w:p>
          <w:p w:rsidR="005D0F7A" w:rsidRPr="00DB26B7" w:rsidRDefault="005D0F7A" w:rsidP="005D0F7A">
            <w:pPr>
              <w:rPr>
                <w:rFonts w:cs="Times New Roman"/>
                <w:color w:val="000000" w:themeColor="text1"/>
                <w:sz w:val="24"/>
                <w:szCs w:val="24"/>
              </w:rPr>
            </w:pPr>
            <w:r w:rsidRPr="00DB26B7">
              <w:rPr>
                <w:rFonts w:cs="Times New Roman"/>
                <w:color w:val="000000" w:themeColor="text1"/>
                <w:sz w:val="24"/>
                <w:szCs w:val="24"/>
              </w:rPr>
              <w:t>= 13.16%</w:t>
            </w:r>
          </w:p>
        </w:tc>
        <w:tc>
          <w:tcPr>
            <w:tcW w:w="0" w:type="auto"/>
            <w:noWrap/>
            <w:vAlign w:val="bottom"/>
            <w:hideMark/>
          </w:tcPr>
          <w:p w:rsidR="00F6642A" w:rsidRPr="00DB26B7" w:rsidRDefault="00F6642A" w:rsidP="005D0F7A">
            <w:pPr>
              <w:rPr>
                <w:rFonts w:cs="Times New Roman"/>
                <w:color w:val="000000" w:themeColor="text1"/>
                <w:sz w:val="24"/>
                <w:szCs w:val="24"/>
              </w:rPr>
            </w:pPr>
            <w:r w:rsidRPr="00DB26B7">
              <w:rPr>
                <w:rFonts w:cs="Times New Roman"/>
                <w:color w:val="000000" w:themeColor="text1"/>
                <w:sz w:val="24"/>
                <w:szCs w:val="24"/>
              </w:rPr>
              <w:t xml:space="preserve">= 3613 / </w:t>
            </w:r>
            <w:r w:rsidR="006C226B" w:rsidRPr="00DB26B7">
              <w:rPr>
                <w:rFonts w:cs="Times New Roman"/>
                <w:color w:val="000000" w:themeColor="text1"/>
                <w:sz w:val="24"/>
                <w:szCs w:val="24"/>
              </w:rPr>
              <w:t>19012</w:t>
            </w:r>
          </w:p>
          <w:p w:rsidR="005D0F7A" w:rsidRPr="00DB26B7" w:rsidRDefault="005D0F7A" w:rsidP="005D0F7A">
            <w:pPr>
              <w:rPr>
                <w:rFonts w:cs="Times New Roman"/>
                <w:color w:val="000000" w:themeColor="text1"/>
                <w:sz w:val="24"/>
                <w:szCs w:val="24"/>
              </w:rPr>
            </w:pPr>
            <w:r w:rsidRPr="00DB26B7">
              <w:rPr>
                <w:rFonts w:cs="Times New Roman"/>
                <w:color w:val="000000" w:themeColor="text1"/>
                <w:sz w:val="24"/>
                <w:szCs w:val="24"/>
              </w:rPr>
              <w:t>= 19%</w:t>
            </w:r>
          </w:p>
        </w:tc>
        <w:tc>
          <w:tcPr>
            <w:tcW w:w="0" w:type="auto"/>
            <w:noWrap/>
            <w:vAlign w:val="bottom"/>
            <w:hideMark/>
          </w:tcPr>
          <w:p w:rsidR="00F6642A" w:rsidRPr="00DB26B7" w:rsidRDefault="00F6642A" w:rsidP="005D0F7A">
            <w:pPr>
              <w:rPr>
                <w:rFonts w:cs="Times New Roman"/>
                <w:color w:val="000000" w:themeColor="text1"/>
                <w:sz w:val="24"/>
                <w:szCs w:val="24"/>
              </w:rPr>
            </w:pPr>
            <w:r w:rsidRPr="00DB26B7">
              <w:rPr>
                <w:rFonts w:cs="Times New Roman"/>
                <w:color w:val="000000" w:themeColor="text1"/>
                <w:sz w:val="24"/>
                <w:szCs w:val="24"/>
              </w:rPr>
              <w:t xml:space="preserve">= 3402 / </w:t>
            </w:r>
            <w:r w:rsidR="006C226B" w:rsidRPr="00DB26B7">
              <w:rPr>
                <w:rFonts w:cs="Times New Roman"/>
                <w:color w:val="000000" w:themeColor="text1"/>
                <w:sz w:val="24"/>
                <w:szCs w:val="24"/>
              </w:rPr>
              <w:t>17968</w:t>
            </w:r>
          </w:p>
          <w:p w:rsidR="005D0F7A" w:rsidRPr="00DB26B7" w:rsidRDefault="005D0F7A" w:rsidP="005D0F7A">
            <w:pPr>
              <w:rPr>
                <w:rFonts w:cs="Times New Roman"/>
                <w:color w:val="000000" w:themeColor="text1"/>
                <w:sz w:val="24"/>
                <w:szCs w:val="24"/>
              </w:rPr>
            </w:pPr>
            <w:r w:rsidRPr="00DB26B7">
              <w:rPr>
                <w:rFonts w:cs="Times New Roman"/>
                <w:color w:val="000000" w:themeColor="text1"/>
                <w:sz w:val="24"/>
                <w:szCs w:val="24"/>
              </w:rPr>
              <w:t>= 18.93%</w:t>
            </w:r>
          </w:p>
        </w:tc>
      </w:tr>
      <w:tr w:rsidR="00DB26B7" w:rsidRPr="00DB26B7" w:rsidTr="003F7BA3">
        <w:trPr>
          <w:trHeight w:val="300"/>
        </w:trPr>
        <w:tc>
          <w:tcPr>
            <w:tcW w:w="0" w:type="auto"/>
            <w:noWrap/>
            <w:hideMark/>
          </w:tcPr>
          <w:p w:rsidR="00DA19AF" w:rsidRPr="00DB26B7" w:rsidRDefault="00DA19AF">
            <w:pPr>
              <w:rPr>
                <w:rFonts w:cs="Times New Roman"/>
                <w:color w:val="000000" w:themeColor="text1"/>
                <w:sz w:val="24"/>
                <w:szCs w:val="24"/>
              </w:rPr>
            </w:pPr>
            <w:r w:rsidRPr="00DB26B7">
              <w:rPr>
                <w:rFonts w:cs="Times New Roman"/>
                <w:color w:val="000000" w:themeColor="text1"/>
                <w:sz w:val="24"/>
                <w:szCs w:val="24"/>
              </w:rPr>
              <w:t xml:space="preserve">Current ratio  </w:t>
            </w:r>
          </w:p>
        </w:tc>
        <w:tc>
          <w:tcPr>
            <w:tcW w:w="0" w:type="auto"/>
            <w:noWrap/>
            <w:hideMark/>
          </w:tcPr>
          <w:p w:rsidR="00DA19AF" w:rsidRPr="00DB26B7" w:rsidRDefault="006C226B" w:rsidP="00DA19AF">
            <w:pPr>
              <w:rPr>
                <w:rFonts w:cs="Times New Roman"/>
                <w:color w:val="000000" w:themeColor="text1"/>
                <w:sz w:val="24"/>
                <w:szCs w:val="24"/>
              </w:rPr>
            </w:pPr>
            <w:r w:rsidRPr="00DB26B7">
              <w:rPr>
                <w:rFonts w:cs="Times New Roman"/>
                <w:color w:val="000000" w:themeColor="text1"/>
                <w:sz w:val="24"/>
                <w:szCs w:val="24"/>
              </w:rPr>
              <w:t>= 10444 / 9602</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1.09</w:t>
            </w:r>
          </w:p>
        </w:tc>
        <w:tc>
          <w:tcPr>
            <w:tcW w:w="0" w:type="auto"/>
            <w:noWrap/>
            <w:hideMark/>
          </w:tcPr>
          <w:p w:rsidR="00DA19AF" w:rsidRPr="00DB26B7" w:rsidRDefault="006C226B" w:rsidP="00DA19AF">
            <w:pPr>
              <w:rPr>
                <w:rFonts w:cs="Times New Roman"/>
                <w:color w:val="000000" w:themeColor="text1"/>
                <w:sz w:val="24"/>
                <w:szCs w:val="24"/>
              </w:rPr>
            </w:pPr>
            <w:r w:rsidRPr="00DB26B7">
              <w:rPr>
                <w:rFonts w:cs="Times New Roman"/>
                <w:color w:val="000000" w:themeColor="text1"/>
                <w:sz w:val="24"/>
                <w:szCs w:val="24"/>
              </w:rPr>
              <w:t xml:space="preserve">= 8349 / </w:t>
            </w:r>
            <w:r w:rsidR="00DF4136" w:rsidRPr="00DB26B7">
              <w:rPr>
                <w:rFonts w:cs="Times New Roman"/>
                <w:color w:val="000000" w:themeColor="text1"/>
                <w:sz w:val="24"/>
                <w:szCs w:val="24"/>
              </w:rPr>
              <w:t>10185</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0.82</w:t>
            </w:r>
          </w:p>
        </w:tc>
        <w:tc>
          <w:tcPr>
            <w:tcW w:w="0" w:type="auto"/>
            <w:noWrap/>
            <w:hideMark/>
          </w:tcPr>
          <w:p w:rsidR="00DA19AF" w:rsidRPr="00DB26B7" w:rsidRDefault="00DF4136" w:rsidP="00DA19AF">
            <w:pPr>
              <w:rPr>
                <w:rFonts w:cs="Times New Roman"/>
                <w:color w:val="000000" w:themeColor="text1"/>
                <w:sz w:val="24"/>
                <w:szCs w:val="24"/>
              </w:rPr>
            </w:pPr>
            <w:r w:rsidRPr="00DB26B7">
              <w:rPr>
                <w:rFonts w:cs="Times New Roman"/>
                <w:color w:val="000000" w:themeColor="text1"/>
                <w:sz w:val="24"/>
                <w:szCs w:val="24"/>
              </w:rPr>
              <w:t>= 6875 / 10925</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0.63</w:t>
            </w:r>
          </w:p>
        </w:tc>
        <w:tc>
          <w:tcPr>
            <w:tcW w:w="0" w:type="auto"/>
            <w:noWrap/>
            <w:hideMark/>
          </w:tcPr>
          <w:p w:rsidR="00DA19AF" w:rsidRPr="00DB26B7" w:rsidRDefault="00DF4136" w:rsidP="00DA19AF">
            <w:pPr>
              <w:rPr>
                <w:rFonts w:cs="Times New Roman"/>
                <w:color w:val="000000" w:themeColor="text1"/>
                <w:sz w:val="24"/>
                <w:szCs w:val="24"/>
              </w:rPr>
            </w:pPr>
            <w:r w:rsidRPr="00DB26B7">
              <w:rPr>
                <w:rFonts w:cs="Times New Roman"/>
                <w:color w:val="000000" w:themeColor="text1"/>
                <w:sz w:val="24"/>
                <w:szCs w:val="24"/>
              </w:rPr>
              <w:t>= 8548 / 11651</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0.73</w:t>
            </w:r>
          </w:p>
        </w:tc>
        <w:tc>
          <w:tcPr>
            <w:tcW w:w="0" w:type="auto"/>
            <w:noWrap/>
            <w:hideMark/>
          </w:tcPr>
          <w:p w:rsidR="00DA19AF" w:rsidRPr="00DB26B7" w:rsidRDefault="00DF4136" w:rsidP="00DA19AF">
            <w:pPr>
              <w:rPr>
                <w:rFonts w:cs="Times New Roman"/>
                <w:color w:val="000000" w:themeColor="text1"/>
                <w:sz w:val="24"/>
                <w:szCs w:val="24"/>
              </w:rPr>
            </w:pPr>
            <w:r w:rsidRPr="00DB26B7">
              <w:rPr>
                <w:rFonts w:cs="Times New Roman"/>
                <w:color w:val="000000" w:themeColor="text1"/>
                <w:sz w:val="24"/>
                <w:szCs w:val="24"/>
              </w:rPr>
              <w:t>= 7838 / 8194</w:t>
            </w:r>
          </w:p>
          <w:p w:rsidR="00DA19AF" w:rsidRPr="00DB26B7" w:rsidRDefault="00DA19AF" w:rsidP="00DA19AF">
            <w:pPr>
              <w:rPr>
                <w:rFonts w:cs="Times New Roman"/>
                <w:color w:val="000000" w:themeColor="text1"/>
                <w:sz w:val="24"/>
                <w:szCs w:val="24"/>
              </w:rPr>
            </w:pPr>
            <w:r w:rsidRPr="00DB26B7">
              <w:rPr>
                <w:rFonts w:cs="Times New Roman"/>
                <w:color w:val="000000" w:themeColor="text1"/>
                <w:sz w:val="24"/>
                <w:szCs w:val="24"/>
              </w:rPr>
              <w:t>= 0.96</w:t>
            </w:r>
          </w:p>
        </w:tc>
      </w:tr>
    </w:tbl>
    <w:p w:rsidR="006C4FA0" w:rsidRPr="00DB26B7" w:rsidRDefault="008E1EF3" w:rsidP="008E1EF3">
      <w:pPr>
        <w:jc w:val="center"/>
        <w:rPr>
          <w:rFonts w:cs="Times New Roman"/>
          <w:b/>
          <w:color w:val="000000" w:themeColor="text1"/>
          <w:szCs w:val="24"/>
        </w:rPr>
      </w:pPr>
      <w:r w:rsidRPr="00DB26B7">
        <w:rPr>
          <w:rFonts w:cs="Times New Roman"/>
          <w:b/>
          <w:color w:val="000000" w:themeColor="text1"/>
          <w:szCs w:val="24"/>
        </w:rPr>
        <w:lastRenderedPageBreak/>
        <w:t>Table 2: Primary operative level ratios calculated for BT Group Plc</w:t>
      </w:r>
    </w:p>
    <w:p w:rsidR="003872D4" w:rsidRDefault="003872D4" w:rsidP="0073619B">
      <w:pPr>
        <w:rPr>
          <w:rFonts w:cs="Times New Roman"/>
          <w:color w:val="000000" w:themeColor="text1"/>
          <w:szCs w:val="24"/>
        </w:rPr>
      </w:pPr>
    </w:p>
    <w:p w:rsidR="003872D4" w:rsidRDefault="003872D4" w:rsidP="0073619B">
      <w:pPr>
        <w:rPr>
          <w:rFonts w:cs="Times New Roman"/>
          <w:color w:val="000000" w:themeColor="text1"/>
          <w:szCs w:val="24"/>
        </w:rPr>
      </w:pPr>
    </w:p>
    <w:p w:rsidR="003872D4" w:rsidRDefault="003872D4" w:rsidP="0073619B">
      <w:pPr>
        <w:rPr>
          <w:rFonts w:cs="Times New Roman"/>
          <w:color w:val="000000" w:themeColor="text1"/>
          <w:szCs w:val="24"/>
        </w:rPr>
      </w:pPr>
    </w:p>
    <w:p w:rsidR="006C4FA0" w:rsidRPr="00DB26B7" w:rsidRDefault="004713B1" w:rsidP="0073619B">
      <w:pPr>
        <w:rPr>
          <w:rFonts w:cs="Times New Roman"/>
          <w:color w:val="000000" w:themeColor="text1"/>
          <w:szCs w:val="24"/>
        </w:rPr>
      </w:pPr>
      <w:r w:rsidRPr="00DB26B7">
        <w:rPr>
          <w:rFonts w:cs="Times New Roman"/>
          <w:color w:val="000000" w:themeColor="text1"/>
          <w:szCs w:val="24"/>
        </w:rPr>
        <w:t xml:space="preserve">On the other hand, </w:t>
      </w:r>
      <w:r w:rsidR="00AA3B98" w:rsidRPr="00DB26B7">
        <w:rPr>
          <w:rFonts w:cs="Times New Roman"/>
          <w:color w:val="000000" w:themeColor="text1"/>
          <w:szCs w:val="24"/>
        </w:rPr>
        <w:t xml:space="preserve">the subsidiary ratios that have been </w:t>
      </w:r>
      <w:r w:rsidR="00626EF6" w:rsidRPr="00DB26B7">
        <w:rPr>
          <w:rFonts w:cs="Times New Roman"/>
          <w:color w:val="000000" w:themeColor="text1"/>
          <w:szCs w:val="24"/>
        </w:rPr>
        <w:t xml:space="preserve">calculated for the organisation BT Group Plc include the following - </w:t>
      </w:r>
    </w:p>
    <w:p w:rsidR="00C206CA" w:rsidRPr="00DB26B7" w:rsidRDefault="00C206CA" w:rsidP="00C206CA">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Net profit ratio </w:t>
      </w:r>
    </w:p>
    <w:p w:rsidR="0072540B" w:rsidRPr="00DB26B7" w:rsidRDefault="0072540B" w:rsidP="0072540B">
      <w:pPr>
        <w:rPr>
          <w:rFonts w:cs="Times New Roman"/>
          <w:color w:val="000000" w:themeColor="text1"/>
          <w:szCs w:val="24"/>
        </w:rPr>
      </w:pPr>
      <w:r w:rsidRPr="00DB26B7">
        <w:rPr>
          <w:rFonts w:cs="Times New Roman"/>
          <w:color w:val="000000" w:themeColor="text1"/>
          <w:szCs w:val="24"/>
        </w:rPr>
        <w:t xml:space="preserve">The ratio showing the relationship amongst the net revenues of an organisation and </w:t>
      </w:r>
      <w:r w:rsidR="00DD3249" w:rsidRPr="00DB26B7">
        <w:rPr>
          <w:rFonts w:cs="Times New Roman"/>
          <w:color w:val="000000" w:themeColor="text1"/>
          <w:szCs w:val="24"/>
        </w:rPr>
        <w:t>the net profit earned in it is the net profit ratio (</w:t>
      </w:r>
      <w:r w:rsidR="005D63CC" w:rsidRPr="00DB26B7">
        <w:rPr>
          <w:color w:val="000000" w:themeColor="text1"/>
        </w:rPr>
        <w:t xml:space="preserve">Khamidah </w:t>
      </w:r>
      <w:r w:rsidR="005D63CC" w:rsidRPr="00DB26B7">
        <w:rPr>
          <w:i/>
          <w:color w:val="000000" w:themeColor="text1"/>
        </w:rPr>
        <w:t>et al.,</w:t>
      </w:r>
      <w:r w:rsidR="005D63CC" w:rsidRPr="00DB26B7">
        <w:rPr>
          <w:color w:val="000000" w:themeColor="text1"/>
        </w:rPr>
        <w:t xml:space="preserve"> 2018</w:t>
      </w:r>
      <w:r w:rsidR="00DD3249" w:rsidRPr="00DB26B7">
        <w:rPr>
          <w:rFonts w:cs="Times New Roman"/>
          <w:color w:val="000000" w:themeColor="text1"/>
          <w:szCs w:val="24"/>
        </w:rPr>
        <w:t xml:space="preserve">). </w:t>
      </w:r>
    </w:p>
    <w:p w:rsidR="00C206CA" w:rsidRPr="00DB26B7" w:rsidRDefault="00C206CA" w:rsidP="00C206CA">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Quick ratio </w:t>
      </w:r>
    </w:p>
    <w:p w:rsidR="00746942" w:rsidRPr="00DB26B7" w:rsidRDefault="00746942" w:rsidP="00746942">
      <w:pPr>
        <w:rPr>
          <w:rFonts w:cs="Times New Roman"/>
          <w:color w:val="000000" w:themeColor="text1"/>
          <w:szCs w:val="24"/>
        </w:rPr>
      </w:pPr>
      <w:r w:rsidRPr="00DB26B7">
        <w:rPr>
          <w:rFonts w:cs="Times New Roman"/>
          <w:color w:val="000000" w:themeColor="text1"/>
          <w:szCs w:val="24"/>
        </w:rPr>
        <w:t>The capacity that a company holds to meet current debts with the liquid assets owned by it is the quick ratio (</w:t>
      </w:r>
      <w:r w:rsidR="005D63CC" w:rsidRPr="00DB26B7">
        <w:rPr>
          <w:color w:val="000000" w:themeColor="text1"/>
        </w:rPr>
        <w:t>Purnomo, 2018</w:t>
      </w:r>
      <w:r w:rsidRPr="00DB26B7">
        <w:rPr>
          <w:rFonts w:cs="Times New Roman"/>
          <w:color w:val="000000" w:themeColor="text1"/>
          <w:szCs w:val="24"/>
        </w:rPr>
        <w:t xml:space="preserve">). </w:t>
      </w:r>
    </w:p>
    <w:p w:rsidR="00C206CA" w:rsidRPr="00DB26B7" w:rsidRDefault="00C206CA" w:rsidP="00C206CA">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Gearing ratio </w:t>
      </w:r>
    </w:p>
    <w:p w:rsidR="009955E8" w:rsidRPr="00DB26B7" w:rsidRDefault="000D1BB3" w:rsidP="009955E8">
      <w:pPr>
        <w:rPr>
          <w:rFonts w:cs="Times New Roman"/>
          <w:color w:val="000000" w:themeColor="text1"/>
          <w:szCs w:val="24"/>
        </w:rPr>
      </w:pPr>
      <w:r w:rsidRPr="00DB26B7">
        <w:rPr>
          <w:rFonts w:cs="Times New Roman"/>
          <w:color w:val="000000" w:themeColor="text1"/>
          <w:szCs w:val="24"/>
        </w:rPr>
        <w:t xml:space="preserve">The metric that shows solvency of an entity by comparing how its funding comes through borrowing techniques versus ownership is known as gearing ratio. </w:t>
      </w:r>
    </w:p>
    <w:p w:rsidR="0079499B" w:rsidRDefault="0079499B" w:rsidP="0079499B">
      <w:pPr>
        <w:pStyle w:val="ListParagraph"/>
        <w:rPr>
          <w:rFonts w:cs="Times New Roman"/>
          <w:color w:val="000000" w:themeColor="text1"/>
          <w:szCs w:val="24"/>
        </w:rPr>
      </w:pPr>
    </w:p>
    <w:p w:rsidR="00C206CA" w:rsidRPr="00DB26B7" w:rsidRDefault="00C206CA" w:rsidP="00C206CA">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EPS </w:t>
      </w:r>
    </w:p>
    <w:p w:rsidR="009955E8" w:rsidRPr="00DB26B7" w:rsidRDefault="009955E8" w:rsidP="009955E8">
      <w:pPr>
        <w:rPr>
          <w:rFonts w:cs="Times New Roman"/>
          <w:color w:val="000000" w:themeColor="text1"/>
          <w:szCs w:val="24"/>
        </w:rPr>
      </w:pPr>
      <w:r w:rsidRPr="00DB26B7">
        <w:rPr>
          <w:rFonts w:cs="Times New Roman"/>
          <w:color w:val="000000" w:themeColor="text1"/>
          <w:szCs w:val="24"/>
        </w:rPr>
        <w:t>It is a significant financial measure through which profitability of a company can be understood by dividing profit with outstanding common shares</w:t>
      </w:r>
      <w:r w:rsidR="005D63CC" w:rsidRPr="00DB26B7">
        <w:rPr>
          <w:rFonts w:cs="Times New Roman"/>
          <w:color w:val="000000" w:themeColor="text1"/>
          <w:szCs w:val="24"/>
        </w:rPr>
        <w:t xml:space="preserve"> (</w:t>
      </w:r>
      <w:r w:rsidR="005D63CC" w:rsidRPr="00DB26B7">
        <w:rPr>
          <w:color w:val="000000" w:themeColor="text1"/>
        </w:rPr>
        <w:t>Jewell and Mankin, 2016)</w:t>
      </w:r>
      <w:r w:rsidRPr="00DB26B7">
        <w:rPr>
          <w:rFonts w:cs="Times New Roman"/>
          <w:color w:val="000000" w:themeColor="text1"/>
          <w:szCs w:val="24"/>
        </w:rPr>
        <w:t xml:space="preserve">. </w:t>
      </w:r>
    </w:p>
    <w:p w:rsidR="00C206CA" w:rsidRPr="00DB26B7" w:rsidRDefault="00C206CA" w:rsidP="00C206CA">
      <w:pPr>
        <w:pStyle w:val="ListParagraph"/>
        <w:numPr>
          <w:ilvl w:val="0"/>
          <w:numId w:val="4"/>
        </w:numPr>
        <w:rPr>
          <w:rFonts w:cs="Times New Roman"/>
          <w:color w:val="000000" w:themeColor="text1"/>
          <w:szCs w:val="24"/>
        </w:rPr>
      </w:pPr>
      <w:r w:rsidRPr="00DB26B7">
        <w:rPr>
          <w:rFonts w:cs="Times New Roman"/>
          <w:color w:val="000000" w:themeColor="text1"/>
          <w:szCs w:val="24"/>
        </w:rPr>
        <w:t xml:space="preserve">Price earnings ratio </w:t>
      </w:r>
    </w:p>
    <w:p w:rsidR="001451A7" w:rsidRDefault="00C206CA" w:rsidP="00C206CA">
      <w:pPr>
        <w:rPr>
          <w:rFonts w:cs="Times New Roman"/>
          <w:color w:val="000000" w:themeColor="text1"/>
          <w:szCs w:val="24"/>
        </w:rPr>
      </w:pPr>
      <w:r w:rsidRPr="00DB26B7">
        <w:rPr>
          <w:rFonts w:cs="Times New Roman"/>
          <w:color w:val="000000" w:themeColor="text1"/>
          <w:szCs w:val="24"/>
        </w:rPr>
        <w:t>The ratio of an entity’s current share price</w:t>
      </w:r>
      <w:r w:rsidR="009955E8" w:rsidRPr="00DB26B7">
        <w:rPr>
          <w:rFonts w:cs="Times New Roman"/>
          <w:color w:val="000000" w:themeColor="text1"/>
          <w:szCs w:val="24"/>
        </w:rPr>
        <w:t>s with the EPS that shows the willingness of the market for paying earnings is the price earnings ratio</w:t>
      </w:r>
      <w:r w:rsidR="005D63CC" w:rsidRPr="00DB26B7">
        <w:rPr>
          <w:rFonts w:cs="Times New Roman"/>
          <w:color w:val="000000" w:themeColor="text1"/>
          <w:szCs w:val="24"/>
        </w:rPr>
        <w:t xml:space="preserve"> </w:t>
      </w:r>
      <w:r w:rsidR="005D63CC" w:rsidRPr="00DB26B7">
        <w:rPr>
          <w:color w:val="000000" w:themeColor="text1"/>
        </w:rPr>
        <w:t xml:space="preserve">(Nezlobin </w:t>
      </w:r>
      <w:r w:rsidR="005D63CC" w:rsidRPr="00DB26B7">
        <w:rPr>
          <w:i/>
          <w:color w:val="000000" w:themeColor="text1"/>
        </w:rPr>
        <w:t>et al</w:t>
      </w:r>
      <w:r w:rsidR="005D63CC" w:rsidRPr="00DB26B7">
        <w:rPr>
          <w:color w:val="000000" w:themeColor="text1"/>
        </w:rPr>
        <w:t>., 2016)</w:t>
      </w:r>
      <w:r w:rsidR="009955E8" w:rsidRPr="00DB26B7">
        <w:rPr>
          <w:rFonts w:cs="Times New Roman"/>
          <w:color w:val="000000" w:themeColor="text1"/>
          <w:szCs w:val="24"/>
        </w:rPr>
        <w:t>.</w:t>
      </w:r>
    </w:p>
    <w:p w:rsidR="00C206CA" w:rsidRPr="00DB26B7" w:rsidRDefault="009955E8" w:rsidP="00C206CA">
      <w:pPr>
        <w:rPr>
          <w:rFonts w:cs="Times New Roman"/>
          <w:color w:val="000000" w:themeColor="text1"/>
          <w:szCs w:val="24"/>
        </w:rPr>
      </w:pPr>
      <w:r w:rsidRPr="00DB26B7">
        <w:rPr>
          <w:rFonts w:cs="Times New Roman"/>
          <w:color w:val="000000" w:themeColor="text1"/>
          <w:szCs w:val="24"/>
        </w:rPr>
        <w:t xml:space="preserve"> </w:t>
      </w:r>
    </w:p>
    <w:tbl>
      <w:tblPr>
        <w:tblStyle w:val="TableGrid"/>
        <w:tblW w:w="5000" w:type="pct"/>
        <w:tblLook w:val="04A0" w:firstRow="1" w:lastRow="0" w:firstColumn="1" w:lastColumn="0" w:noHBand="0" w:noVBand="1"/>
      </w:tblPr>
      <w:tblGrid>
        <w:gridCol w:w="1556"/>
        <w:gridCol w:w="1637"/>
        <w:gridCol w:w="1638"/>
        <w:gridCol w:w="1638"/>
        <w:gridCol w:w="1638"/>
        <w:gridCol w:w="1469"/>
      </w:tblGrid>
      <w:tr w:rsidR="00DB26B7" w:rsidRPr="00DB26B7" w:rsidTr="00793217">
        <w:trPr>
          <w:trHeight w:val="330"/>
        </w:trPr>
        <w:tc>
          <w:tcPr>
            <w:tcW w:w="5000" w:type="pct"/>
            <w:gridSpan w:val="6"/>
            <w:noWrap/>
            <w:hideMark/>
          </w:tcPr>
          <w:p w:rsidR="00626EF6" w:rsidRPr="00DB26B7" w:rsidRDefault="00626EF6" w:rsidP="00793217">
            <w:pPr>
              <w:jc w:val="center"/>
              <w:rPr>
                <w:b/>
                <w:color w:val="000000" w:themeColor="text1"/>
                <w:sz w:val="24"/>
                <w:szCs w:val="24"/>
              </w:rPr>
            </w:pPr>
            <w:r w:rsidRPr="00DB26B7">
              <w:rPr>
                <w:b/>
                <w:color w:val="000000" w:themeColor="text1"/>
                <w:sz w:val="24"/>
                <w:szCs w:val="24"/>
              </w:rPr>
              <w:lastRenderedPageBreak/>
              <w:t>Subsidiary ratios calculated for BT Group Plc</w:t>
            </w:r>
          </w:p>
        </w:tc>
      </w:tr>
      <w:tr w:rsidR="00DB26B7" w:rsidRPr="00DB26B7" w:rsidTr="00E1775A">
        <w:trPr>
          <w:trHeight w:val="330"/>
        </w:trPr>
        <w:tc>
          <w:tcPr>
            <w:tcW w:w="1006" w:type="pct"/>
            <w:noWrap/>
            <w:hideMark/>
          </w:tcPr>
          <w:p w:rsidR="00626EF6" w:rsidRPr="00DB26B7" w:rsidRDefault="00626EF6" w:rsidP="00793217">
            <w:pPr>
              <w:rPr>
                <w:rFonts w:cs="Times New Roman"/>
                <w:color w:val="000000" w:themeColor="text1"/>
                <w:sz w:val="24"/>
                <w:szCs w:val="24"/>
              </w:rPr>
            </w:pPr>
            <w:r w:rsidRPr="00DB26B7">
              <w:rPr>
                <w:rFonts w:cs="Times New Roman"/>
                <w:color w:val="000000" w:themeColor="text1"/>
                <w:sz w:val="24"/>
                <w:szCs w:val="24"/>
              </w:rPr>
              <w:t> </w:t>
            </w:r>
          </w:p>
        </w:tc>
        <w:tc>
          <w:tcPr>
            <w:tcW w:w="798" w:type="pct"/>
            <w:noWrap/>
            <w:hideMark/>
          </w:tcPr>
          <w:p w:rsidR="00626EF6" w:rsidRPr="00DB26B7" w:rsidRDefault="00626EF6" w:rsidP="00793217">
            <w:pPr>
              <w:rPr>
                <w:rFonts w:cs="Times New Roman"/>
                <w:b/>
                <w:bCs/>
                <w:color w:val="000000" w:themeColor="text1"/>
                <w:sz w:val="24"/>
                <w:szCs w:val="24"/>
              </w:rPr>
            </w:pPr>
            <w:r w:rsidRPr="00DB26B7">
              <w:rPr>
                <w:rFonts w:cs="Times New Roman"/>
                <w:b/>
                <w:bCs/>
                <w:color w:val="000000" w:themeColor="text1"/>
                <w:sz w:val="24"/>
                <w:szCs w:val="24"/>
              </w:rPr>
              <w:t>2019</w:t>
            </w:r>
          </w:p>
        </w:tc>
        <w:tc>
          <w:tcPr>
            <w:tcW w:w="799" w:type="pct"/>
            <w:noWrap/>
            <w:hideMark/>
          </w:tcPr>
          <w:p w:rsidR="00626EF6" w:rsidRPr="00DB26B7" w:rsidRDefault="00626EF6" w:rsidP="00793217">
            <w:pPr>
              <w:rPr>
                <w:rFonts w:cs="Times New Roman"/>
                <w:b/>
                <w:bCs/>
                <w:color w:val="000000" w:themeColor="text1"/>
                <w:sz w:val="24"/>
                <w:szCs w:val="24"/>
              </w:rPr>
            </w:pPr>
            <w:r w:rsidRPr="00DB26B7">
              <w:rPr>
                <w:rFonts w:cs="Times New Roman"/>
                <w:b/>
                <w:bCs/>
                <w:color w:val="000000" w:themeColor="text1"/>
                <w:sz w:val="24"/>
                <w:szCs w:val="24"/>
              </w:rPr>
              <w:t>2018</w:t>
            </w:r>
          </w:p>
        </w:tc>
        <w:tc>
          <w:tcPr>
            <w:tcW w:w="799" w:type="pct"/>
            <w:noWrap/>
            <w:hideMark/>
          </w:tcPr>
          <w:p w:rsidR="00626EF6" w:rsidRPr="00DB26B7" w:rsidRDefault="00626EF6" w:rsidP="00793217">
            <w:pPr>
              <w:rPr>
                <w:rFonts w:cs="Times New Roman"/>
                <w:b/>
                <w:bCs/>
                <w:color w:val="000000" w:themeColor="text1"/>
                <w:sz w:val="24"/>
                <w:szCs w:val="24"/>
              </w:rPr>
            </w:pPr>
            <w:r w:rsidRPr="00DB26B7">
              <w:rPr>
                <w:rFonts w:cs="Times New Roman"/>
                <w:b/>
                <w:bCs/>
                <w:color w:val="000000" w:themeColor="text1"/>
                <w:sz w:val="24"/>
                <w:szCs w:val="24"/>
              </w:rPr>
              <w:t>2017</w:t>
            </w:r>
          </w:p>
        </w:tc>
        <w:tc>
          <w:tcPr>
            <w:tcW w:w="799" w:type="pct"/>
            <w:noWrap/>
            <w:hideMark/>
          </w:tcPr>
          <w:p w:rsidR="00626EF6" w:rsidRPr="00DB26B7" w:rsidRDefault="00626EF6" w:rsidP="00793217">
            <w:pPr>
              <w:rPr>
                <w:rFonts w:cs="Times New Roman"/>
                <w:b/>
                <w:bCs/>
                <w:color w:val="000000" w:themeColor="text1"/>
                <w:sz w:val="24"/>
                <w:szCs w:val="24"/>
              </w:rPr>
            </w:pPr>
            <w:r w:rsidRPr="00DB26B7">
              <w:rPr>
                <w:rFonts w:cs="Times New Roman"/>
                <w:b/>
                <w:bCs/>
                <w:color w:val="000000" w:themeColor="text1"/>
                <w:sz w:val="24"/>
                <w:szCs w:val="24"/>
              </w:rPr>
              <w:t>2016</w:t>
            </w:r>
          </w:p>
        </w:tc>
        <w:tc>
          <w:tcPr>
            <w:tcW w:w="799" w:type="pct"/>
            <w:noWrap/>
            <w:hideMark/>
          </w:tcPr>
          <w:p w:rsidR="00626EF6" w:rsidRPr="00DB26B7" w:rsidRDefault="00626EF6" w:rsidP="00793217">
            <w:pPr>
              <w:rPr>
                <w:rFonts w:cs="Times New Roman"/>
                <w:b/>
                <w:bCs/>
                <w:color w:val="000000" w:themeColor="text1"/>
                <w:sz w:val="24"/>
                <w:szCs w:val="24"/>
              </w:rPr>
            </w:pPr>
            <w:r w:rsidRPr="00DB26B7">
              <w:rPr>
                <w:rFonts w:cs="Times New Roman"/>
                <w:b/>
                <w:bCs/>
                <w:color w:val="000000" w:themeColor="text1"/>
                <w:sz w:val="24"/>
                <w:szCs w:val="24"/>
              </w:rPr>
              <w:t>2015</w:t>
            </w:r>
          </w:p>
        </w:tc>
      </w:tr>
      <w:tr w:rsidR="00DB26B7" w:rsidRPr="00DB26B7" w:rsidTr="00E1775A">
        <w:trPr>
          <w:trHeight w:val="315"/>
        </w:trPr>
        <w:tc>
          <w:tcPr>
            <w:tcW w:w="1006" w:type="pct"/>
            <w:noWrap/>
            <w:hideMark/>
          </w:tcPr>
          <w:p w:rsidR="00626EF6" w:rsidRPr="00DB26B7" w:rsidRDefault="00626EF6" w:rsidP="00793217">
            <w:pPr>
              <w:rPr>
                <w:rFonts w:cs="Times New Roman"/>
                <w:color w:val="000000" w:themeColor="text1"/>
                <w:sz w:val="24"/>
                <w:szCs w:val="24"/>
              </w:rPr>
            </w:pPr>
            <w:r w:rsidRPr="00DB26B7">
              <w:rPr>
                <w:rFonts w:cs="Times New Roman"/>
                <w:color w:val="000000" w:themeColor="text1"/>
                <w:sz w:val="24"/>
                <w:szCs w:val="24"/>
              </w:rPr>
              <w:t>Net profit ratio</w:t>
            </w:r>
          </w:p>
        </w:tc>
        <w:tc>
          <w:tcPr>
            <w:tcW w:w="798" w:type="pct"/>
            <w:noWrap/>
            <w:hideMark/>
          </w:tcPr>
          <w:p w:rsidR="00A4278C" w:rsidRPr="00DB26B7" w:rsidRDefault="00D7056E" w:rsidP="00A4278C">
            <w:pPr>
              <w:jc w:val="left"/>
              <w:rPr>
                <w:rFonts w:cs="Times New Roman"/>
                <w:color w:val="000000" w:themeColor="text1"/>
                <w:sz w:val="24"/>
                <w:szCs w:val="24"/>
              </w:rPr>
            </w:pPr>
            <w:r w:rsidRPr="00DB26B7">
              <w:rPr>
                <w:rFonts w:cs="Times New Roman"/>
                <w:color w:val="000000" w:themeColor="text1"/>
                <w:sz w:val="24"/>
                <w:szCs w:val="24"/>
              </w:rPr>
              <w:t>= 2159 / 23428</w:t>
            </w:r>
          </w:p>
          <w:p w:rsidR="00626EF6" w:rsidRPr="00DB26B7" w:rsidRDefault="00A4278C" w:rsidP="00A4278C">
            <w:pPr>
              <w:jc w:val="left"/>
              <w:rPr>
                <w:rFonts w:cs="Times New Roman"/>
                <w:color w:val="000000" w:themeColor="text1"/>
                <w:sz w:val="24"/>
                <w:szCs w:val="24"/>
              </w:rPr>
            </w:pPr>
            <w:r w:rsidRPr="00DB26B7">
              <w:rPr>
                <w:rFonts w:cs="Times New Roman"/>
                <w:color w:val="000000" w:themeColor="text1"/>
                <w:sz w:val="24"/>
                <w:szCs w:val="24"/>
              </w:rPr>
              <w:t xml:space="preserve">= </w:t>
            </w:r>
            <w:r w:rsidR="00626EF6" w:rsidRPr="00DB26B7">
              <w:rPr>
                <w:rFonts w:cs="Times New Roman"/>
                <w:color w:val="000000" w:themeColor="text1"/>
                <w:sz w:val="24"/>
                <w:szCs w:val="24"/>
              </w:rPr>
              <w:t>9.22</w:t>
            </w:r>
          </w:p>
        </w:tc>
        <w:tc>
          <w:tcPr>
            <w:tcW w:w="799" w:type="pct"/>
            <w:noWrap/>
            <w:hideMark/>
          </w:tcPr>
          <w:p w:rsidR="00A4278C" w:rsidRPr="00DB26B7" w:rsidRDefault="00D7056E" w:rsidP="00A4278C">
            <w:pPr>
              <w:jc w:val="left"/>
              <w:rPr>
                <w:rFonts w:cs="Times New Roman"/>
                <w:color w:val="000000" w:themeColor="text1"/>
                <w:sz w:val="24"/>
                <w:szCs w:val="24"/>
              </w:rPr>
            </w:pPr>
            <w:r w:rsidRPr="00DB26B7">
              <w:rPr>
                <w:rFonts w:cs="Times New Roman"/>
                <w:color w:val="000000" w:themeColor="text1"/>
                <w:sz w:val="24"/>
                <w:szCs w:val="24"/>
              </w:rPr>
              <w:t>= 3381 / 23723</w:t>
            </w:r>
          </w:p>
          <w:p w:rsidR="00626EF6" w:rsidRPr="00DB26B7" w:rsidRDefault="00A4278C" w:rsidP="00A4278C">
            <w:pPr>
              <w:jc w:val="left"/>
              <w:rPr>
                <w:rFonts w:cs="Times New Roman"/>
                <w:color w:val="000000" w:themeColor="text1"/>
                <w:sz w:val="24"/>
                <w:szCs w:val="24"/>
              </w:rPr>
            </w:pPr>
            <w:r w:rsidRPr="00DB26B7">
              <w:rPr>
                <w:rFonts w:cs="Times New Roman"/>
                <w:color w:val="000000" w:themeColor="text1"/>
                <w:sz w:val="24"/>
                <w:szCs w:val="24"/>
              </w:rPr>
              <w:t xml:space="preserve">= </w:t>
            </w:r>
            <w:r w:rsidR="00626EF6" w:rsidRPr="00DB26B7">
              <w:rPr>
                <w:rFonts w:cs="Times New Roman"/>
                <w:color w:val="000000" w:themeColor="text1"/>
                <w:sz w:val="24"/>
                <w:szCs w:val="24"/>
              </w:rPr>
              <w:t>8.57</w:t>
            </w:r>
          </w:p>
        </w:tc>
        <w:tc>
          <w:tcPr>
            <w:tcW w:w="799" w:type="pct"/>
            <w:noWrap/>
            <w:hideMark/>
          </w:tcPr>
          <w:p w:rsidR="00A4278C" w:rsidRPr="00DB26B7" w:rsidRDefault="00D7056E" w:rsidP="00A4278C">
            <w:pPr>
              <w:jc w:val="left"/>
              <w:rPr>
                <w:rFonts w:cs="Times New Roman"/>
                <w:color w:val="000000" w:themeColor="text1"/>
                <w:sz w:val="24"/>
                <w:szCs w:val="24"/>
              </w:rPr>
            </w:pPr>
            <w:r w:rsidRPr="00DB26B7">
              <w:rPr>
                <w:rFonts w:cs="Times New Roman"/>
                <w:color w:val="000000" w:themeColor="text1"/>
                <w:sz w:val="24"/>
                <w:szCs w:val="24"/>
              </w:rPr>
              <w:t>= 3167 / 24062</w:t>
            </w:r>
          </w:p>
          <w:p w:rsidR="00626EF6" w:rsidRPr="00DB26B7" w:rsidRDefault="00A4278C" w:rsidP="00A4278C">
            <w:pPr>
              <w:jc w:val="left"/>
              <w:rPr>
                <w:rFonts w:cs="Times New Roman"/>
                <w:color w:val="000000" w:themeColor="text1"/>
                <w:sz w:val="24"/>
                <w:szCs w:val="24"/>
              </w:rPr>
            </w:pPr>
            <w:r w:rsidRPr="00DB26B7">
              <w:rPr>
                <w:rFonts w:cs="Times New Roman"/>
                <w:color w:val="000000" w:themeColor="text1"/>
                <w:sz w:val="24"/>
                <w:szCs w:val="24"/>
              </w:rPr>
              <w:t xml:space="preserve">= </w:t>
            </w:r>
            <w:r w:rsidR="00626EF6" w:rsidRPr="00DB26B7">
              <w:rPr>
                <w:rFonts w:cs="Times New Roman"/>
                <w:color w:val="000000" w:themeColor="text1"/>
                <w:sz w:val="24"/>
                <w:szCs w:val="24"/>
              </w:rPr>
              <w:t>7.93</w:t>
            </w:r>
          </w:p>
        </w:tc>
        <w:tc>
          <w:tcPr>
            <w:tcW w:w="799" w:type="pct"/>
            <w:noWrap/>
            <w:hideMark/>
          </w:tcPr>
          <w:p w:rsidR="00A4278C" w:rsidRPr="00DB26B7" w:rsidRDefault="00D7056E" w:rsidP="00A4278C">
            <w:pPr>
              <w:jc w:val="left"/>
              <w:rPr>
                <w:rFonts w:cs="Times New Roman"/>
                <w:color w:val="000000" w:themeColor="text1"/>
                <w:sz w:val="24"/>
                <w:szCs w:val="24"/>
              </w:rPr>
            </w:pPr>
            <w:r w:rsidRPr="00DB26B7">
              <w:rPr>
                <w:rFonts w:cs="Times New Roman"/>
                <w:color w:val="000000" w:themeColor="text1"/>
                <w:sz w:val="24"/>
                <w:szCs w:val="24"/>
              </w:rPr>
              <w:t xml:space="preserve">= 3613 / 19012 </w:t>
            </w:r>
          </w:p>
          <w:p w:rsidR="00626EF6" w:rsidRPr="00DB26B7" w:rsidRDefault="00A4278C" w:rsidP="00A4278C">
            <w:pPr>
              <w:jc w:val="left"/>
              <w:rPr>
                <w:rFonts w:cs="Times New Roman"/>
                <w:color w:val="000000" w:themeColor="text1"/>
                <w:sz w:val="24"/>
                <w:szCs w:val="24"/>
              </w:rPr>
            </w:pPr>
            <w:r w:rsidRPr="00DB26B7">
              <w:rPr>
                <w:rFonts w:cs="Times New Roman"/>
                <w:color w:val="000000" w:themeColor="text1"/>
                <w:sz w:val="24"/>
                <w:szCs w:val="24"/>
              </w:rPr>
              <w:t xml:space="preserve">= </w:t>
            </w:r>
            <w:r w:rsidR="00626EF6" w:rsidRPr="00DB26B7">
              <w:rPr>
                <w:rFonts w:cs="Times New Roman"/>
                <w:color w:val="000000" w:themeColor="text1"/>
                <w:sz w:val="24"/>
                <w:szCs w:val="24"/>
              </w:rPr>
              <w:t>12.97</w:t>
            </w:r>
          </w:p>
        </w:tc>
        <w:tc>
          <w:tcPr>
            <w:tcW w:w="799" w:type="pct"/>
            <w:noWrap/>
            <w:hideMark/>
          </w:tcPr>
          <w:p w:rsidR="00A4278C" w:rsidRPr="00DB26B7" w:rsidRDefault="00D7056E" w:rsidP="00A4278C">
            <w:pPr>
              <w:jc w:val="left"/>
              <w:rPr>
                <w:rFonts w:cs="Times New Roman"/>
                <w:color w:val="000000" w:themeColor="text1"/>
                <w:sz w:val="24"/>
                <w:szCs w:val="24"/>
              </w:rPr>
            </w:pPr>
            <w:r w:rsidRPr="00DB26B7">
              <w:rPr>
                <w:rFonts w:cs="Times New Roman"/>
                <w:color w:val="000000" w:themeColor="text1"/>
                <w:sz w:val="24"/>
                <w:szCs w:val="24"/>
              </w:rPr>
              <w:t xml:space="preserve">= 3402 / 17968 </w:t>
            </w:r>
          </w:p>
          <w:p w:rsidR="00626EF6" w:rsidRPr="00DB26B7" w:rsidRDefault="00A4278C" w:rsidP="00A4278C">
            <w:pPr>
              <w:jc w:val="left"/>
              <w:rPr>
                <w:rFonts w:cs="Times New Roman"/>
                <w:color w:val="000000" w:themeColor="text1"/>
                <w:sz w:val="24"/>
                <w:szCs w:val="24"/>
              </w:rPr>
            </w:pPr>
            <w:r w:rsidRPr="00DB26B7">
              <w:rPr>
                <w:rFonts w:cs="Times New Roman"/>
                <w:color w:val="000000" w:themeColor="text1"/>
                <w:sz w:val="24"/>
                <w:szCs w:val="24"/>
              </w:rPr>
              <w:t xml:space="preserve">= </w:t>
            </w:r>
            <w:r w:rsidR="00626EF6" w:rsidRPr="00DB26B7">
              <w:rPr>
                <w:rFonts w:cs="Times New Roman"/>
                <w:color w:val="000000" w:themeColor="text1"/>
                <w:sz w:val="24"/>
                <w:szCs w:val="24"/>
              </w:rPr>
              <w:t>11.45</w:t>
            </w:r>
          </w:p>
        </w:tc>
      </w:tr>
      <w:tr w:rsidR="00DB26B7" w:rsidRPr="00DB26B7" w:rsidTr="00E1775A">
        <w:trPr>
          <w:trHeight w:val="315"/>
        </w:trPr>
        <w:tc>
          <w:tcPr>
            <w:tcW w:w="1006" w:type="pct"/>
            <w:noWrap/>
            <w:vAlign w:val="bottom"/>
            <w:hideMark/>
          </w:tcPr>
          <w:p w:rsidR="00E1775A" w:rsidRPr="00DB26B7" w:rsidRDefault="00E1775A" w:rsidP="00793217">
            <w:pPr>
              <w:rPr>
                <w:rFonts w:cs="Times New Roman"/>
                <w:color w:val="000000" w:themeColor="text1"/>
                <w:sz w:val="24"/>
                <w:szCs w:val="24"/>
              </w:rPr>
            </w:pPr>
            <w:r w:rsidRPr="00DB26B7">
              <w:rPr>
                <w:rFonts w:cs="Times New Roman"/>
                <w:color w:val="000000" w:themeColor="text1"/>
                <w:sz w:val="24"/>
                <w:szCs w:val="24"/>
              </w:rPr>
              <w:t>Quick ratio</w:t>
            </w:r>
          </w:p>
        </w:tc>
        <w:tc>
          <w:tcPr>
            <w:tcW w:w="798" w:type="pct"/>
            <w:noWrap/>
            <w:hideMark/>
          </w:tcPr>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10444</w:t>
            </w:r>
            <w:r w:rsidR="00BF02FF" w:rsidRPr="00DB26B7">
              <w:rPr>
                <w:rFonts w:cs="Times New Roman"/>
                <w:color w:val="000000" w:themeColor="text1"/>
                <w:sz w:val="24"/>
                <w:szCs w:val="24"/>
              </w:rPr>
              <w:t xml:space="preserve"> - 369</w:t>
            </w:r>
            <w:r w:rsidRPr="00DB26B7">
              <w:rPr>
                <w:rFonts w:cs="Times New Roman"/>
                <w:color w:val="000000" w:themeColor="text1"/>
                <w:sz w:val="24"/>
                <w:szCs w:val="24"/>
              </w:rPr>
              <w:t xml:space="preserve"> / 9602</w:t>
            </w:r>
          </w:p>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1.0</w:t>
            </w:r>
            <w:r w:rsidR="00BF02FF" w:rsidRPr="00DB26B7">
              <w:rPr>
                <w:rFonts w:cs="Times New Roman"/>
                <w:color w:val="000000" w:themeColor="text1"/>
                <w:sz w:val="24"/>
                <w:szCs w:val="24"/>
              </w:rPr>
              <w:t>5</w:t>
            </w:r>
          </w:p>
        </w:tc>
        <w:tc>
          <w:tcPr>
            <w:tcW w:w="799" w:type="pct"/>
            <w:noWrap/>
            <w:hideMark/>
          </w:tcPr>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xml:space="preserve">= 8349 </w:t>
            </w:r>
            <w:r w:rsidR="00BF02FF" w:rsidRPr="00DB26B7">
              <w:rPr>
                <w:rFonts w:cs="Times New Roman"/>
                <w:color w:val="000000" w:themeColor="text1"/>
                <w:sz w:val="24"/>
                <w:szCs w:val="24"/>
              </w:rPr>
              <w:t xml:space="preserve">- 239 </w:t>
            </w:r>
            <w:r w:rsidRPr="00DB26B7">
              <w:rPr>
                <w:rFonts w:cs="Times New Roman"/>
                <w:color w:val="000000" w:themeColor="text1"/>
                <w:sz w:val="24"/>
                <w:szCs w:val="24"/>
              </w:rPr>
              <w:t>/ 10185</w:t>
            </w:r>
          </w:p>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0.8</w:t>
            </w:r>
            <w:r w:rsidR="00BF02FF" w:rsidRPr="00DB26B7">
              <w:rPr>
                <w:rFonts w:cs="Times New Roman"/>
                <w:color w:val="000000" w:themeColor="text1"/>
                <w:sz w:val="24"/>
                <w:szCs w:val="24"/>
              </w:rPr>
              <w:t>0</w:t>
            </w:r>
          </w:p>
        </w:tc>
        <w:tc>
          <w:tcPr>
            <w:tcW w:w="799" w:type="pct"/>
            <w:noWrap/>
            <w:hideMark/>
          </w:tcPr>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6875</w:t>
            </w:r>
            <w:r w:rsidR="00BF02FF" w:rsidRPr="00DB26B7">
              <w:rPr>
                <w:rFonts w:cs="Times New Roman"/>
                <w:color w:val="000000" w:themeColor="text1"/>
                <w:sz w:val="24"/>
                <w:szCs w:val="24"/>
              </w:rPr>
              <w:t xml:space="preserve"> - 227</w:t>
            </w:r>
            <w:r w:rsidRPr="00DB26B7">
              <w:rPr>
                <w:rFonts w:cs="Times New Roman"/>
                <w:color w:val="000000" w:themeColor="text1"/>
                <w:sz w:val="24"/>
                <w:szCs w:val="24"/>
              </w:rPr>
              <w:t xml:space="preserve"> / 10925</w:t>
            </w:r>
          </w:p>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0.6</w:t>
            </w:r>
            <w:r w:rsidR="00BF02FF" w:rsidRPr="00DB26B7">
              <w:rPr>
                <w:rFonts w:cs="Times New Roman"/>
                <w:color w:val="000000" w:themeColor="text1"/>
                <w:sz w:val="24"/>
                <w:szCs w:val="24"/>
              </w:rPr>
              <w:t>1</w:t>
            </w:r>
          </w:p>
        </w:tc>
        <w:tc>
          <w:tcPr>
            <w:tcW w:w="799" w:type="pct"/>
            <w:noWrap/>
            <w:hideMark/>
          </w:tcPr>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8548</w:t>
            </w:r>
            <w:r w:rsidR="00BF02FF" w:rsidRPr="00DB26B7">
              <w:rPr>
                <w:rFonts w:cs="Times New Roman"/>
                <w:color w:val="000000" w:themeColor="text1"/>
                <w:sz w:val="24"/>
                <w:szCs w:val="24"/>
              </w:rPr>
              <w:t xml:space="preserve"> - 189</w:t>
            </w:r>
            <w:r w:rsidRPr="00DB26B7">
              <w:rPr>
                <w:rFonts w:cs="Times New Roman"/>
                <w:color w:val="000000" w:themeColor="text1"/>
                <w:sz w:val="24"/>
                <w:szCs w:val="24"/>
              </w:rPr>
              <w:t xml:space="preserve"> / 11651</w:t>
            </w:r>
          </w:p>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xml:space="preserve">= </w:t>
            </w:r>
            <w:r w:rsidR="00BF02FF" w:rsidRPr="00DB26B7">
              <w:rPr>
                <w:rFonts w:cs="Times New Roman"/>
                <w:color w:val="000000" w:themeColor="text1"/>
                <w:sz w:val="24"/>
                <w:szCs w:val="24"/>
              </w:rPr>
              <w:t>0.72</w:t>
            </w:r>
          </w:p>
        </w:tc>
        <w:tc>
          <w:tcPr>
            <w:tcW w:w="799" w:type="pct"/>
            <w:noWrap/>
            <w:hideMark/>
          </w:tcPr>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xml:space="preserve">= 7838 </w:t>
            </w:r>
            <w:r w:rsidR="00BF02FF" w:rsidRPr="00DB26B7">
              <w:rPr>
                <w:rFonts w:cs="Times New Roman"/>
                <w:color w:val="000000" w:themeColor="text1"/>
                <w:sz w:val="24"/>
                <w:szCs w:val="24"/>
              </w:rPr>
              <w:t xml:space="preserve">- 94 </w:t>
            </w:r>
            <w:r w:rsidRPr="00DB26B7">
              <w:rPr>
                <w:rFonts w:cs="Times New Roman"/>
                <w:color w:val="000000" w:themeColor="text1"/>
                <w:sz w:val="24"/>
                <w:szCs w:val="24"/>
              </w:rPr>
              <w:t>/ 8194</w:t>
            </w:r>
          </w:p>
          <w:p w:rsidR="00E1775A" w:rsidRPr="00DB26B7" w:rsidRDefault="00E1775A" w:rsidP="005A72C8">
            <w:pPr>
              <w:rPr>
                <w:rFonts w:cs="Times New Roman"/>
                <w:color w:val="000000" w:themeColor="text1"/>
                <w:sz w:val="24"/>
                <w:szCs w:val="24"/>
              </w:rPr>
            </w:pPr>
            <w:r w:rsidRPr="00DB26B7">
              <w:rPr>
                <w:rFonts w:cs="Times New Roman"/>
                <w:color w:val="000000" w:themeColor="text1"/>
                <w:sz w:val="24"/>
                <w:szCs w:val="24"/>
              </w:rPr>
              <w:t>= 0.9</w:t>
            </w:r>
            <w:r w:rsidR="00BF02FF" w:rsidRPr="00DB26B7">
              <w:rPr>
                <w:rFonts w:cs="Times New Roman"/>
                <w:color w:val="000000" w:themeColor="text1"/>
                <w:sz w:val="24"/>
                <w:szCs w:val="24"/>
              </w:rPr>
              <w:t>5</w:t>
            </w:r>
          </w:p>
        </w:tc>
      </w:tr>
      <w:tr w:rsidR="00DB26B7" w:rsidRPr="00DB26B7" w:rsidTr="00E1775A">
        <w:trPr>
          <w:trHeight w:val="315"/>
        </w:trPr>
        <w:tc>
          <w:tcPr>
            <w:tcW w:w="1006" w:type="pct"/>
            <w:noWrap/>
            <w:vAlign w:val="bottom"/>
            <w:hideMark/>
          </w:tcPr>
          <w:p w:rsidR="00E1775A" w:rsidRPr="00DB26B7" w:rsidRDefault="00E1775A" w:rsidP="00793217">
            <w:pPr>
              <w:rPr>
                <w:rFonts w:cs="Times New Roman"/>
                <w:color w:val="000000" w:themeColor="text1"/>
                <w:sz w:val="24"/>
                <w:szCs w:val="24"/>
              </w:rPr>
            </w:pPr>
            <w:r w:rsidRPr="00DB26B7">
              <w:rPr>
                <w:rFonts w:cs="Times New Roman"/>
                <w:color w:val="000000" w:themeColor="text1"/>
                <w:sz w:val="24"/>
                <w:szCs w:val="24"/>
              </w:rPr>
              <w:t xml:space="preserve">Gearing ratio </w:t>
            </w:r>
          </w:p>
        </w:tc>
        <w:tc>
          <w:tcPr>
            <w:tcW w:w="798" w:type="pct"/>
            <w:noWrap/>
            <w:vAlign w:val="bottom"/>
            <w:hideMark/>
          </w:tcPr>
          <w:p w:rsidR="00E1775A" w:rsidRPr="00DB26B7" w:rsidRDefault="007312F6" w:rsidP="00A4278C">
            <w:pPr>
              <w:jc w:val="left"/>
              <w:rPr>
                <w:rFonts w:cs="Times New Roman"/>
                <w:color w:val="000000" w:themeColor="text1"/>
                <w:sz w:val="24"/>
                <w:szCs w:val="24"/>
              </w:rPr>
            </w:pPr>
            <w:r w:rsidRPr="00DB26B7">
              <w:rPr>
                <w:rFonts w:cs="Times New Roman"/>
                <w:color w:val="000000" w:themeColor="text1"/>
                <w:sz w:val="24"/>
                <w:szCs w:val="24"/>
              </w:rPr>
              <w:t>= 26518 / 36685</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0.72</w:t>
            </w:r>
          </w:p>
        </w:tc>
        <w:tc>
          <w:tcPr>
            <w:tcW w:w="799" w:type="pct"/>
            <w:noWrap/>
            <w:vAlign w:val="bottom"/>
            <w:hideMark/>
          </w:tcPr>
          <w:p w:rsidR="007312F6" w:rsidRPr="00DB26B7" w:rsidRDefault="007312F6" w:rsidP="00A4278C">
            <w:pPr>
              <w:jc w:val="left"/>
              <w:rPr>
                <w:rFonts w:cs="Times New Roman"/>
                <w:color w:val="000000" w:themeColor="text1"/>
                <w:sz w:val="24"/>
                <w:szCs w:val="24"/>
              </w:rPr>
            </w:pPr>
            <w:r w:rsidRPr="00DB26B7">
              <w:rPr>
                <w:rFonts w:cs="Times New Roman"/>
                <w:color w:val="000000" w:themeColor="text1"/>
                <w:sz w:val="24"/>
                <w:szCs w:val="24"/>
              </w:rPr>
              <w:t>= 22746 / 32657</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0.70</w:t>
            </w:r>
          </w:p>
        </w:tc>
        <w:tc>
          <w:tcPr>
            <w:tcW w:w="799" w:type="pct"/>
            <w:noWrap/>
            <w:vAlign w:val="bottom"/>
            <w:hideMark/>
          </w:tcPr>
          <w:p w:rsidR="007312F6" w:rsidRPr="00DB26B7" w:rsidRDefault="007312F6" w:rsidP="00A4278C">
            <w:pPr>
              <w:jc w:val="left"/>
              <w:rPr>
                <w:rFonts w:cs="Times New Roman"/>
                <w:color w:val="000000" w:themeColor="text1"/>
                <w:sz w:val="24"/>
                <w:szCs w:val="24"/>
              </w:rPr>
            </w:pPr>
            <w:r w:rsidRPr="00DB26B7">
              <w:rPr>
                <w:rFonts w:cs="Times New Roman"/>
                <w:color w:val="000000" w:themeColor="text1"/>
                <w:sz w:val="24"/>
                <w:szCs w:val="24"/>
              </w:rPr>
              <w:t>= 23112 / 31447</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0.73</w:t>
            </w:r>
          </w:p>
        </w:tc>
        <w:tc>
          <w:tcPr>
            <w:tcW w:w="799" w:type="pct"/>
            <w:noWrap/>
            <w:vAlign w:val="bottom"/>
            <w:hideMark/>
          </w:tcPr>
          <w:p w:rsidR="007312F6" w:rsidRPr="00DB26B7" w:rsidRDefault="007312F6" w:rsidP="00A4278C">
            <w:pPr>
              <w:jc w:val="left"/>
              <w:rPr>
                <w:rFonts w:cs="Times New Roman"/>
                <w:color w:val="000000" w:themeColor="text1"/>
                <w:sz w:val="24"/>
                <w:szCs w:val="24"/>
              </w:rPr>
            </w:pPr>
            <w:r w:rsidRPr="00DB26B7">
              <w:rPr>
                <w:rFonts w:cs="Times New Roman"/>
                <w:color w:val="000000" w:themeColor="text1"/>
                <w:sz w:val="24"/>
                <w:szCs w:val="24"/>
              </w:rPr>
              <w:t>= 21203 / 31315</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0.68</w:t>
            </w:r>
          </w:p>
        </w:tc>
        <w:tc>
          <w:tcPr>
            <w:tcW w:w="799" w:type="pct"/>
            <w:noWrap/>
            <w:vAlign w:val="bottom"/>
            <w:hideMark/>
          </w:tcPr>
          <w:p w:rsidR="007312F6" w:rsidRPr="00DB26B7" w:rsidRDefault="007312F6" w:rsidP="00A4278C">
            <w:pPr>
              <w:jc w:val="left"/>
              <w:rPr>
                <w:rFonts w:cs="Times New Roman"/>
                <w:color w:val="000000" w:themeColor="text1"/>
                <w:sz w:val="24"/>
                <w:szCs w:val="24"/>
              </w:rPr>
            </w:pPr>
            <w:r w:rsidRPr="00DB26B7">
              <w:rPr>
                <w:rFonts w:cs="Times New Roman"/>
                <w:color w:val="000000" w:themeColor="text1"/>
                <w:sz w:val="24"/>
                <w:szCs w:val="24"/>
              </w:rPr>
              <w:t>= 18671 / 19352</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0.96</w:t>
            </w:r>
          </w:p>
        </w:tc>
      </w:tr>
      <w:tr w:rsidR="00DB26B7" w:rsidRPr="00DB26B7" w:rsidTr="00E1775A">
        <w:trPr>
          <w:trHeight w:val="315"/>
        </w:trPr>
        <w:tc>
          <w:tcPr>
            <w:tcW w:w="1006" w:type="pct"/>
            <w:noWrap/>
            <w:vAlign w:val="bottom"/>
            <w:hideMark/>
          </w:tcPr>
          <w:p w:rsidR="00E1775A" w:rsidRPr="00DB26B7" w:rsidRDefault="00E1775A" w:rsidP="00793217">
            <w:pPr>
              <w:rPr>
                <w:rFonts w:cs="Times New Roman"/>
                <w:color w:val="000000" w:themeColor="text1"/>
                <w:sz w:val="24"/>
                <w:szCs w:val="24"/>
              </w:rPr>
            </w:pPr>
            <w:r w:rsidRPr="00DB26B7">
              <w:rPr>
                <w:rFonts w:cs="Times New Roman"/>
                <w:color w:val="000000" w:themeColor="text1"/>
                <w:sz w:val="24"/>
                <w:szCs w:val="24"/>
              </w:rPr>
              <w:t>EPS</w:t>
            </w:r>
          </w:p>
        </w:tc>
        <w:tc>
          <w:tcPr>
            <w:tcW w:w="798" w:type="pct"/>
            <w:noWrap/>
            <w:vAlign w:val="bottom"/>
            <w:hideMark/>
          </w:tcPr>
          <w:p w:rsidR="00E1775A" w:rsidRPr="00DB26B7" w:rsidRDefault="00E1775A" w:rsidP="00A4278C">
            <w:pPr>
              <w:jc w:val="left"/>
              <w:rPr>
                <w:rFonts w:cs="Times New Roman"/>
                <w:color w:val="000000" w:themeColor="text1"/>
                <w:sz w:val="24"/>
                <w:szCs w:val="24"/>
              </w:rPr>
            </w:pP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xml:space="preserve">= 21.80 p </w:t>
            </w:r>
          </w:p>
        </w:tc>
        <w:tc>
          <w:tcPr>
            <w:tcW w:w="799" w:type="pct"/>
            <w:noWrap/>
            <w:vAlign w:val="bottom"/>
            <w:hideMark/>
          </w:tcPr>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20.50 p</w:t>
            </w:r>
          </w:p>
        </w:tc>
        <w:tc>
          <w:tcPr>
            <w:tcW w:w="799" w:type="pct"/>
            <w:noWrap/>
            <w:vAlign w:val="bottom"/>
            <w:hideMark/>
          </w:tcPr>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19.20 p</w:t>
            </w:r>
          </w:p>
        </w:tc>
        <w:tc>
          <w:tcPr>
            <w:tcW w:w="799" w:type="pct"/>
            <w:noWrap/>
            <w:vAlign w:val="bottom"/>
            <w:hideMark/>
          </w:tcPr>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28.50 p</w:t>
            </w:r>
          </w:p>
        </w:tc>
        <w:tc>
          <w:tcPr>
            <w:tcW w:w="799" w:type="pct"/>
            <w:noWrap/>
            <w:vAlign w:val="bottom"/>
            <w:hideMark/>
          </w:tcPr>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25.50 p</w:t>
            </w:r>
          </w:p>
        </w:tc>
      </w:tr>
      <w:tr w:rsidR="00DB26B7" w:rsidRPr="00DB26B7" w:rsidTr="00E1775A">
        <w:trPr>
          <w:trHeight w:val="315"/>
        </w:trPr>
        <w:tc>
          <w:tcPr>
            <w:tcW w:w="1006" w:type="pct"/>
            <w:noWrap/>
            <w:vAlign w:val="bottom"/>
            <w:hideMark/>
          </w:tcPr>
          <w:p w:rsidR="00E1775A" w:rsidRPr="00DB26B7" w:rsidRDefault="00E1775A" w:rsidP="00793217">
            <w:pPr>
              <w:rPr>
                <w:rFonts w:cs="Times New Roman"/>
                <w:color w:val="000000" w:themeColor="text1"/>
                <w:sz w:val="24"/>
                <w:szCs w:val="24"/>
              </w:rPr>
            </w:pPr>
            <w:r w:rsidRPr="00DB26B7">
              <w:rPr>
                <w:rFonts w:cs="Times New Roman"/>
                <w:color w:val="000000" w:themeColor="text1"/>
                <w:sz w:val="24"/>
                <w:szCs w:val="24"/>
              </w:rPr>
              <w:t>Price Earnings ratio</w:t>
            </w:r>
          </w:p>
        </w:tc>
        <w:tc>
          <w:tcPr>
            <w:tcW w:w="798" w:type="pct"/>
            <w:noWrap/>
            <w:vAlign w:val="bottom"/>
            <w:hideMark/>
          </w:tcPr>
          <w:p w:rsidR="00586740" w:rsidRPr="00DB26B7" w:rsidRDefault="00244FC0" w:rsidP="00A4278C">
            <w:pPr>
              <w:jc w:val="left"/>
              <w:rPr>
                <w:rFonts w:cs="Times New Roman"/>
                <w:color w:val="000000" w:themeColor="text1"/>
                <w:sz w:val="24"/>
                <w:szCs w:val="24"/>
              </w:rPr>
            </w:pPr>
            <w:r w:rsidRPr="00DB26B7">
              <w:rPr>
                <w:rFonts w:cs="Times New Roman"/>
                <w:color w:val="000000" w:themeColor="text1"/>
                <w:sz w:val="24"/>
                <w:szCs w:val="24"/>
              </w:rPr>
              <w:t>= 21.8 / 238.35</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10.93</w:t>
            </w:r>
          </w:p>
        </w:tc>
        <w:tc>
          <w:tcPr>
            <w:tcW w:w="799" w:type="pct"/>
            <w:noWrap/>
            <w:vAlign w:val="bottom"/>
            <w:hideMark/>
          </w:tcPr>
          <w:p w:rsidR="00244FC0" w:rsidRPr="00DB26B7" w:rsidRDefault="00244FC0" w:rsidP="00A4278C">
            <w:pPr>
              <w:jc w:val="left"/>
              <w:rPr>
                <w:rFonts w:cs="Times New Roman"/>
                <w:color w:val="000000" w:themeColor="text1"/>
                <w:sz w:val="24"/>
                <w:szCs w:val="24"/>
              </w:rPr>
            </w:pPr>
            <w:r w:rsidRPr="00DB26B7">
              <w:rPr>
                <w:rFonts w:cs="Times New Roman"/>
                <w:color w:val="000000" w:themeColor="text1"/>
                <w:sz w:val="24"/>
                <w:szCs w:val="24"/>
              </w:rPr>
              <w:t>= 20.50 / 271.7</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13.25</w:t>
            </w:r>
          </w:p>
        </w:tc>
        <w:tc>
          <w:tcPr>
            <w:tcW w:w="799" w:type="pct"/>
            <w:noWrap/>
            <w:vAlign w:val="bottom"/>
            <w:hideMark/>
          </w:tcPr>
          <w:p w:rsidR="00244FC0" w:rsidRPr="00DB26B7" w:rsidRDefault="00244FC0" w:rsidP="00A4278C">
            <w:pPr>
              <w:jc w:val="left"/>
              <w:rPr>
                <w:rFonts w:cs="Times New Roman"/>
                <w:color w:val="000000" w:themeColor="text1"/>
                <w:sz w:val="24"/>
                <w:szCs w:val="24"/>
              </w:rPr>
            </w:pPr>
            <w:r w:rsidRPr="00DB26B7">
              <w:rPr>
                <w:rFonts w:cs="Times New Roman"/>
                <w:color w:val="000000" w:themeColor="text1"/>
                <w:sz w:val="24"/>
                <w:szCs w:val="24"/>
              </w:rPr>
              <w:t>= 19.2 / 366.90</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19.11</w:t>
            </w:r>
          </w:p>
        </w:tc>
        <w:tc>
          <w:tcPr>
            <w:tcW w:w="799" w:type="pct"/>
            <w:noWrap/>
            <w:vAlign w:val="bottom"/>
            <w:hideMark/>
          </w:tcPr>
          <w:p w:rsidR="00244FC0" w:rsidRPr="00DB26B7" w:rsidRDefault="00244FC0" w:rsidP="00A4278C">
            <w:pPr>
              <w:jc w:val="left"/>
              <w:rPr>
                <w:rFonts w:cs="Times New Roman"/>
                <w:color w:val="000000" w:themeColor="text1"/>
                <w:sz w:val="24"/>
                <w:szCs w:val="24"/>
              </w:rPr>
            </w:pPr>
            <w:r w:rsidRPr="00DB26B7">
              <w:rPr>
                <w:rFonts w:cs="Times New Roman"/>
                <w:color w:val="000000" w:themeColor="text1"/>
                <w:sz w:val="24"/>
                <w:szCs w:val="24"/>
              </w:rPr>
              <w:t>= 28.50 / 471.7</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16.55</w:t>
            </w:r>
          </w:p>
        </w:tc>
        <w:tc>
          <w:tcPr>
            <w:tcW w:w="799" w:type="pct"/>
            <w:noWrap/>
            <w:vAlign w:val="bottom"/>
            <w:hideMark/>
          </w:tcPr>
          <w:p w:rsidR="00244FC0" w:rsidRPr="00DB26B7" w:rsidRDefault="00244FC0" w:rsidP="00A4278C">
            <w:pPr>
              <w:jc w:val="left"/>
              <w:rPr>
                <w:rFonts w:cs="Times New Roman"/>
                <w:color w:val="000000" w:themeColor="text1"/>
                <w:sz w:val="24"/>
                <w:szCs w:val="24"/>
              </w:rPr>
            </w:pPr>
            <w:r w:rsidRPr="00DB26B7">
              <w:rPr>
                <w:rFonts w:cs="Times New Roman"/>
                <w:color w:val="000000" w:themeColor="text1"/>
                <w:sz w:val="24"/>
                <w:szCs w:val="24"/>
              </w:rPr>
              <w:t xml:space="preserve">= 25.50 / </w:t>
            </w:r>
            <w:r w:rsidR="00260B37" w:rsidRPr="00DB26B7">
              <w:rPr>
                <w:rFonts w:cs="Times New Roman"/>
                <w:color w:val="000000" w:themeColor="text1"/>
                <w:sz w:val="24"/>
                <w:szCs w:val="24"/>
              </w:rPr>
              <w:t>416.7</w:t>
            </w:r>
          </w:p>
          <w:p w:rsidR="00E1775A" w:rsidRPr="00DB26B7" w:rsidRDefault="00E1775A" w:rsidP="00A4278C">
            <w:pPr>
              <w:jc w:val="left"/>
              <w:rPr>
                <w:rFonts w:cs="Times New Roman"/>
                <w:color w:val="000000" w:themeColor="text1"/>
                <w:sz w:val="24"/>
                <w:szCs w:val="24"/>
              </w:rPr>
            </w:pPr>
            <w:r w:rsidRPr="00DB26B7">
              <w:rPr>
                <w:rFonts w:cs="Times New Roman"/>
                <w:color w:val="000000" w:themeColor="text1"/>
                <w:sz w:val="24"/>
                <w:szCs w:val="24"/>
              </w:rPr>
              <w:t>= 16.34</w:t>
            </w:r>
          </w:p>
        </w:tc>
      </w:tr>
    </w:tbl>
    <w:p w:rsidR="006C4FA0" w:rsidRPr="00DB26B7" w:rsidRDefault="008E1EF3" w:rsidP="008E1EF3">
      <w:pPr>
        <w:jc w:val="center"/>
        <w:rPr>
          <w:rFonts w:cs="Times New Roman"/>
          <w:b/>
          <w:color w:val="000000" w:themeColor="text1"/>
          <w:szCs w:val="24"/>
        </w:rPr>
      </w:pPr>
      <w:r w:rsidRPr="00DB26B7">
        <w:rPr>
          <w:rFonts w:cs="Times New Roman"/>
          <w:b/>
          <w:color w:val="000000" w:themeColor="text1"/>
          <w:szCs w:val="24"/>
        </w:rPr>
        <w:t>Table 3: Subsidiary ratios calculated for BT Group Plc</w:t>
      </w:r>
    </w:p>
    <w:p w:rsidR="00834197" w:rsidRPr="00DB26B7" w:rsidRDefault="00834197" w:rsidP="00BA5CBE">
      <w:pPr>
        <w:rPr>
          <w:rFonts w:cs="Times New Roman"/>
          <w:b/>
          <w:color w:val="000000" w:themeColor="text1"/>
          <w:szCs w:val="24"/>
        </w:rPr>
      </w:pPr>
      <w:r w:rsidRPr="00DB26B7">
        <w:rPr>
          <w:rFonts w:cs="Times New Roman"/>
          <w:b/>
          <w:color w:val="000000" w:themeColor="text1"/>
          <w:szCs w:val="24"/>
        </w:rPr>
        <w:t xml:space="preserve">Critical evaluation of the calculated ratios </w:t>
      </w:r>
    </w:p>
    <w:p w:rsidR="00834197" w:rsidRPr="00DB26B7" w:rsidRDefault="00DE234E" w:rsidP="00BA5CBE">
      <w:pPr>
        <w:rPr>
          <w:rFonts w:cs="Times New Roman"/>
          <w:b/>
          <w:i/>
          <w:color w:val="000000" w:themeColor="text1"/>
          <w:szCs w:val="24"/>
        </w:rPr>
      </w:pPr>
      <w:r w:rsidRPr="00DB26B7">
        <w:rPr>
          <w:rFonts w:cs="Times New Roman"/>
          <w:b/>
          <w:i/>
          <w:color w:val="000000" w:themeColor="text1"/>
          <w:szCs w:val="24"/>
        </w:rPr>
        <w:t xml:space="preserve">Evaluation based on investment level ratios </w:t>
      </w:r>
    </w:p>
    <w:p w:rsidR="005A72C8" w:rsidRPr="00DB26B7" w:rsidRDefault="005A72C8" w:rsidP="00BA5CBE">
      <w:pPr>
        <w:rPr>
          <w:rFonts w:cs="Times New Roman"/>
          <w:color w:val="000000" w:themeColor="text1"/>
          <w:szCs w:val="24"/>
        </w:rPr>
      </w:pPr>
      <w:r w:rsidRPr="00DB26B7">
        <w:rPr>
          <w:rFonts w:cs="Times New Roman"/>
          <w:color w:val="000000" w:themeColor="text1"/>
          <w:szCs w:val="24"/>
        </w:rPr>
        <w:t>Consideration and analysis of the operating return on equity of the BT Group Plc indicates a considerab</w:t>
      </w:r>
      <w:r w:rsidR="002E5527" w:rsidRPr="00DB26B7">
        <w:rPr>
          <w:rFonts w:cs="Times New Roman"/>
          <w:color w:val="000000" w:themeColor="text1"/>
          <w:szCs w:val="24"/>
        </w:rPr>
        <w:t xml:space="preserve">le level of decrease during these past five years. However, despite of the decrease there is a favourability and adequacy maintained in the ratio over these years, due to which it cannot be termed as an indication of negative financial performance. On the other hand, a significant level of improvement can be noticed within the BT Group Plc depending upon its financial leverage multiplier. It is because a large amount of decrease can be noticed within this ratio, which is an indication of improvement of the company’s financial position. </w:t>
      </w:r>
    </w:p>
    <w:p w:rsidR="00DE234E" w:rsidRPr="00DB26B7" w:rsidRDefault="00DE234E" w:rsidP="00BA5CBE">
      <w:pPr>
        <w:rPr>
          <w:rFonts w:cs="Times New Roman"/>
          <w:b/>
          <w:i/>
          <w:color w:val="000000" w:themeColor="text1"/>
          <w:szCs w:val="24"/>
        </w:rPr>
      </w:pPr>
      <w:r w:rsidRPr="00DB26B7">
        <w:rPr>
          <w:rFonts w:cs="Times New Roman"/>
          <w:b/>
          <w:i/>
          <w:color w:val="000000" w:themeColor="text1"/>
          <w:szCs w:val="24"/>
        </w:rPr>
        <w:t xml:space="preserve">Evaluation based on operative level ratios </w:t>
      </w:r>
    </w:p>
    <w:p w:rsidR="002E5527" w:rsidRPr="00DB26B7" w:rsidRDefault="00480C7A" w:rsidP="00BA5CBE">
      <w:pPr>
        <w:rPr>
          <w:color w:val="000000" w:themeColor="text1"/>
        </w:rPr>
      </w:pPr>
      <w:r w:rsidRPr="00DB26B7">
        <w:rPr>
          <w:color w:val="000000" w:themeColor="text1"/>
        </w:rPr>
        <w:t>The operative level ratios evaluated for the organisation BT Group Plc</w:t>
      </w:r>
      <w:r w:rsidR="009771EA" w:rsidRPr="00DB26B7">
        <w:rPr>
          <w:color w:val="000000" w:themeColor="text1"/>
        </w:rPr>
        <w:t xml:space="preserve">, however, shows mixed outcomes. This is because it can be noticed that the return on capital employed of the </w:t>
      </w:r>
      <w:r w:rsidR="009771EA" w:rsidRPr="00DB26B7">
        <w:rPr>
          <w:color w:val="000000" w:themeColor="text1"/>
        </w:rPr>
        <w:lastRenderedPageBreak/>
        <w:t xml:space="preserve">organisation have decreased largely over these last five years. However, when the asset turnover of the company is evaluated, even though slight, an improvement can be noticed over this span of 5 years. </w:t>
      </w:r>
      <w:r w:rsidR="000F68F8" w:rsidRPr="00DB26B7">
        <w:rPr>
          <w:color w:val="000000" w:themeColor="text1"/>
        </w:rPr>
        <w:t xml:space="preserve">On the other hand, when the operating margin of the BT Group Plc is considered, results indicate that the operating margin has also reduced from 2015 to 2019 similar to the ROCE. However, coming to the current ratio of the entity is an indication that the </w:t>
      </w:r>
      <w:r w:rsidR="00675050" w:rsidRPr="00DB26B7">
        <w:rPr>
          <w:color w:val="000000" w:themeColor="text1"/>
        </w:rPr>
        <w:t xml:space="preserve">liquid position at which it stood during 2015 has strengthened at the end of the year 2018. Thus, a satisfactory financial performance together with position of the BT Group Plc can be found out. </w:t>
      </w:r>
    </w:p>
    <w:p w:rsidR="00DE234E" w:rsidRPr="00DB26B7" w:rsidRDefault="00DE234E" w:rsidP="00BA5CBE">
      <w:pPr>
        <w:rPr>
          <w:rFonts w:cs="Times New Roman"/>
          <w:b/>
          <w:i/>
          <w:color w:val="000000" w:themeColor="text1"/>
          <w:szCs w:val="24"/>
        </w:rPr>
      </w:pPr>
      <w:r w:rsidRPr="00DB26B7">
        <w:rPr>
          <w:rFonts w:cs="Times New Roman"/>
          <w:b/>
          <w:i/>
          <w:color w:val="000000" w:themeColor="text1"/>
          <w:szCs w:val="24"/>
        </w:rPr>
        <w:t xml:space="preserve">Evaluation based on </w:t>
      </w:r>
      <w:r w:rsidR="005A72C8" w:rsidRPr="00DB26B7">
        <w:rPr>
          <w:rFonts w:cs="Times New Roman"/>
          <w:b/>
          <w:i/>
          <w:color w:val="000000" w:themeColor="text1"/>
          <w:szCs w:val="24"/>
        </w:rPr>
        <w:t xml:space="preserve">subsidiary ratios </w:t>
      </w:r>
    </w:p>
    <w:p w:rsidR="006C4FF1" w:rsidRPr="00DB26B7" w:rsidRDefault="00AF4BA7" w:rsidP="00BA5CBE">
      <w:pPr>
        <w:rPr>
          <w:color w:val="000000" w:themeColor="text1"/>
        </w:rPr>
      </w:pPr>
      <w:r w:rsidRPr="00DB26B7">
        <w:rPr>
          <w:color w:val="000000" w:themeColor="text1"/>
        </w:rPr>
        <w:t xml:space="preserve">The consideration of each of the subsidiary ratios of the BT Group Plc also shows differing results. It can be noticed that there has been a decrease in the net profit ratio of the organisation with a subsequent decrease within the EPS of the organisation. At the same time, the PE ratio of the organisation shows a decrease from 2015 to 2019. However, none of these decreases are considerable in nature and </w:t>
      </w:r>
      <w:r w:rsidR="006B5581" w:rsidRPr="00DB26B7">
        <w:rPr>
          <w:color w:val="000000" w:themeColor="text1"/>
        </w:rPr>
        <w:t xml:space="preserve">there is a maintenance of optimality in each of these financial ratios of the BT Group Plc. On the other hand, it can be noticed that the liquidity position of the entity has enhanced </w:t>
      </w:r>
      <w:r w:rsidR="000A4139" w:rsidRPr="00DB26B7">
        <w:rPr>
          <w:color w:val="000000" w:themeColor="text1"/>
        </w:rPr>
        <w:t xml:space="preserve">during the past five years due to the increase in the acid test ratio while the gearing ratio of the entity has decreased in this span. This decrease of the gearing ratio is an indication that </w:t>
      </w:r>
      <w:r w:rsidR="00090181" w:rsidRPr="00DB26B7">
        <w:rPr>
          <w:color w:val="000000" w:themeColor="text1"/>
        </w:rPr>
        <w:t xml:space="preserve">the long-term debt paying capacity within the BT Group Plc has increased, thereby enhancing its solvency. Thus, yet again positive results can be achieved in the financial position and efficiency of the organisation. </w:t>
      </w:r>
    </w:p>
    <w:p w:rsidR="0079499B" w:rsidRDefault="0079499B" w:rsidP="00BA5CBE">
      <w:pPr>
        <w:rPr>
          <w:rFonts w:cs="Times New Roman"/>
          <w:b/>
          <w:color w:val="000000" w:themeColor="text1"/>
          <w:szCs w:val="24"/>
        </w:rPr>
      </w:pPr>
    </w:p>
    <w:p w:rsidR="00834197" w:rsidRPr="00DB26B7" w:rsidRDefault="00834197" w:rsidP="00BA5CBE">
      <w:pPr>
        <w:rPr>
          <w:rFonts w:cs="Times New Roman"/>
          <w:b/>
          <w:color w:val="000000" w:themeColor="text1"/>
          <w:szCs w:val="24"/>
        </w:rPr>
      </w:pPr>
      <w:r w:rsidRPr="00DB26B7">
        <w:rPr>
          <w:rFonts w:cs="Times New Roman"/>
          <w:b/>
          <w:color w:val="000000" w:themeColor="text1"/>
          <w:szCs w:val="24"/>
        </w:rPr>
        <w:t xml:space="preserve">Comparison to major competitor </w:t>
      </w:r>
    </w:p>
    <w:p w:rsidR="00834197" w:rsidRPr="00DB26B7" w:rsidRDefault="009C13A7" w:rsidP="009C13A7">
      <w:pPr>
        <w:rPr>
          <w:color w:val="000000" w:themeColor="text1"/>
        </w:rPr>
      </w:pPr>
      <w:r w:rsidRPr="00DB26B7">
        <w:rPr>
          <w:color w:val="000000" w:themeColor="text1"/>
        </w:rPr>
        <w:t xml:space="preserve">The Vodafone Group Plc is one of the major competitors of the BT Group Plc. </w:t>
      </w:r>
      <w:r w:rsidR="009637DE" w:rsidRPr="00DB26B7">
        <w:rPr>
          <w:color w:val="000000" w:themeColor="text1"/>
        </w:rPr>
        <w:t>The company comprised of 98996 employees, is also a telecommunications conglomerate from the UK operating on a worldwide basis (</w:t>
      </w:r>
      <w:r w:rsidR="00CB5056" w:rsidRPr="00DB26B7">
        <w:rPr>
          <w:color w:val="000000" w:themeColor="text1"/>
        </w:rPr>
        <w:t>vodafone.com, 2019</w:t>
      </w:r>
      <w:r w:rsidR="009637DE" w:rsidRPr="00DB26B7">
        <w:rPr>
          <w:color w:val="000000" w:themeColor="text1"/>
        </w:rPr>
        <w:t xml:space="preserve">). </w:t>
      </w:r>
      <w:r w:rsidR="00CB5056" w:rsidRPr="00DB26B7">
        <w:rPr>
          <w:color w:val="000000" w:themeColor="text1"/>
        </w:rPr>
        <w:t xml:space="preserve">In order to evaluate and contrast the performance and financial stableness of BT Group Plc and Vodafone Group Plc, all the primary investment and operative level ratios and the subsidiary ratios discussed above can be applied. </w:t>
      </w:r>
    </w:p>
    <w:p w:rsidR="00406F09" w:rsidRPr="00DB26B7" w:rsidRDefault="004A5766" w:rsidP="00BA5CBE">
      <w:pPr>
        <w:rPr>
          <w:rFonts w:cs="Times New Roman"/>
          <w:color w:val="000000" w:themeColor="text1"/>
          <w:szCs w:val="24"/>
        </w:rPr>
      </w:pPr>
      <w:r w:rsidRPr="00DB26B7">
        <w:rPr>
          <w:rFonts w:cs="Times New Roman"/>
          <w:color w:val="000000" w:themeColor="text1"/>
          <w:szCs w:val="24"/>
        </w:rPr>
        <w:t>The</w:t>
      </w:r>
      <w:r w:rsidR="00406F09" w:rsidRPr="00DB26B7">
        <w:rPr>
          <w:rFonts w:cs="Times New Roman"/>
          <w:color w:val="000000" w:themeColor="text1"/>
          <w:szCs w:val="24"/>
        </w:rPr>
        <w:t xml:space="preserve"> following is the comparison of the </w:t>
      </w:r>
      <w:r w:rsidRPr="00DB26B7">
        <w:rPr>
          <w:rFonts w:cs="Times New Roman"/>
          <w:color w:val="000000" w:themeColor="text1"/>
          <w:szCs w:val="24"/>
        </w:rPr>
        <w:t xml:space="preserve">investment level ratios of BT Group Plc with that of Vodafone Group Plc - </w:t>
      </w:r>
    </w:p>
    <w:tbl>
      <w:tblPr>
        <w:tblStyle w:val="TableGrid"/>
        <w:tblW w:w="5000" w:type="pct"/>
        <w:tblLook w:val="04A0" w:firstRow="1" w:lastRow="0" w:firstColumn="1" w:lastColumn="0" w:noHBand="0" w:noVBand="1"/>
      </w:tblPr>
      <w:tblGrid>
        <w:gridCol w:w="5454"/>
        <w:gridCol w:w="1799"/>
        <w:gridCol w:w="2323"/>
      </w:tblGrid>
      <w:tr w:rsidR="00DB26B7" w:rsidRPr="00DB26B7" w:rsidTr="002410A1">
        <w:trPr>
          <w:trHeight w:val="300"/>
        </w:trPr>
        <w:tc>
          <w:tcPr>
            <w:tcW w:w="2922" w:type="pct"/>
            <w:noWrap/>
            <w:hideMark/>
          </w:tcPr>
          <w:p w:rsidR="002410A1" w:rsidRPr="00DB26B7" w:rsidRDefault="002410A1">
            <w:pPr>
              <w:rPr>
                <w:rFonts w:cs="Times New Roman"/>
                <w:b/>
                <w:color w:val="000000" w:themeColor="text1"/>
                <w:sz w:val="24"/>
                <w:szCs w:val="24"/>
              </w:rPr>
            </w:pPr>
            <w:r w:rsidRPr="00DB26B7">
              <w:rPr>
                <w:rFonts w:cs="Times New Roman"/>
                <w:b/>
                <w:color w:val="000000" w:themeColor="text1"/>
                <w:sz w:val="24"/>
                <w:szCs w:val="24"/>
              </w:rPr>
              <w:lastRenderedPageBreak/>
              <w:t>Primary investment level ratios</w:t>
            </w:r>
          </w:p>
        </w:tc>
        <w:tc>
          <w:tcPr>
            <w:tcW w:w="865" w:type="pct"/>
            <w:noWrap/>
            <w:hideMark/>
          </w:tcPr>
          <w:p w:rsidR="002410A1" w:rsidRPr="00DB26B7" w:rsidRDefault="002410A1">
            <w:pPr>
              <w:rPr>
                <w:rFonts w:cs="Times New Roman"/>
                <w:b/>
                <w:color w:val="000000" w:themeColor="text1"/>
                <w:sz w:val="24"/>
                <w:szCs w:val="24"/>
              </w:rPr>
            </w:pPr>
            <w:r w:rsidRPr="00DB26B7">
              <w:rPr>
                <w:rFonts w:cs="Times New Roman"/>
                <w:b/>
                <w:color w:val="000000" w:themeColor="text1"/>
                <w:sz w:val="24"/>
                <w:szCs w:val="24"/>
              </w:rPr>
              <w:t>BT Group Plc</w:t>
            </w:r>
          </w:p>
        </w:tc>
        <w:tc>
          <w:tcPr>
            <w:tcW w:w="1213" w:type="pct"/>
            <w:noWrap/>
            <w:hideMark/>
          </w:tcPr>
          <w:p w:rsidR="002410A1" w:rsidRPr="00DB26B7" w:rsidRDefault="002410A1">
            <w:pPr>
              <w:rPr>
                <w:rFonts w:cs="Times New Roman"/>
                <w:b/>
                <w:color w:val="000000" w:themeColor="text1"/>
                <w:sz w:val="24"/>
                <w:szCs w:val="24"/>
              </w:rPr>
            </w:pPr>
            <w:r w:rsidRPr="00DB26B7">
              <w:rPr>
                <w:rFonts w:cs="Times New Roman"/>
                <w:b/>
                <w:color w:val="000000" w:themeColor="text1"/>
                <w:sz w:val="24"/>
                <w:szCs w:val="24"/>
              </w:rPr>
              <w:t>Vodafone Group Plc</w:t>
            </w:r>
          </w:p>
        </w:tc>
      </w:tr>
      <w:tr w:rsidR="00DB26B7" w:rsidRPr="00DB26B7" w:rsidTr="002410A1">
        <w:trPr>
          <w:trHeight w:val="300"/>
        </w:trPr>
        <w:tc>
          <w:tcPr>
            <w:tcW w:w="2922" w:type="pct"/>
            <w:noWrap/>
            <w:hideMark/>
          </w:tcPr>
          <w:p w:rsidR="002410A1" w:rsidRPr="00DB26B7" w:rsidRDefault="002410A1">
            <w:pPr>
              <w:rPr>
                <w:rFonts w:cs="Times New Roman"/>
                <w:b/>
                <w:color w:val="000000" w:themeColor="text1"/>
                <w:sz w:val="24"/>
                <w:szCs w:val="24"/>
              </w:rPr>
            </w:pPr>
          </w:p>
        </w:tc>
        <w:tc>
          <w:tcPr>
            <w:tcW w:w="865" w:type="pct"/>
            <w:noWrap/>
            <w:hideMark/>
          </w:tcPr>
          <w:p w:rsidR="002410A1" w:rsidRPr="00DB26B7" w:rsidRDefault="002410A1" w:rsidP="004A5766">
            <w:pPr>
              <w:rPr>
                <w:rFonts w:cs="Times New Roman"/>
                <w:b/>
                <w:color w:val="000000" w:themeColor="text1"/>
                <w:sz w:val="24"/>
                <w:szCs w:val="24"/>
              </w:rPr>
            </w:pPr>
            <w:r w:rsidRPr="00DB26B7">
              <w:rPr>
                <w:rFonts w:cs="Times New Roman"/>
                <w:b/>
                <w:color w:val="000000" w:themeColor="text1"/>
                <w:sz w:val="24"/>
                <w:szCs w:val="24"/>
              </w:rPr>
              <w:t>2019</w:t>
            </w:r>
          </w:p>
        </w:tc>
        <w:tc>
          <w:tcPr>
            <w:tcW w:w="1213" w:type="pct"/>
            <w:noWrap/>
            <w:hideMark/>
          </w:tcPr>
          <w:p w:rsidR="002410A1" w:rsidRPr="00DB26B7" w:rsidRDefault="002410A1" w:rsidP="004A5766">
            <w:pPr>
              <w:rPr>
                <w:rFonts w:cs="Times New Roman"/>
                <w:b/>
                <w:color w:val="000000" w:themeColor="text1"/>
                <w:sz w:val="24"/>
                <w:szCs w:val="24"/>
              </w:rPr>
            </w:pPr>
            <w:r w:rsidRPr="00DB26B7">
              <w:rPr>
                <w:rFonts w:cs="Times New Roman"/>
                <w:b/>
                <w:color w:val="000000" w:themeColor="text1"/>
                <w:sz w:val="24"/>
                <w:szCs w:val="24"/>
              </w:rPr>
              <w:t>2019</w:t>
            </w:r>
          </w:p>
        </w:tc>
      </w:tr>
      <w:tr w:rsidR="00DB26B7" w:rsidRPr="00DB26B7" w:rsidTr="002410A1">
        <w:trPr>
          <w:trHeight w:val="300"/>
        </w:trPr>
        <w:tc>
          <w:tcPr>
            <w:tcW w:w="2922" w:type="pct"/>
            <w:noWrap/>
            <w:hideMark/>
          </w:tcPr>
          <w:p w:rsidR="002410A1" w:rsidRPr="00DB26B7" w:rsidRDefault="002410A1" w:rsidP="004A5766">
            <w:pPr>
              <w:rPr>
                <w:rFonts w:cs="Times New Roman"/>
                <w:color w:val="000000" w:themeColor="text1"/>
                <w:sz w:val="24"/>
                <w:szCs w:val="24"/>
              </w:rPr>
            </w:pPr>
            <w:r w:rsidRPr="00DB26B7">
              <w:rPr>
                <w:rFonts w:cs="Times New Roman"/>
                <w:color w:val="000000" w:themeColor="text1"/>
                <w:sz w:val="24"/>
                <w:szCs w:val="24"/>
              </w:rPr>
              <w:t>Operating return on equity (%)</w:t>
            </w:r>
          </w:p>
        </w:tc>
        <w:tc>
          <w:tcPr>
            <w:tcW w:w="865" w:type="pct"/>
            <w:noWrap/>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3421 / 10167</w:t>
            </w:r>
          </w:p>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33.65%</w:t>
            </w:r>
          </w:p>
        </w:tc>
        <w:tc>
          <w:tcPr>
            <w:tcW w:w="1213" w:type="pct"/>
            <w:noWrap/>
            <w:hideMark/>
          </w:tcPr>
          <w:p w:rsidR="00C53C0E" w:rsidRPr="00DB26B7" w:rsidRDefault="00C53C0E" w:rsidP="004A5766">
            <w:pPr>
              <w:rPr>
                <w:rFonts w:cs="Times New Roman"/>
                <w:color w:val="000000" w:themeColor="text1"/>
                <w:sz w:val="24"/>
                <w:szCs w:val="24"/>
              </w:rPr>
            </w:pPr>
            <w:r w:rsidRPr="00DB26B7">
              <w:rPr>
                <w:rFonts w:cs="Times New Roman"/>
                <w:color w:val="000000" w:themeColor="text1"/>
                <w:sz w:val="24"/>
                <w:szCs w:val="24"/>
              </w:rPr>
              <w:t>= - 951 / 62218</w:t>
            </w:r>
          </w:p>
          <w:p w:rsidR="002410A1" w:rsidRPr="00DB26B7" w:rsidRDefault="002410A1" w:rsidP="004A5766">
            <w:pPr>
              <w:rPr>
                <w:rFonts w:cs="Times New Roman"/>
                <w:color w:val="000000" w:themeColor="text1"/>
                <w:sz w:val="24"/>
                <w:szCs w:val="24"/>
              </w:rPr>
            </w:pPr>
            <w:r w:rsidRPr="00DB26B7">
              <w:rPr>
                <w:rFonts w:cs="Times New Roman"/>
                <w:color w:val="000000" w:themeColor="text1"/>
                <w:sz w:val="24"/>
                <w:szCs w:val="24"/>
              </w:rPr>
              <w:t>= - 1.53%</w:t>
            </w:r>
          </w:p>
        </w:tc>
      </w:tr>
      <w:tr w:rsidR="00DB26B7" w:rsidRPr="00DB26B7" w:rsidTr="002410A1">
        <w:trPr>
          <w:trHeight w:val="300"/>
        </w:trPr>
        <w:tc>
          <w:tcPr>
            <w:tcW w:w="2922" w:type="pct"/>
            <w:noWrap/>
            <w:hideMark/>
          </w:tcPr>
          <w:p w:rsidR="002410A1" w:rsidRPr="00F8068A" w:rsidRDefault="002410A1">
            <w:pPr>
              <w:rPr>
                <w:rFonts w:cs="Times New Roman"/>
                <w:color w:val="000000" w:themeColor="text1"/>
                <w:sz w:val="24"/>
                <w:szCs w:val="24"/>
              </w:rPr>
            </w:pPr>
            <w:r w:rsidRPr="00F8068A">
              <w:rPr>
                <w:rFonts w:cs="Times New Roman"/>
                <w:color w:val="000000" w:themeColor="text1"/>
                <w:sz w:val="24"/>
                <w:szCs w:val="24"/>
              </w:rPr>
              <w:t>Financial leverage multiplier</w:t>
            </w:r>
          </w:p>
        </w:tc>
        <w:tc>
          <w:tcPr>
            <w:tcW w:w="865" w:type="pct"/>
            <w:noWrap/>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36685 / 10167</w:t>
            </w:r>
          </w:p>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3.61</w:t>
            </w:r>
          </w:p>
        </w:tc>
        <w:tc>
          <w:tcPr>
            <w:tcW w:w="1213" w:type="pct"/>
            <w:noWrap/>
            <w:hideMark/>
          </w:tcPr>
          <w:p w:rsidR="00C53C0E" w:rsidRPr="00DB26B7" w:rsidRDefault="00C53C0E" w:rsidP="004A5766">
            <w:pPr>
              <w:rPr>
                <w:rFonts w:cs="Times New Roman"/>
                <w:color w:val="000000" w:themeColor="text1"/>
                <w:sz w:val="24"/>
                <w:szCs w:val="24"/>
              </w:rPr>
            </w:pPr>
            <w:r w:rsidRPr="00DB26B7">
              <w:rPr>
                <w:rFonts w:cs="Times New Roman"/>
                <w:color w:val="000000" w:themeColor="text1"/>
                <w:sz w:val="24"/>
                <w:szCs w:val="24"/>
              </w:rPr>
              <w:t>= 117339 / 62218</w:t>
            </w:r>
          </w:p>
          <w:p w:rsidR="002410A1" w:rsidRPr="00DB26B7" w:rsidRDefault="00C53C0E" w:rsidP="004A5766">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1.89</w:t>
            </w:r>
          </w:p>
        </w:tc>
      </w:tr>
    </w:tbl>
    <w:p w:rsidR="004A5766" w:rsidRPr="00DB26B7" w:rsidRDefault="0010792D" w:rsidP="0010792D">
      <w:pPr>
        <w:jc w:val="center"/>
        <w:rPr>
          <w:rFonts w:cs="Times New Roman"/>
          <w:b/>
          <w:color w:val="000000" w:themeColor="text1"/>
          <w:szCs w:val="24"/>
        </w:rPr>
      </w:pPr>
      <w:r w:rsidRPr="00DB26B7">
        <w:rPr>
          <w:rFonts w:cs="Times New Roman"/>
          <w:b/>
          <w:color w:val="000000" w:themeColor="text1"/>
          <w:szCs w:val="24"/>
        </w:rPr>
        <w:t xml:space="preserve">Table 4: Primary investment level ratios of BT Group and Vodafone Group </w:t>
      </w:r>
    </w:p>
    <w:p w:rsidR="00EE5E71" w:rsidRPr="00DB26B7" w:rsidRDefault="00EE5E71" w:rsidP="00BA5CBE">
      <w:pPr>
        <w:rPr>
          <w:rFonts w:cs="Times New Roman"/>
          <w:color w:val="000000" w:themeColor="text1"/>
          <w:szCs w:val="24"/>
        </w:rPr>
      </w:pPr>
      <w:r w:rsidRPr="00DB26B7">
        <w:rPr>
          <w:rFonts w:cs="Times New Roman"/>
          <w:color w:val="000000" w:themeColor="text1"/>
          <w:szCs w:val="24"/>
        </w:rPr>
        <w:t xml:space="preserve">Through the contrast of the operating return on equity and financial leverage multiplier of BT Group and Vodafone Group show differing results. It is because in the BT Group, the operating return on equity is considerably better. </w:t>
      </w:r>
      <w:r w:rsidR="00B720C7" w:rsidRPr="00DB26B7">
        <w:rPr>
          <w:rFonts w:cs="Times New Roman"/>
          <w:color w:val="000000" w:themeColor="text1"/>
          <w:szCs w:val="24"/>
        </w:rPr>
        <w:t xml:space="preserve">While the operating return on equity of the BT Group is 33.65%, the Vodafone Group Plc has ended up with -1.53% operating return on equity. </w:t>
      </w:r>
      <w:r w:rsidR="00C713D8" w:rsidRPr="00DB26B7">
        <w:rPr>
          <w:rFonts w:cs="Times New Roman"/>
          <w:color w:val="000000" w:themeColor="text1"/>
          <w:szCs w:val="24"/>
        </w:rPr>
        <w:t xml:space="preserve">This shows that the Vodafone Group Plc has had a negative return on equity. On the other hand, in the case of </w:t>
      </w:r>
      <w:r w:rsidR="00795485" w:rsidRPr="00DB26B7">
        <w:rPr>
          <w:rFonts w:cs="Times New Roman"/>
          <w:color w:val="000000" w:themeColor="text1"/>
          <w:szCs w:val="24"/>
        </w:rPr>
        <w:t xml:space="preserve">financial leverage multiplier, it can be noticed that </w:t>
      </w:r>
      <w:r w:rsidR="001E32FF" w:rsidRPr="00DB26B7">
        <w:rPr>
          <w:rFonts w:cs="Times New Roman"/>
          <w:color w:val="000000" w:themeColor="text1"/>
          <w:szCs w:val="24"/>
        </w:rPr>
        <w:t xml:space="preserve">BT Group’s financial leverage is 3.61, while that of Vodafone Group Plc is 1.89. This indicates that </w:t>
      </w:r>
      <w:r w:rsidR="005A4391" w:rsidRPr="00DB26B7">
        <w:rPr>
          <w:rFonts w:cs="Times New Roman"/>
          <w:color w:val="000000" w:themeColor="text1"/>
          <w:szCs w:val="24"/>
        </w:rPr>
        <w:t xml:space="preserve">Vodafone Group Plc has better </w:t>
      </w:r>
      <w:r w:rsidR="00610A77" w:rsidRPr="00DB26B7">
        <w:rPr>
          <w:rFonts w:cs="Times New Roman"/>
          <w:color w:val="000000" w:themeColor="text1"/>
          <w:szCs w:val="24"/>
        </w:rPr>
        <w:t xml:space="preserve">financial leverage and solvency between the two companies. </w:t>
      </w:r>
    </w:p>
    <w:p w:rsidR="0079499B" w:rsidRDefault="0079499B" w:rsidP="004A5766">
      <w:pPr>
        <w:rPr>
          <w:rFonts w:cs="Times New Roman"/>
          <w:color w:val="000000" w:themeColor="text1"/>
          <w:szCs w:val="24"/>
        </w:rPr>
      </w:pPr>
    </w:p>
    <w:p w:rsidR="0079499B" w:rsidRPr="00DB26B7" w:rsidRDefault="004A5766" w:rsidP="004A5766">
      <w:pPr>
        <w:rPr>
          <w:rFonts w:cs="Times New Roman"/>
          <w:color w:val="000000" w:themeColor="text1"/>
          <w:szCs w:val="24"/>
        </w:rPr>
      </w:pPr>
      <w:r w:rsidRPr="00DB26B7">
        <w:rPr>
          <w:rFonts w:cs="Times New Roman"/>
          <w:color w:val="000000" w:themeColor="text1"/>
          <w:szCs w:val="24"/>
        </w:rPr>
        <w:t>The following is the comparison of the operative level ratios of BT Group Plc with that of Vodafone Group Plc</w:t>
      </w:r>
      <w:r w:rsidR="001451A7">
        <w:rPr>
          <w:rFonts w:cs="Times New Roman"/>
          <w:color w:val="000000" w:themeColor="text1"/>
          <w:szCs w:val="24"/>
        </w:rPr>
        <w:t>.</w:t>
      </w:r>
    </w:p>
    <w:tbl>
      <w:tblPr>
        <w:tblStyle w:val="TableGrid"/>
        <w:tblW w:w="5000" w:type="pct"/>
        <w:tblLook w:val="04A0" w:firstRow="1" w:lastRow="0" w:firstColumn="1" w:lastColumn="0" w:noHBand="0" w:noVBand="1"/>
      </w:tblPr>
      <w:tblGrid>
        <w:gridCol w:w="4668"/>
        <w:gridCol w:w="2279"/>
        <w:gridCol w:w="2629"/>
      </w:tblGrid>
      <w:tr w:rsidR="00DB26B7" w:rsidRPr="00DB26B7" w:rsidTr="002410A1">
        <w:trPr>
          <w:trHeight w:val="300"/>
        </w:trPr>
        <w:tc>
          <w:tcPr>
            <w:tcW w:w="2498" w:type="pct"/>
            <w:noWrap/>
            <w:hideMark/>
          </w:tcPr>
          <w:p w:rsidR="005A2F5E" w:rsidRPr="00DB26B7" w:rsidRDefault="005A2F5E">
            <w:pPr>
              <w:rPr>
                <w:rFonts w:cs="Times New Roman"/>
                <w:b/>
                <w:color w:val="000000" w:themeColor="text1"/>
                <w:sz w:val="24"/>
                <w:szCs w:val="24"/>
              </w:rPr>
            </w:pPr>
            <w:r w:rsidRPr="00DB26B7">
              <w:rPr>
                <w:rFonts w:cs="Times New Roman"/>
                <w:b/>
                <w:color w:val="000000" w:themeColor="text1"/>
                <w:sz w:val="24"/>
                <w:szCs w:val="24"/>
              </w:rPr>
              <w:t>Primary operative level ratios</w:t>
            </w:r>
          </w:p>
        </w:tc>
        <w:tc>
          <w:tcPr>
            <w:tcW w:w="1069" w:type="pct"/>
            <w:noWrap/>
            <w:hideMark/>
          </w:tcPr>
          <w:p w:rsidR="005A2F5E" w:rsidRPr="00DB26B7" w:rsidRDefault="005A2F5E">
            <w:pPr>
              <w:rPr>
                <w:rFonts w:cs="Times New Roman"/>
                <w:b/>
                <w:color w:val="000000" w:themeColor="text1"/>
                <w:sz w:val="24"/>
                <w:szCs w:val="24"/>
              </w:rPr>
            </w:pPr>
            <w:r w:rsidRPr="00DB26B7">
              <w:rPr>
                <w:rFonts w:cs="Times New Roman"/>
                <w:b/>
                <w:color w:val="000000" w:themeColor="text1"/>
                <w:sz w:val="24"/>
                <w:szCs w:val="24"/>
              </w:rPr>
              <w:t>BT Group Plc</w:t>
            </w:r>
          </w:p>
        </w:tc>
        <w:tc>
          <w:tcPr>
            <w:tcW w:w="1433" w:type="pct"/>
            <w:noWrap/>
            <w:hideMark/>
          </w:tcPr>
          <w:p w:rsidR="005A2F5E" w:rsidRPr="00DB26B7" w:rsidRDefault="005A2F5E">
            <w:pPr>
              <w:rPr>
                <w:rFonts w:cs="Times New Roman"/>
                <w:b/>
                <w:color w:val="000000" w:themeColor="text1"/>
                <w:sz w:val="24"/>
                <w:szCs w:val="24"/>
              </w:rPr>
            </w:pPr>
            <w:r w:rsidRPr="00DB26B7">
              <w:rPr>
                <w:rFonts w:cs="Times New Roman"/>
                <w:b/>
                <w:color w:val="000000" w:themeColor="text1"/>
                <w:sz w:val="24"/>
                <w:szCs w:val="24"/>
              </w:rPr>
              <w:t>Vodafone Group Plc</w:t>
            </w:r>
          </w:p>
        </w:tc>
      </w:tr>
      <w:tr w:rsidR="00DB26B7" w:rsidRPr="00DB26B7" w:rsidTr="002410A1">
        <w:trPr>
          <w:trHeight w:val="300"/>
        </w:trPr>
        <w:tc>
          <w:tcPr>
            <w:tcW w:w="2498" w:type="pct"/>
            <w:noWrap/>
            <w:hideMark/>
          </w:tcPr>
          <w:p w:rsidR="005A2F5E" w:rsidRPr="00DB26B7" w:rsidRDefault="005A2F5E">
            <w:pPr>
              <w:rPr>
                <w:rFonts w:cs="Times New Roman"/>
                <w:b/>
                <w:color w:val="000000" w:themeColor="text1"/>
                <w:sz w:val="24"/>
                <w:szCs w:val="24"/>
              </w:rPr>
            </w:pPr>
          </w:p>
        </w:tc>
        <w:tc>
          <w:tcPr>
            <w:tcW w:w="1069" w:type="pct"/>
            <w:noWrap/>
            <w:hideMark/>
          </w:tcPr>
          <w:p w:rsidR="005A2F5E" w:rsidRPr="00DB26B7" w:rsidRDefault="005A2F5E" w:rsidP="00126C10">
            <w:pPr>
              <w:rPr>
                <w:rFonts w:cs="Times New Roman"/>
                <w:b/>
                <w:color w:val="000000" w:themeColor="text1"/>
                <w:sz w:val="24"/>
                <w:szCs w:val="24"/>
              </w:rPr>
            </w:pPr>
            <w:r w:rsidRPr="00DB26B7">
              <w:rPr>
                <w:rFonts w:cs="Times New Roman"/>
                <w:b/>
                <w:color w:val="000000" w:themeColor="text1"/>
                <w:sz w:val="24"/>
                <w:szCs w:val="24"/>
              </w:rPr>
              <w:t>2019</w:t>
            </w:r>
          </w:p>
        </w:tc>
        <w:tc>
          <w:tcPr>
            <w:tcW w:w="1433" w:type="pct"/>
            <w:noWrap/>
            <w:hideMark/>
          </w:tcPr>
          <w:p w:rsidR="005A2F5E" w:rsidRPr="00DB26B7" w:rsidRDefault="005A2F5E" w:rsidP="00126C10">
            <w:pPr>
              <w:rPr>
                <w:rFonts w:cs="Times New Roman"/>
                <w:b/>
                <w:color w:val="000000" w:themeColor="text1"/>
                <w:sz w:val="24"/>
                <w:szCs w:val="24"/>
              </w:rPr>
            </w:pPr>
            <w:r w:rsidRPr="00DB26B7">
              <w:rPr>
                <w:rFonts w:cs="Times New Roman"/>
                <w:b/>
                <w:color w:val="000000" w:themeColor="text1"/>
                <w:sz w:val="24"/>
                <w:szCs w:val="24"/>
              </w:rPr>
              <w:t>2019</w:t>
            </w:r>
          </w:p>
        </w:tc>
      </w:tr>
      <w:tr w:rsidR="00DB26B7" w:rsidRPr="00DB26B7" w:rsidTr="002410A1">
        <w:trPr>
          <w:trHeight w:val="300"/>
        </w:trPr>
        <w:tc>
          <w:tcPr>
            <w:tcW w:w="2498"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Return on Capital Employed (%)</w:t>
            </w:r>
          </w:p>
        </w:tc>
        <w:tc>
          <w:tcPr>
            <w:tcW w:w="1069" w:type="pct"/>
            <w:noWrap/>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xml:space="preserve">= 3421 / 36685 </w:t>
            </w:r>
            <w:r w:rsidR="00393F63" w:rsidRPr="00DB26B7">
              <w:rPr>
                <w:rFonts w:cs="Times New Roman"/>
                <w:color w:val="000000" w:themeColor="text1"/>
                <w:sz w:val="24"/>
                <w:szCs w:val="24"/>
              </w:rPr>
              <w:t>* 100</w:t>
            </w:r>
          </w:p>
          <w:p w:rsidR="002410A1" w:rsidRPr="00DB26B7" w:rsidRDefault="002410A1" w:rsidP="005D4ED8">
            <w:pPr>
              <w:tabs>
                <w:tab w:val="right" w:pos="2063"/>
              </w:tabs>
              <w:rPr>
                <w:rFonts w:cs="Times New Roman"/>
                <w:color w:val="000000" w:themeColor="text1"/>
                <w:sz w:val="24"/>
                <w:szCs w:val="24"/>
              </w:rPr>
            </w:pPr>
            <w:r w:rsidRPr="00DB26B7">
              <w:rPr>
                <w:rFonts w:cs="Times New Roman"/>
                <w:color w:val="000000" w:themeColor="text1"/>
                <w:sz w:val="24"/>
                <w:szCs w:val="24"/>
              </w:rPr>
              <w:t>= 9.33%</w:t>
            </w:r>
            <w:r w:rsidR="005D4ED8" w:rsidRPr="00DB26B7">
              <w:rPr>
                <w:rFonts w:cs="Times New Roman"/>
                <w:color w:val="000000" w:themeColor="text1"/>
                <w:sz w:val="24"/>
                <w:szCs w:val="24"/>
              </w:rPr>
              <w:tab/>
            </w:r>
          </w:p>
        </w:tc>
        <w:tc>
          <w:tcPr>
            <w:tcW w:w="1433" w:type="pct"/>
            <w:noWrap/>
            <w:hideMark/>
          </w:tcPr>
          <w:p w:rsidR="00C53C0E"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393F63" w:rsidRPr="00DB26B7">
              <w:rPr>
                <w:rFonts w:cs="Times New Roman"/>
                <w:color w:val="000000" w:themeColor="text1"/>
                <w:sz w:val="24"/>
                <w:szCs w:val="24"/>
              </w:rPr>
              <w:t>- 951 / 117339 * 100</w:t>
            </w:r>
          </w:p>
          <w:p w:rsidR="002410A1"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w:t>
            </w:r>
            <w:r w:rsidRPr="00DB26B7">
              <w:rPr>
                <w:rFonts w:cs="Times New Roman"/>
                <w:color w:val="000000" w:themeColor="text1"/>
                <w:sz w:val="24"/>
                <w:szCs w:val="24"/>
              </w:rPr>
              <w:t xml:space="preserve"> </w:t>
            </w:r>
            <w:r w:rsidR="002410A1" w:rsidRPr="00DB26B7">
              <w:rPr>
                <w:rFonts w:cs="Times New Roman"/>
                <w:color w:val="000000" w:themeColor="text1"/>
                <w:sz w:val="24"/>
                <w:szCs w:val="24"/>
              </w:rPr>
              <w:t>0.81</w:t>
            </w:r>
            <w:r w:rsidRPr="00DB26B7">
              <w:rPr>
                <w:rFonts w:cs="Times New Roman"/>
                <w:color w:val="000000" w:themeColor="text1"/>
                <w:sz w:val="24"/>
                <w:szCs w:val="24"/>
              </w:rPr>
              <w:t>%</w:t>
            </w:r>
          </w:p>
        </w:tc>
      </w:tr>
      <w:tr w:rsidR="00DB26B7" w:rsidRPr="00DB26B7" w:rsidTr="002410A1">
        <w:trPr>
          <w:trHeight w:val="300"/>
        </w:trPr>
        <w:tc>
          <w:tcPr>
            <w:tcW w:w="2498"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Asset turnover (times)</w:t>
            </w:r>
          </w:p>
        </w:tc>
        <w:tc>
          <w:tcPr>
            <w:tcW w:w="1069" w:type="pct"/>
            <w:noWrap/>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23428 / 36685</w:t>
            </w:r>
          </w:p>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xml:space="preserve">= 0.64 times </w:t>
            </w:r>
          </w:p>
        </w:tc>
        <w:tc>
          <w:tcPr>
            <w:tcW w:w="1433" w:type="pct"/>
            <w:noWrap/>
            <w:hideMark/>
          </w:tcPr>
          <w:p w:rsidR="00C53C0E"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393F63" w:rsidRPr="00DB26B7">
              <w:rPr>
                <w:rFonts w:cs="Times New Roman"/>
                <w:color w:val="000000" w:themeColor="text1"/>
                <w:sz w:val="24"/>
                <w:szCs w:val="24"/>
              </w:rPr>
              <w:t>43666 / 117339</w:t>
            </w:r>
          </w:p>
          <w:p w:rsidR="002410A1"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0.37</w:t>
            </w:r>
            <w:r w:rsidRPr="00DB26B7">
              <w:rPr>
                <w:rFonts w:cs="Times New Roman"/>
                <w:color w:val="000000" w:themeColor="text1"/>
                <w:sz w:val="24"/>
                <w:szCs w:val="24"/>
              </w:rPr>
              <w:t xml:space="preserve"> times </w:t>
            </w:r>
          </w:p>
        </w:tc>
      </w:tr>
      <w:tr w:rsidR="00DB26B7" w:rsidRPr="00DB26B7" w:rsidTr="002410A1">
        <w:trPr>
          <w:trHeight w:val="300"/>
        </w:trPr>
        <w:tc>
          <w:tcPr>
            <w:tcW w:w="2498"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Operating margin (%)</w:t>
            </w:r>
          </w:p>
        </w:tc>
        <w:tc>
          <w:tcPr>
            <w:tcW w:w="1069" w:type="pct"/>
            <w:noWrap/>
            <w:vAlign w:val="bottom"/>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xml:space="preserve">= 3421 / 23428 </w:t>
            </w:r>
            <w:r w:rsidR="00393F63" w:rsidRPr="00DB26B7">
              <w:rPr>
                <w:rFonts w:cs="Times New Roman"/>
                <w:color w:val="000000" w:themeColor="text1"/>
                <w:sz w:val="24"/>
                <w:szCs w:val="24"/>
              </w:rPr>
              <w:t>* 100</w:t>
            </w:r>
          </w:p>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14.60%</w:t>
            </w:r>
          </w:p>
        </w:tc>
        <w:tc>
          <w:tcPr>
            <w:tcW w:w="1433" w:type="pct"/>
            <w:noWrap/>
            <w:hideMark/>
          </w:tcPr>
          <w:p w:rsidR="00C53C0E"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393F63" w:rsidRPr="00DB26B7">
              <w:rPr>
                <w:rFonts w:cs="Times New Roman"/>
                <w:color w:val="000000" w:themeColor="text1"/>
                <w:sz w:val="24"/>
                <w:szCs w:val="24"/>
              </w:rPr>
              <w:t>43666 / - 951 * 100</w:t>
            </w:r>
          </w:p>
          <w:p w:rsidR="002410A1"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w:t>
            </w:r>
            <w:r w:rsidRPr="00DB26B7">
              <w:rPr>
                <w:rFonts w:cs="Times New Roman"/>
                <w:color w:val="000000" w:themeColor="text1"/>
                <w:sz w:val="24"/>
                <w:szCs w:val="24"/>
              </w:rPr>
              <w:t xml:space="preserve"> </w:t>
            </w:r>
            <w:r w:rsidR="002410A1" w:rsidRPr="00DB26B7">
              <w:rPr>
                <w:rFonts w:cs="Times New Roman"/>
                <w:color w:val="000000" w:themeColor="text1"/>
                <w:sz w:val="24"/>
                <w:szCs w:val="24"/>
              </w:rPr>
              <w:t>2.18</w:t>
            </w:r>
            <w:r w:rsidRPr="00DB26B7">
              <w:rPr>
                <w:rFonts w:cs="Times New Roman"/>
                <w:color w:val="000000" w:themeColor="text1"/>
                <w:sz w:val="24"/>
                <w:szCs w:val="24"/>
              </w:rPr>
              <w:t>%</w:t>
            </w:r>
          </w:p>
        </w:tc>
      </w:tr>
      <w:tr w:rsidR="00DB26B7" w:rsidRPr="00DB26B7" w:rsidTr="002410A1">
        <w:trPr>
          <w:trHeight w:val="300"/>
        </w:trPr>
        <w:tc>
          <w:tcPr>
            <w:tcW w:w="2498"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 xml:space="preserve">Current ratio </w:t>
            </w:r>
          </w:p>
        </w:tc>
        <w:tc>
          <w:tcPr>
            <w:tcW w:w="1069" w:type="pct"/>
            <w:noWrap/>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10444 / 9602</w:t>
            </w:r>
          </w:p>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1.09</w:t>
            </w:r>
          </w:p>
        </w:tc>
        <w:tc>
          <w:tcPr>
            <w:tcW w:w="1433" w:type="pct"/>
            <w:noWrap/>
            <w:hideMark/>
          </w:tcPr>
          <w:p w:rsidR="00C53C0E"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393F63" w:rsidRPr="00DB26B7">
              <w:rPr>
                <w:rFonts w:cs="Times New Roman"/>
                <w:color w:val="000000" w:themeColor="text1"/>
                <w:sz w:val="24"/>
                <w:szCs w:val="24"/>
              </w:rPr>
              <w:t>39817 / 25523</w:t>
            </w:r>
          </w:p>
          <w:p w:rsidR="002410A1" w:rsidRPr="00DB26B7" w:rsidRDefault="00C53C0E" w:rsidP="00126C10">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1.56</w:t>
            </w:r>
          </w:p>
        </w:tc>
      </w:tr>
    </w:tbl>
    <w:p w:rsidR="004A5766" w:rsidRPr="00DB26B7" w:rsidRDefault="00466BED" w:rsidP="00466BED">
      <w:pPr>
        <w:jc w:val="center"/>
        <w:rPr>
          <w:rFonts w:cs="Times New Roman"/>
          <w:color w:val="000000" w:themeColor="text1"/>
          <w:szCs w:val="24"/>
        </w:rPr>
      </w:pPr>
      <w:r w:rsidRPr="00DB26B7">
        <w:rPr>
          <w:rFonts w:cs="Times New Roman"/>
          <w:b/>
          <w:color w:val="000000" w:themeColor="text1"/>
          <w:szCs w:val="24"/>
        </w:rPr>
        <w:t>Table 5: Primary operative level ratios of BT Group and Vodafone Group</w:t>
      </w:r>
    </w:p>
    <w:p w:rsidR="00B71D25" w:rsidRPr="00DB26B7" w:rsidRDefault="0046164A" w:rsidP="00BA5CBE">
      <w:pPr>
        <w:rPr>
          <w:rFonts w:cs="Times New Roman"/>
          <w:color w:val="000000" w:themeColor="text1"/>
          <w:szCs w:val="24"/>
        </w:rPr>
      </w:pPr>
      <w:r w:rsidRPr="00DB26B7">
        <w:rPr>
          <w:rFonts w:cs="Times New Roman"/>
          <w:color w:val="000000" w:themeColor="text1"/>
          <w:szCs w:val="24"/>
        </w:rPr>
        <w:lastRenderedPageBreak/>
        <w:t xml:space="preserve">The contrasting of the BT Group and Vodafone Group’s return on capital employed along with the operating margin shows same results as obtained in case of operating return on equity. It can be noticed that the BT Group has a much better and leading performance in terms of both these metrics than Vodafone Group. Both these ratios are in negative figure in terms of Vodafone. </w:t>
      </w:r>
      <w:r w:rsidR="006D7927" w:rsidRPr="00DB26B7">
        <w:rPr>
          <w:rFonts w:cs="Times New Roman"/>
          <w:color w:val="000000" w:themeColor="text1"/>
          <w:szCs w:val="24"/>
        </w:rPr>
        <w:t>This is an indication that the Vodafone Group Plc has had negative returns on capital employed in 2019 along with negative operating profit margin.</w:t>
      </w:r>
      <w:r w:rsidR="00422CEB" w:rsidRPr="00DB26B7">
        <w:rPr>
          <w:rFonts w:cs="Times New Roman"/>
          <w:color w:val="000000" w:themeColor="text1"/>
          <w:szCs w:val="24"/>
        </w:rPr>
        <w:t xml:space="preserve"> On the contrary, BT Group has had considerable returns on capital employed and operating profit ratio.</w:t>
      </w:r>
      <w:r w:rsidR="006D7927" w:rsidRPr="00DB26B7">
        <w:rPr>
          <w:rFonts w:cs="Times New Roman"/>
          <w:color w:val="000000" w:themeColor="text1"/>
          <w:szCs w:val="24"/>
        </w:rPr>
        <w:t xml:space="preserve"> </w:t>
      </w:r>
    </w:p>
    <w:p w:rsidR="0046164A" w:rsidRPr="00DB26B7" w:rsidRDefault="0046164A" w:rsidP="00BA5CBE">
      <w:pPr>
        <w:rPr>
          <w:rFonts w:cs="Times New Roman"/>
          <w:color w:val="000000" w:themeColor="text1"/>
          <w:szCs w:val="24"/>
        </w:rPr>
      </w:pPr>
      <w:r w:rsidRPr="00DB26B7">
        <w:rPr>
          <w:rFonts w:cs="Times New Roman"/>
          <w:color w:val="000000" w:themeColor="text1"/>
          <w:szCs w:val="24"/>
        </w:rPr>
        <w:t xml:space="preserve">However, based on the current ratio, it can be seen that Vodafone is leading. This is because the liquid position </w:t>
      </w:r>
      <w:r w:rsidR="00C359DD" w:rsidRPr="00DB26B7">
        <w:rPr>
          <w:rFonts w:cs="Times New Roman"/>
          <w:color w:val="000000" w:themeColor="text1"/>
          <w:szCs w:val="24"/>
        </w:rPr>
        <w:t xml:space="preserve">of the company is relatively higher, thereby indicating slightly better financial position. </w:t>
      </w:r>
      <w:r w:rsidR="00E40808" w:rsidRPr="00DB26B7">
        <w:rPr>
          <w:rFonts w:cs="Times New Roman"/>
          <w:color w:val="000000" w:themeColor="text1"/>
          <w:szCs w:val="24"/>
        </w:rPr>
        <w:t xml:space="preserve">However, the current ratio of the BT Group is not considerably poor and satisfactory maintenance of liquidity in it can be observed. </w:t>
      </w:r>
      <w:r w:rsidR="00921974" w:rsidRPr="00DB26B7">
        <w:rPr>
          <w:rFonts w:cs="Times New Roman"/>
          <w:color w:val="000000" w:themeColor="text1"/>
          <w:szCs w:val="24"/>
        </w:rPr>
        <w:t xml:space="preserve">At the same time, considering the </w:t>
      </w:r>
      <w:r w:rsidR="00853EAE" w:rsidRPr="00DB26B7">
        <w:rPr>
          <w:rFonts w:cs="Times New Roman"/>
          <w:color w:val="000000" w:themeColor="text1"/>
          <w:szCs w:val="24"/>
        </w:rPr>
        <w:t>asset turnover of BT Group with that of the Vodafone Group Plc shows similar results as that of the profitability ratios. Asset turnover in case of BT Group is better than the asset turnover in Vodafone Group Plc</w:t>
      </w:r>
      <w:r w:rsidR="00DC58B7" w:rsidRPr="00DB26B7">
        <w:rPr>
          <w:rFonts w:cs="Times New Roman"/>
          <w:color w:val="000000" w:themeColor="text1"/>
          <w:szCs w:val="24"/>
        </w:rPr>
        <w:t xml:space="preserve">, which is yet again an indicator of </w:t>
      </w:r>
      <w:r w:rsidR="00596D38" w:rsidRPr="00DB26B7">
        <w:rPr>
          <w:rFonts w:cs="Times New Roman"/>
          <w:color w:val="000000" w:themeColor="text1"/>
          <w:szCs w:val="24"/>
        </w:rPr>
        <w:t xml:space="preserve">BT Group’s leading financial performance.  </w:t>
      </w:r>
    </w:p>
    <w:p w:rsidR="004A5766" w:rsidRPr="00DB26B7" w:rsidRDefault="004A5766" w:rsidP="004A5766">
      <w:pPr>
        <w:rPr>
          <w:rFonts w:cs="Times New Roman"/>
          <w:color w:val="000000" w:themeColor="text1"/>
          <w:szCs w:val="24"/>
        </w:rPr>
      </w:pPr>
      <w:r w:rsidRPr="00DB26B7">
        <w:rPr>
          <w:rFonts w:cs="Times New Roman"/>
          <w:color w:val="000000" w:themeColor="text1"/>
          <w:szCs w:val="24"/>
        </w:rPr>
        <w:t xml:space="preserve">The following is the comparison of the subsidiary level ratios of BT Group Plc with that of Vodafone Group Plc - </w:t>
      </w:r>
    </w:p>
    <w:tbl>
      <w:tblPr>
        <w:tblStyle w:val="TableGrid"/>
        <w:tblW w:w="5000" w:type="pct"/>
        <w:tblLook w:val="04A0" w:firstRow="1" w:lastRow="0" w:firstColumn="1" w:lastColumn="0" w:noHBand="0" w:noVBand="1"/>
      </w:tblPr>
      <w:tblGrid>
        <w:gridCol w:w="4141"/>
        <w:gridCol w:w="2478"/>
        <w:gridCol w:w="2957"/>
      </w:tblGrid>
      <w:tr w:rsidR="00DB26B7" w:rsidRPr="00DB26B7" w:rsidTr="005A2F5E">
        <w:trPr>
          <w:trHeight w:val="300"/>
        </w:trPr>
        <w:tc>
          <w:tcPr>
            <w:tcW w:w="2190" w:type="pct"/>
            <w:noWrap/>
            <w:hideMark/>
          </w:tcPr>
          <w:p w:rsidR="005A2F5E" w:rsidRPr="00DB26B7" w:rsidRDefault="005A2F5E">
            <w:pPr>
              <w:rPr>
                <w:rFonts w:cs="Times New Roman"/>
                <w:b/>
                <w:color w:val="000000" w:themeColor="text1"/>
                <w:sz w:val="24"/>
                <w:szCs w:val="24"/>
              </w:rPr>
            </w:pPr>
          </w:p>
        </w:tc>
        <w:tc>
          <w:tcPr>
            <w:tcW w:w="1239" w:type="pct"/>
            <w:noWrap/>
            <w:hideMark/>
          </w:tcPr>
          <w:p w:rsidR="005A2F5E" w:rsidRPr="00DB26B7" w:rsidRDefault="005A2F5E">
            <w:pPr>
              <w:rPr>
                <w:rFonts w:cs="Times New Roman"/>
                <w:b/>
                <w:color w:val="000000" w:themeColor="text1"/>
                <w:sz w:val="24"/>
                <w:szCs w:val="24"/>
              </w:rPr>
            </w:pPr>
            <w:r w:rsidRPr="00DB26B7">
              <w:rPr>
                <w:rFonts w:cs="Times New Roman"/>
                <w:b/>
                <w:color w:val="000000" w:themeColor="text1"/>
                <w:sz w:val="24"/>
                <w:szCs w:val="24"/>
              </w:rPr>
              <w:t>BT Group Plc</w:t>
            </w:r>
          </w:p>
        </w:tc>
        <w:tc>
          <w:tcPr>
            <w:tcW w:w="1571" w:type="pct"/>
            <w:noWrap/>
            <w:hideMark/>
          </w:tcPr>
          <w:p w:rsidR="005A2F5E" w:rsidRPr="00DB26B7" w:rsidRDefault="005A2F5E">
            <w:pPr>
              <w:rPr>
                <w:rFonts w:cs="Times New Roman"/>
                <w:b/>
                <w:color w:val="000000" w:themeColor="text1"/>
                <w:sz w:val="24"/>
                <w:szCs w:val="24"/>
              </w:rPr>
            </w:pPr>
            <w:r w:rsidRPr="00DB26B7">
              <w:rPr>
                <w:rFonts w:cs="Times New Roman"/>
                <w:b/>
                <w:color w:val="000000" w:themeColor="text1"/>
                <w:sz w:val="24"/>
                <w:szCs w:val="24"/>
              </w:rPr>
              <w:t>Vodafone Group Plc</w:t>
            </w:r>
          </w:p>
        </w:tc>
      </w:tr>
      <w:tr w:rsidR="00DB26B7" w:rsidRPr="00DB26B7" w:rsidTr="005A2F5E">
        <w:trPr>
          <w:trHeight w:val="300"/>
        </w:trPr>
        <w:tc>
          <w:tcPr>
            <w:tcW w:w="2190" w:type="pct"/>
            <w:noWrap/>
            <w:hideMark/>
          </w:tcPr>
          <w:p w:rsidR="005A2F5E" w:rsidRPr="00DB26B7" w:rsidRDefault="005A2F5E">
            <w:pPr>
              <w:rPr>
                <w:rFonts w:cs="Times New Roman"/>
                <w:b/>
                <w:color w:val="000000" w:themeColor="text1"/>
                <w:sz w:val="24"/>
                <w:szCs w:val="24"/>
              </w:rPr>
            </w:pPr>
          </w:p>
        </w:tc>
        <w:tc>
          <w:tcPr>
            <w:tcW w:w="1239" w:type="pct"/>
            <w:noWrap/>
            <w:hideMark/>
          </w:tcPr>
          <w:p w:rsidR="005A2F5E" w:rsidRPr="00DB26B7" w:rsidRDefault="005A2F5E" w:rsidP="00865304">
            <w:pPr>
              <w:rPr>
                <w:rFonts w:cs="Times New Roman"/>
                <w:b/>
                <w:color w:val="000000" w:themeColor="text1"/>
                <w:sz w:val="24"/>
                <w:szCs w:val="24"/>
              </w:rPr>
            </w:pPr>
            <w:r w:rsidRPr="00DB26B7">
              <w:rPr>
                <w:rFonts w:cs="Times New Roman"/>
                <w:b/>
                <w:color w:val="000000" w:themeColor="text1"/>
                <w:sz w:val="24"/>
                <w:szCs w:val="24"/>
              </w:rPr>
              <w:t>2019</w:t>
            </w:r>
          </w:p>
        </w:tc>
        <w:tc>
          <w:tcPr>
            <w:tcW w:w="1571" w:type="pct"/>
            <w:noWrap/>
            <w:hideMark/>
          </w:tcPr>
          <w:p w:rsidR="005A2F5E" w:rsidRPr="00DB26B7" w:rsidRDefault="005A2F5E" w:rsidP="00865304">
            <w:pPr>
              <w:rPr>
                <w:rFonts w:cs="Times New Roman"/>
                <w:b/>
                <w:color w:val="000000" w:themeColor="text1"/>
                <w:sz w:val="24"/>
                <w:szCs w:val="24"/>
              </w:rPr>
            </w:pPr>
            <w:r w:rsidRPr="00DB26B7">
              <w:rPr>
                <w:rFonts w:cs="Times New Roman"/>
                <w:b/>
                <w:color w:val="000000" w:themeColor="text1"/>
                <w:sz w:val="24"/>
                <w:szCs w:val="24"/>
              </w:rPr>
              <w:t>2019</w:t>
            </w:r>
          </w:p>
        </w:tc>
      </w:tr>
      <w:tr w:rsidR="00DB26B7" w:rsidRPr="00DB26B7" w:rsidTr="005A2F5E">
        <w:trPr>
          <w:trHeight w:val="300"/>
        </w:trPr>
        <w:tc>
          <w:tcPr>
            <w:tcW w:w="2190"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Net profit ratio (%)</w:t>
            </w:r>
          </w:p>
        </w:tc>
        <w:tc>
          <w:tcPr>
            <w:tcW w:w="1239" w:type="pct"/>
            <w:noWrap/>
            <w:hideMark/>
          </w:tcPr>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2159 / 23428</w:t>
            </w:r>
            <w:r w:rsidR="00B41992" w:rsidRPr="00DB26B7">
              <w:rPr>
                <w:rFonts w:cs="Times New Roman"/>
                <w:color w:val="000000" w:themeColor="text1"/>
                <w:sz w:val="24"/>
                <w:szCs w:val="24"/>
              </w:rPr>
              <w:t xml:space="preserve"> * 100 </w:t>
            </w:r>
          </w:p>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9.22</w:t>
            </w:r>
            <w:r w:rsidR="00B41992" w:rsidRPr="00DB26B7">
              <w:rPr>
                <w:rFonts w:cs="Times New Roman"/>
                <w:color w:val="000000" w:themeColor="text1"/>
                <w:sz w:val="24"/>
                <w:szCs w:val="24"/>
              </w:rPr>
              <w:t xml:space="preserve"> %</w:t>
            </w:r>
          </w:p>
        </w:tc>
        <w:tc>
          <w:tcPr>
            <w:tcW w:w="1571" w:type="pct"/>
            <w:noWrap/>
            <w:hideMark/>
          </w:tcPr>
          <w:p w:rsidR="00467F7C"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B41992" w:rsidRPr="00DB26B7">
              <w:rPr>
                <w:rFonts w:cs="Times New Roman"/>
                <w:color w:val="000000" w:themeColor="text1"/>
                <w:sz w:val="24"/>
                <w:szCs w:val="24"/>
              </w:rPr>
              <w:t>- 7644 / 43666 * 100</w:t>
            </w:r>
          </w:p>
          <w:p w:rsidR="002410A1"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w:t>
            </w:r>
            <w:r w:rsidRPr="00DB26B7">
              <w:rPr>
                <w:rFonts w:cs="Times New Roman"/>
                <w:color w:val="000000" w:themeColor="text1"/>
                <w:sz w:val="24"/>
                <w:szCs w:val="24"/>
              </w:rPr>
              <w:t xml:space="preserve"> </w:t>
            </w:r>
            <w:r w:rsidR="002410A1" w:rsidRPr="00DB26B7">
              <w:rPr>
                <w:rFonts w:cs="Times New Roman"/>
                <w:color w:val="000000" w:themeColor="text1"/>
                <w:sz w:val="24"/>
                <w:szCs w:val="24"/>
              </w:rPr>
              <w:t>17.51</w:t>
            </w:r>
            <w:r w:rsidR="00B41992" w:rsidRPr="00DB26B7">
              <w:rPr>
                <w:rFonts w:cs="Times New Roman"/>
                <w:color w:val="000000" w:themeColor="text1"/>
                <w:sz w:val="24"/>
                <w:szCs w:val="24"/>
              </w:rPr>
              <w:t xml:space="preserve"> %</w:t>
            </w:r>
          </w:p>
        </w:tc>
      </w:tr>
      <w:tr w:rsidR="00DB26B7" w:rsidRPr="00DB26B7" w:rsidTr="005A2F5E">
        <w:trPr>
          <w:trHeight w:val="300"/>
        </w:trPr>
        <w:tc>
          <w:tcPr>
            <w:tcW w:w="2190"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Quick ratio</w:t>
            </w:r>
          </w:p>
        </w:tc>
        <w:tc>
          <w:tcPr>
            <w:tcW w:w="1239" w:type="pct"/>
            <w:noWrap/>
            <w:hideMark/>
          </w:tcPr>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10444 - 369 / 9602</w:t>
            </w:r>
          </w:p>
          <w:p w:rsidR="002410A1" w:rsidRPr="00DB26B7" w:rsidRDefault="002410A1" w:rsidP="00FB7A9F">
            <w:pPr>
              <w:rPr>
                <w:rFonts w:cs="Times New Roman"/>
                <w:color w:val="000000" w:themeColor="text1"/>
                <w:sz w:val="24"/>
                <w:szCs w:val="24"/>
              </w:rPr>
            </w:pPr>
            <w:r w:rsidRPr="00DB26B7">
              <w:rPr>
                <w:rFonts w:cs="Times New Roman"/>
                <w:color w:val="000000" w:themeColor="text1"/>
                <w:sz w:val="24"/>
                <w:szCs w:val="24"/>
              </w:rPr>
              <w:t>= 1.05</w:t>
            </w:r>
          </w:p>
        </w:tc>
        <w:tc>
          <w:tcPr>
            <w:tcW w:w="1571" w:type="pct"/>
            <w:noWrap/>
            <w:hideMark/>
          </w:tcPr>
          <w:p w:rsidR="00467F7C" w:rsidRPr="00DB26B7" w:rsidRDefault="00311411" w:rsidP="00865304">
            <w:pPr>
              <w:rPr>
                <w:rFonts w:cs="Times New Roman"/>
                <w:color w:val="000000" w:themeColor="text1"/>
                <w:sz w:val="24"/>
                <w:szCs w:val="24"/>
              </w:rPr>
            </w:pPr>
            <w:r w:rsidRPr="00DB26B7">
              <w:rPr>
                <w:rFonts w:cs="Times New Roman"/>
                <w:color w:val="000000" w:themeColor="text1"/>
                <w:sz w:val="24"/>
                <w:szCs w:val="24"/>
              </w:rPr>
              <w:t>= 39817 - 714 / 25523</w:t>
            </w:r>
          </w:p>
          <w:p w:rsidR="002410A1"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1.53</w:t>
            </w:r>
          </w:p>
        </w:tc>
      </w:tr>
      <w:tr w:rsidR="00DB26B7" w:rsidRPr="00DB26B7" w:rsidTr="00FB7A9F">
        <w:trPr>
          <w:trHeight w:val="300"/>
        </w:trPr>
        <w:tc>
          <w:tcPr>
            <w:tcW w:w="2190" w:type="pct"/>
            <w:noWrap/>
            <w:hideMark/>
          </w:tcPr>
          <w:p w:rsidR="002410A1" w:rsidRPr="00DB26B7" w:rsidRDefault="002410A1">
            <w:pPr>
              <w:rPr>
                <w:rFonts w:cs="Times New Roman"/>
                <w:color w:val="000000" w:themeColor="text1"/>
                <w:sz w:val="24"/>
                <w:szCs w:val="24"/>
              </w:rPr>
            </w:pPr>
            <w:r w:rsidRPr="00F8068A">
              <w:rPr>
                <w:rFonts w:cs="Times New Roman"/>
                <w:color w:val="000000" w:themeColor="text1"/>
                <w:sz w:val="24"/>
                <w:szCs w:val="24"/>
              </w:rPr>
              <w:t>Gearing ratio</w:t>
            </w:r>
            <w:r w:rsidRPr="00DB26B7">
              <w:rPr>
                <w:rFonts w:cs="Times New Roman"/>
                <w:color w:val="000000" w:themeColor="text1"/>
                <w:sz w:val="24"/>
                <w:szCs w:val="24"/>
              </w:rPr>
              <w:t xml:space="preserve"> </w:t>
            </w:r>
          </w:p>
        </w:tc>
        <w:tc>
          <w:tcPr>
            <w:tcW w:w="1239" w:type="pct"/>
            <w:noWrap/>
            <w:vAlign w:val="bottom"/>
            <w:hideMark/>
          </w:tcPr>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xml:space="preserve">= </w:t>
            </w:r>
            <w:r w:rsidR="00311411" w:rsidRPr="00DB26B7">
              <w:rPr>
                <w:rFonts w:cs="Times New Roman"/>
                <w:color w:val="000000" w:themeColor="text1"/>
                <w:sz w:val="24"/>
                <w:szCs w:val="24"/>
              </w:rPr>
              <w:t>36120 - 9602</w:t>
            </w:r>
            <w:r w:rsidRPr="00DB26B7">
              <w:rPr>
                <w:rFonts w:cs="Times New Roman"/>
                <w:color w:val="000000" w:themeColor="text1"/>
                <w:sz w:val="24"/>
                <w:szCs w:val="24"/>
              </w:rPr>
              <w:t xml:space="preserve"> / 36685</w:t>
            </w:r>
          </w:p>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0.72</w:t>
            </w:r>
          </w:p>
        </w:tc>
        <w:tc>
          <w:tcPr>
            <w:tcW w:w="1571" w:type="pct"/>
            <w:noWrap/>
            <w:hideMark/>
          </w:tcPr>
          <w:p w:rsidR="00467F7C"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311411" w:rsidRPr="00DB26B7">
              <w:rPr>
                <w:rFonts w:cs="Times New Roman"/>
                <w:color w:val="000000" w:themeColor="text1"/>
                <w:sz w:val="24"/>
                <w:szCs w:val="24"/>
              </w:rPr>
              <w:t>80644 - 25523 / 117339</w:t>
            </w:r>
          </w:p>
          <w:p w:rsidR="002410A1"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0.47</w:t>
            </w:r>
          </w:p>
        </w:tc>
      </w:tr>
      <w:tr w:rsidR="00DB26B7" w:rsidRPr="00DB26B7" w:rsidTr="00FB7A9F">
        <w:trPr>
          <w:trHeight w:val="300"/>
        </w:trPr>
        <w:tc>
          <w:tcPr>
            <w:tcW w:w="2190" w:type="pct"/>
            <w:noWrap/>
            <w:hideMark/>
          </w:tcPr>
          <w:p w:rsidR="002410A1" w:rsidRPr="00DB26B7" w:rsidRDefault="002410A1">
            <w:pPr>
              <w:rPr>
                <w:rFonts w:cs="Times New Roman"/>
                <w:color w:val="000000" w:themeColor="text1"/>
                <w:sz w:val="24"/>
                <w:szCs w:val="24"/>
              </w:rPr>
            </w:pPr>
            <w:r w:rsidRPr="00DB26B7">
              <w:rPr>
                <w:rFonts w:cs="Times New Roman"/>
                <w:color w:val="000000" w:themeColor="text1"/>
                <w:sz w:val="24"/>
                <w:szCs w:val="24"/>
              </w:rPr>
              <w:t>EPS (pence)</w:t>
            </w:r>
          </w:p>
        </w:tc>
        <w:tc>
          <w:tcPr>
            <w:tcW w:w="1239" w:type="pct"/>
            <w:noWrap/>
            <w:vAlign w:val="bottom"/>
            <w:hideMark/>
          </w:tcPr>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xml:space="preserve">= 21.80 p </w:t>
            </w:r>
          </w:p>
        </w:tc>
        <w:tc>
          <w:tcPr>
            <w:tcW w:w="1571" w:type="pct"/>
            <w:noWrap/>
            <w:hideMark/>
          </w:tcPr>
          <w:p w:rsidR="002410A1"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w:t>
            </w:r>
            <w:r w:rsidRPr="00DB26B7">
              <w:rPr>
                <w:rFonts w:cs="Times New Roman"/>
                <w:color w:val="000000" w:themeColor="text1"/>
                <w:sz w:val="24"/>
                <w:szCs w:val="24"/>
              </w:rPr>
              <w:t xml:space="preserve"> </w:t>
            </w:r>
            <w:r w:rsidR="002410A1" w:rsidRPr="00DB26B7">
              <w:rPr>
                <w:rFonts w:cs="Times New Roman"/>
                <w:color w:val="000000" w:themeColor="text1"/>
                <w:sz w:val="24"/>
                <w:szCs w:val="24"/>
              </w:rPr>
              <w:t>16.25</w:t>
            </w:r>
            <w:r w:rsidRPr="00DB26B7">
              <w:rPr>
                <w:rFonts w:cs="Times New Roman"/>
                <w:color w:val="000000" w:themeColor="text1"/>
                <w:sz w:val="24"/>
                <w:szCs w:val="24"/>
              </w:rPr>
              <w:t xml:space="preserve"> p</w:t>
            </w:r>
          </w:p>
        </w:tc>
      </w:tr>
      <w:tr w:rsidR="00DB26B7" w:rsidRPr="00DB26B7" w:rsidTr="00FB7A9F">
        <w:trPr>
          <w:trHeight w:val="300"/>
        </w:trPr>
        <w:tc>
          <w:tcPr>
            <w:tcW w:w="2190" w:type="pct"/>
            <w:noWrap/>
            <w:hideMark/>
          </w:tcPr>
          <w:p w:rsidR="002410A1" w:rsidRPr="00DB26B7" w:rsidRDefault="002410A1">
            <w:pPr>
              <w:rPr>
                <w:rFonts w:cs="Times New Roman"/>
                <w:color w:val="000000" w:themeColor="text1"/>
                <w:sz w:val="24"/>
                <w:szCs w:val="24"/>
              </w:rPr>
            </w:pPr>
            <w:r w:rsidRPr="00F8068A">
              <w:rPr>
                <w:rFonts w:cs="Times New Roman"/>
                <w:color w:val="000000" w:themeColor="text1"/>
                <w:sz w:val="24"/>
                <w:szCs w:val="24"/>
              </w:rPr>
              <w:t>Price Earnings ratio</w:t>
            </w:r>
          </w:p>
        </w:tc>
        <w:tc>
          <w:tcPr>
            <w:tcW w:w="1239" w:type="pct"/>
            <w:noWrap/>
            <w:vAlign w:val="bottom"/>
            <w:hideMark/>
          </w:tcPr>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21.8 / 238.35</w:t>
            </w:r>
          </w:p>
          <w:p w:rsidR="002410A1" w:rsidRPr="00DB26B7" w:rsidRDefault="002410A1" w:rsidP="00FB7A9F">
            <w:pPr>
              <w:jc w:val="left"/>
              <w:rPr>
                <w:rFonts w:cs="Times New Roman"/>
                <w:color w:val="000000" w:themeColor="text1"/>
                <w:sz w:val="24"/>
                <w:szCs w:val="24"/>
              </w:rPr>
            </w:pPr>
            <w:r w:rsidRPr="00DB26B7">
              <w:rPr>
                <w:rFonts w:cs="Times New Roman"/>
                <w:color w:val="000000" w:themeColor="text1"/>
                <w:sz w:val="24"/>
                <w:szCs w:val="24"/>
              </w:rPr>
              <w:t>= 10.93</w:t>
            </w:r>
          </w:p>
        </w:tc>
        <w:tc>
          <w:tcPr>
            <w:tcW w:w="1571" w:type="pct"/>
            <w:noWrap/>
            <w:hideMark/>
          </w:tcPr>
          <w:p w:rsidR="00467F7C"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756E47" w:rsidRPr="00DB26B7">
              <w:rPr>
                <w:rFonts w:cs="Times New Roman"/>
                <w:color w:val="000000" w:themeColor="text1"/>
                <w:sz w:val="24"/>
                <w:szCs w:val="24"/>
              </w:rPr>
              <w:t>154.58 / - 16.25</w:t>
            </w:r>
          </w:p>
          <w:p w:rsidR="002410A1" w:rsidRPr="00DB26B7" w:rsidRDefault="00467F7C" w:rsidP="00865304">
            <w:pPr>
              <w:rPr>
                <w:rFonts w:cs="Times New Roman"/>
                <w:color w:val="000000" w:themeColor="text1"/>
                <w:sz w:val="24"/>
                <w:szCs w:val="24"/>
              </w:rPr>
            </w:pPr>
            <w:r w:rsidRPr="00DB26B7">
              <w:rPr>
                <w:rFonts w:cs="Times New Roman"/>
                <w:color w:val="000000" w:themeColor="text1"/>
                <w:sz w:val="24"/>
                <w:szCs w:val="24"/>
              </w:rPr>
              <w:t xml:space="preserve">= </w:t>
            </w:r>
            <w:r w:rsidR="002410A1" w:rsidRPr="00DB26B7">
              <w:rPr>
                <w:rFonts w:cs="Times New Roman"/>
                <w:color w:val="000000" w:themeColor="text1"/>
                <w:sz w:val="24"/>
                <w:szCs w:val="24"/>
              </w:rPr>
              <w:t>-</w:t>
            </w:r>
            <w:r w:rsidRPr="00DB26B7">
              <w:rPr>
                <w:rFonts w:cs="Times New Roman"/>
                <w:color w:val="000000" w:themeColor="text1"/>
                <w:sz w:val="24"/>
                <w:szCs w:val="24"/>
              </w:rPr>
              <w:t xml:space="preserve"> </w:t>
            </w:r>
            <w:r w:rsidR="002410A1" w:rsidRPr="00DB26B7">
              <w:rPr>
                <w:rFonts w:cs="Times New Roman"/>
                <w:color w:val="000000" w:themeColor="text1"/>
                <w:sz w:val="24"/>
                <w:szCs w:val="24"/>
              </w:rPr>
              <w:t>9.51</w:t>
            </w:r>
          </w:p>
        </w:tc>
      </w:tr>
    </w:tbl>
    <w:p w:rsidR="00406F09" w:rsidRPr="00DB26B7" w:rsidRDefault="00466BED" w:rsidP="00466BED">
      <w:pPr>
        <w:jc w:val="center"/>
        <w:rPr>
          <w:rFonts w:cs="Times New Roman"/>
          <w:b/>
          <w:color w:val="000000" w:themeColor="text1"/>
          <w:szCs w:val="24"/>
        </w:rPr>
      </w:pPr>
      <w:r w:rsidRPr="00DB26B7">
        <w:rPr>
          <w:rFonts w:cs="Times New Roman"/>
          <w:b/>
          <w:color w:val="000000" w:themeColor="text1"/>
          <w:szCs w:val="24"/>
        </w:rPr>
        <w:t>Table 6: Subsidiary ratios of BT Group and Vodafone Group</w:t>
      </w:r>
    </w:p>
    <w:p w:rsidR="00EC0A29" w:rsidRPr="00DB26B7" w:rsidRDefault="00082D50" w:rsidP="00BA5CBE">
      <w:pPr>
        <w:rPr>
          <w:rFonts w:cs="Times New Roman"/>
          <w:color w:val="000000" w:themeColor="text1"/>
          <w:szCs w:val="24"/>
        </w:rPr>
      </w:pPr>
      <w:r w:rsidRPr="00DB26B7">
        <w:rPr>
          <w:rFonts w:cs="Times New Roman"/>
          <w:color w:val="000000" w:themeColor="text1"/>
          <w:szCs w:val="24"/>
        </w:rPr>
        <w:lastRenderedPageBreak/>
        <w:t>The contrasting of the subsidiary ratios of the BT Group and Vodafone Group are a direct indication that the BT Group has better financial performance. It is because only the quick ratio and gearing ratio of the Vodafone Group are better in comparison to that of the BT.</w:t>
      </w:r>
      <w:r w:rsidR="00ED377A" w:rsidRPr="00DB26B7">
        <w:rPr>
          <w:rFonts w:cs="Times New Roman"/>
          <w:color w:val="000000" w:themeColor="text1"/>
          <w:szCs w:val="24"/>
        </w:rPr>
        <w:t xml:space="preserve"> This is because the quick ratio of the Vodafone Group Plc is higher than that of the BT Group while its gearing ratio is lower, which indicates higher solvency levels.</w:t>
      </w:r>
      <w:r w:rsidRPr="00DB26B7">
        <w:rPr>
          <w:rFonts w:cs="Times New Roman"/>
          <w:color w:val="000000" w:themeColor="text1"/>
          <w:szCs w:val="24"/>
        </w:rPr>
        <w:t xml:space="preserve"> However, none of these ratios are con</w:t>
      </w:r>
      <w:r w:rsidR="00E40808" w:rsidRPr="00DB26B7">
        <w:rPr>
          <w:rFonts w:cs="Times New Roman"/>
          <w:color w:val="000000" w:themeColor="text1"/>
          <w:szCs w:val="24"/>
        </w:rPr>
        <w:t xml:space="preserve">siderably more and sufficiency can be noticed in both these aspects of the company. On the other hand, considerably poor performance of the Vodafone Group </w:t>
      </w:r>
      <w:r w:rsidR="0044128E" w:rsidRPr="00DB26B7">
        <w:rPr>
          <w:rFonts w:cs="Times New Roman"/>
          <w:color w:val="000000" w:themeColor="text1"/>
          <w:szCs w:val="24"/>
        </w:rPr>
        <w:t>can be seen based on net profit margin, EPS and PE ratio.</w:t>
      </w:r>
      <w:r w:rsidR="00B71D25" w:rsidRPr="00DB26B7">
        <w:rPr>
          <w:rFonts w:cs="Times New Roman"/>
          <w:color w:val="000000" w:themeColor="text1"/>
          <w:szCs w:val="24"/>
        </w:rPr>
        <w:t xml:space="preserve"> </w:t>
      </w:r>
      <w:r w:rsidR="0044128E" w:rsidRPr="00DB26B7">
        <w:rPr>
          <w:rFonts w:cs="Times New Roman"/>
          <w:color w:val="000000" w:themeColor="text1"/>
          <w:szCs w:val="24"/>
        </w:rPr>
        <w:t xml:space="preserve">It is because all these three financial ratios of Vodafone are in negative figure and shows terribly poor financial performance of the organisation. </w:t>
      </w:r>
      <w:r w:rsidR="00311A28" w:rsidRPr="00DB26B7">
        <w:rPr>
          <w:rFonts w:cs="Times New Roman"/>
          <w:color w:val="000000" w:themeColor="text1"/>
          <w:szCs w:val="24"/>
        </w:rPr>
        <w:t xml:space="preserve">As a result, the </w:t>
      </w:r>
      <w:r w:rsidR="001117AC" w:rsidRPr="00DB26B7">
        <w:rPr>
          <w:rFonts w:cs="Times New Roman"/>
          <w:color w:val="000000" w:themeColor="text1"/>
          <w:szCs w:val="24"/>
        </w:rPr>
        <w:t>comparison of the BT Group’s financial performance to the Vodafone Group Plc based on subsidiary ratios also shows</w:t>
      </w:r>
      <w:r w:rsidR="00311A28" w:rsidRPr="00DB26B7">
        <w:rPr>
          <w:rFonts w:cs="Times New Roman"/>
          <w:color w:val="000000" w:themeColor="text1"/>
          <w:szCs w:val="24"/>
        </w:rPr>
        <w:t xml:space="preserve"> a </w:t>
      </w:r>
      <w:r w:rsidR="001117AC" w:rsidRPr="00DB26B7">
        <w:rPr>
          <w:rFonts w:cs="Times New Roman"/>
          <w:color w:val="000000" w:themeColor="text1"/>
          <w:szCs w:val="24"/>
        </w:rPr>
        <w:t xml:space="preserve">better performance in BT Group during the year 2019. </w:t>
      </w:r>
    </w:p>
    <w:p w:rsidR="0044128E" w:rsidRPr="00DB26B7" w:rsidRDefault="0044128E" w:rsidP="00BA5CBE">
      <w:pPr>
        <w:rPr>
          <w:rFonts w:cs="Times New Roman"/>
          <w:color w:val="000000" w:themeColor="text1"/>
          <w:szCs w:val="24"/>
        </w:rPr>
      </w:pPr>
      <w:r w:rsidRPr="00DB26B7">
        <w:rPr>
          <w:rFonts w:cs="Times New Roman"/>
          <w:color w:val="000000" w:themeColor="text1"/>
          <w:szCs w:val="24"/>
        </w:rPr>
        <w:t xml:space="preserve">Hence, through comparison of the BT Group’s financial performance to its major competitor Vodafone Group, it can be concluded that the BT Group Plc is leading amongst the two companies. </w:t>
      </w:r>
      <w:r w:rsidR="00DC6A56" w:rsidRPr="00DB26B7">
        <w:rPr>
          <w:rFonts w:cs="Times New Roman"/>
          <w:color w:val="000000" w:themeColor="text1"/>
          <w:szCs w:val="24"/>
        </w:rPr>
        <w:t xml:space="preserve">The company has a better performance than its competitor based on their financial statements. </w:t>
      </w:r>
    </w:p>
    <w:p w:rsidR="00834197" w:rsidRPr="00DB26B7" w:rsidRDefault="00834197" w:rsidP="00BA5CBE">
      <w:pPr>
        <w:rPr>
          <w:rFonts w:cs="Times New Roman"/>
          <w:b/>
          <w:color w:val="000000" w:themeColor="text1"/>
          <w:szCs w:val="24"/>
        </w:rPr>
      </w:pPr>
      <w:r w:rsidRPr="00DB26B7">
        <w:rPr>
          <w:rFonts w:cs="Times New Roman"/>
          <w:b/>
          <w:color w:val="000000" w:themeColor="text1"/>
          <w:szCs w:val="24"/>
        </w:rPr>
        <w:t xml:space="preserve">Recommendations on the improvement of BT Group Plc’s financial management </w:t>
      </w:r>
    </w:p>
    <w:p w:rsidR="00834197" w:rsidRPr="00DB26B7" w:rsidRDefault="0031221A" w:rsidP="0031221A">
      <w:pPr>
        <w:rPr>
          <w:color w:val="000000" w:themeColor="text1"/>
        </w:rPr>
      </w:pPr>
      <w:r w:rsidRPr="00DB26B7">
        <w:rPr>
          <w:color w:val="000000" w:themeColor="text1"/>
        </w:rPr>
        <w:t>Financial management in a company is one of the most significant aspects and acts as the factor for enhancing financial stableness in them while improving performance (</w:t>
      </w:r>
      <w:r w:rsidR="00733AC4" w:rsidRPr="00DB26B7">
        <w:rPr>
          <w:color w:val="000000" w:themeColor="text1"/>
        </w:rPr>
        <w:t>Shapiro and Hanouna, 2019</w:t>
      </w:r>
      <w:r w:rsidRPr="00DB26B7">
        <w:rPr>
          <w:color w:val="000000" w:themeColor="text1"/>
        </w:rPr>
        <w:t xml:space="preserve">). Through the review of the financial performances of the BT Group Plc </w:t>
      </w:r>
      <w:r w:rsidR="002A51CF" w:rsidRPr="00DB26B7">
        <w:rPr>
          <w:color w:val="000000" w:themeColor="text1"/>
        </w:rPr>
        <w:t xml:space="preserve">and the Vodafone Group Plc, it can be found that the Vodafone Group has a poorer performance. However, some financial ratios indicate that the financial performance of the BT Group is lagging behind that of the BT Group. </w:t>
      </w:r>
      <w:r w:rsidR="00684F1D" w:rsidRPr="00DB26B7">
        <w:rPr>
          <w:color w:val="000000" w:themeColor="text1"/>
        </w:rPr>
        <w:t xml:space="preserve">At the same time, there have also been decreases in some of the financial ratios of the company even if they are higher than that of its competitor. </w:t>
      </w:r>
      <w:r w:rsidR="002A51CF" w:rsidRPr="00DB26B7">
        <w:rPr>
          <w:color w:val="000000" w:themeColor="text1"/>
        </w:rPr>
        <w:t xml:space="preserve">The following are the recommendations provided to the BT Group Plc for the improvement of its financial management to improve these areas - </w:t>
      </w:r>
    </w:p>
    <w:p w:rsidR="002A51CF" w:rsidRPr="00DB26B7" w:rsidRDefault="00F94E6E" w:rsidP="002A51CF">
      <w:pPr>
        <w:pStyle w:val="ListParagraph"/>
        <w:numPr>
          <w:ilvl w:val="0"/>
          <w:numId w:val="4"/>
        </w:numPr>
        <w:rPr>
          <w:color w:val="000000" w:themeColor="text1"/>
        </w:rPr>
      </w:pPr>
      <w:r w:rsidRPr="00DB26B7">
        <w:rPr>
          <w:color w:val="000000" w:themeColor="text1"/>
        </w:rPr>
        <w:t xml:space="preserve">The profitability of the BT Group Plc can be observed to have decreased from 2015 to 2019. For the enhancement of profitability, the </w:t>
      </w:r>
      <w:r w:rsidR="004C78B5" w:rsidRPr="00DB26B7">
        <w:rPr>
          <w:color w:val="000000" w:themeColor="text1"/>
        </w:rPr>
        <w:t>finances of the company are</w:t>
      </w:r>
      <w:r w:rsidRPr="00DB26B7">
        <w:rPr>
          <w:color w:val="000000" w:themeColor="text1"/>
        </w:rPr>
        <w:t xml:space="preserve"> recommended on being managed in a way such that its costs are managed and its </w:t>
      </w:r>
      <w:r w:rsidRPr="00DB26B7">
        <w:rPr>
          <w:color w:val="000000" w:themeColor="text1"/>
        </w:rPr>
        <w:lastRenderedPageBreak/>
        <w:t xml:space="preserve">purchases are made effectually. </w:t>
      </w:r>
      <w:r w:rsidR="008A2C60" w:rsidRPr="00DB26B7">
        <w:rPr>
          <w:color w:val="000000" w:themeColor="text1"/>
        </w:rPr>
        <w:t xml:space="preserve">It is also advised to focus over sales efforts while reviewing the discounts it provides to clients. </w:t>
      </w:r>
    </w:p>
    <w:p w:rsidR="008A2C60" w:rsidRPr="00DB26B7" w:rsidRDefault="00D32ABF" w:rsidP="002A51CF">
      <w:pPr>
        <w:pStyle w:val="ListParagraph"/>
        <w:numPr>
          <w:ilvl w:val="0"/>
          <w:numId w:val="4"/>
        </w:numPr>
        <w:rPr>
          <w:color w:val="000000" w:themeColor="text1"/>
        </w:rPr>
      </w:pPr>
      <w:r w:rsidRPr="00DB26B7">
        <w:rPr>
          <w:color w:val="000000" w:themeColor="text1"/>
        </w:rPr>
        <w:t xml:space="preserve">At the same time, it can be noticed that despite of increase in the liquidity of the company from 2015 to 2019, there is scope for further improvements. Due to this, the BT Group Plc is recommended on </w:t>
      </w:r>
      <w:r w:rsidR="00992520" w:rsidRPr="00DB26B7">
        <w:rPr>
          <w:color w:val="000000" w:themeColor="text1"/>
        </w:rPr>
        <w:t xml:space="preserve">removing its obsolete and non-useful assets held while enhancing collections and stressing over leasing. Similarly, inventories must be managed and more of long-term debts must be availed. </w:t>
      </w:r>
    </w:p>
    <w:p w:rsidR="003872D4" w:rsidRDefault="006F0FB9" w:rsidP="003872D4">
      <w:pPr>
        <w:pStyle w:val="ListParagraph"/>
        <w:numPr>
          <w:ilvl w:val="0"/>
          <w:numId w:val="4"/>
        </w:numPr>
        <w:rPr>
          <w:color w:val="000000" w:themeColor="text1"/>
        </w:rPr>
      </w:pPr>
      <w:r w:rsidRPr="00DB26B7">
        <w:rPr>
          <w:color w:val="000000" w:themeColor="text1"/>
        </w:rPr>
        <w:t xml:space="preserve">It can also be found out that the financial leverage and gearing ratio of the Vodafone Group Plc is better than that of BT Group Plc. As a result, the BT Group is recommended on improving financial management through focusing and depending more over funding through equity. </w:t>
      </w:r>
      <w:r w:rsidR="00B662EB" w:rsidRPr="00DB26B7">
        <w:rPr>
          <w:color w:val="000000" w:themeColor="text1"/>
        </w:rPr>
        <w:t xml:space="preserve">Debt financing must be reduced largely within it. </w:t>
      </w:r>
    </w:p>
    <w:p w:rsidR="003872D4" w:rsidRPr="003872D4" w:rsidRDefault="003872D4" w:rsidP="003872D4">
      <w:pPr>
        <w:ind w:left="360"/>
        <w:rPr>
          <w:color w:val="000000" w:themeColor="text1"/>
        </w:rPr>
      </w:pPr>
    </w:p>
    <w:p w:rsidR="00E33D6B" w:rsidRDefault="00F8068A" w:rsidP="003872D4">
      <w:pPr>
        <w:rPr>
          <w:rFonts w:cs="Times New Roman"/>
          <w:b/>
          <w:bCs/>
          <w:szCs w:val="24"/>
          <w:u w:val="single"/>
        </w:rPr>
      </w:pPr>
      <w:r w:rsidRPr="001451A7">
        <w:rPr>
          <w:rFonts w:cs="Times New Roman"/>
          <w:b/>
          <w:bCs/>
          <w:szCs w:val="24"/>
          <w:u w:val="single"/>
        </w:rPr>
        <w:t>Part c</w:t>
      </w:r>
    </w:p>
    <w:p w:rsidR="001451A7" w:rsidRPr="001451A7" w:rsidRDefault="001451A7" w:rsidP="003872D4">
      <w:pPr>
        <w:rPr>
          <w:color w:val="000000" w:themeColor="text1"/>
          <w:u w:val="single"/>
        </w:rPr>
      </w:pPr>
      <w:bookmarkStart w:id="3" w:name="_GoBack"/>
      <w:bookmarkEnd w:id="3"/>
    </w:p>
    <w:p w:rsidR="00F8068A" w:rsidRDefault="00F8068A" w:rsidP="00F8068A">
      <w:pPr>
        <w:pStyle w:val="Heading2"/>
        <w:rPr>
          <w:rFonts w:cs="Times New Roman"/>
          <w:szCs w:val="24"/>
        </w:rPr>
      </w:pPr>
      <w:r w:rsidRPr="0008312A">
        <w:rPr>
          <w:rFonts w:cs="Times New Roman"/>
          <w:szCs w:val="24"/>
        </w:rPr>
        <w:t xml:space="preserve">Calculate the Payback Period (PBP), Accounting Rate of Return (ARR), Internal Rate of Return (IRR) and the Net Present Value (NPV) of the project. Evaluate the results of these calculations and recommend with reasons which project should be adopted. </w:t>
      </w:r>
    </w:p>
    <w:p w:rsidR="00F8068A" w:rsidRPr="00F8068A" w:rsidRDefault="00F8068A" w:rsidP="00F8068A">
      <w:pPr>
        <w:pStyle w:val="Heading2"/>
        <w:rPr>
          <w:rFonts w:cs="Times New Roman"/>
          <w:b w:val="0"/>
          <w:bCs w:val="0"/>
          <w:szCs w:val="24"/>
        </w:rPr>
      </w:pPr>
      <w:r w:rsidRPr="00F8068A">
        <w:rPr>
          <w:rFonts w:cs="Times New Roman"/>
          <w:b w:val="0"/>
          <w:bCs w:val="0"/>
          <w:szCs w:val="24"/>
        </w:rPr>
        <w:t xml:space="preserve">The organisation </w:t>
      </w:r>
      <w:r>
        <w:rPr>
          <w:rFonts w:cs="Times New Roman"/>
          <w:b w:val="0"/>
          <w:bCs w:val="0"/>
          <w:szCs w:val="24"/>
        </w:rPr>
        <w:t xml:space="preserve">BT Group </w:t>
      </w:r>
      <w:r w:rsidR="00A8704D">
        <w:rPr>
          <w:rFonts w:cs="Times New Roman"/>
          <w:b w:val="0"/>
          <w:bCs w:val="0"/>
          <w:szCs w:val="24"/>
        </w:rPr>
        <w:t>Plc</w:t>
      </w:r>
      <w:r w:rsidRPr="00F8068A">
        <w:rPr>
          <w:rFonts w:cs="Times New Roman"/>
          <w:b w:val="0"/>
          <w:bCs w:val="0"/>
          <w:szCs w:val="24"/>
        </w:rPr>
        <w:t xml:space="preserve"> has been researching and evaluating the prospects of varying new opportunities for investments and appraises each of them via investment appraisal techniques. Investment appraisal is the utilisation of techniques with which the viability of projects, portfolio or programme decisions along with their value is achieved (Hicks, 2017). The following is the application of four diverse techniques of investment appraisal to two mutually exclusive promising projects being considered in </w:t>
      </w:r>
      <w:r>
        <w:rPr>
          <w:rFonts w:cs="Times New Roman"/>
          <w:b w:val="0"/>
          <w:bCs w:val="0"/>
          <w:szCs w:val="24"/>
        </w:rPr>
        <w:t>BT.</w:t>
      </w:r>
    </w:p>
    <w:p w:rsidR="00F8068A" w:rsidRDefault="00F8068A" w:rsidP="00F8068A">
      <w:pPr>
        <w:rPr>
          <w:b/>
          <w:bCs/>
        </w:rPr>
      </w:pPr>
    </w:p>
    <w:p w:rsidR="00F8068A" w:rsidRPr="00F8068A" w:rsidRDefault="00F8068A" w:rsidP="00F8068A">
      <w:pPr>
        <w:rPr>
          <w:b/>
          <w:bCs/>
        </w:rPr>
      </w:pPr>
      <w:r w:rsidRPr="00F8068A">
        <w:rPr>
          <w:b/>
          <w:bCs/>
        </w:rPr>
        <w:t>Calculation of the Payback Period (PBP)</w:t>
      </w:r>
    </w:p>
    <w:p w:rsidR="00F8068A" w:rsidRPr="0008312A" w:rsidRDefault="00F8068A" w:rsidP="00F8068A">
      <w:pPr>
        <w:rPr>
          <w:rFonts w:cs="Times New Roman"/>
          <w:szCs w:val="24"/>
        </w:rPr>
      </w:pPr>
      <w:r w:rsidRPr="0008312A">
        <w:rPr>
          <w:rFonts w:cs="Times New Roman"/>
          <w:szCs w:val="24"/>
        </w:rPr>
        <w:t xml:space="preserve">The payback period indicates a metric with which the viability of an investment can be tested in terms of the time needed for recovery of investment costs (Al Ani, 2015). As stated by Jabet </w:t>
      </w:r>
      <w:r w:rsidRPr="0008312A">
        <w:rPr>
          <w:rFonts w:cs="Times New Roman"/>
          <w:i/>
          <w:szCs w:val="24"/>
        </w:rPr>
        <w:t>et al.</w:t>
      </w:r>
      <w:r w:rsidRPr="0008312A">
        <w:rPr>
          <w:rFonts w:cs="Times New Roman"/>
          <w:szCs w:val="24"/>
        </w:rPr>
        <w:t xml:space="preserve"> (2015), the following formula is used for computing an investment’s payback period.</w:t>
      </w:r>
    </w:p>
    <w:p w:rsidR="00F8068A" w:rsidRDefault="00F8068A" w:rsidP="00F8068A">
      <w:pPr>
        <w:rPr>
          <w:rFonts w:cs="Times New Roman"/>
          <w:szCs w:val="24"/>
        </w:rPr>
      </w:pPr>
      <w:r w:rsidRPr="0008312A">
        <w:rPr>
          <w:rFonts w:cs="Times New Roman"/>
          <w:szCs w:val="24"/>
        </w:rPr>
        <w:lastRenderedPageBreak/>
        <w:t>Last period experiencing negative cumulative yearly cash inflow (i) + Absolute value of cash inflow during period (i) / Successive period’s cash inflow</w:t>
      </w:r>
      <w:r>
        <w:rPr>
          <w:rFonts w:cs="Times New Roman"/>
          <w:szCs w:val="24"/>
        </w:rPr>
        <w:t>.</w:t>
      </w:r>
    </w:p>
    <w:p w:rsidR="00F8068A" w:rsidRDefault="00F8068A" w:rsidP="00F8068A">
      <w:pPr>
        <w:rPr>
          <w:rFonts w:cs="Times New Roman"/>
          <w:szCs w:val="24"/>
        </w:rPr>
      </w:pPr>
    </w:p>
    <w:p w:rsidR="003872D4" w:rsidRDefault="003872D4" w:rsidP="00F8068A">
      <w:pPr>
        <w:rPr>
          <w:rFonts w:cs="Times New Roman"/>
          <w:szCs w:val="24"/>
        </w:rPr>
      </w:pPr>
    </w:p>
    <w:p w:rsidR="00F8068A" w:rsidRDefault="00F8068A" w:rsidP="00F8068A">
      <w:pPr>
        <w:rPr>
          <w:rFonts w:cs="Times New Roman"/>
          <w:szCs w:val="24"/>
        </w:rPr>
      </w:pPr>
      <w:r w:rsidRPr="0008312A">
        <w:rPr>
          <w:rFonts w:cs="Times New Roman"/>
          <w:szCs w:val="24"/>
        </w:rPr>
        <w:t xml:space="preserve">The payback period calculated for the projects of </w:t>
      </w:r>
      <w:r>
        <w:rPr>
          <w:rFonts w:cs="Times New Roman"/>
          <w:szCs w:val="24"/>
        </w:rPr>
        <w:t xml:space="preserve">BT Group </w:t>
      </w:r>
      <w:r w:rsidRPr="0008312A">
        <w:rPr>
          <w:rFonts w:cs="Times New Roman"/>
          <w:szCs w:val="24"/>
        </w:rPr>
        <w:t>is shown below</w:t>
      </w:r>
      <w:r>
        <w:rPr>
          <w:rFonts w:cs="Times New Roman"/>
          <w:szCs w:val="24"/>
        </w:rPr>
        <w:t>:</w:t>
      </w:r>
    </w:p>
    <w:tbl>
      <w:tblPr>
        <w:tblStyle w:val="TableGrid"/>
        <w:tblW w:w="0" w:type="auto"/>
        <w:tblLayout w:type="fixed"/>
        <w:tblLook w:val="04A0" w:firstRow="1" w:lastRow="0" w:firstColumn="1" w:lastColumn="0" w:noHBand="0" w:noVBand="1"/>
      </w:tblPr>
      <w:tblGrid>
        <w:gridCol w:w="1098"/>
        <w:gridCol w:w="1947"/>
        <w:gridCol w:w="2283"/>
        <w:gridCol w:w="1710"/>
        <w:gridCol w:w="2538"/>
      </w:tblGrid>
      <w:tr w:rsidR="00F8068A" w:rsidRPr="0008312A" w:rsidTr="00FB7A9F">
        <w:trPr>
          <w:trHeight w:val="300"/>
        </w:trPr>
        <w:tc>
          <w:tcPr>
            <w:tcW w:w="1098" w:type="dxa"/>
            <w:noWrap/>
            <w:hideMark/>
          </w:tcPr>
          <w:p w:rsidR="00F8068A" w:rsidRPr="0008312A" w:rsidRDefault="00F8068A" w:rsidP="00FB7A9F">
            <w:pPr>
              <w:rPr>
                <w:rFonts w:cs="Times New Roman"/>
                <w:b/>
                <w:sz w:val="24"/>
                <w:szCs w:val="24"/>
              </w:rPr>
            </w:pPr>
          </w:p>
        </w:tc>
        <w:tc>
          <w:tcPr>
            <w:tcW w:w="4230" w:type="dxa"/>
            <w:gridSpan w:val="2"/>
            <w:noWrap/>
            <w:hideMark/>
          </w:tcPr>
          <w:p w:rsidR="00F8068A" w:rsidRPr="0008312A" w:rsidRDefault="00F8068A" w:rsidP="00FB7A9F">
            <w:pPr>
              <w:jc w:val="center"/>
              <w:rPr>
                <w:rFonts w:cs="Times New Roman"/>
                <w:b/>
                <w:sz w:val="24"/>
                <w:szCs w:val="24"/>
              </w:rPr>
            </w:pPr>
            <w:r w:rsidRPr="0008312A">
              <w:rPr>
                <w:rFonts w:cs="Times New Roman"/>
                <w:b/>
                <w:sz w:val="24"/>
                <w:szCs w:val="24"/>
              </w:rPr>
              <w:t>Project A</w:t>
            </w:r>
          </w:p>
        </w:tc>
        <w:tc>
          <w:tcPr>
            <w:tcW w:w="4248" w:type="dxa"/>
            <w:gridSpan w:val="2"/>
          </w:tcPr>
          <w:p w:rsidR="00F8068A" w:rsidRPr="0008312A" w:rsidRDefault="00F8068A" w:rsidP="00FB7A9F">
            <w:pPr>
              <w:jc w:val="center"/>
              <w:rPr>
                <w:rFonts w:cs="Times New Roman"/>
                <w:b/>
                <w:sz w:val="24"/>
                <w:szCs w:val="24"/>
              </w:rPr>
            </w:pPr>
            <w:r w:rsidRPr="0008312A">
              <w:rPr>
                <w:rFonts w:cs="Times New Roman"/>
                <w:b/>
                <w:sz w:val="24"/>
                <w:szCs w:val="24"/>
              </w:rPr>
              <w:t>Project B</w:t>
            </w:r>
          </w:p>
        </w:tc>
      </w:tr>
      <w:tr w:rsidR="00F8068A" w:rsidRPr="0008312A" w:rsidTr="00FB7A9F">
        <w:trPr>
          <w:trHeight w:val="300"/>
        </w:trPr>
        <w:tc>
          <w:tcPr>
            <w:tcW w:w="1098" w:type="dxa"/>
            <w:noWrap/>
            <w:hideMark/>
          </w:tcPr>
          <w:p w:rsidR="00F8068A" w:rsidRPr="0008312A" w:rsidRDefault="00F8068A" w:rsidP="00FB7A9F">
            <w:pPr>
              <w:rPr>
                <w:rFonts w:cs="Times New Roman"/>
                <w:b/>
                <w:sz w:val="24"/>
                <w:szCs w:val="24"/>
              </w:rPr>
            </w:pPr>
            <w:r w:rsidRPr="0008312A">
              <w:rPr>
                <w:rFonts w:cs="Times New Roman"/>
                <w:b/>
                <w:sz w:val="24"/>
                <w:szCs w:val="24"/>
              </w:rPr>
              <w:t xml:space="preserve">Year </w:t>
            </w:r>
          </w:p>
        </w:tc>
        <w:tc>
          <w:tcPr>
            <w:tcW w:w="1947" w:type="dxa"/>
            <w:noWrap/>
            <w:hideMark/>
          </w:tcPr>
          <w:p w:rsidR="00F8068A" w:rsidRPr="0008312A" w:rsidRDefault="00F8068A" w:rsidP="00FB7A9F">
            <w:pPr>
              <w:rPr>
                <w:rFonts w:cs="Times New Roman"/>
                <w:b/>
                <w:sz w:val="24"/>
                <w:szCs w:val="24"/>
              </w:rPr>
            </w:pPr>
            <w:r w:rsidRPr="0008312A">
              <w:rPr>
                <w:rFonts w:cs="Times New Roman"/>
                <w:b/>
                <w:sz w:val="24"/>
                <w:szCs w:val="24"/>
              </w:rPr>
              <w:t>Cash inflows from Project A</w:t>
            </w:r>
          </w:p>
        </w:tc>
        <w:tc>
          <w:tcPr>
            <w:tcW w:w="2283" w:type="dxa"/>
            <w:noWrap/>
            <w:hideMark/>
          </w:tcPr>
          <w:p w:rsidR="00F8068A" w:rsidRPr="0008312A" w:rsidRDefault="00F8068A" w:rsidP="00FB7A9F">
            <w:pPr>
              <w:rPr>
                <w:rFonts w:cs="Times New Roman"/>
                <w:b/>
                <w:sz w:val="24"/>
                <w:szCs w:val="24"/>
              </w:rPr>
            </w:pPr>
            <w:r w:rsidRPr="0008312A">
              <w:rPr>
                <w:rFonts w:cs="Times New Roman"/>
                <w:b/>
                <w:sz w:val="24"/>
                <w:szCs w:val="24"/>
              </w:rPr>
              <w:t>Cumulative cash inflows from Project A</w:t>
            </w:r>
          </w:p>
        </w:tc>
        <w:tc>
          <w:tcPr>
            <w:tcW w:w="1710" w:type="dxa"/>
          </w:tcPr>
          <w:p w:rsidR="00F8068A" w:rsidRPr="0008312A" w:rsidRDefault="00F8068A" w:rsidP="00FB7A9F">
            <w:pPr>
              <w:rPr>
                <w:rFonts w:cs="Times New Roman"/>
                <w:b/>
                <w:sz w:val="24"/>
                <w:szCs w:val="24"/>
              </w:rPr>
            </w:pPr>
            <w:r w:rsidRPr="0008312A">
              <w:rPr>
                <w:rFonts w:cs="Times New Roman"/>
                <w:b/>
                <w:sz w:val="24"/>
                <w:szCs w:val="24"/>
              </w:rPr>
              <w:t>Cash inflows from Project B</w:t>
            </w:r>
          </w:p>
        </w:tc>
        <w:tc>
          <w:tcPr>
            <w:tcW w:w="2538" w:type="dxa"/>
            <w:noWrap/>
            <w:hideMark/>
          </w:tcPr>
          <w:p w:rsidR="00F8068A" w:rsidRPr="0008312A" w:rsidRDefault="00F8068A" w:rsidP="00FB7A9F">
            <w:pPr>
              <w:rPr>
                <w:rFonts w:cs="Times New Roman"/>
                <w:b/>
                <w:sz w:val="24"/>
                <w:szCs w:val="24"/>
              </w:rPr>
            </w:pPr>
            <w:r w:rsidRPr="0008312A">
              <w:rPr>
                <w:rFonts w:cs="Times New Roman"/>
                <w:b/>
                <w:sz w:val="24"/>
                <w:szCs w:val="24"/>
              </w:rPr>
              <w:t>Cumulative cash inflows from Project B</w:t>
            </w:r>
          </w:p>
        </w:tc>
      </w:tr>
      <w:tr w:rsidR="00F8068A" w:rsidRPr="0008312A" w:rsidTr="00FB7A9F">
        <w:trPr>
          <w:trHeight w:val="300"/>
        </w:trPr>
        <w:tc>
          <w:tcPr>
            <w:tcW w:w="1098" w:type="dxa"/>
            <w:noWrap/>
            <w:hideMark/>
          </w:tcPr>
          <w:p w:rsidR="00F8068A" w:rsidRPr="0008312A" w:rsidRDefault="00F8068A" w:rsidP="00FB7A9F">
            <w:pPr>
              <w:rPr>
                <w:rFonts w:cs="Times New Roman"/>
                <w:sz w:val="24"/>
                <w:szCs w:val="24"/>
              </w:rPr>
            </w:pPr>
            <w:r w:rsidRPr="0008312A">
              <w:rPr>
                <w:rFonts w:cs="Times New Roman"/>
                <w:sz w:val="24"/>
                <w:szCs w:val="24"/>
              </w:rPr>
              <w:t>0</w:t>
            </w:r>
          </w:p>
        </w:tc>
        <w:tc>
          <w:tcPr>
            <w:tcW w:w="1947"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£ 103.00 </w:t>
            </w:r>
          </w:p>
        </w:tc>
        <w:tc>
          <w:tcPr>
            <w:tcW w:w="2283"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£ 103.00 </w:t>
            </w:r>
          </w:p>
        </w:tc>
        <w:tc>
          <w:tcPr>
            <w:tcW w:w="1710" w:type="dxa"/>
          </w:tcPr>
          <w:p w:rsidR="00F8068A" w:rsidRPr="0008312A" w:rsidRDefault="00F8068A" w:rsidP="00FB7A9F">
            <w:pPr>
              <w:rPr>
                <w:rFonts w:cs="Times New Roman"/>
                <w:sz w:val="24"/>
                <w:szCs w:val="24"/>
              </w:rPr>
            </w:pPr>
            <w:r w:rsidRPr="0008312A">
              <w:rPr>
                <w:rFonts w:cs="Times New Roman"/>
                <w:sz w:val="24"/>
                <w:szCs w:val="24"/>
              </w:rPr>
              <w:t xml:space="preserve">- £ 105.00 </w:t>
            </w:r>
          </w:p>
        </w:tc>
        <w:tc>
          <w:tcPr>
            <w:tcW w:w="25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£ 105.00 </w:t>
            </w:r>
          </w:p>
        </w:tc>
      </w:tr>
      <w:tr w:rsidR="00F8068A" w:rsidRPr="0008312A" w:rsidTr="00FB7A9F">
        <w:trPr>
          <w:trHeight w:val="300"/>
        </w:trPr>
        <w:tc>
          <w:tcPr>
            <w:tcW w:w="1098" w:type="dxa"/>
            <w:noWrap/>
            <w:hideMark/>
          </w:tcPr>
          <w:p w:rsidR="00F8068A" w:rsidRPr="0008312A" w:rsidRDefault="00F8068A" w:rsidP="00FB7A9F">
            <w:pPr>
              <w:rPr>
                <w:rFonts w:cs="Times New Roman"/>
                <w:sz w:val="24"/>
                <w:szCs w:val="24"/>
              </w:rPr>
            </w:pPr>
            <w:r w:rsidRPr="0008312A">
              <w:rPr>
                <w:rFonts w:cs="Times New Roman"/>
                <w:sz w:val="24"/>
                <w:szCs w:val="24"/>
              </w:rPr>
              <w:t>Year one</w:t>
            </w:r>
          </w:p>
        </w:tc>
        <w:tc>
          <w:tcPr>
            <w:tcW w:w="1947"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10.00 </w:t>
            </w:r>
          </w:p>
        </w:tc>
        <w:tc>
          <w:tcPr>
            <w:tcW w:w="2283" w:type="dxa"/>
            <w:noWrap/>
            <w:hideMark/>
          </w:tcPr>
          <w:p w:rsidR="00F8068A" w:rsidRPr="0008312A" w:rsidRDefault="00F8068A" w:rsidP="00FB7A9F">
            <w:pPr>
              <w:rPr>
                <w:rFonts w:cs="Times New Roman"/>
                <w:sz w:val="24"/>
                <w:szCs w:val="24"/>
              </w:rPr>
            </w:pPr>
            <w:r w:rsidRPr="0008312A">
              <w:rPr>
                <w:rFonts w:cs="Times New Roman"/>
                <w:sz w:val="24"/>
                <w:szCs w:val="24"/>
              </w:rPr>
              <w:t xml:space="preserve">- £    93.00 </w:t>
            </w:r>
          </w:p>
        </w:tc>
        <w:tc>
          <w:tcPr>
            <w:tcW w:w="1710" w:type="dxa"/>
          </w:tcPr>
          <w:p w:rsidR="00F8068A" w:rsidRPr="0008312A" w:rsidRDefault="00F8068A" w:rsidP="00FB7A9F">
            <w:pPr>
              <w:rPr>
                <w:rFonts w:cs="Times New Roman"/>
                <w:sz w:val="24"/>
                <w:szCs w:val="24"/>
              </w:rPr>
            </w:pPr>
            <w:r w:rsidRPr="0008312A">
              <w:rPr>
                <w:rFonts w:cs="Times New Roman"/>
                <w:sz w:val="24"/>
                <w:szCs w:val="24"/>
              </w:rPr>
              <w:t xml:space="preserve"> £    60.00 </w:t>
            </w:r>
          </w:p>
        </w:tc>
        <w:tc>
          <w:tcPr>
            <w:tcW w:w="25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45.00 </w:t>
            </w:r>
          </w:p>
        </w:tc>
      </w:tr>
      <w:tr w:rsidR="00F8068A" w:rsidRPr="0008312A" w:rsidTr="00FB7A9F">
        <w:trPr>
          <w:trHeight w:val="300"/>
        </w:trPr>
        <w:tc>
          <w:tcPr>
            <w:tcW w:w="1098" w:type="dxa"/>
            <w:noWrap/>
            <w:hideMark/>
          </w:tcPr>
          <w:p w:rsidR="00F8068A" w:rsidRPr="0008312A" w:rsidRDefault="00F8068A" w:rsidP="00FB7A9F">
            <w:pPr>
              <w:rPr>
                <w:rFonts w:cs="Times New Roman"/>
                <w:sz w:val="24"/>
                <w:szCs w:val="24"/>
              </w:rPr>
            </w:pPr>
            <w:r w:rsidRPr="0008312A">
              <w:rPr>
                <w:rFonts w:cs="Times New Roman"/>
                <w:sz w:val="24"/>
                <w:szCs w:val="24"/>
              </w:rPr>
              <w:t>Year two</w:t>
            </w:r>
          </w:p>
        </w:tc>
        <w:tc>
          <w:tcPr>
            <w:tcW w:w="1947" w:type="dxa"/>
            <w:noWrap/>
            <w:hideMark/>
          </w:tcPr>
          <w:p w:rsidR="00F8068A" w:rsidRPr="0008312A" w:rsidRDefault="00F8068A" w:rsidP="00FB7A9F">
            <w:pPr>
              <w:rPr>
                <w:rFonts w:cs="Times New Roman"/>
                <w:sz w:val="24"/>
                <w:szCs w:val="24"/>
              </w:rPr>
            </w:pPr>
            <w:r w:rsidRPr="0008312A">
              <w:rPr>
                <w:rFonts w:cs="Times New Roman"/>
                <w:sz w:val="24"/>
                <w:szCs w:val="24"/>
              </w:rPr>
              <w:t xml:space="preserve"> £    30.00 </w:t>
            </w:r>
          </w:p>
        </w:tc>
        <w:tc>
          <w:tcPr>
            <w:tcW w:w="2283" w:type="dxa"/>
            <w:noWrap/>
            <w:hideMark/>
          </w:tcPr>
          <w:p w:rsidR="00F8068A" w:rsidRPr="0008312A" w:rsidRDefault="00F8068A" w:rsidP="00FB7A9F">
            <w:pPr>
              <w:rPr>
                <w:rFonts w:cs="Times New Roman"/>
                <w:sz w:val="24"/>
                <w:szCs w:val="24"/>
              </w:rPr>
            </w:pPr>
            <w:r w:rsidRPr="0008312A">
              <w:rPr>
                <w:rFonts w:cs="Times New Roman"/>
                <w:sz w:val="24"/>
                <w:szCs w:val="24"/>
              </w:rPr>
              <w:t xml:space="preserve">- £    63.00 </w:t>
            </w:r>
          </w:p>
        </w:tc>
        <w:tc>
          <w:tcPr>
            <w:tcW w:w="1710" w:type="dxa"/>
          </w:tcPr>
          <w:p w:rsidR="00F8068A" w:rsidRPr="0008312A" w:rsidRDefault="00F8068A" w:rsidP="00FB7A9F">
            <w:pPr>
              <w:rPr>
                <w:rFonts w:cs="Times New Roman"/>
                <w:sz w:val="24"/>
                <w:szCs w:val="24"/>
              </w:rPr>
            </w:pPr>
            <w:r w:rsidRPr="0008312A">
              <w:rPr>
                <w:rFonts w:cs="Times New Roman"/>
                <w:sz w:val="24"/>
                <w:szCs w:val="24"/>
              </w:rPr>
              <w:t xml:space="preserve"> £    40.00 </w:t>
            </w:r>
          </w:p>
        </w:tc>
        <w:tc>
          <w:tcPr>
            <w:tcW w:w="25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5.00 </w:t>
            </w:r>
          </w:p>
        </w:tc>
      </w:tr>
      <w:tr w:rsidR="00F8068A" w:rsidRPr="0008312A" w:rsidTr="00FB7A9F">
        <w:trPr>
          <w:trHeight w:val="300"/>
        </w:trPr>
        <w:tc>
          <w:tcPr>
            <w:tcW w:w="1098" w:type="dxa"/>
            <w:noWrap/>
            <w:hideMark/>
          </w:tcPr>
          <w:p w:rsidR="00F8068A" w:rsidRPr="0008312A" w:rsidRDefault="00F8068A" w:rsidP="00FB7A9F">
            <w:pPr>
              <w:rPr>
                <w:rFonts w:cs="Times New Roman"/>
                <w:sz w:val="24"/>
                <w:szCs w:val="24"/>
              </w:rPr>
            </w:pPr>
            <w:r w:rsidRPr="0008312A">
              <w:rPr>
                <w:rFonts w:cs="Times New Roman"/>
                <w:sz w:val="24"/>
                <w:szCs w:val="24"/>
              </w:rPr>
              <w:t xml:space="preserve">Year three </w:t>
            </w:r>
          </w:p>
        </w:tc>
        <w:tc>
          <w:tcPr>
            <w:tcW w:w="1947" w:type="dxa"/>
            <w:noWrap/>
            <w:hideMark/>
          </w:tcPr>
          <w:p w:rsidR="00F8068A" w:rsidRPr="0008312A" w:rsidRDefault="00F8068A" w:rsidP="00FB7A9F">
            <w:pPr>
              <w:rPr>
                <w:rFonts w:cs="Times New Roman"/>
                <w:sz w:val="24"/>
                <w:szCs w:val="24"/>
              </w:rPr>
            </w:pPr>
            <w:r w:rsidRPr="0008312A">
              <w:rPr>
                <w:rFonts w:cs="Times New Roman"/>
                <w:sz w:val="24"/>
                <w:szCs w:val="24"/>
              </w:rPr>
              <w:t xml:space="preserve"> £    50.00 </w:t>
            </w:r>
          </w:p>
        </w:tc>
        <w:tc>
          <w:tcPr>
            <w:tcW w:w="2283"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13.00 </w:t>
            </w:r>
          </w:p>
        </w:tc>
        <w:tc>
          <w:tcPr>
            <w:tcW w:w="1710" w:type="dxa"/>
          </w:tcPr>
          <w:p w:rsidR="00F8068A" w:rsidRPr="0008312A" w:rsidRDefault="00F8068A" w:rsidP="00FB7A9F">
            <w:pPr>
              <w:rPr>
                <w:rFonts w:cs="Times New Roman"/>
                <w:sz w:val="24"/>
                <w:szCs w:val="24"/>
              </w:rPr>
            </w:pPr>
            <w:r w:rsidRPr="0008312A">
              <w:rPr>
                <w:rFonts w:cs="Times New Roman"/>
                <w:sz w:val="24"/>
                <w:szCs w:val="24"/>
              </w:rPr>
              <w:t xml:space="preserve"> £    60.00 </w:t>
            </w:r>
          </w:p>
        </w:tc>
        <w:tc>
          <w:tcPr>
            <w:tcW w:w="25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55.00 </w:t>
            </w:r>
          </w:p>
        </w:tc>
      </w:tr>
      <w:tr w:rsidR="00F8068A" w:rsidRPr="0008312A" w:rsidTr="00FB7A9F">
        <w:trPr>
          <w:trHeight w:val="300"/>
        </w:trPr>
        <w:tc>
          <w:tcPr>
            <w:tcW w:w="1098" w:type="dxa"/>
            <w:noWrap/>
            <w:hideMark/>
          </w:tcPr>
          <w:p w:rsidR="00F8068A" w:rsidRPr="0008312A" w:rsidRDefault="00F8068A" w:rsidP="00FB7A9F">
            <w:pPr>
              <w:rPr>
                <w:rFonts w:cs="Times New Roman"/>
                <w:sz w:val="24"/>
                <w:szCs w:val="24"/>
              </w:rPr>
            </w:pPr>
            <w:r w:rsidRPr="0008312A">
              <w:rPr>
                <w:rFonts w:cs="Times New Roman"/>
                <w:sz w:val="24"/>
                <w:szCs w:val="24"/>
              </w:rPr>
              <w:t>Year four</w:t>
            </w:r>
          </w:p>
        </w:tc>
        <w:tc>
          <w:tcPr>
            <w:tcW w:w="1947" w:type="dxa"/>
            <w:noWrap/>
            <w:hideMark/>
          </w:tcPr>
          <w:p w:rsidR="00F8068A" w:rsidRPr="0008312A" w:rsidRDefault="00F8068A" w:rsidP="00FB7A9F">
            <w:pPr>
              <w:rPr>
                <w:rFonts w:cs="Times New Roman"/>
                <w:sz w:val="24"/>
                <w:szCs w:val="24"/>
              </w:rPr>
            </w:pPr>
            <w:r w:rsidRPr="0008312A">
              <w:rPr>
                <w:rFonts w:cs="Times New Roman"/>
                <w:sz w:val="24"/>
                <w:szCs w:val="24"/>
              </w:rPr>
              <w:t xml:space="preserve"> £    65.00 </w:t>
            </w:r>
          </w:p>
        </w:tc>
        <w:tc>
          <w:tcPr>
            <w:tcW w:w="2283" w:type="dxa"/>
            <w:noWrap/>
            <w:hideMark/>
          </w:tcPr>
          <w:p w:rsidR="00F8068A" w:rsidRPr="0008312A" w:rsidRDefault="00F8068A" w:rsidP="00FB7A9F">
            <w:pPr>
              <w:rPr>
                <w:rFonts w:cs="Times New Roman"/>
                <w:sz w:val="24"/>
                <w:szCs w:val="24"/>
              </w:rPr>
            </w:pPr>
            <w:r w:rsidRPr="0008312A">
              <w:rPr>
                <w:rFonts w:cs="Times New Roman"/>
                <w:sz w:val="24"/>
                <w:szCs w:val="24"/>
              </w:rPr>
              <w:t xml:space="preserve"> £     52.00 </w:t>
            </w:r>
          </w:p>
        </w:tc>
        <w:tc>
          <w:tcPr>
            <w:tcW w:w="1710" w:type="dxa"/>
          </w:tcPr>
          <w:p w:rsidR="00F8068A" w:rsidRPr="0008312A" w:rsidRDefault="00F8068A" w:rsidP="00FB7A9F">
            <w:pPr>
              <w:rPr>
                <w:rFonts w:cs="Times New Roman"/>
                <w:sz w:val="24"/>
                <w:szCs w:val="24"/>
              </w:rPr>
            </w:pPr>
            <w:r w:rsidRPr="0008312A">
              <w:rPr>
                <w:rFonts w:cs="Times New Roman"/>
                <w:sz w:val="24"/>
                <w:szCs w:val="24"/>
              </w:rPr>
              <w:t xml:space="preserve"> £     5.00 </w:t>
            </w:r>
          </w:p>
        </w:tc>
        <w:tc>
          <w:tcPr>
            <w:tcW w:w="25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60.00 </w:t>
            </w:r>
          </w:p>
        </w:tc>
      </w:tr>
      <w:tr w:rsidR="00F8068A" w:rsidRPr="0008312A" w:rsidTr="00FB7A9F">
        <w:trPr>
          <w:trHeight w:val="242"/>
        </w:trPr>
        <w:tc>
          <w:tcPr>
            <w:tcW w:w="1098" w:type="dxa"/>
            <w:noWrap/>
            <w:hideMark/>
          </w:tcPr>
          <w:p w:rsidR="00F8068A" w:rsidRPr="0008312A" w:rsidRDefault="00F8068A" w:rsidP="00FB7A9F">
            <w:pPr>
              <w:rPr>
                <w:rFonts w:cs="Times New Roman"/>
                <w:sz w:val="24"/>
                <w:szCs w:val="24"/>
              </w:rPr>
            </w:pPr>
          </w:p>
        </w:tc>
        <w:tc>
          <w:tcPr>
            <w:tcW w:w="4230" w:type="dxa"/>
            <w:gridSpan w:val="2"/>
            <w:noWrap/>
            <w:hideMark/>
          </w:tcPr>
          <w:p w:rsidR="00F8068A" w:rsidRPr="0008312A" w:rsidRDefault="00F8068A" w:rsidP="00FB7A9F">
            <w:pPr>
              <w:rPr>
                <w:rFonts w:cs="Times New Roman"/>
                <w:sz w:val="24"/>
                <w:szCs w:val="24"/>
              </w:rPr>
            </w:pPr>
            <w:r w:rsidRPr="0008312A">
              <w:rPr>
                <w:rFonts w:cs="Times New Roman"/>
                <w:sz w:val="24"/>
                <w:szCs w:val="24"/>
              </w:rPr>
              <w:t xml:space="preserve">Payback period </w:t>
            </w:r>
          </w:p>
          <w:p w:rsidR="00F8068A" w:rsidRPr="0008312A" w:rsidRDefault="00F8068A" w:rsidP="00FB7A9F">
            <w:pPr>
              <w:rPr>
                <w:rFonts w:cs="Times New Roman"/>
                <w:sz w:val="24"/>
                <w:szCs w:val="24"/>
              </w:rPr>
            </w:pPr>
            <w:r w:rsidRPr="0008312A">
              <w:rPr>
                <w:rFonts w:cs="Times New Roman"/>
                <w:sz w:val="24"/>
                <w:szCs w:val="24"/>
              </w:rPr>
              <w:t xml:space="preserve">= 3 years + (13 / 65) years </w:t>
            </w:r>
          </w:p>
          <w:p w:rsidR="00F8068A" w:rsidRPr="0008312A" w:rsidRDefault="00F8068A" w:rsidP="00FB7A9F">
            <w:pPr>
              <w:rPr>
                <w:rFonts w:cs="Times New Roman"/>
                <w:sz w:val="24"/>
                <w:szCs w:val="24"/>
              </w:rPr>
            </w:pPr>
            <w:r w:rsidRPr="0008312A">
              <w:rPr>
                <w:rFonts w:cs="Times New Roman"/>
                <w:sz w:val="24"/>
                <w:szCs w:val="24"/>
              </w:rPr>
              <w:t xml:space="preserve">= 3 years + 0.2 years </w:t>
            </w:r>
          </w:p>
          <w:p w:rsidR="00F8068A" w:rsidRPr="0008312A" w:rsidRDefault="00F8068A" w:rsidP="00FB7A9F">
            <w:pPr>
              <w:rPr>
                <w:rFonts w:cs="Times New Roman"/>
                <w:sz w:val="24"/>
                <w:szCs w:val="24"/>
              </w:rPr>
            </w:pPr>
            <w:r w:rsidRPr="0008312A">
              <w:rPr>
                <w:rFonts w:cs="Times New Roman"/>
                <w:sz w:val="24"/>
                <w:szCs w:val="24"/>
              </w:rPr>
              <w:t xml:space="preserve">= 3.2 years </w:t>
            </w:r>
          </w:p>
        </w:tc>
        <w:tc>
          <w:tcPr>
            <w:tcW w:w="4248" w:type="dxa"/>
            <w:gridSpan w:val="2"/>
          </w:tcPr>
          <w:p w:rsidR="00F8068A" w:rsidRPr="0008312A" w:rsidRDefault="00F8068A" w:rsidP="00FB7A9F">
            <w:pPr>
              <w:rPr>
                <w:rFonts w:cs="Times New Roman"/>
                <w:sz w:val="24"/>
                <w:szCs w:val="24"/>
              </w:rPr>
            </w:pPr>
            <w:r w:rsidRPr="0008312A">
              <w:rPr>
                <w:rFonts w:cs="Times New Roman"/>
                <w:sz w:val="24"/>
                <w:szCs w:val="24"/>
              </w:rPr>
              <w:t xml:space="preserve">Payback period </w:t>
            </w:r>
          </w:p>
          <w:p w:rsidR="00F8068A" w:rsidRPr="0008312A" w:rsidRDefault="00F8068A" w:rsidP="00FB7A9F">
            <w:pPr>
              <w:rPr>
                <w:rFonts w:cs="Times New Roman"/>
                <w:sz w:val="24"/>
                <w:szCs w:val="24"/>
              </w:rPr>
            </w:pPr>
            <w:r w:rsidRPr="0008312A">
              <w:rPr>
                <w:rFonts w:cs="Times New Roman"/>
                <w:sz w:val="24"/>
                <w:szCs w:val="24"/>
              </w:rPr>
              <w:t xml:space="preserve">= 2 years + (5 / 69) years </w:t>
            </w:r>
          </w:p>
          <w:p w:rsidR="00F8068A" w:rsidRPr="0008312A" w:rsidRDefault="00F8068A" w:rsidP="00FB7A9F">
            <w:pPr>
              <w:rPr>
                <w:rFonts w:cs="Times New Roman"/>
                <w:sz w:val="24"/>
                <w:szCs w:val="24"/>
              </w:rPr>
            </w:pPr>
            <w:r w:rsidRPr="0008312A">
              <w:rPr>
                <w:rFonts w:cs="Times New Roman"/>
                <w:sz w:val="24"/>
                <w:szCs w:val="24"/>
              </w:rPr>
              <w:t xml:space="preserve">= 2 years + 0.0833 years </w:t>
            </w:r>
          </w:p>
          <w:p w:rsidR="00F8068A" w:rsidRPr="0008312A" w:rsidRDefault="00F8068A" w:rsidP="00FB7A9F">
            <w:pPr>
              <w:rPr>
                <w:rFonts w:cs="Times New Roman"/>
                <w:sz w:val="24"/>
                <w:szCs w:val="24"/>
              </w:rPr>
            </w:pPr>
            <w:r w:rsidRPr="0008312A">
              <w:rPr>
                <w:rFonts w:cs="Times New Roman"/>
                <w:sz w:val="24"/>
                <w:szCs w:val="24"/>
              </w:rPr>
              <w:t>= 2.0833 or 2.08 years</w:t>
            </w:r>
          </w:p>
        </w:tc>
      </w:tr>
    </w:tbl>
    <w:p w:rsidR="00F8068A" w:rsidRPr="0008312A" w:rsidRDefault="00F8068A" w:rsidP="00F8068A">
      <w:pPr>
        <w:jc w:val="center"/>
        <w:rPr>
          <w:rFonts w:cs="Times New Roman"/>
          <w:b/>
          <w:szCs w:val="24"/>
        </w:rPr>
      </w:pPr>
      <w:r>
        <w:rPr>
          <w:rFonts w:cs="Times New Roman"/>
          <w:b/>
          <w:szCs w:val="24"/>
        </w:rPr>
        <w:t>Table 7</w:t>
      </w:r>
      <w:r w:rsidRPr="0008312A">
        <w:rPr>
          <w:rFonts w:cs="Times New Roman"/>
          <w:b/>
          <w:szCs w:val="24"/>
        </w:rPr>
        <w:t xml:space="preserve">: PBP calculations </w:t>
      </w:r>
    </w:p>
    <w:p w:rsidR="00F8068A" w:rsidRDefault="00F8068A" w:rsidP="00F8068A">
      <w:pPr>
        <w:rPr>
          <w:rFonts w:cs="Times New Roman"/>
          <w:b/>
          <w:szCs w:val="24"/>
        </w:rPr>
      </w:pPr>
    </w:p>
    <w:p w:rsidR="00F8068A" w:rsidRPr="0008312A" w:rsidRDefault="00F8068A" w:rsidP="00F8068A">
      <w:pPr>
        <w:rPr>
          <w:rFonts w:cs="Times New Roman"/>
          <w:b/>
          <w:szCs w:val="24"/>
        </w:rPr>
      </w:pPr>
      <w:r w:rsidRPr="0008312A">
        <w:rPr>
          <w:rFonts w:cs="Times New Roman"/>
          <w:b/>
          <w:szCs w:val="24"/>
        </w:rPr>
        <w:t>Calculation of the Accounting Rate of Return (ARR)</w:t>
      </w:r>
    </w:p>
    <w:p w:rsidR="00F8068A" w:rsidRDefault="00F8068A" w:rsidP="00F8068A">
      <w:pPr>
        <w:rPr>
          <w:rFonts w:cs="Times New Roman"/>
          <w:szCs w:val="24"/>
        </w:rPr>
      </w:pPr>
      <w:r w:rsidRPr="0008312A">
        <w:rPr>
          <w:rFonts w:cs="Times New Roman"/>
          <w:szCs w:val="24"/>
        </w:rPr>
        <w:t xml:space="preserve">Accounting rate of return is the metric utilised for appraising investments through computing returns of an investment based on the net income that it generates (Rutkowska-Ziarko and Pyke, 2017). </w:t>
      </w:r>
    </w:p>
    <w:p w:rsidR="00F8068A" w:rsidRDefault="00F8068A" w:rsidP="00F8068A">
      <w:pPr>
        <w:rPr>
          <w:rFonts w:cs="Times New Roman"/>
          <w:szCs w:val="24"/>
        </w:rPr>
      </w:pPr>
      <w:r w:rsidRPr="0008312A">
        <w:rPr>
          <w:rFonts w:cs="Times New Roman"/>
          <w:szCs w:val="24"/>
        </w:rPr>
        <w:lastRenderedPageBreak/>
        <w:t xml:space="preserve">The below is the derivation of the ARR of the two projects of </w:t>
      </w:r>
      <w:r>
        <w:rPr>
          <w:rFonts w:cs="Times New Roman"/>
          <w:szCs w:val="24"/>
        </w:rPr>
        <w:t>BT Group.</w:t>
      </w:r>
    </w:p>
    <w:p w:rsidR="001451A7" w:rsidRDefault="001451A7" w:rsidP="00F8068A">
      <w:pPr>
        <w:rPr>
          <w:rFonts w:cs="Times New Roman"/>
          <w:b/>
          <w:szCs w:val="24"/>
        </w:rPr>
      </w:pPr>
    </w:p>
    <w:p w:rsidR="00F8068A" w:rsidRPr="0008312A" w:rsidRDefault="00F8068A" w:rsidP="00F8068A">
      <w:pPr>
        <w:rPr>
          <w:rFonts w:cs="Times New Roman"/>
          <w:b/>
          <w:szCs w:val="24"/>
        </w:rPr>
      </w:pPr>
      <w:r w:rsidRPr="0008312A">
        <w:rPr>
          <w:rFonts w:cs="Times New Roman"/>
          <w:b/>
          <w:szCs w:val="24"/>
        </w:rPr>
        <w:t xml:space="preserve">Project A </w:t>
      </w:r>
    </w:p>
    <w:tbl>
      <w:tblPr>
        <w:tblStyle w:val="TableGrid"/>
        <w:tblW w:w="5000" w:type="pct"/>
        <w:tblLook w:val="04A0" w:firstRow="1" w:lastRow="0" w:firstColumn="1" w:lastColumn="0" w:noHBand="0" w:noVBand="1"/>
      </w:tblPr>
      <w:tblGrid>
        <w:gridCol w:w="3508"/>
        <w:gridCol w:w="1517"/>
        <w:gridCol w:w="1517"/>
        <w:gridCol w:w="1517"/>
        <w:gridCol w:w="1517"/>
      </w:tblGrid>
      <w:tr w:rsidR="00F8068A" w:rsidRPr="0008312A" w:rsidTr="00FB7A9F">
        <w:trPr>
          <w:trHeight w:val="300"/>
        </w:trPr>
        <w:tc>
          <w:tcPr>
            <w:tcW w:w="1832" w:type="pct"/>
            <w:noWrap/>
            <w:hideMark/>
          </w:tcPr>
          <w:p w:rsidR="00F8068A" w:rsidRPr="0008312A" w:rsidRDefault="00F8068A" w:rsidP="00FB7A9F">
            <w:pPr>
              <w:rPr>
                <w:rFonts w:cs="Times New Roman"/>
                <w:b/>
                <w:sz w:val="24"/>
                <w:szCs w:val="24"/>
              </w:rPr>
            </w:pPr>
            <w:r w:rsidRPr="0008312A">
              <w:rPr>
                <w:rFonts w:cs="Times New Roman"/>
                <w:b/>
                <w:sz w:val="24"/>
                <w:szCs w:val="24"/>
              </w:rPr>
              <w:t xml:space="preserve">Particulars </w:t>
            </w:r>
          </w:p>
        </w:tc>
        <w:tc>
          <w:tcPr>
            <w:tcW w:w="792" w:type="pct"/>
            <w:noWrap/>
            <w:hideMark/>
          </w:tcPr>
          <w:p w:rsidR="00F8068A" w:rsidRPr="0008312A" w:rsidRDefault="00F8068A" w:rsidP="00FB7A9F">
            <w:pPr>
              <w:rPr>
                <w:rFonts w:cs="Times New Roman"/>
                <w:b/>
                <w:sz w:val="24"/>
                <w:szCs w:val="24"/>
              </w:rPr>
            </w:pPr>
            <w:r w:rsidRPr="0008312A">
              <w:rPr>
                <w:rFonts w:cs="Times New Roman"/>
                <w:b/>
                <w:sz w:val="24"/>
                <w:szCs w:val="24"/>
              </w:rPr>
              <w:t xml:space="preserve">Year one </w:t>
            </w:r>
          </w:p>
        </w:tc>
        <w:tc>
          <w:tcPr>
            <w:tcW w:w="792" w:type="pct"/>
            <w:noWrap/>
            <w:hideMark/>
          </w:tcPr>
          <w:p w:rsidR="00F8068A" w:rsidRPr="0008312A" w:rsidRDefault="00F8068A" w:rsidP="00FB7A9F">
            <w:pPr>
              <w:rPr>
                <w:rFonts w:cs="Times New Roman"/>
                <w:b/>
                <w:sz w:val="24"/>
                <w:szCs w:val="24"/>
              </w:rPr>
            </w:pPr>
            <w:r w:rsidRPr="0008312A">
              <w:rPr>
                <w:rFonts w:cs="Times New Roman"/>
                <w:b/>
                <w:sz w:val="24"/>
                <w:szCs w:val="24"/>
              </w:rPr>
              <w:t xml:space="preserve">Year two </w:t>
            </w:r>
          </w:p>
        </w:tc>
        <w:tc>
          <w:tcPr>
            <w:tcW w:w="792" w:type="pct"/>
            <w:noWrap/>
            <w:hideMark/>
          </w:tcPr>
          <w:p w:rsidR="00F8068A" w:rsidRPr="0008312A" w:rsidRDefault="00F8068A" w:rsidP="00FB7A9F">
            <w:pPr>
              <w:rPr>
                <w:rFonts w:cs="Times New Roman"/>
                <w:b/>
                <w:sz w:val="24"/>
                <w:szCs w:val="24"/>
              </w:rPr>
            </w:pPr>
            <w:r w:rsidRPr="0008312A">
              <w:rPr>
                <w:rFonts w:cs="Times New Roman"/>
                <w:b/>
                <w:sz w:val="24"/>
                <w:szCs w:val="24"/>
              </w:rPr>
              <w:t xml:space="preserve">Year three </w:t>
            </w:r>
          </w:p>
        </w:tc>
        <w:tc>
          <w:tcPr>
            <w:tcW w:w="792" w:type="pct"/>
            <w:noWrap/>
            <w:hideMark/>
          </w:tcPr>
          <w:p w:rsidR="00F8068A" w:rsidRPr="0008312A" w:rsidRDefault="00F8068A" w:rsidP="00FB7A9F">
            <w:pPr>
              <w:rPr>
                <w:rFonts w:cs="Times New Roman"/>
                <w:b/>
                <w:sz w:val="24"/>
                <w:szCs w:val="24"/>
              </w:rPr>
            </w:pPr>
            <w:r w:rsidRPr="0008312A">
              <w:rPr>
                <w:rFonts w:cs="Times New Roman"/>
                <w:b/>
                <w:sz w:val="24"/>
                <w:szCs w:val="24"/>
              </w:rPr>
              <w:t xml:space="preserve">Year four </w:t>
            </w:r>
          </w:p>
        </w:tc>
      </w:tr>
      <w:tr w:rsidR="00F8068A" w:rsidRPr="0008312A" w:rsidTr="00FB7A9F">
        <w:trPr>
          <w:trHeight w:val="300"/>
        </w:trPr>
        <w:tc>
          <w:tcPr>
            <w:tcW w:w="1832" w:type="pct"/>
            <w:noWrap/>
            <w:hideMark/>
          </w:tcPr>
          <w:p w:rsidR="00F8068A" w:rsidRPr="0008312A" w:rsidRDefault="00F8068A" w:rsidP="00FB7A9F">
            <w:pPr>
              <w:rPr>
                <w:rFonts w:cs="Times New Roman"/>
                <w:sz w:val="24"/>
                <w:szCs w:val="24"/>
              </w:rPr>
            </w:pPr>
            <w:r w:rsidRPr="0008312A">
              <w:rPr>
                <w:rFonts w:cs="Times New Roman"/>
                <w:sz w:val="24"/>
                <w:szCs w:val="24"/>
              </w:rPr>
              <w:t xml:space="preserve">Total yearly cash inflows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10.00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30.00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50.00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65.00 </w:t>
            </w:r>
          </w:p>
        </w:tc>
      </w:tr>
      <w:tr w:rsidR="00F8068A" w:rsidRPr="0008312A" w:rsidTr="00FB7A9F">
        <w:trPr>
          <w:trHeight w:val="300"/>
        </w:trPr>
        <w:tc>
          <w:tcPr>
            <w:tcW w:w="1832" w:type="pct"/>
            <w:noWrap/>
            <w:hideMark/>
          </w:tcPr>
          <w:p w:rsidR="00F8068A" w:rsidRPr="0008312A" w:rsidRDefault="00F8068A" w:rsidP="00FB7A9F">
            <w:pPr>
              <w:rPr>
                <w:rFonts w:cs="Times New Roman"/>
                <w:sz w:val="24"/>
                <w:szCs w:val="24"/>
              </w:rPr>
            </w:pPr>
            <w:r w:rsidRPr="0008312A">
              <w:rPr>
                <w:rFonts w:cs="Times New Roman"/>
                <w:sz w:val="24"/>
                <w:szCs w:val="24"/>
              </w:rPr>
              <w:t xml:space="preserve">Less - Depreciation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25.75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25.75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25.75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25.75 </w:t>
            </w:r>
          </w:p>
        </w:tc>
      </w:tr>
      <w:tr w:rsidR="00F8068A" w:rsidRPr="0008312A" w:rsidTr="00FB7A9F">
        <w:trPr>
          <w:trHeight w:val="300"/>
        </w:trPr>
        <w:tc>
          <w:tcPr>
            <w:tcW w:w="1832" w:type="pct"/>
            <w:noWrap/>
            <w:hideMark/>
          </w:tcPr>
          <w:p w:rsidR="00F8068A" w:rsidRPr="0008312A" w:rsidRDefault="00F8068A" w:rsidP="00FB7A9F">
            <w:pPr>
              <w:rPr>
                <w:rFonts w:cs="Times New Roman"/>
                <w:sz w:val="24"/>
                <w:szCs w:val="24"/>
              </w:rPr>
            </w:pPr>
            <w:r w:rsidRPr="0008312A">
              <w:rPr>
                <w:rFonts w:cs="Times New Roman"/>
                <w:sz w:val="24"/>
                <w:szCs w:val="24"/>
              </w:rPr>
              <w:t xml:space="preserve">Average yearly profit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15.75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4.25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24.25 </w:t>
            </w:r>
          </w:p>
        </w:tc>
        <w:tc>
          <w:tcPr>
            <w:tcW w:w="792" w:type="pct"/>
            <w:noWrap/>
            <w:hideMark/>
          </w:tcPr>
          <w:p w:rsidR="00F8068A" w:rsidRPr="0008312A" w:rsidRDefault="00F8068A" w:rsidP="00FB7A9F">
            <w:pPr>
              <w:rPr>
                <w:rFonts w:cs="Times New Roman"/>
                <w:sz w:val="24"/>
                <w:szCs w:val="24"/>
              </w:rPr>
            </w:pPr>
            <w:r w:rsidRPr="0008312A">
              <w:rPr>
                <w:rFonts w:cs="Times New Roman"/>
                <w:sz w:val="24"/>
                <w:szCs w:val="24"/>
              </w:rPr>
              <w:t xml:space="preserve"> £    39.25 </w:t>
            </w:r>
          </w:p>
        </w:tc>
      </w:tr>
    </w:tbl>
    <w:p w:rsidR="00F8068A" w:rsidRPr="0008312A" w:rsidRDefault="00F8068A" w:rsidP="00F8068A">
      <w:pPr>
        <w:jc w:val="center"/>
        <w:rPr>
          <w:rFonts w:cs="Times New Roman"/>
          <w:szCs w:val="24"/>
        </w:rPr>
      </w:pPr>
      <w:r>
        <w:rPr>
          <w:rFonts w:cs="Times New Roman"/>
          <w:b/>
          <w:szCs w:val="24"/>
        </w:rPr>
        <w:t>Table 8</w:t>
      </w:r>
      <w:r w:rsidRPr="0008312A">
        <w:rPr>
          <w:rFonts w:cs="Times New Roman"/>
          <w:b/>
          <w:szCs w:val="24"/>
        </w:rPr>
        <w:t xml:space="preserve">: Table used for ARR calculation of Project A </w:t>
      </w:r>
    </w:p>
    <w:p w:rsidR="00F8068A" w:rsidRDefault="00F8068A" w:rsidP="00F8068A">
      <w:pPr>
        <w:rPr>
          <w:rFonts w:cs="Times New Roman"/>
          <w:szCs w:val="24"/>
        </w:rPr>
      </w:pPr>
      <w:r w:rsidRPr="0008312A">
        <w:rPr>
          <w:rFonts w:cs="Times New Roman"/>
          <w:szCs w:val="24"/>
        </w:rPr>
        <w:t xml:space="preserve">Thus, </w:t>
      </w:r>
    </w:p>
    <w:p w:rsidR="00F8068A" w:rsidRDefault="00F8068A" w:rsidP="00F8068A">
      <w:pPr>
        <w:rPr>
          <w:rFonts w:cs="Times New Roman"/>
          <w:szCs w:val="24"/>
        </w:rPr>
      </w:pPr>
      <w:r>
        <w:rPr>
          <w:rFonts w:cs="Times New Roman"/>
          <w:szCs w:val="24"/>
        </w:rPr>
        <w:t>Depreciation: purchase cost- scrap value = 103-0= 103 (depreciable asset cost of £103)</w:t>
      </w:r>
    </w:p>
    <w:p w:rsidR="00F8068A" w:rsidRDefault="00F8068A" w:rsidP="00F8068A">
      <w:pPr>
        <w:rPr>
          <w:rFonts w:cs="Times New Roman"/>
          <w:szCs w:val="24"/>
        </w:rPr>
      </w:pPr>
      <w:r>
        <w:rPr>
          <w:rFonts w:cs="Times New Roman"/>
          <w:szCs w:val="24"/>
        </w:rPr>
        <w:t>¼ useful life = 0,25 * 100 =25% depreciation rate /year</w:t>
      </w:r>
    </w:p>
    <w:p w:rsidR="00F8068A" w:rsidRPr="0008312A" w:rsidRDefault="00F8068A" w:rsidP="00F8068A">
      <w:pPr>
        <w:rPr>
          <w:rFonts w:cs="Times New Roman"/>
          <w:szCs w:val="24"/>
        </w:rPr>
      </w:pPr>
      <w:r>
        <w:rPr>
          <w:rFonts w:cs="Times New Roman"/>
          <w:szCs w:val="24"/>
        </w:rPr>
        <w:t xml:space="preserve">25% depreciation rate * 103 depreciable asset cost = £25.75 annual depreciation </w:t>
      </w:r>
    </w:p>
    <w:p w:rsidR="00F8068A" w:rsidRPr="0008312A" w:rsidRDefault="00F8068A" w:rsidP="00F8068A">
      <w:pPr>
        <w:rPr>
          <w:rFonts w:cs="Times New Roman"/>
          <w:szCs w:val="24"/>
        </w:rPr>
      </w:pPr>
      <w:r w:rsidRPr="0008312A">
        <w:rPr>
          <w:rFonts w:cs="Times New Roman"/>
          <w:szCs w:val="24"/>
        </w:rPr>
        <w:t>Total profit generated = 39.25 + 24.25 + 4.25 - 15.75 = 52</w:t>
      </w:r>
    </w:p>
    <w:p w:rsidR="00F8068A" w:rsidRDefault="00F8068A" w:rsidP="00F8068A">
      <w:pPr>
        <w:rPr>
          <w:rFonts w:cs="Times New Roman"/>
          <w:szCs w:val="24"/>
        </w:rPr>
      </w:pPr>
      <w:r w:rsidRPr="0008312A">
        <w:rPr>
          <w:rFonts w:cs="Times New Roman"/>
          <w:szCs w:val="24"/>
        </w:rPr>
        <w:t>Average amount invested = 103</w:t>
      </w:r>
    </w:p>
    <w:p w:rsidR="00F8068A" w:rsidRPr="0008312A" w:rsidRDefault="00F8068A" w:rsidP="00F8068A">
      <w:pPr>
        <w:rPr>
          <w:rFonts w:cs="Times New Roman"/>
          <w:szCs w:val="24"/>
        </w:rPr>
      </w:pPr>
    </w:p>
    <w:p w:rsidR="00F8068A" w:rsidRPr="00F8068A" w:rsidRDefault="00F8068A" w:rsidP="00F8068A">
      <w:pPr>
        <w:rPr>
          <w:rFonts w:ascii="Calibri" w:eastAsia="Calibri" w:hAnsi="Calibri" w:cs="Times New Roman"/>
        </w:rPr>
      </w:pPr>
      <m:oMathPara>
        <m:oMathParaPr>
          <m:jc m:val="left"/>
        </m:oMathParaPr>
        <m:oMath>
          <m:r>
            <m:rPr>
              <m:sty m:val="p"/>
            </m:rPr>
            <w:rPr>
              <w:rFonts w:ascii="Cambria Math" w:eastAsia="Calibri" w:hAnsi="Cambria Math" w:cs="Times New Roman"/>
            </w:rPr>
            <m:t>ARR=</m:t>
          </m:r>
          <m:f>
            <m:fPr>
              <m:ctrlPr>
                <w:rPr>
                  <w:rFonts w:ascii="Cambria Math" w:eastAsia="Calibri" w:hAnsi="Cambria Math" w:cs="Times New Roman"/>
                </w:rPr>
              </m:ctrlPr>
            </m:fPr>
            <m:num>
              <m:r>
                <m:rPr>
                  <m:sty m:val="p"/>
                </m:rPr>
                <w:rPr>
                  <w:rFonts w:ascii="Cambria Math" w:eastAsia="Calibri" w:hAnsi="Cambria Math" w:cs="Times New Roman"/>
                </w:rPr>
                <m:t>Average annual accounting profit</m:t>
              </m:r>
            </m:num>
            <m:den>
              <m:r>
                <m:rPr>
                  <m:sty m:val="p"/>
                </m:rPr>
                <w:rPr>
                  <w:rFonts w:ascii="Cambria Math" w:eastAsia="Calibri" w:hAnsi="Cambria Math" w:cs="Times New Roman"/>
                </w:rPr>
                <m:t>Innitial Investment</m:t>
              </m:r>
            </m:den>
          </m:f>
        </m:oMath>
      </m:oMathPara>
    </w:p>
    <w:p w:rsidR="00F8068A" w:rsidRDefault="00F8068A" w:rsidP="00F8068A">
      <w:pPr>
        <w:rPr>
          <w:rFonts w:cs="Times New Roman"/>
          <w:szCs w:val="24"/>
        </w:rPr>
      </w:pPr>
    </w:p>
    <w:p w:rsidR="00F8068A" w:rsidRPr="0008312A" w:rsidRDefault="00F8068A" w:rsidP="00F8068A">
      <w:pPr>
        <w:rPr>
          <w:rFonts w:cs="Times New Roman"/>
          <w:szCs w:val="24"/>
        </w:rPr>
      </w:pPr>
      <w:r w:rsidRPr="0008312A">
        <w:rPr>
          <w:rFonts w:cs="Times New Roman"/>
          <w:szCs w:val="24"/>
        </w:rPr>
        <w:t>= 52 / 103 * 100</w:t>
      </w:r>
    </w:p>
    <w:p w:rsidR="00F8068A" w:rsidRPr="0008312A" w:rsidRDefault="00F8068A" w:rsidP="00F8068A">
      <w:pPr>
        <w:rPr>
          <w:rFonts w:cs="Times New Roman"/>
          <w:szCs w:val="24"/>
        </w:rPr>
      </w:pPr>
      <w:r w:rsidRPr="0008312A">
        <w:rPr>
          <w:rFonts w:cs="Times New Roman"/>
          <w:szCs w:val="24"/>
        </w:rPr>
        <w:t>= 0.50485 * 100</w:t>
      </w:r>
    </w:p>
    <w:p w:rsidR="00F8068A" w:rsidRPr="000B1211" w:rsidRDefault="00F8068A" w:rsidP="00F8068A">
      <w:pPr>
        <w:rPr>
          <w:rFonts w:cs="Times New Roman"/>
          <w:szCs w:val="24"/>
        </w:rPr>
      </w:pPr>
      <w:r w:rsidRPr="0008312A">
        <w:rPr>
          <w:rFonts w:cs="Times New Roman"/>
          <w:szCs w:val="24"/>
        </w:rPr>
        <w:t>= 50.4</w:t>
      </w:r>
      <w:r w:rsidR="000B1211">
        <w:rPr>
          <w:rFonts w:cs="Times New Roman"/>
          <w:szCs w:val="24"/>
        </w:rPr>
        <w:t>9%</w:t>
      </w:r>
    </w:p>
    <w:p w:rsidR="00F8068A" w:rsidRDefault="00F8068A" w:rsidP="00F8068A">
      <w:pPr>
        <w:rPr>
          <w:rFonts w:cs="Times New Roman"/>
          <w:b/>
          <w:szCs w:val="24"/>
        </w:rPr>
      </w:pPr>
    </w:p>
    <w:p w:rsidR="00F8068A" w:rsidRDefault="00F8068A" w:rsidP="00F8068A">
      <w:pPr>
        <w:rPr>
          <w:rFonts w:cs="Times New Roman"/>
          <w:b/>
          <w:szCs w:val="24"/>
        </w:rPr>
      </w:pPr>
    </w:p>
    <w:p w:rsidR="00F8068A" w:rsidRPr="0008312A" w:rsidRDefault="00F8068A" w:rsidP="00F8068A">
      <w:pPr>
        <w:rPr>
          <w:rFonts w:cs="Times New Roman"/>
          <w:b/>
          <w:szCs w:val="24"/>
        </w:rPr>
      </w:pPr>
      <w:r w:rsidRPr="0008312A">
        <w:rPr>
          <w:rFonts w:cs="Times New Roman"/>
          <w:b/>
          <w:szCs w:val="24"/>
        </w:rPr>
        <w:lastRenderedPageBreak/>
        <w:t xml:space="preserve">Project B </w:t>
      </w:r>
    </w:p>
    <w:tbl>
      <w:tblPr>
        <w:tblStyle w:val="TableGrid"/>
        <w:tblW w:w="9541" w:type="dxa"/>
        <w:tblLook w:val="04A0" w:firstRow="1" w:lastRow="0" w:firstColumn="1" w:lastColumn="0" w:noHBand="0" w:noVBand="1"/>
      </w:tblPr>
      <w:tblGrid>
        <w:gridCol w:w="3346"/>
        <w:gridCol w:w="1486"/>
        <w:gridCol w:w="1486"/>
        <w:gridCol w:w="1662"/>
        <w:gridCol w:w="1561"/>
      </w:tblGrid>
      <w:tr w:rsidR="00F8068A" w:rsidRPr="0008312A" w:rsidTr="00FB7A9F">
        <w:trPr>
          <w:trHeight w:val="303"/>
        </w:trPr>
        <w:tc>
          <w:tcPr>
            <w:tcW w:w="0" w:type="auto"/>
          </w:tcPr>
          <w:p w:rsidR="00F8068A" w:rsidRPr="0008312A" w:rsidRDefault="00F8068A" w:rsidP="00FB7A9F">
            <w:pPr>
              <w:rPr>
                <w:rFonts w:cs="Times New Roman"/>
                <w:b/>
                <w:sz w:val="24"/>
                <w:szCs w:val="24"/>
              </w:rPr>
            </w:pPr>
            <w:r w:rsidRPr="0008312A">
              <w:rPr>
                <w:rFonts w:cs="Times New Roman"/>
                <w:b/>
                <w:sz w:val="24"/>
                <w:szCs w:val="24"/>
              </w:rPr>
              <w:t xml:space="preserve">Particulars </w:t>
            </w:r>
          </w:p>
        </w:tc>
        <w:tc>
          <w:tcPr>
            <w:tcW w:w="0" w:type="auto"/>
            <w:noWrap/>
            <w:hideMark/>
          </w:tcPr>
          <w:p w:rsidR="00F8068A" w:rsidRPr="0008312A" w:rsidRDefault="00F8068A" w:rsidP="00FB7A9F">
            <w:pPr>
              <w:rPr>
                <w:rFonts w:cs="Times New Roman"/>
                <w:b/>
                <w:sz w:val="24"/>
                <w:szCs w:val="24"/>
              </w:rPr>
            </w:pPr>
            <w:r w:rsidRPr="0008312A">
              <w:rPr>
                <w:rFonts w:cs="Times New Roman"/>
                <w:b/>
                <w:sz w:val="24"/>
                <w:szCs w:val="24"/>
              </w:rPr>
              <w:t xml:space="preserve">Year one </w:t>
            </w:r>
          </w:p>
        </w:tc>
        <w:tc>
          <w:tcPr>
            <w:tcW w:w="0" w:type="auto"/>
            <w:noWrap/>
            <w:hideMark/>
          </w:tcPr>
          <w:p w:rsidR="00F8068A" w:rsidRPr="0008312A" w:rsidRDefault="00F8068A" w:rsidP="00FB7A9F">
            <w:pPr>
              <w:rPr>
                <w:rFonts w:cs="Times New Roman"/>
                <w:b/>
                <w:sz w:val="24"/>
                <w:szCs w:val="24"/>
              </w:rPr>
            </w:pPr>
            <w:r w:rsidRPr="0008312A">
              <w:rPr>
                <w:rFonts w:cs="Times New Roman"/>
                <w:b/>
                <w:sz w:val="24"/>
                <w:szCs w:val="24"/>
              </w:rPr>
              <w:t xml:space="preserve">Year two </w:t>
            </w:r>
          </w:p>
        </w:tc>
        <w:tc>
          <w:tcPr>
            <w:tcW w:w="0" w:type="auto"/>
            <w:noWrap/>
            <w:hideMark/>
          </w:tcPr>
          <w:p w:rsidR="00F8068A" w:rsidRPr="0008312A" w:rsidRDefault="00F8068A" w:rsidP="00FB7A9F">
            <w:pPr>
              <w:rPr>
                <w:rFonts w:cs="Times New Roman"/>
                <w:b/>
                <w:sz w:val="24"/>
                <w:szCs w:val="24"/>
              </w:rPr>
            </w:pPr>
            <w:r w:rsidRPr="0008312A">
              <w:rPr>
                <w:rFonts w:cs="Times New Roman"/>
                <w:b/>
                <w:sz w:val="24"/>
                <w:szCs w:val="24"/>
              </w:rPr>
              <w:t xml:space="preserve">Year three </w:t>
            </w:r>
          </w:p>
        </w:tc>
        <w:tc>
          <w:tcPr>
            <w:tcW w:w="0" w:type="auto"/>
            <w:noWrap/>
            <w:hideMark/>
          </w:tcPr>
          <w:p w:rsidR="00F8068A" w:rsidRPr="0008312A" w:rsidRDefault="00F8068A" w:rsidP="00FB7A9F">
            <w:pPr>
              <w:rPr>
                <w:rFonts w:cs="Times New Roman"/>
                <w:b/>
                <w:sz w:val="24"/>
                <w:szCs w:val="24"/>
              </w:rPr>
            </w:pPr>
            <w:r w:rsidRPr="0008312A">
              <w:rPr>
                <w:rFonts w:cs="Times New Roman"/>
                <w:b/>
                <w:sz w:val="24"/>
                <w:szCs w:val="24"/>
              </w:rPr>
              <w:t xml:space="preserve">Year four </w:t>
            </w:r>
          </w:p>
        </w:tc>
      </w:tr>
      <w:tr w:rsidR="00F8068A" w:rsidRPr="0008312A" w:rsidTr="00FB7A9F">
        <w:trPr>
          <w:trHeight w:val="303"/>
        </w:trPr>
        <w:tc>
          <w:tcPr>
            <w:tcW w:w="0" w:type="auto"/>
          </w:tcPr>
          <w:p w:rsidR="00F8068A" w:rsidRPr="0008312A" w:rsidRDefault="00F8068A" w:rsidP="00FB7A9F">
            <w:pPr>
              <w:rPr>
                <w:rFonts w:cs="Times New Roman"/>
                <w:sz w:val="24"/>
                <w:szCs w:val="24"/>
              </w:rPr>
            </w:pPr>
            <w:r w:rsidRPr="0008312A">
              <w:rPr>
                <w:rFonts w:cs="Times New Roman"/>
                <w:sz w:val="24"/>
                <w:szCs w:val="24"/>
              </w:rPr>
              <w:t xml:space="preserve">Total yearly cash inflows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60.00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40.00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60.00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5.00 </w:t>
            </w:r>
          </w:p>
        </w:tc>
      </w:tr>
      <w:tr w:rsidR="00F8068A" w:rsidRPr="0008312A" w:rsidTr="00FB7A9F">
        <w:trPr>
          <w:trHeight w:val="303"/>
        </w:trPr>
        <w:tc>
          <w:tcPr>
            <w:tcW w:w="0" w:type="auto"/>
          </w:tcPr>
          <w:p w:rsidR="00F8068A" w:rsidRPr="0008312A" w:rsidRDefault="00F8068A" w:rsidP="00FB7A9F">
            <w:pPr>
              <w:rPr>
                <w:rFonts w:cs="Times New Roman"/>
                <w:sz w:val="24"/>
                <w:szCs w:val="24"/>
              </w:rPr>
            </w:pPr>
            <w:r w:rsidRPr="0008312A">
              <w:rPr>
                <w:rFonts w:cs="Times New Roman"/>
                <w:sz w:val="24"/>
                <w:szCs w:val="24"/>
              </w:rPr>
              <w:t xml:space="preserve">Less - Depreciation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2</w:t>
            </w:r>
            <w:r>
              <w:rPr>
                <w:rFonts w:cs="Times New Roman"/>
                <w:sz w:val="24"/>
                <w:szCs w:val="24"/>
              </w:rPr>
              <w:t>8</w:t>
            </w:r>
            <w:r w:rsidRPr="0008312A">
              <w:rPr>
                <w:rFonts w:cs="Times New Roman"/>
                <w:sz w:val="24"/>
                <w:szCs w:val="24"/>
              </w:rPr>
              <w:t>.</w:t>
            </w:r>
            <w:r>
              <w:rPr>
                <w:rFonts w:cs="Times New Roman"/>
                <w:sz w:val="24"/>
                <w:szCs w:val="24"/>
              </w:rPr>
              <w:t>75</w:t>
            </w:r>
            <w:r w:rsidRPr="0008312A">
              <w:rPr>
                <w:rFonts w:cs="Times New Roman"/>
                <w:sz w:val="24"/>
                <w:szCs w:val="24"/>
              </w:rPr>
              <w:t xml:space="preserve">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w:t>
            </w:r>
            <w:r>
              <w:rPr>
                <w:rFonts w:cs="Times New Roman"/>
                <w:sz w:val="24"/>
                <w:szCs w:val="24"/>
              </w:rPr>
              <w:t>28.75</w:t>
            </w:r>
            <w:r w:rsidRPr="0008312A">
              <w:rPr>
                <w:rFonts w:cs="Times New Roman"/>
                <w:sz w:val="24"/>
                <w:szCs w:val="24"/>
              </w:rPr>
              <w:t xml:space="preserve">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2</w:t>
            </w:r>
            <w:r>
              <w:rPr>
                <w:rFonts w:cs="Times New Roman"/>
                <w:sz w:val="24"/>
                <w:szCs w:val="24"/>
              </w:rPr>
              <w:t>8</w:t>
            </w:r>
            <w:r w:rsidRPr="0008312A">
              <w:rPr>
                <w:rFonts w:cs="Times New Roman"/>
                <w:sz w:val="24"/>
                <w:szCs w:val="24"/>
              </w:rPr>
              <w:t>.</w:t>
            </w:r>
            <w:r>
              <w:rPr>
                <w:rFonts w:cs="Times New Roman"/>
                <w:sz w:val="24"/>
                <w:szCs w:val="24"/>
              </w:rPr>
              <w:t>7</w:t>
            </w:r>
            <w:r w:rsidRPr="0008312A">
              <w:rPr>
                <w:rFonts w:cs="Times New Roman"/>
                <w:sz w:val="24"/>
                <w:szCs w:val="24"/>
              </w:rPr>
              <w:t xml:space="preserve">5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2</w:t>
            </w:r>
            <w:r>
              <w:rPr>
                <w:rFonts w:cs="Times New Roman"/>
                <w:sz w:val="24"/>
                <w:szCs w:val="24"/>
              </w:rPr>
              <w:t>8</w:t>
            </w:r>
            <w:r w:rsidRPr="0008312A">
              <w:rPr>
                <w:rFonts w:cs="Times New Roman"/>
                <w:sz w:val="24"/>
                <w:szCs w:val="24"/>
              </w:rPr>
              <w:t>.</w:t>
            </w:r>
            <w:r>
              <w:rPr>
                <w:rFonts w:cs="Times New Roman"/>
                <w:sz w:val="24"/>
                <w:szCs w:val="24"/>
              </w:rPr>
              <w:t>7</w:t>
            </w:r>
            <w:r w:rsidRPr="0008312A">
              <w:rPr>
                <w:rFonts w:cs="Times New Roman"/>
                <w:sz w:val="24"/>
                <w:szCs w:val="24"/>
              </w:rPr>
              <w:t xml:space="preserve">5 </w:t>
            </w:r>
          </w:p>
        </w:tc>
      </w:tr>
      <w:tr w:rsidR="00F8068A" w:rsidRPr="0008312A" w:rsidTr="00FB7A9F">
        <w:trPr>
          <w:trHeight w:val="303"/>
        </w:trPr>
        <w:tc>
          <w:tcPr>
            <w:tcW w:w="0" w:type="auto"/>
          </w:tcPr>
          <w:p w:rsidR="00F8068A" w:rsidRPr="0008312A" w:rsidRDefault="00F8068A" w:rsidP="00FB7A9F">
            <w:pPr>
              <w:rPr>
                <w:rFonts w:cs="Times New Roman"/>
                <w:sz w:val="24"/>
                <w:szCs w:val="24"/>
              </w:rPr>
            </w:pPr>
            <w:r w:rsidRPr="0008312A">
              <w:rPr>
                <w:rFonts w:cs="Times New Roman"/>
                <w:sz w:val="24"/>
                <w:szCs w:val="24"/>
              </w:rPr>
              <w:t xml:space="preserve">Average yearly profit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3</w:t>
            </w:r>
            <w:r>
              <w:rPr>
                <w:rFonts w:cs="Times New Roman"/>
                <w:sz w:val="24"/>
                <w:szCs w:val="24"/>
              </w:rPr>
              <w:t>1</w:t>
            </w:r>
            <w:r w:rsidRPr="0008312A">
              <w:rPr>
                <w:rFonts w:cs="Times New Roman"/>
                <w:sz w:val="24"/>
                <w:szCs w:val="24"/>
              </w:rPr>
              <w:t>.</w:t>
            </w:r>
            <w:r>
              <w:rPr>
                <w:rFonts w:cs="Times New Roman"/>
                <w:sz w:val="24"/>
                <w:szCs w:val="24"/>
              </w:rPr>
              <w:t>2</w:t>
            </w:r>
            <w:r w:rsidRPr="0008312A">
              <w:rPr>
                <w:rFonts w:cs="Times New Roman"/>
                <w:sz w:val="24"/>
                <w:szCs w:val="24"/>
              </w:rPr>
              <w:t xml:space="preserve">5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1</w:t>
            </w:r>
            <w:r>
              <w:rPr>
                <w:rFonts w:cs="Times New Roman"/>
                <w:sz w:val="24"/>
                <w:szCs w:val="24"/>
              </w:rPr>
              <w:t>1</w:t>
            </w:r>
            <w:r w:rsidRPr="0008312A">
              <w:rPr>
                <w:rFonts w:cs="Times New Roman"/>
                <w:sz w:val="24"/>
                <w:szCs w:val="24"/>
              </w:rPr>
              <w:t>.</w:t>
            </w:r>
            <w:r>
              <w:rPr>
                <w:rFonts w:cs="Times New Roman"/>
                <w:sz w:val="24"/>
                <w:szCs w:val="24"/>
              </w:rPr>
              <w:t>25</w:t>
            </w:r>
            <w:r w:rsidRPr="0008312A">
              <w:rPr>
                <w:rFonts w:cs="Times New Roman"/>
                <w:sz w:val="24"/>
                <w:szCs w:val="24"/>
              </w:rPr>
              <w:t xml:space="preserve">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xml:space="preserve"> £    3</w:t>
            </w:r>
            <w:r>
              <w:rPr>
                <w:rFonts w:cs="Times New Roman"/>
                <w:sz w:val="24"/>
                <w:szCs w:val="24"/>
              </w:rPr>
              <w:t>1</w:t>
            </w:r>
            <w:r w:rsidRPr="0008312A">
              <w:rPr>
                <w:rFonts w:cs="Times New Roman"/>
                <w:sz w:val="24"/>
                <w:szCs w:val="24"/>
              </w:rPr>
              <w:t>.</w:t>
            </w:r>
            <w:r>
              <w:rPr>
                <w:rFonts w:cs="Times New Roman"/>
                <w:sz w:val="24"/>
                <w:szCs w:val="24"/>
              </w:rPr>
              <w:t>25</w:t>
            </w:r>
            <w:r w:rsidRPr="0008312A">
              <w:rPr>
                <w:rFonts w:cs="Times New Roman"/>
                <w:sz w:val="24"/>
                <w:szCs w:val="24"/>
              </w:rPr>
              <w:t xml:space="preserve"> </w:t>
            </w:r>
          </w:p>
        </w:tc>
        <w:tc>
          <w:tcPr>
            <w:tcW w:w="0" w:type="auto"/>
            <w:noWrap/>
            <w:hideMark/>
          </w:tcPr>
          <w:p w:rsidR="00F8068A" w:rsidRPr="0008312A" w:rsidRDefault="00F8068A" w:rsidP="00FB7A9F">
            <w:pPr>
              <w:rPr>
                <w:rFonts w:cs="Times New Roman"/>
                <w:sz w:val="24"/>
                <w:szCs w:val="24"/>
              </w:rPr>
            </w:pPr>
            <w:r w:rsidRPr="0008312A">
              <w:rPr>
                <w:rFonts w:cs="Times New Roman"/>
                <w:sz w:val="24"/>
                <w:szCs w:val="24"/>
              </w:rPr>
              <w:t>-£    2</w:t>
            </w:r>
            <w:r>
              <w:rPr>
                <w:rFonts w:cs="Times New Roman"/>
                <w:sz w:val="24"/>
                <w:szCs w:val="24"/>
              </w:rPr>
              <w:t>3</w:t>
            </w:r>
            <w:r w:rsidRPr="0008312A">
              <w:rPr>
                <w:rFonts w:cs="Times New Roman"/>
                <w:sz w:val="24"/>
                <w:szCs w:val="24"/>
              </w:rPr>
              <w:t>.</w:t>
            </w:r>
            <w:r>
              <w:rPr>
                <w:rFonts w:cs="Times New Roman"/>
                <w:sz w:val="24"/>
                <w:szCs w:val="24"/>
              </w:rPr>
              <w:t>7</w:t>
            </w:r>
            <w:r w:rsidRPr="0008312A">
              <w:rPr>
                <w:rFonts w:cs="Times New Roman"/>
                <w:sz w:val="24"/>
                <w:szCs w:val="24"/>
              </w:rPr>
              <w:t xml:space="preserve">5 </w:t>
            </w:r>
          </w:p>
        </w:tc>
      </w:tr>
    </w:tbl>
    <w:p w:rsidR="00F8068A" w:rsidRPr="0008312A" w:rsidRDefault="00F8068A" w:rsidP="00F8068A">
      <w:pPr>
        <w:jc w:val="center"/>
        <w:rPr>
          <w:rFonts w:cs="Times New Roman"/>
          <w:szCs w:val="24"/>
        </w:rPr>
      </w:pPr>
      <w:r>
        <w:rPr>
          <w:rFonts w:cs="Times New Roman"/>
          <w:b/>
          <w:szCs w:val="24"/>
        </w:rPr>
        <w:t>Table 9</w:t>
      </w:r>
      <w:r w:rsidRPr="0008312A">
        <w:rPr>
          <w:rFonts w:cs="Times New Roman"/>
          <w:b/>
          <w:szCs w:val="24"/>
        </w:rPr>
        <w:t>: Table used for ARR calculation of Project B</w:t>
      </w:r>
    </w:p>
    <w:p w:rsidR="00F8068A" w:rsidRDefault="00F8068A" w:rsidP="00F8068A">
      <w:pPr>
        <w:rPr>
          <w:rFonts w:cs="Times New Roman"/>
          <w:szCs w:val="24"/>
        </w:rPr>
      </w:pPr>
    </w:p>
    <w:p w:rsidR="00F8068A" w:rsidRDefault="00F8068A" w:rsidP="00F8068A">
      <w:pPr>
        <w:rPr>
          <w:rFonts w:cs="Times New Roman"/>
          <w:szCs w:val="24"/>
        </w:rPr>
      </w:pPr>
      <w:r w:rsidRPr="0008312A">
        <w:rPr>
          <w:rFonts w:cs="Times New Roman"/>
          <w:szCs w:val="24"/>
        </w:rPr>
        <w:t xml:space="preserve">Thus, </w:t>
      </w:r>
    </w:p>
    <w:p w:rsidR="00F8068A" w:rsidRDefault="00F8068A" w:rsidP="00F8068A">
      <w:pPr>
        <w:rPr>
          <w:rFonts w:cs="Times New Roman"/>
          <w:szCs w:val="24"/>
        </w:rPr>
      </w:pPr>
      <w:r>
        <w:rPr>
          <w:rFonts w:cs="Times New Roman"/>
          <w:szCs w:val="24"/>
        </w:rPr>
        <w:t>Depreciation: purchase cost- scrap value = 115-0= 115 (depreciable asset cost of £103)</w:t>
      </w:r>
    </w:p>
    <w:p w:rsidR="00F8068A" w:rsidRDefault="00F8068A" w:rsidP="00F8068A">
      <w:pPr>
        <w:rPr>
          <w:rFonts w:cs="Times New Roman"/>
          <w:szCs w:val="24"/>
        </w:rPr>
      </w:pPr>
      <w:r>
        <w:rPr>
          <w:rFonts w:cs="Times New Roman"/>
          <w:szCs w:val="24"/>
        </w:rPr>
        <w:t>¼ useful life = 0,25 * 100 =25% depreciation rate /year</w:t>
      </w:r>
    </w:p>
    <w:p w:rsidR="00F8068A" w:rsidRPr="0008312A" w:rsidRDefault="00F8068A" w:rsidP="00F8068A">
      <w:pPr>
        <w:rPr>
          <w:rFonts w:cs="Times New Roman"/>
          <w:szCs w:val="24"/>
        </w:rPr>
      </w:pPr>
      <w:r>
        <w:rPr>
          <w:rFonts w:cs="Times New Roman"/>
          <w:szCs w:val="24"/>
        </w:rPr>
        <w:t xml:space="preserve">25% depreciation rate * 115 depreciable asset cost = £28.75 annual depreciation </w:t>
      </w:r>
    </w:p>
    <w:p w:rsidR="00F8068A" w:rsidRPr="0008312A" w:rsidRDefault="00F8068A" w:rsidP="00F8068A">
      <w:pPr>
        <w:rPr>
          <w:rFonts w:cs="Times New Roman"/>
          <w:szCs w:val="24"/>
        </w:rPr>
      </w:pPr>
      <w:r w:rsidRPr="0008312A">
        <w:rPr>
          <w:rFonts w:cs="Times New Roman"/>
          <w:szCs w:val="24"/>
        </w:rPr>
        <w:t>Total profit generated = 3</w:t>
      </w:r>
      <w:r>
        <w:rPr>
          <w:rFonts w:cs="Times New Roman"/>
          <w:szCs w:val="24"/>
        </w:rPr>
        <w:t>1</w:t>
      </w:r>
      <w:r w:rsidRPr="0008312A">
        <w:rPr>
          <w:rFonts w:cs="Times New Roman"/>
          <w:szCs w:val="24"/>
        </w:rPr>
        <w:t>.</w:t>
      </w:r>
      <w:r>
        <w:rPr>
          <w:rFonts w:cs="Times New Roman"/>
          <w:szCs w:val="24"/>
        </w:rPr>
        <w:t>25</w:t>
      </w:r>
      <w:r w:rsidRPr="0008312A">
        <w:rPr>
          <w:rFonts w:cs="Times New Roman"/>
          <w:szCs w:val="24"/>
        </w:rPr>
        <w:t xml:space="preserve"> + 1</w:t>
      </w:r>
      <w:r>
        <w:rPr>
          <w:rFonts w:cs="Times New Roman"/>
          <w:szCs w:val="24"/>
        </w:rPr>
        <w:t>1</w:t>
      </w:r>
      <w:r w:rsidRPr="0008312A">
        <w:rPr>
          <w:rFonts w:cs="Times New Roman"/>
          <w:szCs w:val="24"/>
        </w:rPr>
        <w:t>.</w:t>
      </w:r>
      <w:r>
        <w:rPr>
          <w:rFonts w:cs="Times New Roman"/>
          <w:szCs w:val="24"/>
        </w:rPr>
        <w:t>2</w:t>
      </w:r>
      <w:r w:rsidRPr="0008312A">
        <w:rPr>
          <w:rFonts w:cs="Times New Roman"/>
          <w:szCs w:val="24"/>
        </w:rPr>
        <w:t>5 + 3</w:t>
      </w:r>
      <w:r>
        <w:rPr>
          <w:rFonts w:cs="Times New Roman"/>
          <w:szCs w:val="24"/>
        </w:rPr>
        <w:t>1</w:t>
      </w:r>
      <w:r w:rsidRPr="0008312A">
        <w:rPr>
          <w:rFonts w:cs="Times New Roman"/>
          <w:szCs w:val="24"/>
        </w:rPr>
        <w:t>.</w:t>
      </w:r>
      <w:r>
        <w:rPr>
          <w:rFonts w:cs="Times New Roman"/>
          <w:szCs w:val="24"/>
        </w:rPr>
        <w:t>25</w:t>
      </w:r>
      <w:r w:rsidRPr="0008312A">
        <w:rPr>
          <w:rFonts w:cs="Times New Roman"/>
          <w:szCs w:val="24"/>
        </w:rPr>
        <w:t xml:space="preserve"> - 2</w:t>
      </w:r>
      <w:r>
        <w:rPr>
          <w:rFonts w:cs="Times New Roman"/>
          <w:szCs w:val="24"/>
        </w:rPr>
        <w:t>3</w:t>
      </w:r>
      <w:r w:rsidRPr="0008312A">
        <w:rPr>
          <w:rFonts w:cs="Times New Roman"/>
          <w:szCs w:val="24"/>
        </w:rPr>
        <w:t>.</w:t>
      </w:r>
      <w:r>
        <w:rPr>
          <w:rFonts w:cs="Times New Roman"/>
          <w:szCs w:val="24"/>
        </w:rPr>
        <w:t>7</w:t>
      </w:r>
      <w:r w:rsidRPr="0008312A">
        <w:rPr>
          <w:rFonts w:cs="Times New Roman"/>
          <w:szCs w:val="24"/>
        </w:rPr>
        <w:t xml:space="preserve">5 = </w:t>
      </w:r>
      <w:r>
        <w:rPr>
          <w:rFonts w:cs="Times New Roman"/>
          <w:szCs w:val="24"/>
        </w:rPr>
        <w:t>5</w:t>
      </w:r>
      <w:r w:rsidRPr="0008312A">
        <w:rPr>
          <w:rFonts w:cs="Times New Roman"/>
          <w:szCs w:val="24"/>
        </w:rPr>
        <w:t>0</w:t>
      </w:r>
    </w:p>
    <w:p w:rsidR="00F8068A" w:rsidRDefault="00F8068A" w:rsidP="00F8068A">
      <w:pPr>
        <w:rPr>
          <w:rFonts w:cs="Times New Roman"/>
          <w:szCs w:val="24"/>
        </w:rPr>
      </w:pPr>
      <w:r w:rsidRPr="0008312A">
        <w:rPr>
          <w:rFonts w:cs="Times New Roman"/>
          <w:szCs w:val="24"/>
        </w:rPr>
        <w:t>Average amount invested = 1</w:t>
      </w:r>
      <w:r>
        <w:rPr>
          <w:rFonts w:cs="Times New Roman"/>
          <w:szCs w:val="24"/>
        </w:rPr>
        <w:t>1</w:t>
      </w:r>
      <w:r w:rsidRPr="0008312A">
        <w:rPr>
          <w:rFonts w:cs="Times New Roman"/>
          <w:szCs w:val="24"/>
        </w:rPr>
        <w:t>5</w:t>
      </w:r>
    </w:p>
    <w:p w:rsidR="00F8068A" w:rsidRPr="0008312A" w:rsidRDefault="00F8068A" w:rsidP="00F8068A">
      <w:pPr>
        <w:rPr>
          <w:rFonts w:cs="Times New Roman"/>
          <w:szCs w:val="24"/>
        </w:rPr>
      </w:pPr>
    </w:p>
    <w:p w:rsidR="00F8068A" w:rsidRPr="00F8068A" w:rsidRDefault="00F8068A" w:rsidP="00F8068A">
      <w:pPr>
        <w:rPr>
          <w:rFonts w:ascii="Calibri" w:eastAsia="Calibri" w:hAnsi="Calibri" w:cs="Times New Roman"/>
        </w:rPr>
      </w:pPr>
      <m:oMathPara>
        <m:oMathParaPr>
          <m:jc m:val="left"/>
        </m:oMathParaPr>
        <m:oMath>
          <m:r>
            <m:rPr>
              <m:sty m:val="p"/>
            </m:rPr>
            <w:rPr>
              <w:rFonts w:ascii="Cambria Math" w:eastAsia="Calibri" w:hAnsi="Cambria Math" w:cs="Times New Roman"/>
            </w:rPr>
            <m:t>ARR=</m:t>
          </m:r>
          <m:f>
            <m:fPr>
              <m:ctrlPr>
                <w:rPr>
                  <w:rFonts w:ascii="Cambria Math" w:eastAsia="Calibri" w:hAnsi="Cambria Math" w:cs="Times New Roman"/>
                </w:rPr>
              </m:ctrlPr>
            </m:fPr>
            <m:num>
              <m:r>
                <m:rPr>
                  <m:sty m:val="p"/>
                </m:rPr>
                <w:rPr>
                  <w:rFonts w:ascii="Cambria Math" w:eastAsia="Calibri" w:hAnsi="Cambria Math" w:cs="Times New Roman"/>
                </w:rPr>
                <m:t>Average annual accounting profit</m:t>
              </m:r>
            </m:num>
            <m:den>
              <m:r>
                <m:rPr>
                  <m:sty m:val="p"/>
                </m:rPr>
                <w:rPr>
                  <w:rFonts w:ascii="Cambria Math" w:eastAsia="Calibri" w:hAnsi="Cambria Math" w:cs="Times New Roman"/>
                </w:rPr>
                <m:t>Innitial Investment</m:t>
              </m:r>
            </m:den>
          </m:f>
        </m:oMath>
      </m:oMathPara>
    </w:p>
    <w:p w:rsidR="00F8068A" w:rsidRPr="0008312A" w:rsidRDefault="00F8068A" w:rsidP="00F8068A">
      <w:pPr>
        <w:rPr>
          <w:rFonts w:cs="Times New Roman"/>
          <w:szCs w:val="24"/>
        </w:rPr>
      </w:pPr>
    </w:p>
    <w:p w:rsidR="00F8068A" w:rsidRPr="0008312A" w:rsidRDefault="00F8068A" w:rsidP="00F8068A">
      <w:pPr>
        <w:rPr>
          <w:rFonts w:cs="Times New Roman"/>
          <w:szCs w:val="24"/>
        </w:rPr>
      </w:pPr>
      <w:r w:rsidRPr="0008312A">
        <w:rPr>
          <w:rFonts w:cs="Times New Roman"/>
          <w:szCs w:val="24"/>
        </w:rPr>
        <w:t xml:space="preserve">= </w:t>
      </w:r>
      <w:r>
        <w:rPr>
          <w:rFonts w:cs="Times New Roman"/>
          <w:szCs w:val="24"/>
        </w:rPr>
        <w:t>5</w:t>
      </w:r>
      <w:r w:rsidRPr="0008312A">
        <w:rPr>
          <w:rFonts w:cs="Times New Roman"/>
          <w:szCs w:val="24"/>
        </w:rPr>
        <w:t>0 / 1</w:t>
      </w:r>
      <w:r>
        <w:rPr>
          <w:rFonts w:cs="Times New Roman"/>
          <w:szCs w:val="24"/>
        </w:rPr>
        <w:t>1</w:t>
      </w:r>
      <w:r w:rsidRPr="0008312A">
        <w:rPr>
          <w:rFonts w:cs="Times New Roman"/>
          <w:szCs w:val="24"/>
        </w:rPr>
        <w:t>5 * 100</w:t>
      </w:r>
    </w:p>
    <w:p w:rsidR="00F8068A" w:rsidRPr="0008312A" w:rsidRDefault="00F8068A" w:rsidP="00F8068A">
      <w:pPr>
        <w:rPr>
          <w:rFonts w:cs="Times New Roman"/>
          <w:szCs w:val="24"/>
        </w:rPr>
      </w:pPr>
      <w:r w:rsidRPr="0008312A">
        <w:rPr>
          <w:rFonts w:cs="Times New Roman"/>
          <w:szCs w:val="24"/>
        </w:rPr>
        <w:t>= 0.</w:t>
      </w:r>
      <w:r>
        <w:rPr>
          <w:rFonts w:cs="Times New Roman"/>
          <w:szCs w:val="24"/>
        </w:rPr>
        <w:t>43478</w:t>
      </w:r>
      <w:r w:rsidRPr="0008312A">
        <w:rPr>
          <w:rFonts w:cs="Times New Roman"/>
          <w:szCs w:val="24"/>
        </w:rPr>
        <w:t xml:space="preserve"> * 100</w:t>
      </w:r>
    </w:p>
    <w:p w:rsidR="00F8068A" w:rsidRPr="0008312A" w:rsidRDefault="00F8068A" w:rsidP="00F8068A">
      <w:pPr>
        <w:rPr>
          <w:rFonts w:cs="Times New Roman"/>
          <w:szCs w:val="24"/>
        </w:rPr>
      </w:pPr>
      <w:r w:rsidRPr="0008312A">
        <w:rPr>
          <w:rFonts w:cs="Times New Roman"/>
          <w:szCs w:val="24"/>
        </w:rPr>
        <w:t xml:space="preserve">= </w:t>
      </w:r>
      <w:r>
        <w:rPr>
          <w:rFonts w:cs="Times New Roman"/>
          <w:szCs w:val="24"/>
        </w:rPr>
        <w:t>43</w:t>
      </w:r>
      <w:r w:rsidRPr="0008312A">
        <w:rPr>
          <w:rFonts w:cs="Times New Roman"/>
          <w:szCs w:val="24"/>
        </w:rPr>
        <w:t>.</w:t>
      </w:r>
      <w:r>
        <w:rPr>
          <w:rFonts w:cs="Times New Roman"/>
          <w:szCs w:val="24"/>
        </w:rPr>
        <w:t>4</w:t>
      </w:r>
      <w:r w:rsidR="000B1211">
        <w:rPr>
          <w:rFonts w:cs="Times New Roman"/>
          <w:szCs w:val="24"/>
        </w:rPr>
        <w:t>7%</w:t>
      </w:r>
    </w:p>
    <w:p w:rsidR="00F8068A" w:rsidRPr="0008312A" w:rsidRDefault="00F8068A" w:rsidP="00F8068A">
      <w:pPr>
        <w:rPr>
          <w:rFonts w:cs="Times New Roman"/>
          <w:szCs w:val="24"/>
        </w:rPr>
      </w:pPr>
    </w:p>
    <w:p w:rsidR="00F8068A" w:rsidRDefault="00F8068A" w:rsidP="00F8068A">
      <w:pPr>
        <w:rPr>
          <w:rFonts w:cs="Times New Roman"/>
          <w:szCs w:val="24"/>
        </w:rPr>
      </w:pPr>
    </w:p>
    <w:p w:rsidR="001451A7" w:rsidRDefault="001451A7" w:rsidP="00F8068A">
      <w:pPr>
        <w:rPr>
          <w:rFonts w:cs="Times New Roman"/>
          <w:b/>
          <w:szCs w:val="24"/>
        </w:rPr>
      </w:pPr>
    </w:p>
    <w:p w:rsidR="00F8068A" w:rsidRPr="0008312A" w:rsidRDefault="00F8068A" w:rsidP="00F8068A">
      <w:pPr>
        <w:rPr>
          <w:rFonts w:cs="Times New Roman"/>
          <w:b/>
          <w:szCs w:val="24"/>
        </w:rPr>
      </w:pPr>
      <w:r w:rsidRPr="0008312A">
        <w:rPr>
          <w:rFonts w:cs="Times New Roman"/>
          <w:b/>
          <w:szCs w:val="24"/>
        </w:rPr>
        <w:lastRenderedPageBreak/>
        <w:t>Calculation of the Net Present Value (NPV)</w:t>
      </w:r>
    </w:p>
    <w:p w:rsidR="00F8068A" w:rsidRPr="0008312A" w:rsidRDefault="00F8068A" w:rsidP="00F8068A">
      <w:pPr>
        <w:rPr>
          <w:rFonts w:cs="Times New Roman"/>
          <w:szCs w:val="24"/>
        </w:rPr>
      </w:pPr>
      <w:r w:rsidRPr="0008312A">
        <w:rPr>
          <w:rFonts w:cs="Times New Roman"/>
          <w:szCs w:val="24"/>
        </w:rPr>
        <w:t xml:space="preserve">The distinction amongst an investment’s present worth or price of cash outflows and inflows indicating profitability that it generates is termed as net present value (Hopkinson, 2017). The formula utilised for NPV computation is as follows - </w:t>
      </w:r>
    </w:p>
    <w:p w:rsidR="00F8068A" w:rsidRPr="0008312A" w:rsidRDefault="00F8068A" w:rsidP="00F8068A">
      <w:pPr>
        <w:rPr>
          <w:rFonts w:cs="Times New Roman"/>
          <w:szCs w:val="24"/>
        </w:rPr>
      </w:pPr>
      <w:r w:rsidRPr="0008312A">
        <w:rPr>
          <w:rFonts w:cs="Times New Roman"/>
          <w:szCs w:val="24"/>
        </w:rPr>
        <w:t xml:space="preserve">NPV = Net present worth of inflows in cash - Net present worth of outflows in cash </w:t>
      </w:r>
    </w:p>
    <w:p w:rsidR="00F8068A" w:rsidRDefault="00F8068A" w:rsidP="00F8068A">
      <w:pPr>
        <w:rPr>
          <w:rFonts w:cs="Times New Roman"/>
          <w:szCs w:val="24"/>
        </w:rPr>
      </w:pPr>
      <w:r w:rsidRPr="0008312A">
        <w:rPr>
          <w:rFonts w:cs="Times New Roman"/>
          <w:szCs w:val="24"/>
        </w:rPr>
        <w:t xml:space="preserve">The net present value calculated for the two projects of </w:t>
      </w:r>
      <w:r>
        <w:rPr>
          <w:rFonts w:cs="Times New Roman"/>
          <w:szCs w:val="24"/>
        </w:rPr>
        <w:t xml:space="preserve">BT Group </w:t>
      </w:r>
      <w:r w:rsidRPr="0008312A">
        <w:rPr>
          <w:rFonts w:cs="Times New Roman"/>
          <w:szCs w:val="24"/>
        </w:rPr>
        <w:t>has been shown in the table below</w:t>
      </w:r>
      <w:r>
        <w:rPr>
          <w:rFonts w:cs="Times New Roman"/>
          <w:szCs w:val="24"/>
        </w:rPr>
        <w:t>:</w:t>
      </w:r>
    </w:p>
    <w:tbl>
      <w:tblPr>
        <w:tblStyle w:val="TableGrid"/>
        <w:tblW w:w="0" w:type="auto"/>
        <w:tblLayout w:type="fixed"/>
        <w:tblLook w:val="04A0" w:firstRow="1" w:lastRow="0" w:firstColumn="1" w:lastColumn="0" w:noHBand="0" w:noVBand="1"/>
      </w:tblPr>
      <w:tblGrid>
        <w:gridCol w:w="1548"/>
        <w:gridCol w:w="1530"/>
        <w:gridCol w:w="1710"/>
        <w:gridCol w:w="1620"/>
        <w:gridCol w:w="1530"/>
        <w:gridCol w:w="1638"/>
      </w:tblGrid>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p>
        </w:tc>
        <w:tc>
          <w:tcPr>
            <w:tcW w:w="1530" w:type="dxa"/>
          </w:tcPr>
          <w:p w:rsidR="00F8068A" w:rsidRPr="0008312A" w:rsidRDefault="00F8068A" w:rsidP="00FB7A9F">
            <w:pPr>
              <w:rPr>
                <w:rFonts w:cs="Times New Roman"/>
                <w:sz w:val="24"/>
                <w:szCs w:val="24"/>
              </w:rPr>
            </w:pPr>
          </w:p>
        </w:tc>
        <w:tc>
          <w:tcPr>
            <w:tcW w:w="3330" w:type="dxa"/>
            <w:gridSpan w:val="2"/>
            <w:noWrap/>
            <w:hideMark/>
          </w:tcPr>
          <w:p w:rsidR="00F8068A" w:rsidRPr="0008312A" w:rsidRDefault="00F8068A" w:rsidP="00FB7A9F">
            <w:pPr>
              <w:jc w:val="center"/>
              <w:rPr>
                <w:rFonts w:cs="Times New Roman"/>
                <w:b/>
                <w:sz w:val="24"/>
                <w:szCs w:val="24"/>
              </w:rPr>
            </w:pPr>
            <w:r w:rsidRPr="0008312A">
              <w:rPr>
                <w:rFonts w:cs="Times New Roman"/>
                <w:b/>
                <w:sz w:val="24"/>
                <w:szCs w:val="24"/>
              </w:rPr>
              <w:t>Project A</w:t>
            </w:r>
          </w:p>
        </w:tc>
        <w:tc>
          <w:tcPr>
            <w:tcW w:w="3168" w:type="dxa"/>
            <w:gridSpan w:val="2"/>
          </w:tcPr>
          <w:p w:rsidR="00F8068A" w:rsidRPr="0008312A" w:rsidRDefault="00F8068A" w:rsidP="00FB7A9F">
            <w:pPr>
              <w:jc w:val="center"/>
              <w:rPr>
                <w:rFonts w:cs="Times New Roman"/>
                <w:b/>
                <w:sz w:val="24"/>
                <w:szCs w:val="24"/>
              </w:rPr>
            </w:pPr>
            <w:r w:rsidRPr="0008312A">
              <w:rPr>
                <w:rFonts w:cs="Times New Roman"/>
                <w:b/>
                <w:sz w:val="24"/>
                <w:szCs w:val="24"/>
              </w:rPr>
              <w:t>Project B</w:t>
            </w:r>
          </w:p>
        </w:tc>
      </w:tr>
      <w:tr w:rsidR="00F8068A" w:rsidRPr="0008312A" w:rsidTr="00FB7A9F">
        <w:trPr>
          <w:trHeight w:val="300"/>
        </w:trPr>
        <w:tc>
          <w:tcPr>
            <w:tcW w:w="1548" w:type="dxa"/>
            <w:noWrap/>
            <w:hideMark/>
          </w:tcPr>
          <w:p w:rsidR="00F8068A" w:rsidRPr="0008312A" w:rsidRDefault="00F8068A" w:rsidP="00FB7A9F">
            <w:pPr>
              <w:rPr>
                <w:rFonts w:cs="Times New Roman"/>
                <w:b/>
                <w:sz w:val="24"/>
                <w:szCs w:val="24"/>
              </w:rPr>
            </w:pPr>
            <w:r w:rsidRPr="0008312A">
              <w:rPr>
                <w:rFonts w:cs="Times New Roman"/>
                <w:b/>
                <w:sz w:val="24"/>
                <w:szCs w:val="24"/>
              </w:rPr>
              <w:t xml:space="preserve">Year </w:t>
            </w:r>
          </w:p>
        </w:tc>
        <w:tc>
          <w:tcPr>
            <w:tcW w:w="1530" w:type="dxa"/>
          </w:tcPr>
          <w:p w:rsidR="00F8068A" w:rsidRPr="0008312A" w:rsidRDefault="00F8068A" w:rsidP="00FB7A9F">
            <w:pPr>
              <w:rPr>
                <w:rFonts w:cs="Times New Roman"/>
                <w:b/>
                <w:sz w:val="24"/>
                <w:szCs w:val="24"/>
              </w:rPr>
            </w:pPr>
            <w:r w:rsidRPr="0008312A">
              <w:rPr>
                <w:rFonts w:cs="Times New Roman"/>
                <w:b/>
                <w:sz w:val="24"/>
                <w:szCs w:val="24"/>
              </w:rPr>
              <w:t>Discounting factor at 8.73%</w:t>
            </w:r>
          </w:p>
        </w:tc>
        <w:tc>
          <w:tcPr>
            <w:tcW w:w="1710" w:type="dxa"/>
            <w:noWrap/>
            <w:hideMark/>
          </w:tcPr>
          <w:p w:rsidR="00F8068A" w:rsidRPr="0008312A" w:rsidRDefault="00F8068A" w:rsidP="00FB7A9F">
            <w:pPr>
              <w:jc w:val="center"/>
              <w:rPr>
                <w:rFonts w:cs="Times New Roman"/>
                <w:b/>
                <w:sz w:val="24"/>
                <w:szCs w:val="24"/>
              </w:rPr>
            </w:pPr>
            <w:r w:rsidRPr="0008312A">
              <w:rPr>
                <w:rFonts w:cs="Times New Roman"/>
                <w:b/>
                <w:sz w:val="24"/>
                <w:szCs w:val="24"/>
              </w:rPr>
              <w:t>Cash inflows from Project A</w:t>
            </w:r>
          </w:p>
        </w:tc>
        <w:tc>
          <w:tcPr>
            <w:tcW w:w="1620" w:type="dxa"/>
            <w:noWrap/>
            <w:hideMark/>
          </w:tcPr>
          <w:p w:rsidR="00F8068A" w:rsidRPr="0008312A" w:rsidRDefault="00F8068A" w:rsidP="00FB7A9F">
            <w:pPr>
              <w:jc w:val="center"/>
              <w:rPr>
                <w:rFonts w:cs="Times New Roman"/>
                <w:b/>
                <w:sz w:val="24"/>
                <w:szCs w:val="24"/>
              </w:rPr>
            </w:pPr>
            <w:r w:rsidRPr="0008312A">
              <w:rPr>
                <w:rFonts w:cs="Times New Roman"/>
                <w:b/>
                <w:sz w:val="24"/>
                <w:szCs w:val="24"/>
              </w:rPr>
              <w:t>Present value cash inflow from Project A</w:t>
            </w:r>
          </w:p>
        </w:tc>
        <w:tc>
          <w:tcPr>
            <w:tcW w:w="1530" w:type="dxa"/>
          </w:tcPr>
          <w:p w:rsidR="00F8068A" w:rsidRPr="0008312A" w:rsidRDefault="00F8068A" w:rsidP="00FB7A9F">
            <w:pPr>
              <w:jc w:val="center"/>
              <w:rPr>
                <w:rFonts w:cs="Times New Roman"/>
                <w:b/>
                <w:sz w:val="24"/>
                <w:szCs w:val="24"/>
              </w:rPr>
            </w:pPr>
            <w:r w:rsidRPr="0008312A">
              <w:rPr>
                <w:rFonts w:cs="Times New Roman"/>
                <w:b/>
                <w:sz w:val="24"/>
                <w:szCs w:val="24"/>
              </w:rPr>
              <w:t>Cash inflows from Project B</w:t>
            </w:r>
          </w:p>
        </w:tc>
        <w:tc>
          <w:tcPr>
            <w:tcW w:w="1638" w:type="dxa"/>
            <w:noWrap/>
            <w:hideMark/>
          </w:tcPr>
          <w:p w:rsidR="00F8068A" w:rsidRPr="0008312A" w:rsidRDefault="00F8068A" w:rsidP="00FB7A9F">
            <w:pPr>
              <w:jc w:val="center"/>
              <w:rPr>
                <w:rFonts w:cs="Times New Roman"/>
                <w:b/>
                <w:sz w:val="24"/>
                <w:szCs w:val="24"/>
              </w:rPr>
            </w:pPr>
            <w:r w:rsidRPr="0008312A">
              <w:rPr>
                <w:rFonts w:cs="Times New Roman"/>
                <w:b/>
                <w:sz w:val="24"/>
                <w:szCs w:val="24"/>
              </w:rPr>
              <w:t>Present value cash inflow from Project B</w:t>
            </w:r>
          </w:p>
        </w:tc>
      </w:tr>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r w:rsidRPr="0008312A">
              <w:rPr>
                <w:rFonts w:cs="Times New Roman"/>
                <w:sz w:val="24"/>
                <w:szCs w:val="24"/>
              </w:rPr>
              <w:t>0</w:t>
            </w:r>
          </w:p>
        </w:tc>
        <w:tc>
          <w:tcPr>
            <w:tcW w:w="1530" w:type="dxa"/>
          </w:tcPr>
          <w:p w:rsidR="00F8068A" w:rsidRPr="0008312A" w:rsidRDefault="00F8068A" w:rsidP="00FB7A9F">
            <w:pPr>
              <w:rPr>
                <w:rFonts w:cs="Times New Roman"/>
                <w:sz w:val="24"/>
                <w:szCs w:val="24"/>
              </w:rPr>
            </w:pPr>
            <w:r w:rsidRPr="0008312A">
              <w:rPr>
                <w:rFonts w:cs="Times New Roman"/>
                <w:sz w:val="24"/>
                <w:szCs w:val="24"/>
              </w:rPr>
              <w:t>1.0000</w:t>
            </w:r>
          </w:p>
        </w:tc>
        <w:tc>
          <w:tcPr>
            <w:tcW w:w="171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£ 103.00 </w:t>
            </w:r>
          </w:p>
        </w:tc>
        <w:tc>
          <w:tcPr>
            <w:tcW w:w="162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£ 103.00 </w:t>
            </w:r>
          </w:p>
        </w:tc>
        <w:tc>
          <w:tcPr>
            <w:tcW w:w="1530" w:type="dxa"/>
          </w:tcPr>
          <w:p w:rsidR="00F8068A" w:rsidRPr="0008312A" w:rsidRDefault="00F8068A" w:rsidP="00FB7A9F">
            <w:pPr>
              <w:rPr>
                <w:rFonts w:cs="Times New Roman"/>
                <w:sz w:val="24"/>
                <w:szCs w:val="24"/>
              </w:rPr>
            </w:pPr>
            <w:r w:rsidRPr="0008312A">
              <w:rPr>
                <w:rFonts w:cs="Times New Roman"/>
                <w:sz w:val="24"/>
                <w:szCs w:val="24"/>
              </w:rPr>
              <w:t>- £ 1</w:t>
            </w:r>
            <w:r w:rsidR="00FB7A9F">
              <w:rPr>
                <w:rFonts w:cs="Times New Roman"/>
                <w:sz w:val="24"/>
                <w:szCs w:val="24"/>
              </w:rPr>
              <w:t>1</w:t>
            </w:r>
            <w:r w:rsidRPr="0008312A">
              <w:rPr>
                <w:rFonts w:cs="Times New Roman"/>
                <w:sz w:val="24"/>
                <w:szCs w:val="24"/>
              </w:rPr>
              <w:t xml:space="preserve">5.00 </w:t>
            </w:r>
          </w:p>
        </w:tc>
        <w:tc>
          <w:tcPr>
            <w:tcW w:w="1638" w:type="dxa"/>
            <w:noWrap/>
            <w:hideMark/>
          </w:tcPr>
          <w:p w:rsidR="00F8068A" w:rsidRPr="0008312A" w:rsidRDefault="00F8068A" w:rsidP="00FB7A9F">
            <w:pPr>
              <w:rPr>
                <w:rFonts w:cs="Times New Roman"/>
                <w:sz w:val="24"/>
                <w:szCs w:val="24"/>
              </w:rPr>
            </w:pPr>
            <w:r w:rsidRPr="0008312A">
              <w:rPr>
                <w:rFonts w:cs="Times New Roman"/>
                <w:sz w:val="24"/>
                <w:szCs w:val="24"/>
              </w:rPr>
              <w:t>- £ 1</w:t>
            </w:r>
            <w:r w:rsidR="00FB7A9F">
              <w:rPr>
                <w:rFonts w:cs="Times New Roman"/>
                <w:sz w:val="24"/>
                <w:szCs w:val="24"/>
              </w:rPr>
              <w:t>1</w:t>
            </w:r>
            <w:r w:rsidRPr="0008312A">
              <w:rPr>
                <w:rFonts w:cs="Times New Roman"/>
                <w:sz w:val="24"/>
                <w:szCs w:val="24"/>
              </w:rPr>
              <w:t xml:space="preserve">5.00 </w:t>
            </w:r>
          </w:p>
        </w:tc>
      </w:tr>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r w:rsidRPr="0008312A">
              <w:rPr>
                <w:rFonts w:cs="Times New Roman"/>
                <w:sz w:val="24"/>
                <w:szCs w:val="24"/>
              </w:rPr>
              <w:t>Year one</w:t>
            </w:r>
          </w:p>
        </w:tc>
        <w:tc>
          <w:tcPr>
            <w:tcW w:w="1530" w:type="dxa"/>
          </w:tcPr>
          <w:p w:rsidR="00F8068A" w:rsidRPr="0008312A" w:rsidRDefault="00F8068A" w:rsidP="00FB7A9F">
            <w:pPr>
              <w:rPr>
                <w:rFonts w:cs="Times New Roman"/>
                <w:sz w:val="24"/>
                <w:szCs w:val="24"/>
              </w:rPr>
            </w:pPr>
            <w:r w:rsidRPr="0008312A">
              <w:rPr>
                <w:rFonts w:cs="Times New Roman"/>
                <w:sz w:val="24"/>
                <w:szCs w:val="24"/>
              </w:rPr>
              <w:t>0.9197</w:t>
            </w:r>
          </w:p>
        </w:tc>
        <w:tc>
          <w:tcPr>
            <w:tcW w:w="171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10.00 </w:t>
            </w:r>
          </w:p>
        </w:tc>
        <w:tc>
          <w:tcPr>
            <w:tcW w:w="162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9.20 </w:t>
            </w:r>
          </w:p>
        </w:tc>
        <w:tc>
          <w:tcPr>
            <w:tcW w:w="1530" w:type="dxa"/>
          </w:tcPr>
          <w:p w:rsidR="00F8068A" w:rsidRPr="0008312A" w:rsidRDefault="00F8068A" w:rsidP="00FB7A9F">
            <w:pPr>
              <w:rPr>
                <w:rFonts w:cs="Times New Roman"/>
                <w:sz w:val="24"/>
                <w:szCs w:val="24"/>
              </w:rPr>
            </w:pPr>
            <w:r w:rsidRPr="0008312A">
              <w:rPr>
                <w:rFonts w:cs="Times New Roman"/>
                <w:sz w:val="24"/>
                <w:szCs w:val="24"/>
              </w:rPr>
              <w:t xml:space="preserve"> £    60.00 </w:t>
            </w:r>
          </w:p>
        </w:tc>
        <w:tc>
          <w:tcPr>
            <w:tcW w:w="16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55.18 </w:t>
            </w:r>
          </w:p>
        </w:tc>
      </w:tr>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r w:rsidRPr="0008312A">
              <w:rPr>
                <w:rFonts w:cs="Times New Roman"/>
                <w:sz w:val="24"/>
                <w:szCs w:val="24"/>
              </w:rPr>
              <w:t>Year two</w:t>
            </w:r>
          </w:p>
        </w:tc>
        <w:tc>
          <w:tcPr>
            <w:tcW w:w="1530" w:type="dxa"/>
          </w:tcPr>
          <w:p w:rsidR="00F8068A" w:rsidRPr="0008312A" w:rsidRDefault="00F8068A" w:rsidP="00FB7A9F">
            <w:pPr>
              <w:rPr>
                <w:rFonts w:cs="Times New Roman"/>
                <w:sz w:val="24"/>
                <w:szCs w:val="24"/>
              </w:rPr>
            </w:pPr>
            <w:r w:rsidRPr="0008312A">
              <w:rPr>
                <w:rFonts w:cs="Times New Roman"/>
                <w:sz w:val="24"/>
                <w:szCs w:val="24"/>
              </w:rPr>
              <w:t>0.8459</w:t>
            </w:r>
          </w:p>
        </w:tc>
        <w:tc>
          <w:tcPr>
            <w:tcW w:w="171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30.00 </w:t>
            </w:r>
          </w:p>
        </w:tc>
        <w:tc>
          <w:tcPr>
            <w:tcW w:w="162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25.38 </w:t>
            </w:r>
          </w:p>
        </w:tc>
        <w:tc>
          <w:tcPr>
            <w:tcW w:w="1530" w:type="dxa"/>
          </w:tcPr>
          <w:p w:rsidR="00F8068A" w:rsidRPr="0008312A" w:rsidRDefault="00F8068A" w:rsidP="00FB7A9F">
            <w:pPr>
              <w:rPr>
                <w:rFonts w:cs="Times New Roman"/>
                <w:sz w:val="24"/>
                <w:szCs w:val="24"/>
              </w:rPr>
            </w:pPr>
            <w:r w:rsidRPr="0008312A">
              <w:rPr>
                <w:rFonts w:cs="Times New Roman"/>
                <w:sz w:val="24"/>
                <w:szCs w:val="24"/>
              </w:rPr>
              <w:t xml:space="preserve"> £    40.00 </w:t>
            </w:r>
          </w:p>
        </w:tc>
        <w:tc>
          <w:tcPr>
            <w:tcW w:w="16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33.</w:t>
            </w:r>
            <w:r w:rsidR="00FB7A9F">
              <w:rPr>
                <w:rFonts w:cs="Times New Roman"/>
                <w:sz w:val="24"/>
                <w:szCs w:val="24"/>
              </w:rPr>
              <w:t>90</w:t>
            </w:r>
          </w:p>
        </w:tc>
      </w:tr>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r w:rsidRPr="0008312A">
              <w:rPr>
                <w:rFonts w:cs="Times New Roman"/>
                <w:sz w:val="24"/>
                <w:szCs w:val="24"/>
              </w:rPr>
              <w:t xml:space="preserve">Year three </w:t>
            </w:r>
          </w:p>
        </w:tc>
        <w:tc>
          <w:tcPr>
            <w:tcW w:w="1530" w:type="dxa"/>
          </w:tcPr>
          <w:p w:rsidR="00F8068A" w:rsidRPr="0008312A" w:rsidRDefault="00F8068A" w:rsidP="00FB7A9F">
            <w:pPr>
              <w:rPr>
                <w:rFonts w:cs="Times New Roman"/>
                <w:sz w:val="24"/>
                <w:szCs w:val="24"/>
              </w:rPr>
            </w:pPr>
            <w:r w:rsidRPr="0008312A">
              <w:rPr>
                <w:rFonts w:cs="Times New Roman"/>
                <w:sz w:val="24"/>
                <w:szCs w:val="24"/>
              </w:rPr>
              <w:t>0.7780</w:t>
            </w:r>
          </w:p>
        </w:tc>
        <w:tc>
          <w:tcPr>
            <w:tcW w:w="171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50.00 </w:t>
            </w:r>
          </w:p>
        </w:tc>
        <w:tc>
          <w:tcPr>
            <w:tcW w:w="162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38.90 </w:t>
            </w:r>
          </w:p>
        </w:tc>
        <w:tc>
          <w:tcPr>
            <w:tcW w:w="1530" w:type="dxa"/>
          </w:tcPr>
          <w:p w:rsidR="00F8068A" w:rsidRPr="0008312A" w:rsidRDefault="00F8068A" w:rsidP="00FB7A9F">
            <w:pPr>
              <w:rPr>
                <w:rFonts w:cs="Times New Roman"/>
                <w:sz w:val="24"/>
                <w:szCs w:val="24"/>
              </w:rPr>
            </w:pPr>
            <w:r w:rsidRPr="0008312A">
              <w:rPr>
                <w:rFonts w:cs="Times New Roman"/>
                <w:sz w:val="24"/>
                <w:szCs w:val="24"/>
              </w:rPr>
              <w:t xml:space="preserve"> £    60.00 </w:t>
            </w:r>
          </w:p>
        </w:tc>
        <w:tc>
          <w:tcPr>
            <w:tcW w:w="16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46.</w:t>
            </w:r>
            <w:r w:rsidR="00FB7A9F">
              <w:rPr>
                <w:rFonts w:cs="Times New Roman"/>
                <w:sz w:val="24"/>
                <w:szCs w:val="24"/>
              </w:rPr>
              <w:t>51</w:t>
            </w:r>
          </w:p>
        </w:tc>
      </w:tr>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r w:rsidRPr="0008312A">
              <w:rPr>
                <w:rFonts w:cs="Times New Roman"/>
                <w:sz w:val="24"/>
                <w:szCs w:val="24"/>
              </w:rPr>
              <w:t>Year four</w:t>
            </w:r>
          </w:p>
        </w:tc>
        <w:tc>
          <w:tcPr>
            <w:tcW w:w="1530" w:type="dxa"/>
          </w:tcPr>
          <w:p w:rsidR="00F8068A" w:rsidRPr="0008312A" w:rsidRDefault="00F8068A" w:rsidP="00FB7A9F">
            <w:pPr>
              <w:rPr>
                <w:rFonts w:cs="Times New Roman"/>
                <w:sz w:val="24"/>
                <w:szCs w:val="24"/>
              </w:rPr>
            </w:pPr>
            <w:r w:rsidRPr="0008312A">
              <w:rPr>
                <w:rFonts w:cs="Times New Roman"/>
                <w:sz w:val="24"/>
                <w:szCs w:val="24"/>
              </w:rPr>
              <w:t>0.7155</w:t>
            </w:r>
          </w:p>
        </w:tc>
        <w:tc>
          <w:tcPr>
            <w:tcW w:w="171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65.00 </w:t>
            </w:r>
          </w:p>
        </w:tc>
        <w:tc>
          <w:tcPr>
            <w:tcW w:w="1620" w:type="dxa"/>
            <w:noWrap/>
            <w:hideMark/>
          </w:tcPr>
          <w:p w:rsidR="00F8068A" w:rsidRPr="0008312A" w:rsidRDefault="00F8068A" w:rsidP="00FB7A9F">
            <w:pPr>
              <w:rPr>
                <w:rFonts w:cs="Times New Roman"/>
                <w:sz w:val="24"/>
                <w:szCs w:val="24"/>
              </w:rPr>
            </w:pPr>
            <w:r w:rsidRPr="0008312A">
              <w:rPr>
                <w:rFonts w:cs="Times New Roman"/>
                <w:sz w:val="24"/>
                <w:szCs w:val="24"/>
              </w:rPr>
              <w:t xml:space="preserve"> £    46.51 </w:t>
            </w:r>
          </w:p>
        </w:tc>
        <w:tc>
          <w:tcPr>
            <w:tcW w:w="1530" w:type="dxa"/>
          </w:tcPr>
          <w:p w:rsidR="00F8068A" w:rsidRPr="0008312A" w:rsidRDefault="00F8068A" w:rsidP="00FB7A9F">
            <w:pPr>
              <w:rPr>
                <w:rFonts w:cs="Times New Roman"/>
                <w:sz w:val="24"/>
                <w:szCs w:val="24"/>
              </w:rPr>
            </w:pPr>
            <w:r w:rsidRPr="0008312A">
              <w:rPr>
                <w:rFonts w:cs="Times New Roman"/>
                <w:sz w:val="24"/>
                <w:szCs w:val="24"/>
              </w:rPr>
              <w:t xml:space="preserve"> £       5.00 </w:t>
            </w:r>
          </w:p>
        </w:tc>
        <w:tc>
          <w:tcPr>
            <w:tcW w:w="1638" w:type="dxa"/>
            <w:noWrap/>
            <w:hideMark/>
          </w:tcPr>
          <w:p w:rsidR="00F8068A" w:rsidRPr="0008312A" w:rsidRDefault="00F8068A" w:rsidP="00FB7A9F">
            <w:pPr>
              <w:rPr>
                <w:rFonts w:cs="Times New Roman"/>
                <w:sz w:val="24"/>
                <w:szCs w:val="24"/>
              </w:rPr>
            </w:pPr>
            <w:r w:rsidRPr="0008312A">
              <w:rPr>
                <w:rFonts w:cs="Times New Roman"/>
                <w:sz w:val="24"/>
                <w:szCs w:val="24"/>
              </w:rPr>
              <w:t xml:space="preserve"> £     3.5</w:t>
            </w:r>
            <w:r w:rsidR="00FB7A9F">
              <w:rPr>
                <w:rFonts w:cs="Times New Roman"/>
                <w:sz w:val="24"/>
                <w:szCs w:val="24"/>
              </w:rPr>
              <w:t>7</w:t>
            </w:r>
            <w:r w:rsidRPr="0008312A">
              <w:rPr>
                <w:rFonts w:cs="Times New Roman"/>
                <w:sz w:val="24"/>
                <w:szCs w:val="24"/>
              </w:rPr>
              <w:t xml:space="preserve"> </w:t>
            </w:r>
          </w:p>
        </w:tc>
      </w:tr>
      <w:tr w:rsidR="00F8068A" w:rsidRPr="0008312A" w:rsidTr="00FB7A9F">
        <w:trPr>
          <w:trHeight w:val="300"/>
        </w:trPr>
        <w:tc>
          <w:tcPr>
            <w:tcW w:w="1548" w:type="dxa"/>
            <w:noWrap/>
            <w:hideMark/>
          </w:tcPr>
          <w:p w:rsidR="00F8068A" w:rsidRPr="0008312A" w:rsidRDefault="00F8068A" w:rsidP="00FB7A9F">
            <w:pPr>
              <w:rPr>
                <w:rFonts w:cs="Times New Roman"/>
                <w:sz w:val="24"/>
                <w:szCs w:val="24"/>
              </w:rPr>
            </w:pPr>
          </w:p>
        </w:tc>
        <w:tc>
          <w:tcPr>
            <w:tcW w:w="1530" w:type="dxa"/>
          </w:tcPr>
          <w:p w:rsidR="00F8068A" w:rsidRPr="0008312A" w:rsidRDefault="00F8068A" w:rsidP="00FB7A9F">
            <w:pPr>
              <w:rPr>
                <w:rFonts w:cs="Times New Roman"/>
                <w:sz w:val="24"/>
                <w:szCs w:val="24"/>
                <w:highlight w:val="yellow"/>
              </w:rPr>
            </w:pPr>
          </w:p>
        </w:tc>
        <w:tc>
          <w:tcPr>
            <w:tcW w:w="3330" w:type="dxa"/>
            <w:gridSpan w:val="2"/>
            <w:noWrap/>
            <w:hideMark/>
          </w:tcPr>
          <w:p w:rsidR="00F8068A" w:rsidRPr="0008312A" w:rsidRDefault="00F8068A" w:rsidP="00FB7A9F">
            <w:pPr>
              <w:rPr>
                <w:rFonts w:cs="Times New Roman"/>
                <w:sz w:val="24"/>
                <w:szCs w:val="24"/>
              </w:rPr>
            </w:pPr>
            <w:r w:rsidRPr="0008312A">
              <w:rPr>
                <w:rFonts w:cs="Times New Roman"/>
                <w:sz w:val="24"/>
                <w:szCs w:val="24"/>
              </w:rPr>
              <w:t xml:space="preserve">NPV </w:t>
            </w:r>
          </w:p>
          <w:p w:rsidR="00F8068A" w:rsidRPr="0008312A" w:rsidRDefault="00F8068A" w:rsidP="00FB7A9F">
            <w:pPr>
              <w:rPr>
                <w:rFonts w:cs="Times New Roman"/>
                <w:sz w:val="24"/>
                <w:szCs w:val="24"/>
              </w:rPr>
            </w:pPr>
            <w:r w:rsidRPr="0008312A">
              <w:rPr>
                <w:rFonts w:cs="Times New Roman"/>
                <w:sz w:val="24"/>
                <w:szCs w:val="24"/>
              </w:rPr>
              <w:t>= (9.20 + 25.38 + 38.90 + 46.51) - 103</w:t>
            </w:r>
          </w:p>
          <w:p w:rsidR="00F8068A" w:rsidRPr="0008312A" w:rsidRDefault="00F8068A" w:rsidP="00FB7A9F">
            <w:pPr>
              <w:rPr>
                <w:rFonts w:cs="Times New Roman"/>
                <w:sz w:val="24"/>
                <w:szCs w:val="24"/>
              </w:rPr>
            </w:pPr>
            <w:r w:rsidRPr="0008312A">
              <w:rPr>
                <w:rFonts w:cs="Times New Roman"/>
                <w:sz w:val="24"/>
                <w:szCs w:val="24"/>
              </w:rPr>
              <w:t xml:space="preserve">= £16.98 </w:t>
            </w:r>
          </w:p>
        </w:tc>
        <w:tc>
          <w:tcPr>
            <w:tcW w:w="3168" w:type="dxa"/>
            <w:gridSpan w:val="2"/>
          </w:tcPr>
          <w:p w:rsidR="00F8068A" w:rsidRPr="0008312A" w:rsidRDefault="00F8068A" w:rsidP="00FB7A9F">
            <w:pPr>
              <w:rPr>
                <w:rFonts w:cs="Times New Roman"/>
                <w:sz w:val="24"/>
                <w:szCs w:val="24"/>
              </w:rPr>
            </w:pPr>
            <w:r w:rsidRPr="0008312A">
              <w:rPr>
                <w:rFonts w:cs="Times New Roman"/>
                <w:sz w:val="24"/>
                <w:szCs w:val="24"/>
              </w:rPr>
              <w:t xml:space="preserve"> NPV </w:t>
            </w:r>
          </w:p>
          <w:p w:rsidR="00F8068A" w:rsidRPr="0008312A" w:rsidRDefault="00F8068A" w:rsidP="00FB7A9F">
            <w:pPr>
              <w:rPr>
                <w:rFonts w:cs="Times New Roman"/>
                <w:sz w:val="24"/>
                <w:szCs w:val="24"/>
              </w:rPr>
            </w:pPr>
            <w:r w:rsidRPr="0008312A">
              <w:rPr>
                <w:rFonts w:cs="Times New Roman"/>
                <w:sz w:val="24"/>
                <w:szCs w:val="24"/>
              </w:rPr>
              <w:t>= (55.18 + 33.83 + 46.68 + 3.58) - 1</w:t>
            </w:r>
            <w:r>
              <w:rPr>
                <w:rFonts w:cs="Times New Roman"/>
                <w:sz w:val="24"/>
                <w:szCs w:val="24"/>
              </w:rPr>
              <w:t>1</w:t>
            </w:r>
            <w:r w:rsidRPr="0008312A">
              <w:rPr>
                <w:rFonts w:cs="Times New Roman"/>
                <w:sz w:val="24"/>
                <w:szCs w:val="24"/>
              </w:rPr>
              <w:t>5</w:t>
            </w:r>
          </w:p>
          <w:p w:rsidR="00F8068A" w:rsidRPr="0008312A" w:rsidRDefault="00F8068A" w:rsidP="00FB7A9F">
            <w:pPr>
              <w:rPr>
                <w:rFonts w:cs="Times New Roman"/>
                <w:sz w:val="24"/>
                <w:szCs w:val="24"/>
              </w:rPr>
            </w:pPr>
            <w:r w:rsidRPr="0008312A">
              <w:rPr>
                <w:rFonts w:cs="Times New Roman"/>
                <w:sz w:val="24"/>
                <w:szCs w:val="24"/>
              </w:rPr>
              <w:t>= £</w:t>
            </w:r>
            <w:r>
              <w:rPr>
                <w:rFonts w:cs="Times New Roman"/>
                <w:sz w:val="24"/>
                <w:szCs w:val="24"/>
              </w:rPr>
              <w:t>2</w:t>
            </w:r>
            <w:r w:rsidRPr="0008312A">
              <w:rPr>
                <w:rFonts w:cs="Times New Roman"/>
                <w:sz w:val="24"/>
                <w:szCs w:val="24"/>
              </w:rPr>
              <w:t xml:space="preserve">4.27 </w:t>
            </w:r>
          </w:p>
        </w:tc>
      </w:tr>
    </w:tbl>
    <w:p w:rsidR="00F8068A" w:rsidRPr="0008312A" w:rsidRDefault="00F8068A" w:rsidP="00F8068A">
      <w:pPr>
        <w:jc w:val="center"/>
        <w:rPr>
          <w:rFonts w:cs="Times New Roman"/>
          <w:szCs w:val="24"/>
        </w:rPr>
      </w:pPr>
      <w:r>
        <w:rPr>
          <w:rFonts w:cs="Times New Roman"/>
          <w:b/>
          <w:szCs w:val="24"/>
        </w:rPr>
        <w:t>Table 10</w:t>
      </w:r>
      <w:r w:rsidRPr="0008312A">
        <w:rPr>
          <w:rFonts w:cs="Times New Roman"/>
          <w:b/>
          <w:szCs w:val="24"/>
        </w:rPr>
        <w:t xml:space="preserve">: NPV calculations </w:t>
      </w:r>
    </w:p>
    <w:p w:rsidR="00F8068A" w:rsidRPr="0008312A" w:rsidRDefault="00F8068A" w:rsidP="00F8068A">
      <w:pPr>
        <w:rPr>
          <w:rFonts w:cs="Times New Roman"/>
          <w:szCs w:val="24"/>
        </w:rPr>
      </w:pPr>
    </w:p>
    <w:p w:rsidR="00F8068A" w:rsidRPr="0008312A" w:rsidRDefault="00F8068A" w:rsidP="00F8068A">
      <w:pPr>
        <w:rPr>
          <w:rFonts w:cs="Times New Roman"/>
          <w:szCs w:val="24"/>
        </w:rPr>
      </w:pPr>
    </w:p>
    <w:p w:rsidR="00F8068A" w:rsidRPr="0008312A" w:rsidRDefault="00F8068A" w:rsidP="0008312A">
      <w:pPr>
        <w:jc w:val="left"/>
        <w:rPr>
          <w:rFonts w:cs="Times New Roman"/>
          <w:szCs w:val="24"/>
        </w:rPr>
      </w:pPr>
    </w:p>
    <w:p w:rsidR="00526EEC" w:rsidRDefault="00526EEC" w:rsidP="00526EEC">
      <w:pPr>
        <w:rPr>
          <w:rFonts w:cs="Times New Roman"/>
          <w:b/>
          <w:szCs w:val="24"/>
        </w:rPr>
      </w:pPr>
    </w:p>
    <w:p w:rsidR="00526EEC" w:rsidRDefault="00526EEC" w:rsidP="00526EEC">
      <w:pPr>
        <w:rPr>
          <w:rFonts w:cs="Times New Roman"/>
          <w:b/>
          <w:szCs w:val="24"/>
        </w:rPr>
      </w:pPr>
    </w:p>
    <w:p w:rsidR="00526EEC" w:rsidRPr="0008312A" w:rsidRDefault="00526EEC" w:rsidP="00526EEC">
      <w:pPr>
        <w:rPr>
          <w:rFonts w:cs="Times New Roman"/>
          <w:b/>
          <w:szCs w:val="24"/>
        </w:rPr>
      </w:pPr>
      <w:r w:rsidRPr="0008312A">
        <w:rPr>
          <w:rFonts w:cs="Times New Roman"/>
          <w:b/>
          <w:szCs w:val="24"/>
        </w:rPr>
        <w:lastRenderedPageBreak/>
        <w:t>Calculation of the Internal Rate of Return (IRR)</w:t>
      </w:r>
    </w:p>
    <w:p w:rsidR="00526EEC" w:rsidRPr="0008312A" w:rsidRDefault="00526EEC" w:rsidP="00526EEC">
      <w:pPr>
        <w:rPr>
          <w:rFonts w:cs="Times New Roman"/>
          <w:szCs w:val="24"/>
        </w:rPr>
      </w:pPr>
      <w:r w:rsidRPr="0008312A">
        <w:rPr>
          <w:rFonts w:cs="Times New Roman"/>
          <w:szCs w:val="24"/>
        </w:rPr>
        <w:t>The internal rate of return relates to a metric utilised for the appraisal of an organisation’s investments that gives the rate of returns earned from a project (Patrick and French, 2016). As stated by Sneps-Sneppe (2017), the formula utilised for IRR computation is as follows -</w:t>
      </w:r>
    </w:p>
    <w:p w:rsidR="00526EEC" w:rsidRPr="0008312A" w:rsidRDefault="00526EEC" w:rsidP="00526EEC">
      <w:pPr>
        <w:rPr>
          <w:rFonts w:cs="Times New Roman"/>
          <w:szCs w:val="24"/>
        </w:rPr>
      </w:pPr>
      <w:r w:rsidRPr="0008312A">
        <w:rPr>
          <w:rFonts w:cs="Times New Roman"/>
          <w:szCs w:val="24"/>
        </w:rPr>
        <w:t>IRR = R</w:t>
      </w:r>
      <w:r>
        <w:rPr>
          <w:rFonts w:cs="Times New Roman"/>
          <w:szCs w:val="24"/>
        </w:rPr>
        <w:t>1</w:t>
      </w:r>
      <w:r w:rsidRPr="0008312A">
        <w:rPr>
          <w:rFonts w:cs="Times New Roman"/>
          <w:szCs w:val="24"/>
        </w:rPr>
        <w:t xml:space="preserve"> + (NPV</w:t>
      </w:r>
      <w:r>
        <w:rPr>
          <w:rFonts w:cs="Times New Roman"/>
          <w:szCs w:val="24"/>
        </w:rPr>
        <w:t>1</w:t>
      </w:r>
      <w:r w:rsidRPr="0008312A">
        <w:rPr>
          <w:rFonts w:cs="Times New Roman"/>
          <w:szCs w:val="24"/>
        </w:rPr>
        <w:t xml:space="preserve"> / NPV</w:t>
      </w:r>
      <w:r>
        <w:rPr>
          <w:rFonts w:cs="Times New Roman"/>
          <w:szCs w:val="24"/>
        </w:rPr>
        <w:t>1</w:t>
      </w:r>
      <w:r w:rsidRPr="0008312A">
        <w:rPr>
          <w:rFonts w:cs="Times New Roman"/>
          <w:szCs w:val="24"/>
        </w:rPr>
        <w:t xml:space="preserve"> </w:t>
      </w:r>
      <w:r>
        <w:rPr>
          <w:rFonts w:cs="Times New Roman"/>
          <w:szCs w:val="24"/>
        </w:rPr>
        <w:t>–</w:t>
      </w:r>
      <w:r w:rsidRPr="0008312A">
        <w:rPr>
          <w:rFonts w:cs="Times New Roman"/>
          <w:szCs w:val="24"/>
        </w:rPr>
        <w:t xml:space="preserve"> NPV</w:t>
      </w:r>
      <w:r w:rsidR="00A578A3">
        <w:rPr>
          <w:rFonts w:cs="Times New Roman"/>
          <w:szCs w:val="24"/>
        </w:rPr>
        <w:t>2</w:t>
      </w:r>
      <w:r w:rsidRPr="0008312A">
        <w:rPr>
          <w:rFonts w:cs="Times New Roman"/>
          <w:szCs w:val="24"/>
        </w:rPr>
        <w:t xml:space="preserve">) </w:t>
      </w:r>
      <w:r w:rsidR="00A578A3">
        <w:rPr>
          <w:rFonts w:cs="Times New Roman"/>
          <w:szCs w:val="24"/>
        </w:rPr>
        <w:t xml:space="preserve">* </w:t>
      </w:r>
      <w:r w:rsidRPr="0008312A">
        <w:rPr>
          <w:rFonts w:cs="Times New Roman"/>
          <w:szCs w:val="24"/>
        </w:rPr>
        <w:t>(R</w:t>
      </w:r>
      <w:r>
        <w:rPr>
          <w:rFonts w:cs="Times New Roman"/>
          <w:szCs w:val="24"/>
        </w:rPr>
        <w:t>2</w:t>
      </w:r>
      <w:r w:rsidRPr="0008312A">
        <w:rPr>
          <w:rFonts w:cs="Times New Roman"/>
          <w:szCs w:val="24"/>
        </w:rPr>
        <w:t xml:space="preserve"> </w:t>
      </w:r>
      <w:r>
        <w:rPr>
          <w:rFonts w:cs="Times New Roman"/>
          <w:szCs w:val="24"/>
        </w:rPr>
        <w:t>–</w:t>
      </w:r>
      <w:r w:rsidRPr="0008312A">
        <w:rPr>
          <w:rFonts w:cs="Times New Roman"/>
          <w:szCs w:val="24"/>
        </w:rPr>
        <w:t xml:space="preserve"> R</w:t>
      </w:r>
      <w:r>
        <w:rPr>
          <w:rFonts w:cs="Times New Roman"/>
          <w:szCs w:val="24"/>
        </w:rPr>
        <w:t>1</w:t>
      </w:r>
      <w:r w:rsidRPr="0008312A">
        <w:rPr>
          <w:rFonts w:cs="Times New Roman"/>
          <w:szCs w:val="24"/>
        </w:rPr>
        <w:t>)</w:t>
      </w:r>
    </w:p>
    <w:p w:rsidR="00526EEC" w:rsidRPr="0008312A" w:rsidRDefault="00526EEC" w:rsidP="00526EEC">
      <w:pPr>
        <w:rPr>
          <w:rFonts w:cs="Times New Roman"/>
          <w:szCs w:val="24"/>
        </w:rPr>
      </w:pPr>
      <w:r w:rsidRPr="0008312A">
        <w:rPr>
          <w:rFonts w:cs="Times New Roman"/>
          <w:szCs w:val="24"/>
        </w:rPr>
        <w:t xml:space="preserve">The internal rate of return calculated for the two projects of </w:t>
      </w:r>
      <w:r w:rsidR="00A8704D">
        <w:rPr>
          <w:rFonts w:cs="Times New Roman"/>
          <w:szCs w:val="24"/>
        </w:rPr>
        <w:t xml:space="preserve">BT Group </w:t>
      </w:r>
      <w:r w:rsidRPr="0008312A">
        <w:rPr>
          <w:rFonts w:cs="Times New Roman"/>
          <w:szCs w:val="24"/>
        </w:rPr>
        <w:t xml:space="preserve">has been done separately in the below section -  </w:t>
      </w:r>
    </w:p>
    <w:p w:rsidR="00526EEC" w:rsidRPr="0008312A" w:rsidRDefault="00526EEC" w:rsidP="00526EEC">
      <w:pPr>
        <w:rPr>
          <w:rFonts w:cs="Times New Roman"/>
          <w:b/>
          <w:szCs w:val="24"/>
        </w:rPr>
      </w:pPr>
      <w:r w:rsidRPr="0008312A">
        <w:rPr>
          <w:rFonts w:cs="Times New Roman"/>
          <w:b/>
          <w:szCs w:val="24"/>
        </w:rPr>
        <w:t xml:space="preserve">Project A </w:t>
      </w:r>
    </w:p>
    <w:tbl>
      <w:tblPr>
        <w:tblStyle w:val="TableGrid"/>
        <w:tblW w:w="5000" w:type="pct"/>
        <w:tblLayout w:type="fixed"/>
        <w:tblLook w:val="04A0" w:firstRow="1" w:lastRow="0" w:firstColumn="1" w:lastColumn="0" w:noHBand="0" w:noVBand="1"/>
      </w:tblPr>
      <w:tblGrid>
        <w:gridCol w:w="1548"/>
        <w:gridCol w:w="1710"/>
        <w:gridCol w:w="1440"/>
        <w:gridCol w:w="1710"/>
        <w:gridCol w:w="1350"/>
        <w:gridCol w:w="1818"/>
      </w:tblGrid>
      <w:tr w:rsidR="00526EEC" w:rsidRPr="0008312A" w:rsidTr="00FB7A9F">
        <w:trPr>
          <w:trHeight w:val="300"/>
        </w:trPr>
        <w:tc>
          <w:tcPr>
            <w:tcW w:w="808" w:type="pct"/>
            <w:noWrap/>
            <w:hideMark/>
          </w:tcPr>
          <w:p w:rsidR="00526EEC" w:rsidRPr="0008312A" w:rsidRDefault="00526EEC" w:rsidP="00FB7A9F">
            <w:pPr>
              <w:rPr>
                <w:rFonts w:cs="Times New Roman"/>
                <w:b/>
                <w:sz w:val="24"/>
                <w:szCs w:val="24"/>
              </w:rPr>
            </w:pPr>
            <w:r w:rsidRPr="0008312A">
              <w:rPr>
                <w:rFonts w:cs="Times New Roman"/>
                <w:b/>
                <w:sz w:val="24"/>
                <w:szCs w:val="24"/>
              </w:rPr>
              <w:t xml:space="preserve">Year </w:t>
            </w:r>
          </w:p>
        </w:tc>
        <w:tc>
          <w:tcPr>
            <w:tcW w:w="893" w:type="pct"/>
            <w:noWrap/>
            <w:hideMark/>
          </w:tcPr>
          <w:p w:rsidR="00526EEC" w:rsidRPr="0008312A" w:rsidRDefault="00526EEC" w:rsidP="00FB7A9F">
            <w:pPr>
              <w:rPr>
                <w:rFonts w:cs="Times New Roman"/>
                <w:b/>
                <w:sz w:val="24"/>
                <w:szCs w:val="24"/>
              </w:rPr>
            </w:pPr>
            <w:r w:rsidRPr="0008312A">
              <w:rPr>
                <w:rFonts w:cs="Times New Roman"/>
                <w:b/>
                <w:sz w:val="24"/>
                <w:szCs w:val="24"/>
              </w:rPr>
              <w:t>Cash inflows from Project A</w:t>
            </w:r>
          </w:p>
        </w:tc>
        <w:tc>
          <w:tcPr>
            <w:tcW w:w="752" w:type="pct"/>
            <w:noWrap/>
            <w:hideMark/>
          </w:tcPr>
          <w:p w:rsidR="00526EEC" w:rsidRPr="0008312A" w:rsidRDefault="00526EEC" w:rsidP="00FB7A9F">
            <w:pPr>
              <w:rPr>
                <w:rFonts w:cs="Times New Roman"/>
                <w:b/>
                <w:sz w:val="24"/>
                <w:szCs w:val="24"/>
              </w:rPr>
            </w:pPr>
            <w:r w:rsidRPr="0008312A">
              <w:rPr>
                <w:rFonts w:cs="Times New Roman"/>
                <w:b/>
                <w:sz w:val="24"/>
                <w:szCs w:val="24"/>
              </w:rPr>
              <w:t>Discounting factor at 8.73% (R</w:t>
            </w:r>
            <w:r>
              <w:rPr>
                <w:rFonts w:cs="Times New Roman"/>
                <w:b/>
                <w:sz w:val="24"/>
                <w:szCs w:val="24"/>
              </w:rPr>
              <w:t>1</w:t>
            </w:r>
            <w:r w:rsidRPr="0008312A">
              <w:rPr>
                <w:rFonts w:cs="Times New Roman"/>
                <w:b/>
                <w:sz w:val="24"/>
                <w:szCs w:val="24"/>
              </w:rPr>
              <w:t>)</w:t>
            </w:r>
          </w:p>
        </w:tc>
        <w:tc>
          <w:tcPr>
            <w:tcW w:w="893" w:type="pct"/>
            <w:noWrap/>
            <w:hideMark/>
          </w:tcPr>
          <w:p w:rsidR="00526EEC" w:rsidRPr="0008312A" w:rsidRDefault="00526EEC" w:rsidP="00FB7A9F">
            <w:pPr>
              <w:rPr>
                <w:rFonts w:cs="Times New Roman"/>
                <w:b/>
                <w:sz w:val="24"/>
                <w:szCs w:val="24"/>
              </w:rPr>
            </w:pPr>
            <w:r w:rsidRPr="0008312A">
              <w:rPr>
                <w:rFonts w:cs="Times New Roman"/>
                <w:b/>
                <w:sz w:val="24"/>
                <w:szCs w:val="24"/>
              </w:rPr>
              <w:t>Present value cash inflow at R</w:t>
            </w:r>
            <w:r>
              <w:rPr>
                <w:rFonts w:cs="Times New Roman"/>
                <w:b/>
                <w:sz w:val="24"/>
                <w:szCs w:val="24"/>
              </w:rPr>
              <w:t>1</w:t>
            </w:r>
          </w:p>
        </w:tc>
        <w:tc>
          <w:tcPr>
            <w:tcW w:w="705" w:type="pct"/>
            <w:noWrap/>
            <w:hideMark/>
          </w:tcPr>
          <w:p w:rsidR="00526EEC" w:rsidRPr="0008312A" w:rsidRDefault="00526EEC" w:rsidP="00FB7A9F">
            <w:pPr>
              <w:rPr>
                <w:rFonts w:cs="Times New Roman"/>
                <w:b/>
                <w:sz w:val="24"/>
                <w:szCs w:val="24"/>
              </w:rPr>
            </w:pPr>
            <w:r w:rsidRPr="0008312A">
              <w:rPr>
                <w:rFonts w:cs="Times New Roman"/>
                <w:b/>
                <w:sz w:val="24"/>
                <w:szCs w:val="24"/>
              </w:rPr>
              <w:t>Discounting factor at 1</w:t>
            </w:r>
            <w:r w:rsidR="00A578A3">
              <w:rPr>
                <w:rFonts w:cs="Times New Roman"/>
                <w:b/>
                <w:sz w:val="24"/>
                <w:szCs w:val="24"/>
              </w:rPr>
              <w:t>5</w:t>
            </w:r>
            <w:r w:rsidRPr="0008312A">
              <w:rPr>
                <w:rFonts w:cs="Times New Roman"/>
                <w:b/>
                <w:sz w:val="24"/>
                <w:szCs w:val="24"/>
              </w:rPr>
              <w:t>% (R</w:t>
            </w:r>
            <w:r>
              <w:rPr>
                <w:rFonts w:cs="Times New Roman"/>
                <w:b/>
                <w:sz w:val="24"/>
                <w:szCs w:val="24"/>
              </w:rPr>
              <w:t>2</w:t>
            </w:r>
            <w:r w:rsidRPr="0008312A">
              <w:rPr>
                <w:rFonts w:cs="Times New Roman"/>
                <w:b/>
                <w:sz w:val="24"/>
                <w:szCs w:val="24"/>
              </w:rPr>
              <w:t>)</w:t>
            </w:r>
          </w:p>
        </w:tc>
        <w:tc>
          <w:tcPr>
            <w:tcW w:w="949" w:type="pct"/>
          </w:tcPr>
          <w:p w:rsidR="00526EEC" w:rsidRPr="0008312A" w:rsidRDefault="00526EEC" w:rsidP="00FB7A9F">
            <w:pPr>
              <w:rPr>
                <w:rFonts w:cs="Times New Roman"/>
                <w:b/>
                <w:sz w:val="24"/>
                <w:szCs w:val="24"/>
              </w:rPr>
            </w:pPr>
            <w:r w:rsidRPr="0008312A">
              <w:rPr>
                <w:rFonts w:cs="Times New Roman"/>
                <w:b/>
                <w:sz w:val="24"/>
                <w:szCs w:val="24"/>
              </w:rPr>
              <w:t>Present value cash inflow at R</w:t>
            </w:r>
            <w:r>
              <w:rPr>
                <w:rFonts w:cs="Times New Roman"/>
                <w:b/>
                <w:sz w:val="24"/>
                <w:szCs w:val="24"/>
              </w:rPr>
              <w:t>2</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0</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£ 103.00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1.0000</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£ 103.00 </w:t>
            </w:r>
          </w:p>
        </w:tc>
        <w:tc>
          <w:tcPr>
            <w:tcW w:w="705" w:type="pct"/>
            <w:noWrap/>
            <w:hideMark/>
          </w:tcPr>
          <w:p w:rsidR="00526EEC" w:rsidRPr="0008312A" w:rsidRDefault="00526EEC" w:rsidP="00FB7A9F">
            <w:pPr>
              <w:rPr>
                <w:rFonts w:cs="Times New Roman"/>
                <w:sz w:val="24"/>
                <w:szCs w:val="24"/>
              </w:rPr>
            </w:pPr>
            <w:r w:rsidRPr="0008312A">
              <w:rPr>
                <w:rFonts w:cs="Times New Roman"/>
                <w:sz w:val="24"/>
                <w:szCs w:val="24"/>
              </w:rPr>
              <w:t>1.0000</w:t>
            </w:r>
          </w:p>
        </w:tc>
        <w:tc>
          <w:tcPr>
            <w:tcW w:w="949" w:type="pct"/>
            <w:noWrap/>
            <w:hideMark/>
          </w:tcPr>
          <w:p w:rsidR="00526EEC" w:rsidRPr="0008312A" w:rsidRDefault="00526EEC" w:rsidP="00A578A3">
            <w:pPr>
              <w:rPr>
                <w:rFonts w:cs="Times New Roman"/>
                <w:sz w:val="24"/>
                <w:szCs w:val="24"/>
              </w:rPr>
            </w:pPr>
            <w:r w:rsidRPr="0008312A">
              <w:rPr>
                <w:rFonts w:cs="Times New Roman"/>
                <w:sz w:val="24"/>
                <w:szCs w:val="24"/>
              </w:rPr>
              <w:t>- £ 103.00</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Year one</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10.00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0.9197</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9.20 </w:t>
            </w:r>
          </w:p>
        </w:tc>
        <w:tc>
          <w:tcPr>
            <w:tcW w:w="705" w:type="pct"/>
            <w:noWrap/>
            <w:hideMark/>
          </w:tcPr>
          <w:p w:rsidR="00526EEC" w:rsidRPr="0008312A" w:rsidRDefault="00A578A3" w:rsidP="00FB7A9F">
            <w:pPr>
              <w:rPr>
                <w:rFonts w:cs="Times New Roman"/>
                <w:sz w:val="24"/>
                <w:szCs w:val="24"/>
              </w:rPr>
            </w:pPr>
            <w:r>
              <w:rPr>
                <w:rFonts w:cs="Times New Roman"/>
                <w:sz w:val="24"/>
                <w:szCs w:val="24"/>
              </w:rPr>
              <w:t>8.695</w:t>
            </w:r>
          </w:p>
        </w:tc>
        <w:tc>
          <w:tcPr>
            <w:tcW w:w="949" w:type="pct"/>
            <w:noWrap/>
            <w:hideMark/>
          </w:tcPr>
          <w:p w:rsidR="00526EEC" w:rsidRPr="0008312A" w:rsidRDefault="00526EEC" w:rsidP="00A578A3">
            <w:pPr>
              <w:rPr>
                <w:rFonts w:cs="Times New Roman"/>
                <w:sz w:val="24"/>
                <w:szCs w:val="24"/>
              </w:rPr>
            </w:pPr>
            <w:r w:rsidRPr="0008312A">
              <w:rPr>
                <w:rFonts w:cs="Times New Roman"/>
                <w:sz w:val="24"/>
                <w:szCs w:val="24"/>
              </w:rPr>
              <w:t>£    8.</w:t>
            </w:r>
            <w:r w:rsidR="00A578A3">
              <w:rPr>
                <w:rFonts w:cs="Times New Roman"/>
                <w:sz w:val="24"/>
                <w:szCs w:val="24"/>
              </w:rPr>
              <w:t>6</w:t>
            </w:r>
            <w:r w:rsidRPr="0008312A">
              <w:rPr>
                <w:rFonts w:cs="Times New Roman"/>
                <w:sz w:val="24"/>
                <w:szCs w:val="24"/>
              </w:rPr>
              <w:t>9</w:t>
            </w:r>
            <w:r w:rsidR="00A578A3">
              <w:rPr>
                <w:rFonts w:cs="Times New Roman"/>
                <w:sz w:val="24"/>
                <w:szCs w:val="24"/>
              </w:rPr>
              <w:t>5</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Year two</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30.00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0.8459</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25.38 </w:t>
            </w:r>
          </w:p>
        </w:tc>
        <w:tc>
          <w:tcPr>
            <w:tcW w:w="705" w:type="pct"/>
            <w:noWrap/>
            <w:hideMark/>
          </w:tcPr>
          <w:p w:rsidR="00526EEC" w:rsidRPr="0008312A" w:rsidRDefault="00A578A3" w:rsidP="00FB7A9F">
            <w:pPr>
              <w:rPr>
                <w:rFonts w:cs="Times New Roman"/>
                <w:sz w:val="24"/>
                <w:szCs w:val="24"/>
              </w:rPr>
            </w:pPr>
            <w:r>
              <w:rPr>
                <w:rFonts w:cs="Times New Roman"/>
                <w:sz w:val="24"/>
                <w:szCs w:val="24"/>
              </w:rPr>
              <w:t>1.3225</w:t>
            </w:r>
          </w:p>
        </w:tc>
        <w:tc>
          <w:tcPr>
            <w:tcW w:w="949" w:type="pct"/>
            <w:noWrap/>
            <w:hideMark/>
          </w:tcPr>
          <w:p w:rsidR="00526EEC" w:rsidRPr="0008312A" w:rsidRDefault="00526EEC" w:rsidP="00A578A3">
            <w:pPr>
              <w:rPr>
                <w:rFonts w:cs="Times New Roman"/>
                <w:sz w:val="24"/>
                <w:szCs w:val="24"/>
              </w:rPr>
            </w:pPr>
            <w:r w:rsidRPr="0008312A">
              <w:rPr>
                <w:rFonts w:cs="Times New Roman"/>
                <w:sz w:val="24"/>
                <w:szCs w:val="24"/>
              </w:rPr>
              <w:t>£    2</w:t>
            </w:r>
            <w:r w:rsidR="00A578A3">
              <w:rPr>
                <w:rFonts w:cs="Times New Roman"/>
                <w:sz w:val="24"/>
                <w:szCs w:val="24"/>
              </w:rPr>
              <w:t>2</w:t>
            </w:r>
            <w:r w:rsidRPr="0008312A">
              <w:rPr>
                <w:rFonts w:cs="Times New Roman"/>
                <w:sz w:val="24"/>
                <w:szCs w:val="24"/>
              </w:rPr>
              <w:t>.</w:t>
            </w:r>
            <w:r w:rsidR="00A578A3">
              <w:rPr>
                <w:rFonts w:cs="Times New Roman"/>
                <w:sz w:val="24"/>
                <w:szCs w:val="24"/>
              </w:rPr>
              <w:t>68</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 xml:space="preserve">Year three </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50.00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0.7780</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38.90 </w:t>
            </w:r>
          </w:p>
        </w:tc>
        <w:tc>
          <w:tcPr>
            <w:tcW w:w="705" w:type="pct"/>
            <w:noWrap/>
            <w:hideMark/>
          </w:tcPr>
          <w:p w:rsidR="00526EEC" w:rsidRPr="0008312A" w:rsidRDefault="00A578A3" w:rsidP="00FB7A9F">
            <w:pPr>
              <w:rPr>
                <w:rFonts w:cs="Times New Roman"/>
                <w:sz w:val="24"/>
                <w:szCs w:val="24"/>
              </w:rPr>
            </w:pPr>
            <w:r>
              <w:rPr>
                <w:rFonts w:cs="Times New Roman"/>
                <w:sz w:val="24"/>
                <w:szCs w:val="24"/>
              </w:rPr>
              <w:t>1.521</w:t>
            </w:r>
          </w:p>
        </w:tc>
        <w:tc>
          <w:tcPr>
            <w:tcW w:w="949" w:type="pct"/>
            <w:noWrap/>
            <w:hideMark/>
          </w:tcPr>
          <w:p w:rsidR="00526EEC" w:rsidRPr="0008312A" w:rsidRDefault="00526EEC" w:rsidP="00A578A3">
            <w:pPr>
              <w:rPr>
                <w:rFonts w:cs="Times New Roman"/>
                <w:sz w:val="24"/>
                <w:szCs w:val="24"/>
              </w:rPr>
            </w:pPr>
            <w:r w:rsidRPr="0008312A">
              <w:rPr>
                <w:rFonts w:cs="Times New Roman"/>
                <w:sz w:val="24"/>
                <w:szCs w:val="24"/>
              </w:rPr>
              <w:t>£    3</w:t>
            </w:r>
            <w:r w:rsidR="00A578A3">
              <w:rPr>
                <w:rFonts w:cs="Times New Roman"/>
                <w:sz w:val="24"/>
                <w:szCs w:val="24"/>
              </w:rPr>
              <w:t>2</w:t>
            </w:r>
            <w:r w:rsidRPr="0008312A">
              <w:rPr>
                <w:rFonts w:cs="Times New Roman"/>
                <w:sz w:val="24"/>
                <w:szCs w:val="24"/>
              </w:rPr>
              <w:t>.</w:t>
            </w:r>
            <w:r w:rsidR="00A578A3">
              <w:rPr>
                <w:rFonts w:cs="Times New Roman"/>
                <w:sz w:val="24"/>
                <w:szCs w:val="24"/>
              </w:rPr>
              <w:t>873</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Year four</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65.00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0.7155</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46.51 </w:t>
            </w:r>
          </w:p>
        </w:tc>
        <w:tc>
          <w:tcPr>
            <w:tcW w:w="705" w:type="pct"/>
            <w:noWrap/>
            <w:hideMark/>
          </w:tcPr>
          <w:p w:rsidR="00526EEC" w:rsidRPr="0008312A" w:rsidRDefault="00A578A3" w:rsidP="00FB7A9F">
            <w:pPr>
              <w:rPr>
                <w:rFonts w:cs="Times New Roman"/>
                <w:sz w:val="24"/>
                <w:szCs w:val="24"/>
              </w:rPr>
            </w:pPr>
            <w:r>
              <w:rPr>
                <w:rFonts w:cs="Times New Roman"/>
                <w:sz w:val="24"/>
                <w:szCs w:val="24"/>
              </w:rPr>
              <w:t>1.75</w:t>
            </w:r>
          </w:p>
        </w:tc>
        <w:tc>
          <w:tcPr>
            <w:tcW w:w="949" w:type="pct"/>
            <w:noWrap/>
            <w:hideMark/>
          </w:tcPr>
          <w:p w:rsidR="00526EEC" w:rsidRPr="0008312A" w:rsidRDefault="00526EEC" w:rsidP="00A578A3">
            <w:pPr>
              <w:rPr>
                <w:rFonts w:cs="Times New Roman"/>
                <w:sz w:val="24"/>
                <w:szCs w:val="24"/>
              </w:rPr>
            </w:pPr>
            <w:r w:rsidRPr="0008312A">
              <w:rPr>
                <w:rFonts w:cs="Times New Roman"/>
                <w:sz w:val="24"/>
                <w:szCs w:val="24"/>
              </w:rPr>
              <w:t xml:space="preserve">£    </w:t>
            </w:r>
            <w:r w:rsidR="00A578A3">
              <w:rPr>
                <w:rFonts w:cs="Times New Roman"/>
                <w:sz w:val="24"/>
                <w:szCs w:val="24"/>
              </w:rPr>
              <w:t>37</w:t>
            </w:r>
            <w:r w:rsidRPr="0008312A">
              <w:rPr>
                <w:rFonts w:cs="Times New Roman"/>
                <w:sz w:val="24"/>
                <w:szCs w:val="24"/>
              </w:rPr>
              <w:t>.1</w:t>
            </w:r>
            <w:r w:rsidR="00A578A3">
              <w:rPr>
                <w:rFonts w:cs="Times New Roman"/>
                <w:sz w:val="24"/>
                <w:szCs w:val="24"/>
              </w:rPr>
              <w:t>4</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NPV</w:t>
            </w:r>
          </w:p>
        </w:tc>
        <w:tc>
          <w:tcPr>
            <w:tcW w:w="893" w:type="pct"/>
            <w:noWrap/>
            <w:hideMark/>
          </w:tcPr>
          <w:p w:rsidR="00526EEC" w:rsidRPr="0008312A" w:rsidRDefault="00526EEC" w:rsidP="00FB7A9F">
            <w:pPr>
              <w:rPr>
                <w:rFonts w:cs="Times New Roman"/>
                <w:sz w:val="24"/>
                <w:szCs w:val="24"/>
              </w:rPr>
            </w:pPr>
          </w:p>
        </w:tc>
        <w:tc>
          <w:tcPr>
            <w:tcW w:w="752" w:type="pct"/>
            <w:noWrap/>
            <w:hideMark/>
          </w:tcPr>
          <w:p w:rsidR="00526EEC" w:rsidRPr="0008312A" w:rsidRDefault="00526EEC" w:rsidP="00FB7A9F">
            <w:pPr>
              <w:rPr>
                <w:rFonts w:cs="Times New Roman"/>
                <w:sz w:val="24"/>
                <w:szCs w:val="24"/>
              </w:rPr>
            </w:pP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16.98 </w:t>
            </w:r>
          </w:p>
        </w:tc>
        <w:tc>
          <w:tcPr>
            <w:tcW w:w="705" w:type="pct"/>
            <w:noWrap/>
            <w:hideMark/>
          </w:tcPr>
          <w:p w:rsidR="00526EEC" w:rsidRPr="0008312A" w:rsidRDefault="00526EEC" w:rsidP="00FB7A9F">
            <w:pPr>
              <w:rPr>
                <w:rFonts w:cs="Times New Roman"/>
                <w:sz w:val="24"/>
                <w:szCs w:val="24"/>
              </w:rPr>
            </w:pPr>
          </w:p>
        </w:tc>
        <w:tc>
          <w:tcPr>
            <w:tcW w:w="949" w:type="pct"/>
            <w:noWrap/>
            <w:hideMark/>
          </w:tcPr>
          <w:p w:rsidR="00526EEC" w:rsidRPr="0008312A" w:rsidRDefault="00526EEC" w:rsidP="00A578A3">
            <w:pPr>
              <w:rPr>
                <w:rFonts w:cs="Times New Roman"/>
                <w:sz w:val="24"/>
                <w:szCs w:val="24"/>
              </w:rPr>
            </w:pPr>
            <w:r w:rsidRPr="0008312A">
              <w:rPr>
                <w:rFonts w:cs="Times New Roman"/>
                <w:sz w:val="24"/>
                <w:szCs w:val="24"/>
              </w:rPr>
              <w:t xml:space="preserve">£    </w:t>
            </w:r>
            <w:r w:rsidR="00A578A3">
              <w:rPr>
                <w:rFonts w:cs="Times New Roman"/>
                <w:sz w:val="24"/>
                <w:szCs w:val="24"/>
              </w:rPr>
              <w:t>-0.62</w:t>
            </w:r>
          </w:p>
        </w:tc>
      </w:tr>
    </w:tbl>
    <w:p w:rsidR="00526EEC" w:rsidRPr="0008312A" w:rsidRDefault="00526EEC" w:rsidP="00526EEC">
      <w:pPr>
        <w:jc w:val="center"/>
        <w:rPr>
          <w:rFonts w:cs="Times New Roman"/>
          <w:b/>
          <w:szCs w:val="24"/>
        </w:rPr>
      </w:pPr>
      <w:r>
        <w:rPr>
          <w:rFonts w:cs="Times New Roman"/>
          <w:b/>
          <w:szCs w:val="24"/>
        </w:rPr>
        <w:t>Table 11</w:t>
      </w:r>
      <w:r w:rsidRPr="0008312A">
        <w:rPr>
          <w:rFonts w:cs="Times New Roman"/>
          <w:b/>
          <w:szCs w:val="24"/>
        </w:rPr>
        <w:t>: Table used for IRR calculation of Project A</w:t>
      </w:r>
    </w:p>
    <w:p w:rsidR="00A578A3" w:rsidRDefault="00A578A3" w:rsidP="00526EEC">
      <w:pPr>
        <w:rPr>
          <w:rFonts w:cs="Times New Roman"/>
          <w:szCs w:val="24"/>
        </w:rPr>
      </w:pPr>
    </w:p>
    <w:p w:rsidR="00A578A3" w:rsidRDefault="00A578A3" w:rsidP="00526EEC">
      <w:pPr>
        <w:rPr>
          <w:rFonts w:cs="Times New Roman"/>
          <w:szCs w:val="24"/>
        </w:rPr>
      </w:pPr>
      <w:r>
        <w:rPr>
          <w:rFonts w:cs="Times New Roman"/>
          <w:szCs w:val="24"/>
        </w:rPr>
        <w:t>NPV2= -103 +22</w:t>
      </w:r>
      <w:r w:rsidR="00A8704D">
        <w:rPr>
          <w:rFonts w:cs="Times New Roman"/>
          <w:szCs w:val="24"/>
        </w:rPr>
        <w:t>.</w:t>
      </w:r>
      <w:r>
        <w:rPr>
          <w:rFonts w:cs="Times New Roman"/>
          <w:szCs w:val="24"/>
        </w:rPr>
        <w:t>68 +32</w:t>
      </w:r>
      <w:r w:rsidR="00A8704D">
        <w:rPr>
          <w:rFonts w:cs="Times New Roman"/>
          <w:szCs w:val="24"/>
        </w:rPr>
        <w:t>.</w:t>
      </w:r>
      <w:r>
        <w:rPr>
          <w:rFonts w:cs="Times New Roman"/>
          <w:szCs w:val="24"/>
        </w:rPr>
        <w:t>873 +37</w:t>
      </w:r>
      <w:r w:rsidR="00A8704D">
        <w:rPr>
          <w:rFonts w:cs="Times New Roman"/>
          <w:szCs w:val="24"/>
        </w:rPr>
        <w:t>.</w:t>
      </w:r>
      <w:r>
        <w:rPr>
          <w:rFonts w:cs="Times New Roman"/>
          <w:szCs w:val="24"/>
        </w:rPr>
        <w:t>14 = -103 +10</w:t>
      </w:r>
      <w:r w:rsidR="00A8704D">
        <w:rPr>
          <w:rFonts w:cs="Times New Roman"/>
          <w:szCs w:val="24"/>
        </w:rPr>
        <w:t>2.</w:t>
      </w:r>
      <w:r>
        <w:rPr>
          <w:rFonts w:cs="Times New Roman"/>
          <w:szCs w:val="24"/>
        </w:rPr>
        <w:t>38= -0</w:t>
      </w:r>
      <w:r w:rsidR="00A8704D">
        <w:rPr>
          <w:rFonts w:cs="Times New Roman"/>
          <w:szCs w:val="24"/>
        </w:rPr>
        <w:t>.</w:t>
      </w:r>
      <w:r>
        <w:rPr>
          <w:rFonts w:cs="Times New Roman"/>
          <w:szCs w:val="24"/>
        </w:rPr>
        <w:t>62</w:t>
      </w:r>
    </w:p>
    <w:p w:rsidR="00526EEC" w:rsidRPr="0008312A" w:rsidRDefault="00526EEC" w:rsidP="00526EEC">
      <w:pPr>
        <w:rPr>
          <w:rFonts w:cs="Times New Roman"/>
          <w:szCs w:val="24"/>
        </w:rPr>
      </w:pPr>
      <w:r w:rsidRPr="0008312A">
        <w:rPr>
          <w:rFonts w:cs="Times New Roman"/>
          <w:szCs w:val="24"/>
        </w:rPr>
        <w:t xml:space="preserve">IRR </w:t>
      </w:r>
    </w:p>
    <w:p w:rsidR="00526EEC" w:rsidRPr="0008312A" w:rsidRDefault="00526EEC" w:rsidP="00526EEC">
      <w:pPr>
        <w:rPr>
          <w:rFonts w:cs="Times New Roman"/>
          <w:szCs w:val="24"/>
        </w:rPr>
      </w:pPr>
      <w:r w:rsidRPr="0008312A">
        <w:rPr>
          <w:rFonts w:cs="Times New Roman"/>
          <w:szCs w:val="24"/>
        </w:rPr>
        <w:t xml:space="preserve">= 8.73 + (16.98 / 16.98 </w:t>
      </w:r>
      <w:r w:rsidR="00A578A3">
        <w:rPr>
          <w:rFonts w:cs="Times New Roman"/>
          <w:szCs w:val="24"/>
        </w:rPr>
        <w:t>+0.62) *</w:t>
      </w:r>
      <w:r w:rsidRPr="0008312A">
        <w:rPr>
          <w:rFonts w:cs="Times New Roman"/>
          <w:szCs w:val="24"/>
        </w:rPr>
        <w:t xml:space="preserve"> (1</w:t>
      </w:r>
      <w:r w:rsidR="00A578A3">
        <w:rPr>
          <w:rFonts w:cs="Times New Roman"/>
          <w:szCs w:val="24"/>
        </w:rPr>
        <w:t>5</w:t>
      </w:r>
      <w:r w:rsidRPr="0008312A">
        <w:rPr>
          <w:rFonts w:cs="Times New Roman"/>
          <w:szCs w:val="24"/>
        </w:rPr>
        <w:t xml:space="preserve"> - 8.73)</w:t>
      </w:r>
    </w:p>
    <w:p w:rsidR="00526EEC" w:rsidRPr="0008312A" w:rsidRDefault="00526EEC" w:rsidP="00526EEC">
      <w:pPr>
        <w:rPr>
          <w:rFonts w:cs="Times New Roman"/>
          <w:szCs w:val="24"/>
        </w:rPr>
      </w:pPr>
      <w:r w:rsidRPr="0008312A">
        <w:rPr>
          <w:rFonts w:cs="Times New Roman"/>
          <w:szCs w:val="24"/>
        </w:rPr>
        <w:t xml:space="preserve">= 8.73 + </w:t>
      </w:r>
      <w:r w:rsidR="00A578A3">
        <w:rPr>
          <w:rFonts w:cs="Times New Roman"/>
          <w:szCs w:val="24"/>
        </w:rPr>
        <w:t>16.98/17.6 * 6.27</w:t>
      </w:r>
    </w:p>
    <w:p w:rsidR="00526EEC" w:rsidRPr="0008312A" w:rsidRDefault="00526EEC" w:rsidP="00526EEC">
      <w:pPr>
        <w:rPr>
          <w:rFonts w:cs="Times New Roman"/>
          <w:szCs w:val="24"/>
        </w:rPr>
      </w:pPr>
      <w:r w:rsidRPr="0008312A">
        <w:rPr>
          <w:rFonts w:cs="Times New Roman"/>
          <w:szCs w:val="24"/>
        </w:rPr>
        <w:t>= 14.</w:t>
      </w:r>
      <w:r w:rsidR="00A578A3">
        <w:rPr>
          <w:rFonts w:cs="Times New Roman"/>
          <w:szCs w:val="24"/>
        </w:rPr>
        <w:t>78%</w:t>
      </w:r>
    </w:p>
    <w:p w:rsidR="00526EEC" w:rsidRDefault="00526EEC" w:rsidP="00526EEC">
      <w:pPr>
        <w:rPr>
          <w:rFonts w:cs="Times New Roman"/>
          <w:b/>
          <w:szCs w:val="24"/>
        </w:rPr>
      </w:pPr>
    </w:p>
    <w:p w:rsidR="00526EEC" w:rsidRPr="0008312A" w:rsidRDefault="00526EEC" w:rsidP="00526EEC">
      <w:pPr>
        <w:rPr>
          <w:rFonts w:cs="Times New Roman"/>
          <w:b/>
          <w:szCs w:val="24"/>
        </w:rPr>
      </w:pPr>
      <w:r w:rsidRPr="0008312A">
        <w:rPr>
          <w:rFonts w:cs="Times New Roman"/>
          <w:b/>
          <w:szCs w:val="24"/>
        </w:rPr>
        <w:lastRenderedPageBreak/>
        <w:t xml:space="preserve">Project B </w:t>
      </w:r>
    </w:p>
    <w:tbl>
      <w:tblPr>
        <w:tblStyle w:val="TableGrid"/>
        <w:tblW w:w="5000" w:type="pct"/>
        <w:tblLayout w:type="fixed"/>
        <w:tblLook w:val="04A0" w:firstRow="1" w:lastRow="0" w:firstColumn="1" w:lastColumn="0" w:noHBand="0" w:noVBand="1"/>
      </w:tblPr>
      <w:tblGrid>
        <w:gridCol w:w="1548"/>
        <w:gridCol w:w="1710"/>
        <w:gridCol w:w="1440"/>
        <w:gridCol w:w="1710"/>
        <w:gridCol w:w="1387"/>
        <w:gridCol w:w="1781"/>
      </w:tblGrid>
      <w:tr w:rsidR="00526EEC" w:rsidRPr="0008312A" w:rsidTr="00FB7A9F">
        <w:trPr>
          <w:trHeight w:val="300"/>
        </w:trPr>
        <w:tc>
          <w:tcPr>
            <w:tcW w:w="808" w:type="pct"/>
            <w:noWrap/>
            <w:hideMark/>
          </w:tcPr>
          <w:p w:rsidR="00526EEC" w:rsidRPr="0008312A" w:rsidRDefault="00526EEC" w:rsidP="00FB7A9F">
            <w:pPr>
              <w:rPr>
                <w:rFonts w:cs="Times New Roman"/>
                <w:b/>
                <w:sz w:val="24"/>
                <w:szCs w:val="24"/>
              </w:rPr>
            </w:pPr>
            <w:r w:rsidRPr="0008312A">
              <w:rPr>
                <w:rFonts w:cs="Times New Roman"/>
                <w:b/>
                <w:sz w:val="24"/>
                <w:szCs w:val="24"/>
              </w:rPr>
              <w:t xml:space="preserve">Year </w:t>
            </w:r>
          </w:p>
        </w:tc>
        <w:tc>
          <w:tcPr>
            <w:tcW w:w="893" w:type="pct"/>
            <w:noWrap/>
            <w:hideMark/>
          </w:tcPr>
          <w:p w:rsidR="00526EEC" w:rsidRPr="0008312A" w:rsidRDefault="00526EEC" w:rsidP="00FB7A9F">
            <w:pPr>
              <w:rPr>
                <w:rFonts w:cs="Times New Roman"/>
                <w:b/>
                <w:sz w:val="24"/>
                <w:szCs w:val="24"/>
              </w:rPr>
            </w:pPr>
            <w:r w:rsidRPr="0008312A">
              <w:rPr>
                <w:rFonts w:cs="Times New Roman"/>
                <w:b/>
                <w:sz w:val="24"/>
                <w:szCs w:val="24"/>
              </w:rPr>
              <w:t xml:space="preserve">Cash inflows from Project </w:t>
            </w:r>
            <w:r>
              <w:rPr>
                <w:rFonts w:cs="Times New Roman"/>
                <w:b/>
                <w:sz w:val="24"/>
                <w:szCs w:val="24"/>
              </w:rPr>
              <w:t>B</w:t>
            </w:r>
          </w:p>
        </w:tc>
        <w:tc>
          <w:tcPr>
            <w:tcW w:w="752" w:type="pct"/>
            <w:noWrap/>
            <w:hideMark/>
          </w:tcPr>
          <w:p w:rsidR="00526EEC" w:rsidRPr="0008312A" w:rsidRDefault="00526EEC" w:rsidP="00FB7A9F">
            <w:pPr>
              <w:rPr>
                <w:rFonts w:cs="Times New Roman"/>
                <w:b/>
                <w:sz w:val="24"/>
                <w:szCs w:val="24"/>
              </w:rPr>
            </w:pPr>
            <w:r w:rsidRPr="0008312A">
              <w:rPr>
                <w:rFonts w:cs="Times New Roman"/>
                <w:b/>
                <w:sz w:val="24"/>
                <w:szCs w:val="24"/>
              </w:rPr>
              <w:t>Discounting factor at 8.73% (R</w:t>
            </w:r>
            <w:r>
              <w:rPr>
                <w:rFonts w:cs="Times New Roman"/>
                <w:b/>
                <w:sz w:val="24"/>
                <w:szCs w:val="24"/>
              </w:rPr>
              <w:t>1</w:t>
            </w:r>
            <w:r w:rsidRPr="0008312A">
              <w:rPr>
                <w:rFonts w:cs="Times New Roman"/>
                <w:b/>
                <w:sz w:val="24"/>
                <w:szCs w:val="24"/>
              </w:rPr>
              <w:t>)</w:t>
            </w:r>
          </w:p>
        </w:tc>
        <w:tc>
          <w:tcPr>
            <w:tcW w:w="893" w:type="pct"/>
            <w:noWrap/>
            <w:hideMark/>
          </w:tcPr>
          <w:p w:rsidR="00526EEC" w:rsidRPr="0008312A" w:rsidRDefault="00526EEC" w:rsidP="00FB7A9F">
            <w:pPr>
              <w:rPr>
                <w:rFonts w:cs="Times New Roman"/>
                <w:b/>
                <w:sz w:val="24"/>
                <w:szCs w:val="24"/>
              </w:rPr>
            </w:pPr>
            <w:r w:rsidRPr="0008312A">
              <w:rPr>
                <w:rFonts w:cs="Times New Roman"/>
                <w:b/>
                <w:sz w:val="24"/>
                <w:szCs w:val="24"/>
              </w:rPr>
              <w:t>Present value cash inflow at R</w:t>
            </w:r>
            <w:r>
              <w:rPr>
                <w:rFonts w:cs="Times New Roman"/>
                <w:b/>
                <w:sz w:val="24"/>
                <w:szCs w:val="24"/>
              </w:rPr>
              <w:t>1</w:t>
            </w:r>
          </w:p>
        </w:tc>
        <w:tc>
          <w:tcPr>
            <w:tcW w:w="724" w:type="pct"/>
            <w:noWrap/>
            <w:hideMark/>
          </w:tcPr>
          <w:p w:rsidR="00526EEC" w:rsidRPr="0008312A" w:rsidRDefault="00526EEC" w:rsidP="00FB7A9F">
            <w:pPr>
              <w:rPr>
                <w:rFonts w:cs="Times New Roman"/>
                <w:b/>
                <w:sz w:val="24"/>
                <w:szCs w:val="24"/>
              </w:rPr>
            </w:pPr>
            <w:r w:rsidRPr="0008312A">
              <w:rPr>
                <w:rFonts w:cs="Times New Roman"/>
                <w:b/>
                <w:sz w:val="24"/>
                <w:szCs w:val="24"/>
              </w:rPr>
              <w:t xml:space="preserve">Discounting factor at </w:t>
            </w:r>
            <w:r w:rsidR="00FB7A9F">
              <w:rPr>
                <w:rFonts w:cs="Times New Roman"/>
                <w:b/>
                <w:sz w:val="24"/>
                <w:szCs w:val="24"/>
              </w:rPr>
              <w:t>20</w:t>
            </w:r>
            <w:r w:rsidRPr="0008312A">
              <w:rPr>
                <w:rFonts w:cs="Times New Roman"/>
                <w:b/>
                <w:sz w:val="24"/>
                <w:szCs w:val="24"/>
              </w:rPr>
              <w:t>% (R</w:t>
            </w:r>
            <w:r>
              <w:rPr>
                <w:rFonts w:cs="Times New Roman"/>
                <w:b/>
                <w:sz w:val="24"/>
                <w:szCs w:val="24"/>
              </w:rPr>
              <w:t>2</w:t>
            </w:r>
            <w:r w:rsidRPr="0008312A">
              <w:rPr>
                <w:rFonts w:cs="Times New Roman"/>
                <w:b/>
                <w:sz w:val="24"/>
                <w:szCs w:val="24"/>
              </w:rPr>
              <w:t>)</w:t>
            </w:r>
          </w:p>
        </w:tc>
        <w:tc>
          <w:tcPr>
            <w:tcW w:w="930" w:type="pct"/>
            <w:noWrap/>
            <w:hideMark/>
          </w:tcPr>
          <w:p w:rsidR="00526EEC" w:rsidRPr="0008312A" w:rsidRDefault="00526EEC" w:rsidP="00FB7A9F">
            <w:pPr>
              <w:rPr>
                <w:rFonts w:cs="Times New Roman"/>
                <w:b/>
                <w:sz w:val="24"/>
                <w:szCs w:val="24"/>
              </w:rPr>
            </w:pPr>
            <w:r w:rsidRPr="0008312A">
              <w:rPr>
                <w:rFonts w:cs="Times New Roman"/>
                <w:b/>
                <w:sz w:val="24"/>
                <w:szCs w:val="24"/>
              </w:rPr>
              <w:t>Present value cash inflow at R</w:t>
            </w:r>
            <w:r>
              <w:rPr>
                <w:rFonts w:cs="Times New Roman"/>
                <w:b/>
                <w:sz w:val="24"/>
                <w:szCs w:val="24"/>
              </w:rPr>
              <w:t>2</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0</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£ 1</w:t>
            </w:r>
            <w:r>
              <w:rPr>
                <w:rFonts w:cs="Times New Roman"/>
                <w:sz w:val="24"/>
                <w:szCs w:val="24"/>
              </w:rPr>
              <w:t>1</w:t>
            </w:r>
            <w:r w:rsidRPr="0008312A">
              <w:rPr>
                <w:rFonts w:cs="Times New Roman"/>
                <w:sz w:val="24"/>
                <w:szCs w:val="24"/>
              </w:rPr>
              <w:t xml:space="preserve">5.00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1.0000</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£ 1</w:t>
            </w:r>
            <w:r w:rsidR="00FB7A9F">
              <w:rPr>
                <w:rFonts w:cs="Times New Roman"/>
                <w:sz w:val="24"/>
                <w:szCs w:val="24"/>
              </w:rPr>
              <w:t>1</w:t>
            </w:r>
            <w:r w:rsidRPr="0008312A">
              <w:rPr>
                <w:rFonts w:cs="Times New Roman"/>
                <w:sz w:val="24"/>
                <w:szCs w:val="24"/>
              </w:rPr>
              <w:t xml:space="preserve">5.00 </w:t>
            </w:r>
          </w:p>
        </w:tc>
        <w:tc>
          <w:tcPr>
            <w:tcW w:w="724" w:type="pct"/>
            <w:noWrap/>
            <w:hideMark/>
          </w:tcPr>
          <w:p w:rsidR="00526EEC" w:rsidRPr="0008312A" w:rsidRDefault="00526EEC" w:rsidP="00FB7A9F">
            <w:pPr>
              <w:rPr>
                <w:rFonts w:cs="Times New Roman"/>
                <w:sz w:val="24"/>
                <w:szCs w:val="24"/>
              </w:rPr>
            </w:pPr>
            <w:r w:rsidRPr="0008312A">
              <w:rPr>
                <w:rFonts w:cs="Times New Roman"/>
                <w:sz w:val="24"/>
                <w:szCs w:val="24"/>
              </w:rPr>
              <w:t>1.0000</w:t>
            </w:r>
          </w:p>
        </w:tc>
        <w:tc>
          <w:tcPr>
            <w:tcW w:w="930" w:type="pct"/>
            <w:noWrap/>
            <w:hideMark/>
          </w:tcPr>
          <w:p w:rsidR="00526EEC" w:rsidRPr="0008312A" w:rsidRDefault="00526EEC" w:rsidP="00FB7A9F">
            <w:pPr>
              <w:rPr>
                <w:rFonts w:cs="Times New Roman"/>
                <w:sz w:val="24"/>
                <w:szCs w:val="24"/>
              </w:rPr>
            </w:pPr>
            <w:r w:rsidRPr="0008312A">
              <w:rPr>
                <w:rFonts w:cs="Times New Roman"/>
                <w:sz w:val="24"/>
                <w:szCs w:val="24"/>
              </w:rPr>
              <w:t>- £ 1</w:t>
            </w:r>
            <w:r w:rsidR="00FB7A9F">
              <w:rPr>
                <w:rFonts w:cs="Times New Roman"/>
                <w:sz w:val="24"/>
                <w:szCs w:val="24"/>
              </w:rPr>
              <w:t>1</w:t>
            </w:r>
            <w:r w:rsidRPr="0008312A">
              <w:rPr>
                <w:rFonts w:cs="Times New Roman"/>
                <w:sz w:val="24"/>
                <w:szCs w:val="24"/>
              </w:rPr>
              <w:t xml:space="preserve">5.00 </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Year one</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60.00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0.9197</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55.18 </w:t>
            </w:r>
          </w:p>
        </w:tc>
        <w:tc>
          <w:tcPr>
            <w:tcW w:w="724" w:type="pct"/>
            <w:noWrap/>
            <w:hideMark/>
          </w:tcPr>
          <w:p w:rsidR="00526EEC" w:rsidRPr="0008312A" w:rsidRDefault="00FB7A9F" w:rsidP="00FB7A9F">
            <w:pPr>
              <w:rPr>
                <w:rFonts w:cs="Times New Roman"/>
                <w:sz w:val="24"/>
                <w:szCs w:val="24"/>
              </w:rPr>
            </w:pPr>
            <w:r>
              <w:rPr>
                <w:rFonts w:cs="Times New Roman"/>
                <w:sz w:val="24"/>
                <w:szCs w:val="24"/>
              </w:rPr>
              <w:t>50</w:t>
            </w:r>
          </w:p>
        </w:tc>
        <w:tc>
          <w:tcPr>
            <w:tcW w:w="930" w:type="pct"/>
            <w:noWrap/>
            <w:hideMark/>
          </w:tcPr>
          <w:p w:rsidR="00526EEC" w:rsidRPr="0008312A" w:rsidRDefault="00526EEC" w:rsidP="00FB7A9F">
            <w:pPr>
              <w:rPr>
                <w:rFonts w:cs="Times New Roman"/>
                <w:sz w:val="24"/>
                <w:szCs w:val="24"/>
              </w:rPr>
            </w:pPr>
            <w:r w:rsidRPr="0008312A">
              <w:rPr>
                <w:rFonts w:cs="Times New Roman"/>
                <w:sz w:val="24"/>
                <w:szCs w:val="24"/>
              </w:rPr>
              <w:t xml:space="preserve"> £    53.57 </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Year two</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40.00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0.8459</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33.</w:t>
            </w:r>
            <w:r w:rsidR="00FB7A9F">
              <w:rPr>
                <w:rFonts w:cs="Times New Roman"/>
                <w:sz w:val="24"/>
                <w:szCs w:val="24"/>
              </w:rPr>
              <w:t>90</w:t>
            </w:r>
            <w:r w:rsidRPr="0008312A">
              <w:rPr>
                <w:rFonts w:cs="Times New Roman"/>
                <w:sz w:val="24"/>
                <w:szCs w:val="24"/>
              </w:rPr>
              <w:t xml:space="preserve"> </w:t>
            </w:r>
          </w:p>
        </w:tc>
        <w:tc>
          <w:tcPr>
            <w:tcW w:w="724" w:type="pct"/>
            <w:noWrap/>
            <w:hideMark/>
          </w:tcPr>
          <w:p w:rsidR="00526EEC" w:rsidRPr="0008312A" w:rsidRDefault="00FB7A9F" w:rsidP="00FB7A9F">
            <w:pPr>
              <w:rPr>
                <w:rFonts w:cs="Times New Roman"/>
                <w:sz w:val="24"/>
                <w:szCs w:val="24"/>
              </w:rPr>
            </w:pPr>
            <w:r>
              <w:rPr>
                <w:rFonts w:cs="Times New Roman"/>
                <w:sz w:val="24"/>
                <w:szCs w:val="24"/>
              </w:rPr>
              <w:t>1.44</w:t>
            </w:r>
          </w:p>
        </w:tc>
        <w:tc>
          <w:tcPr>
            <w:tcW w:w="930" w:type="pct"/>
            <w:noWrap/>
            <w:hideMark/>
          </w:tcPr>
          <w:p w:rsidR="00526EEC" w:rsidRPr="0008312A" w:rsidRDefault="00526EEC" w:rsidP="00FB7A9F">
            <w:pPr>
              <w:rPr>
                <w:rFonts w:cs="Times New Roman"/>
                <w:sz w:val="24"/>
                <w:szCs w:val="24"/>
              </w:rPr>
            </w:pPr>
            <w:r w:rsidRPr="0008312A">
              <w:rPr>
                <w:rFonts w:cs="Times New Roman"/>
                <w:sz w:val="24"/>
                <w:szCs w:val="24"/>
              </w:rPr>
              <w:t xml:space="preserve"> £    31.89 </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 xml:space="preserve">Year three </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60.00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0.7780</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46.</w:t>
            </w:r>
            <w:r w:rsidR="00FB7A9F">
              <w:rPr>
                <w:rFonts w:cs="Times New Roman"/>
                <w:sz w:val="24"/>
                <w:szCs w:val="24"/>
              </w:rPr>
              <w:t>51</w:t>
            </w:r>
            <w:r w:rsidRPr="0008312A">
              <w:rPr>
                <w:rFonts w:cs="Times New Roman"/>
                <w:sz w:val="24"/>
                <w:szCs w:val="24"/>
              </w:rPr>
              <w:t xml:space="preserve"> </w:t>
            </w:r>
          </w:p>
        </w:tc>
        <w:tc>
          <w:tcPr>
            <w:tcW w:w="724" w:type="pct"/>
            <w:noWrap/>
            <w:hideMark/>
          </w:tcPr>
          <w:p w:rsidR="00526EEC" w:rsidRPr="0008312A" w:rsidRDefault="00FB7A9F" w:rsidP="00FB7A9F">
            <w:pPr>
              <w:rPr>
                <w:rFonts w:cs="Times New Roman"/>
                <w:sz w:val="24"/>
                <w:szCs w:val="24"/>
              </w:rPr>
            </w:pPr>
            <w:r>
              <w:rPr>
                <w:rFonts w:cs="Times New Roman"/>
                <w:sz w:val="24"/>
                <w:szCs w:val="24"/>
              </w:rPr>
              <w:t>1</w:t>
            </w:r>
            <w:r w:rsidR="00526EEC" w:rsidRPr="0008312A">
              <w:rPr>
                <w:rFonts w:cs="Times New Roman"/>
                <w:sz w:val="24"/>
                <w:szCs w:val="24"/>
              </w:rPr>
              <w:t>.7</w:t>
            </w:r>
            <w:r>
              <w:rPr>
                <w:rFonts w:cs="Times New Roman"/>
                <w:sz w:val="24"/>
                <w:szCs w:val="24"/>
              </w:rPr>
              <w:t>28</w:t>
            </w:r>
          </w:p>
        </w:tc>
        <w:tc>
          <w:tcPr>
            <w:tcW w:w="930" w:type="pct"/>
            <w:noWrap/>
            <w:hideMark/>
          </w:tcPr>
          <w:p w:rsidR="00526EEC" w:rsidRPr="0008312A" w:rsidRDefault="00526EEC" w:rsidP="00FB7A9F">
            <w:pPr>
              <w:rPr>
                <w:rFonts w:cs="Times New Roman"/>
                <w:sz w:val="24"/>
                <w:szCs w:val="24"/>
              </w:rPr>
            </w:pPr>
            <w:r w:rsidRPr="0008312A">
              <w:rPr>
                <w:rFonts w:cs="Times New Roman"/>
                <w:sz w:val="24"/>
                <w:szCs w:val="24"/>
              </w:rPr>
              <w:t xml:space="preserve"> £    42.71 </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Year four</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5.00 </w:t>
            </w:r>
          </w:p>
        </w:tc>
        <w:tc>
          <w:tcPr>
            <w:tcW w:w="752" w:type="pct"/>
            <w:noWrap/>
            <w:hideMark/>
          </w:tcPr>
          <w:p w:rsidR="00526EEC" w:rsidRPr="0008312A" w:rsidRDefault="00526EEC" w:rsidP="00FB7A9F">
            <w:pPr>
              <w:rPr>
                <w:rFonts w:cs="Times New Roman"/>
                <w:sz w:val="24"/>
                <w:szCs w:val="24"/>
              </w:rPr>
            </w:pPr>
            <w:r w:rsidRPr="0008312A">
              <w:rPr>
                <w:rFonts w:cs="Times New Roman"/>
                <w:sz w:val="24"/>
                <w:szCs w:val="24"/>
              </w:rPr>
              <w:t>0.7155</w:t>
            </w: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3.5</w:t>
            </w:r>
            <w:r w:rsidR="00FB7A9F">
              <w:rPr>
                <w:rFonts w:cs="Times New Roman"/>
                <w:sz w:val="24"/>
                <w:szCs w:val="24"/>
              </w:rPr>
              <w:t>7</w:t>
            </w:r>
            <w:r w:rsidRPr="0008312A">
              <w:rPr>
                <w:rFonts w:cs="Times New Roman"/>
                <w:sz w:val="24"/>
                <w:szCs w:val="24"/>
              </w:rPr>
              <w:t xml:space="preserve"> </w:t>
            </w:r>
          </w:p>
        </w:tc>
        <w:tc>
          <w:tcPr>
            <w:tcW w:w="724" w:type="pct"/>
            <w:noWrap/>
            <w:hideMark/>
          </w:tcPr>
          <w:p w:rsidR="00526EEC" w:rsidRPr="0008312A" w:rsidRDefault="00FB7A9F" w:rsidP="00FB7A9F">
            <w:pPr>
              <w:rPr>
                <w:rFonts w:cs="Times New Roman"/>
                <w:sz w:val="24"/>
                <w:szCs w:val="24"/>
              </w:rPr>
            </w:pPr>
            <w:r>
              <w:rPr>
                <w:rFonts w:cs="Times New Roman"/>
                <w:sz w:val="24"/>
                <w:szCs w:val="24"/>
              </w:rPr>
              <w:t>2,073</w:t>
            </w:r>
          </w:p>
        </w:tc>
        <w:tc>
          <w:tcPr>
            <w:tcW w:w="930" w:type="pct"/>
            <w:noWrap/>
            <w:hideMark/>
          </w:tcPr>
          <w:p w:rsidR="00526EEC" w:rsidRPr="0008312A" w:rsidRDefault="00526EEC" w:rsidP="00FB7A9F">
            <w:pPr>
              <w:rPr>
                <w:rFonts w:cs="Times New Roman"/>
                <w:sz w:val="24"/>
                <w:szCs w:val="24"/>
              </w:rPr>
            </w:pPr>
            <w:r w:rsidRPr="0008312A">
              <w:rPr>
                <w:rFonts w:cs="Times New Roman"/>
                <w:sz w:val="24"/>
                <w:szCs w:val="24"/>
              </w:rPr>
              <w:t xml:space="preserve"> £     3.18 </w:t>
            </w:r>
          </w:p>
        </w:tc>
      </w:tr>
      <w:tr w:rsidR="00526EEC" w:rsidRPr="0008312A" w:rsidTr="00FB7A9F">
        <w:trPr>
          <w:trHeight w:val="300"/>
        </w:trPr>
        <w:tc>
          <w:tcPr>
            <w:tcW w:w="808" w:type="pct"/>
            <w:noWrap/>
            <w:hideMark/>
          </w:tcPr>
          <w:p w:rsidR="00526EEC" w:rsidRPr="0008312A" w:rsidRDefault="00526EEC" w:rsidP="00FB7A9F">
            <w:pPr>
              <w:rPr>
                <w:rFonts w:cs="Times New Roman"/>
                <w:sz w:val="24"/>
                <w:szCs w:val="24"/>
              </w:rPr>
            </w:pPr>
            <w:r w:rsidRPr="0008312A">
              <w:rPr>
                <w:rFonts w:cs="Times New Roman"/>
                <w:sz w:val="24"/>
                <w:szCs w:val="24"/>
              </w:rPr>
              <w:t>NPV</w:t>
            </w:r>
          </w:p>
        </w:tc>
        <w:tc>
          <w:tcPr>
            <w:tcW w:w="893" w:type="pct"/>
            <w:noWrap/>
            <w:hideMark/>
          </w:tcPr>
          <w:p w:rsidR="00526EEC" w:rsidRPr="0008312A" w:rsidRDefault="00526EEC" w:rsidP="00FB7A9F">
            <w:pPr>
              <w:rPr>
                <w:rFonts w:cs="Times New Roman"/>
                <w:sz w:val="24"/>
                <w:szCs w:val="24"/>
              </w:rPr>
            </w:pPr>
          </w:p>
        </w:tc>
        <w:tc>
          <w:tcPr>
            <w:tcW w:w="752" w:type="pct"/>
            <w:noWrap/>
            <w:hideMark/>
          </w:tcPr>
          <w:p w:rsidR="00526EEC" w:rsidRPr="0008312A" w:rsidRDefault="00526EEC" w:rsidP="00FB7A9F">
            <w:pPr>
              <w:rPr>
                <w:rFonts w:cs="Times New Roman"/>
                <w:sz w:val="24"/>
                <w:szCs w:val="24"/>
              </w:rPr>
            </w:pPr>
          </w:p>
        </w:tc>
        <w:tc>
          <w:tcPr>
            <w:tcW w:w="893" w:type="pct"/>
            <w:noWrap/>
            <w:hideMark/>
          </w:tcPr>
          <w:p w:rsidR="00526EEC" w:rsidRPr="0008312A" w:rsidRDefault="00526EEC" w:rsidP="00FB7A9F">
            <w:pPr>
              <w:rPr>
                <w:rFonts w:cs="Times New Roman"/>
                <w:sz w:val="24"/>
                <w:szCs w:val="24"/>
              </w:rPr>
            </w:pPr>
            <w:r w:rsidRPr="0008312A">
              <w:rPr>
                <w:rFonts w:cs="Times New Roman"/>
                <w:sz w:val="24"/>
                <w:szCs w:val="24"/>
              </w:rPr>
              <w:t xml:space="preserve"> £    </w:t>
            </w:r>
            <w:r w:rsidR="00FB7A9F">
              <w:rPr>
                <w:rFonts w:cs="Times New Roman"/>
                <w:sz w:val="24"/>
                <w:szCs w:val="24"/>
              </w:rPr>
              <w:t>2</w:t>
            </w:r>
            <w:r w:rsidRPr="0008312A">
              <w:rPr>
                <w:rFonts w:cs="Times New Roman"/>
                <w:sz w:val="24"/>
                <w:szCs w:val="24"/>
              </w:rPr>
              <w:t xml:space="preserve">4.27 </w:t>
            </w:r>
          </w:p>
        </w:tc>
        <w:tc>
          <w:tcPr>
            <w:tcW w:w="724" w:type="pct"/>
            <w:noWrap/>
            <w:hideMark/>
          </w:tcPr>
          <w:p w:rsidR="00526EEC" w:rsidRPr="0008312A" w:rsidRDefault="00526EEC" w:rsidP="00FB7A9F">
            <w:pPr>
              <w:rPr>
                <w:rFonts w:cs="Times New Roman"/>
                <w:sz w:val="24"/>
                <w:szCs w:val="24"/>
              </w:rPr>
            </w:pPr>
          </w:p>
        </w:tc>
        <w:tc>
          <w:tcPr>
            <w:tcW w:w="930" w:type="pct"/>
            <w:noWrap/>
            <w:hideMark/>
          </w:tcPr>
          <w:p w:rsidR="00526EEC" w:rsidRPr="0008312A" w:rsidRDefault="00526EEC" w:rsidP="00FB7A9F">
            <w:pPr>
              <w:rPr>
                <w:rFonts w:cs="Times New Roman"/>
                <w:sz w:val="24"/>
                <w:szCs w:val="24"/>
              </w:rPr>
            </w:pPr>
            <w:r w:rsidRPr="0008312A">
              <w:rPr>
                <w:rFonts w:cs="Times New Roman"/>
                <w:sz w:val="24"/>
                <w:szCs w:val="24"/>
              </w:rPr>
              <w:t xml:space="preserve"> £    </w:t>
            </w:r>
            <w:r w:rsidR="00FB7A9F">
              <w:rPr>
                <w:rFonts w:cs="Times New Roman"/>
                <w:sz w:val="24"/>
                <w:szCs w:val="24"/>
              </w:rPr>
              <w:t>-0.1</w:t>
            </w:r>
            <w:r w:rsidRPr="0008312A">
              <w:rPr>
                <w:rFonts w:cs="Times New Roman"/>
                <w:sz w:val="24"/>
                <w:szCs w:val="24"/>
              </w:rPr>
              <w:t xml:space="preserve"> </w:t>
            </w:r>
          </w:p>
        </w:tc>
      </w:tr>
    </w:tbl>
    <w:p w:rsidR="00526EEC" w:rsidRPr="0008312A" w:rsidRDefault="00526EEC" w:rsidP="00526EEC">
      <w:pPr>
        <w:jc w:val="center"/>
        <w:rPr>
          <w:rFonts w:cs="Times New Roman"/>
          <w:b/>
          <w:szCs w:val="24"/>
        </w:rPr>
      </w:pPr>
      <w:r>
        <w:rPr>
          <w:rFonts w:cs="Times New Roman"/>
          <w:b/>
          <w:szCs w:val="24"/>
        </w:rPr>
        <w:t>Table 12</w:t>
      </w:r>
      <w:r w:rsidRPr="0008312A">
        <w:rPr>
          <w:rFonts w:cs="Times New Roman"/>
          <w:b/>
          <w:szCs w:val="24"/>
        </w:rPr>
        <w:t>: Table used for IRR calculation of Project B</w:t>
      </w:r>
    </w:p>
    <w:p w:rsidR="00FB7A9F" w:rsidRDefault="00FB7A9F" w:rsidP="00526EEC">
      <w:pPr>
        <w:rPr>
          <w:rFonts w:cs="Times New Roman"/>
          <w:szCs w:val="24"/>
        </w:rPr>
      </w:pPr>
    </w:p>
    <w:p w:rsidR="00FB7A9F" w:rsidRDefault="00FB7A9F" w:rsidP="00526EEC">
      <w:pPr>
        <w:rPr>
          <w:rFonts w:cs="Times New Roman"/>
          <w:szCs w:val="24"/>
        </w:rPr>
      </w:pPr>
      <w:r>
        <w:rPr>
          <w:rFonts w:cs="Times New Roman"/>
          <w:szCs w:val="24"/>
        </w:rPr>
        <w:t>NPV2= -115 + 50 + 27.7 + 34.7 + 2.411 = -65 + 27.7 + 34.72 + 2.411 = -0.1</w:t>
      </w:r>
    </w:p>
    <w:p w:rsidR="00526EEC" w:rsidRPr="0008312A" w:rsidRDefault="00526EEC" w:rsidP="00526EEC">
      <w:pPr>
        <w:rPr>
          <w:rFonts w:cs="Times New Roman"/>
          <w:szCs w:val="24"/>
        </w:rPr>
      </w:pPr>
      <w:r w:rsidRPr="0008312A">
        <w:rPr>
          <w:rFonts w:cs="Times New Roman"/>
          <w:szCs w:val="24"/>
        </w:rPr>
        <w:t xml:space="preserve">IRR </w:t>
      </w:r>
    </w:p>
    <w:p w:rsidR="00526EEC" w:rsidRPr="0008312A" w:rsidRDefault="00526EEC" w:rsidP="00526EEC">
      <w:pPr>
        <w:rPr>
          <w:rFonts w:cs="Times New Roman"/>
          <w:szCs w:val="24"/>
        </w:rPr>
      </w:pPr>
      <w:r w:rsidRPr="0008312A">
        <w:rPr>
          <w:rFonts w:cs="Times New Roman"/>
          <w:szCs w:val="24"/>
        </w:rPr>
        <w:t>= 8.73 + (</w:t>
      </w:r>
      <w:r w:rsidR="00FB7A9F">
        <w:rPr>
          <w:rFonts w:cs="Times New Roman"/>
          <w:szCs w:val="24"/>
        </w:rPr>
        <w:t>24</w:t>
      </w:r>
      <w:r w:rsidRPr="0008312A">
        <w:rPr>
          <w:rFonts w:cs="Times New Roman"/>
          <w:szCs w:val="24"/>
        </w:rPr>
        <w:t xml:space="preserve">.27 / </w:t>
      </w:r>
      <w:r w:rsidR="00FB7A9F">
        <w:rPr>
          <w:rFonts w:cs="Times New Roman"/>
          <w:szCs w:val="24"/>
        </w:rPr>
        <w:t>2</w:t>
      </w:r>
      <w:r w:rsidRPr="0008312A">
        <w:rPr>
          <w:rFonts w:cs="Times New Roman"/>
          <w:szCs w:val="24"/>
        </w:rPr>
        <w:t xml:space="preserve">4.27 </w:t>
      </w:r>
      <w:r w:rsidR="00FB7A9F">
        <w:rPr>
          <w:rFonts w:cs="Times New Roman"/>
          <w:szCs w:val="24"/>
        </w:rPr>
        <w:t xml:space="preserve">+ </w:t>
      </w:r>
      <w:r w:rsidR="00D02EB0">
        <w:rPr>
          <w:rFonts w:cs="Times New Roman"/>
          <w:szCs w:val="24"/>
        </w:rPr>
        <w:t>0.1)</w:t>
      </w:r>
      <w:r w:rsidR="00FB7A9F">
        <w:rPr>
          <w:rFonts w:cs="Times New Roman"/>
          <w:szCs w:val="24"/>
        </w:rPr>
        <w:t xml:space="preserve"> *</w:t>
      </w:r>
      <w:r w:rsidRPr="0008312A">
        <w:rPr>
          <w:rFonts w:cs="Times New Roman"/>
          <w:szCs w:val="24"/>
        </w:rPr>
        <w:t xml:space="preserve"> (</w:t>
      </w:r>
      <w:r w:rsidR="00FB7A9F">
        <w:rPr>
          <w:rFonts w:cs="Times New Roman"/>
          <w:szCs w:val="24"/>
        </w:rPr>
        <w:t>20</w:t>
      </w:r>
      <w:r w:rsidRPr="0008312A">
        <w:rPr>
          <w:rFonts w:cs="Times New Roman"/>
          <w:szCs w:val="24"/>
        </w:rPr>
        <w:t xml:space="preserve"> - 8.73)</w:t>
      </w:r>
    </w:p>
    <w:p w:rsidR="00526EEC" w:rsidRPr="0008312A" w:rsidRDefault="00526EEC" w:rsidP="00526EEC">
      <w:pPr>
        <w:rPr>
          <w:rFonts w:cs="Times New Roman"/>
          <w:szCs w:val="24"/>
        </w:rPr>
      </w:pPr>
      <w:r w:rsidRPr="0008312A">
        <w:rPr>
          <w:rFonts w:cs="Times New Roman"/>
          <w:szCs w:val="24"/>
        </w:rPr>
        <w:t xml:space="preserve">= 8.73 + </w:t>
      </w:r>
      <w:r w:rsidR="00D02EB0">
        <w:rPr>
          <w:rFonts w:cs="Times New Roman"/>
          <w:szCs w:val="24"/>
        </w:rPr>
        <w:t xml:space="preserve">11.27 </w:t>
      </w:r>
    </w:p>
    <w:p w:rsidR="00526EEC" w:rsidRDefault="00526EEC" w:rsidP="00526EEC">
      <w:pPr>
        <w:rPr>
          <w:rFonts w:cs="Times New Roman"/>
          <w:szCs w:val="24"/>
        </w:rPr>
      </w:pPr>
      <w:r w:rsidRPr="0008312A">
        <w:rPr>
          <w:rFonts w:cs="Times New Roman"/>
          <w:szCs w:val="24"/>
        </w:rPr>
        <w:t xml:space="preserve">= </w:t>
      </w:r>
      <w:r w:rsidR="00D02EB0">
        <w:rPr>
          <w:rFonts w:cs="Times New Roman"/>
          <w:szCs w:val="24"/>
        </w:rPr>
        <w:t>19.95%</w:t>
      </w:r>
    </w:p>
    <w:p w:rsidR="000861EC" w:rsidRDefault="000861EC" w:rsidP="00526EEC">
      <w:pPr>
        <w:rPr>
          <w:rFonts w:cs="Times New Roman"/>
          <w:szCs w:val="24"/>
        </w:rPr>
      </w:pPr>
    </w:p>
    <w:p w:rsidR="000861EC" w:rsidRDefault="000861EC" w:rsidP="000861EC">
      <w:pPr>
        <w:rPr>
          <w:rFonts w:cs="Times New Roman"/>
          <w:b/>
          <w:szCs w:val="24"/>
        </w:rPr>
      </w:pPr>
    </w:p>
    <w:p w:rsidR="000861EC" w:rsidRDefault="000861EC" w:rsidP="000861EC">
      <w:pPr>
        <w:rPr>
          <w:rFonts w:cs="Times New Roman"/>
          <w:b/>
          <w:szCs w:val="24"/>
        </w:rPr>
      </w:pPr>
    </w:p>
    <w:p w:rsidR="000861EC" w:rsidRDefault="000861EC" w:rsidP="000861EC">
      <w:pPr>
        <w:rPr>
          <w:rFonts w:cs="Times New Roman"/>
          <w:b/>
          <w:szCs w:val="24"/>
        </w:rPr>
      </w:pPr>
    </w:p>
    <w:p w:rsidR="000861EC" w:rsidRDefault="000861EC" w:rsidP="000861EC">
      <w:pPr>
        <w:rPr>
          <w:rFonts w:cs="Times New Roman"/>
          <w:b/>
          <w:szCs w:val="24"/>
        </w:rPr>
      </w:pPr>
    </w:p>
    <w:p w:rsidR="000861EC" w:rsidRDefault="000861EC" w:rsidP="000861EC">
      <w:pPr>
        <w:rPr>
          <w:rFonts w:cs="Times New Roman"/>
          <w:b/>
          <w:szCs w:val="24"/>
        </w:rPr>
      </w:pPr>
    </w:p>
    <w:p w:rsidR="001451A7" w:rsidRDefault="001451A7" w:rsidP="000861EC">
      <w:pPr>
        <w:rPr>
          <w:rFonts w:cs="Times New Roman"/>
          <w:b/>
          <w:szCs w:val="24"/>
        </w:rPr>
      </w:pPr>
    </w:p>
    <w:p w:rsidR="000861EC" w:rsidRPr="0008312A" w:rsidRDefault="000861EC" w:rsidP="000861EC">
      <w:pPr>
        <w:rPr>
          <w:rFonts w:cs="Times New Roman"/>
          <w:b/>
          <w:szCs w:val="24"/>
        </w:rPr>
      </w:pPr>
      <w:r w:rsidRPr="0008312A">
        <w:rPr>
          <w:rFonts w:cs="Times New Roman"/>
          <w:b/>
          <w:szCs w:val="24"/>
        </w:rPr>
        <w:lastRenderedPageBreak/>
        <w:t xml:space="preserve">Evaluation of results and recommendations </w:t>
      </w:r>
    </w:p>
    <w:p w:rsidR="000861EC" w:rsidRDefault="000861EC" w:rsidP="000861EC">
      <w:pPr>
        <w:rPr>
          <w:rFonts w:cs="Times New Roman"/>
          <w:szCs w:val="24"/>
        </w:rPr>
      </w:pPr>
      <w:r w:rsidRPr="0008312A">
        <w:rPr>
          <w:rFonts w:cs="Times New Roman"/>
          <w:szCs w:val="24"/>
        </w:rPr>
        <w:t>The evaluation of the results that have been derived from appraisal of the two projects of</w:t>
      </w:r>
      <w:r>
        <w:rPr>
          <w:rFonts w:cs="Times New Roman"/>
          <w:szCs w:val="24"/>
        </w:rPr>
        <w:t xml:space="preserve"> BT Group </w:t>
      </w:r>
      <w:r w:rsidR="00A8704D">
        <w:rPr>
          <w:rFonts w:cs="Times New Roman"/>
          <w:szCs w:val="24"/>
        </w:rPr>
        <w:t>Plc,</w:t>
      </w:r>
      <w:r w:rsidRPr="0008312A">
        <w:rPr>
          <w:rFonts w:cs="Times New Roman"/>
          <w:szCs w:val="24"/>
        </w:rPr>
        <w:t xml:space="preserve"> it can be determined that the both the NPV and IRR of Project B is higher than Project A. Similarly, the ARR of Project B is better and the payback period of Project B is lower than Project A. Thus, it can be determined that the results from all the four methods of investment appraisal used above indicate that Project B of </w:t>
      </w:r>
      <w:r>
        <w:rPr>
          <w:rFonts w:cs="Times New Roman"/>
          <w:szCs w:val="24"/>
        </w:rPr>
        <w:t xml:space="preserve">BT Group </w:t>
      </w:r>
      <w:r w:rsidRPr="0008312A">
        <w:rPr>
          <w:rFonts w:cs="Times New Roman"/>
          <w:szCs w:val="24"/>
        </w:rPr>
        <w:t xml:space="preserve">is more viable amongst the two projects. As a result, it is recommended to </w:t>
      </w:r>
      <w:r>
        <w:rPr>
          <w:rFonts w:cs="Times New Roman"/>
          <w:szCs w:val="24"/>
        </w:rPr>
        <w:t xml:space="preserve">BT Group </w:t>
      </w:r>
      <w:r w:rsidRPr="0008312A">
        <w:rPr>
          <w:rFonts w:cs="Times New Roman"/>
          <w:szCs w:val="24"/>
        </w:rPr>
        <w:t>that amongst the two projects that it is considering, the company should move forward and accept Project B.</w:t>
      </w:r>
    </w:p>
    <w:p w:rsidR="000861EC" w:rsidRDefault="000861EC" w:rsidP="000861EC">
      <w:pPr>
        <w:rPr>
          <w:rFonts w:cs="Times New Roman"/>
          <w:szCs w:val="24"/>
        </w:rPr>
      </w:pPr>
    </w:p>
    <w:p w:rsidR="000861EC" w:rsidRPr="0008312A" w:rsidRDefault="000861EC" w:rsidP="000861EC">
      <w:pPr>
        <w:pStyle w:val="Heading2"/>
        <w:rPr>
          <w:rFonts w:cs="Times New Roman"/>
          <w:szCs w:val="24"/>
        </w:rPr>
      </w:pPr>
      <w:r w:rsidRPr="0008312A">
        <w:rPr>
          <w:rFonts w:cs="Times New Roman"/>
          <w:szCs w:val="24"/>
        </w:rPr>
        <w:t xml:space="preserve">Critically discuss the advantages and shortcomings of the PBP, IRR and NPV techniques as ways of evaluating capital projects, please use relevant literature (with proper referencing) to support your discussion. Please also address the non-financial factors that need to be considered. </w:t>
      </w:r>
    </w:p>
    <w:p w:rsidR="000861EC" w:rsidRDefault="000861EC" w:rsidP="000861EC">
      <w:pPr>
        <w:rPr>
          <w:rFonts w:cs="Times New Roman"/>
          <w:szCs w:val="24"/>
        </w:rPr>
      </w:pPr>
    </w:p>
    <w:p w:rsidR="000861EC" w:rsidRPr="0008312A" w:rsidRDefault="000861EC" w:rsidP="000861EC">
      <w:pPr>
        <w:rPr>
          <w:rFonts w:cs="Times New Roman"/>
          <w:szCs w:val="24"/>
        </w:rPr>
      </w:pPr>
      <w:r w:rsidRPr="0008312A">
        <w:rPr>
          <w:rFonts w:cs="Times New Roman"/>
          <w:szCs w:val="24"/>
        </w:rPr>
        <w:t>Investment appraisal methods benefit considerably to all organisations in decision-making relating to investing their funds into a project or any venture (Konstantin and Konstantin, 2018). There are varying advantages of utilising investment appraisal techniques. However, there are certain shortcomings of these techniques as well. The following discusses on the benefits and shortcomings of three most significant investment appraisal techniques</w:t>
      </w:r>
      <w:r>
        <w:rPr>
          <w:rFonts w:cs="Times New Roman"/>
          <w:szCs w:val="24"/>
        </w:rPr>
        <w:t>:</w:t>
      </w:r>
    </w:p>
    <w:tbl>
      <w:tblPr>
        <w:tblStyle w:val="TableGrid"/>
        <w:tblW w:w="0" w:type="auto"/>
        <w:tblLook w:val="04A0" w:firstRow="1" w:lastRow="0" w:firstColumn="1" w:lastColumn="0" w:noHBand="0" w:noVBand="1"/>
      </w:tblPr>
      <w:tblGrid>
        <w:gridCol w:w="2538"/>
        <w:gridCol w:w="3510"/>
        <w:gridCol w:w="3528"/>
      </w:tblGrid>
      <w:tr w:rsidR="000861EC" w:rsidRPr="0008312A" w:rsidTr="00831D0C">
        <w:tc>
          <w:tcPr>
            <w:tcW w:w="2538" w:type="dxa"/>
          </w:tcPr>
          <w:p w:rsidR="000861EC" w:rsidRPr="0008312A" w:rsidRDefault="000861EC" w:rsidP="00831D0C">
            <w:pPr>
              <w:rPr>
                <w:rFonts w:cs="Times New Roman"/>
                <w:sz w:val="24"/>
                <w:szCs w:val="24"/>
              </w:rPr>
            </w:pPr>
            <w:r w:rsidRPr="0008312A">
              <w:rPr>
                <w:rFonts w:cs="Times New Roman"/>
                <w:b/>
                <w:sz w:val="24"/>
                <w:szCs w:val="24"/>
              </w:rPr>
              <w:t>Technique</w:t>
            </w:r>
            <w:r w:rsidRPr="0008312A">
              <w:rPr>
                <w:rFonts w:cs="Times New Roman"/>
                <w:sz w:val="24"/>
                <w:szCs w:val="24"/>
              </w:rPr>
              <w:t xml:space="preserve"> </w:t>
            </w:r>
          </w:p>
        </w:tc>
        <w:tc>
          <w:tcPr>
            <w:tcW w:w="3510" w:type="dxa"/>
          </w:tcPr>
          <w:p w:rsidR="000861EC" w:rsidRPr="0008312A" w:rsidRDefault="000861EC" w:rsidP="00831D0C">
            <w:pPr>
              <w:jc w:val="center"/>
              <w:rPr>
                <w:rFonts w:cs="Times New Roman"/>
                <w:b/>
                <w:sz w:val="24"/>
                <w:szCs w:val="24"/>
              </w:rPr>
            </w:pPr>
            <w:r w:rsidRPr="0008312A">
              <w:rPr>
                <w:rFonts w:cs="Times New Roman"/>
                <w:b/>
                <w:sz w:val="24"/>
                <w:szCs w:val="24"/>
              </w:rPr>
              <w:t xml:space="preserve">Advantages </w:t>
            </w:r>
          </w:p>
        </w:tc>
        <w:tc>
          <w:tcPr>
            <w:tcW w:w="3528" w:type="dxa"/>
          </w:tcPr>
          <w:p w:rsidR="000861EC" w:rsidRPr="0008312A" w:rsidRDefault="000861EC" w:rsidP="00831D0C">
            <w:pPr>
              <w:jc w:val="center"/>
              <w:rPr>
                <w:rFonts w:cs="Times New Roman"/>
                <w:b/>
                <w:sz w:val="24"/>
                <w:szCs w:val="24"/>
              </w:rPr>
            </w:pPr>
            <w:r w:rsidRPr="0008312A">
              <w:rPr>
                <w:rFonts w:cs="Times New Roman"/>
                <w:b/>
                <w:sz w:val="24"/>
                <w:szCs w:val="24"/>
              </w:rPr>
              <w:t>Shortcomings</w:t>
            </w:r>
          </w:p>
        </w:tc>
      </w:tr>
      <w:tr w:rsidR="000861EC" w:rsidRPr="0008312A" w:rsidTr="00831D0C">
        <w:tc>
          <w:tcPr>
            <w:tcW w:w="2538" w:type="dxa"/>
          </w:tcPr>
          <w:p w:rsidR="000861EC" w:rsidRPr="0008312A" w:rsidRDefault="000861EC" w:rsidP="00831D0C">
            <w:pPr>
              <w:rPr>
                <w:rFonts w:cs="Times New Roman"/>
                <w:b/>
                <w:i/>
                <w:sz w:val="24"/>
                <w:szCs w:val="24"/>
              </w:rPr>
            </w:pPr>
            <w:r w:rsidRPr="0008312A">
              <w:rPr>
                <w:rFonts w:cs="Times New Roman"/>
                <w:b/>
                <w:i/>
                <w:sz w:val="24"/>
                <w:szCs w:val="24"/>
              </w:rPr>
              <w:t xml:space="preserve">PBP </w:t>
            </w:r>
          </w:p>
        </w:tc>
        <w:tc>
          <w:tcPr>
            <w:tcW w:w="3510" w:type="dxa"/>
          </w:tcPr>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Any sort of risks connected to a project or a venture is easily achieved through the utilisation of PBP.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The PBP is also easily computable along with being universally accepted and simply understandable </w:t>
            </w:r>
            <w:r w:rsidRPr="0008312A">
              <w:rPr>
                <w:rFonts w:cs="Times New Roman"/>
                <w:sz w:val="24"/>
                <w:szCs w:val="24"/>
              </w:rPr>
              <w:lastRenderedPageBreak/>
              <w:t xml:space="preserve">(Ahmed </w:t>
            </w:r>
            <w:r w:rsidRPr="0008312A">
              <w:rPr>
                <w:rFonts w:cs="Times New Roman"/>
                <w:i/>
                <w:sz w:val="24"/>
                <w:szCs w:val="24"/>
              </w:rPr>
              <w:t>et al</w:t>
            </w:r>
            <w:r w:rsidRPr="0008312A">
              <w:rPr>
                <w:rFonts w:cs="Times New Roman"/>
                <w:sz w:val="24"/>
                <w:szCs w:val="24"/>
              </w:rPr>
              <w:t xml:space="preserve">., 2015).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The entities that prevail under economic turbulences are benefitted from the use of the PBP technique. </w:t>
            </w:r>
          </w:p>
        </w:tc>
        <w:tc>
          <w:tcPr>
            <w:tcW w:w="3528" w:type="dxa"/>
          </w:tcPr>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lastRenderedPageBreak/>
              <w:t xml:space="preserve">The method also does not consider the factor of “time value of money”.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PBP is also a failure because it does not account for any of the cash flowing into a company after the payback is accomplished (Sangogboye </w:t>
            </w:r>
            <w:r w:rsidRPr="0008312A">
              <w:rPr>
                <w:rFonts w:cs="Times New Roman"/>
                <w:i/>
                <w:sz w:val="24"/>
                <w:szCs w:val="24"/>
              </w:rPr>
              <w:t xml:space="preserve">et </w:t>
            </w:r>
            <w:r w:rsidRPr="0008312A">
              <w:rPr>
                <w:rFonts w:cs="Times New Roman"/>
                <w:i/>
                <w:sz w:val="24"/>
                <w:szCs w:val="24"/>
              </w:rPr>
              <w:lastRenderedPageBreak/>
              <w:t>al.,</w:t>
            </w:r>
            <w:r w:rsidRPr="0008312A">
              <w:rPr>
                <w:rFonts w:cs="Times New Roman"/>
                <w:sz w:val="24"/>
                <w:szCs w:val="24"/>
              </w:rPr>
              <w:t xml:space="preserve"> 2016).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It is also unrealistic to a certain extent as liquidity is emphasised more than profitability for evaluating investment viability. </w:t>
            </w:r>
          </w:p>
        </w:tc>
      </w:tr>
      <w:tr w:rsidR="000861EC" w:rsidRPr="0008312A" w:rsidTr="00831D0C">
        <w:tc>
          <w:tcPr>
            <w:tcW w:w="2538" w:type="dxa"/>
          </w:tcPr>
          <w:p w:rsidR="000861EC" w:rsidRPr="0008312A" w:rsidRDefault="000861EC" w:rsidP="00831D0C">
            <w:pPr>
              <w:rPr>
                <w:rFonts w:cs="Times New Roman"/>
                <w:b/>
                <w:i/>
                <w:sz w:val="24"/>
                <w:szCs w:val="24"/>
              </w:rPr>
            </w:pPr>
            <w:r w:rsidRPr="0008312A">
              <w:rPr>
                <w:rFonts w:cs="Times New Roman"/>
                <w:b/>
                <w:i/>
                <w:sz w:val="24"/>
                <w:szCs w:val="24"/>
              </w:rPr>
              <w:t>IRR</w:t>
            </w:r>
          </w:p>
        </w:tc>
        <w:tc>
          <w:tcPr>
            <w:tcW w:w="3510" w:type="dxa"/>
          </w:tcPr>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The IRR gives a snapshot of the potential or probable returns that can be achieved from the projects of a company.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“Time value for money” is also accounted for within the method (Goedhart </w:t>
            </w:r>
            <w:r w:rsidRPr="0008312A">
              <w:rPr>
                <w:rFonts w:cs="Times New Roman"/>
                <w:i/>
                <w:sz w:val="24"/>
                <w:szCs w:val="24"/>
              </w:rPr>
              <w:t>et al</w:t>
            </w:r>
            <w:r w:rsidRPr="0008312A">
              <w:rPr>
                <w:rFonts w:cs="Times New Roman"/>
                <w:sz w:val="24"/>
                <w:szCs w:val="24"/>
              </w:rPr>
              <w:t xml:space="preserve">., 2015).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Hurdle rate computations are also not required and are simple for being interpreted. </w:t>
            </w:r>
          </w:p>
        </w:tc>
        <w:tc>
          <w:tcPr>
            <w:tcW w:w="3528" w:type="dxa"/>
          </w:tcPr>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Economies of scale acts as the foremost factor that every organisation requires considering during investment appraisal but is ignored in the IRR calculation (Storey, 2016).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Impractical and implicit assumptions are made on reinvestment rate at the IRR for the rest of the period of a project in this method. </w:t>
            </w:r>
          </w:p>
        </w:tc>
      </w:tr>
      <w:tr w:rsidR="000861EC" w:rsidRPr="0008312A" w:rsidTr="00831D0C">
        <w:tc>
          <w:tcPr>
            <w:tcW w:w="2538" w:type="dxa"/>
          </w:tcPr>
          <w:p w:rsidR="000861EC" w:rsidRPr="0008312A" w:rsidRDefault="000861EC" w:rsidP="00831D0C">
            <w:pPr>
              <w:rPr>
                <w:rFonts w:cs="Times New Roman"/>
                <w:b/>
                <w:i/>
                <w:sz w:val="24"/>
                <w:szCs w:val="24"/>
              </w:rPr>
            </w:pPr>
            <w:r w:rsidRPr="0008312A">
              <w:rPr>
                <w:rFonts w:cs="Times New Roman"/>
                <w:b/>
                <w:i/>
                <w:sz w:val="24"/>
                <w:szCs w:val="24"/>
              </w:rPr>
              <w:t xml:space="preserve">NPV </w:t>
            </w:r>
          </w:p>
        </w:tc>
        <w:tc>
          <w:tcPr>
            <w:tcW w:w="3510" w:type="dxa"/>
          </w:tcPr>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“Time value for money” being considered in this method is its chief benefit (Lane and Rosewall, 2015).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The method accounts for all the cash flows that are achieved from an investment and then measures its profitability.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It leads to the enhancement of the worth of an organisation. </w:t>
            </w:r>
          </w:p>
        </w:tc>
        <w:tc>
          <w:tcPr>
            <w:tcW w:w="3528" w:type="dxa"/>
          </w:tcPr>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The computations for NPV are often a difficult task.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It often results into inaccurate derivation of investment viability when projects are either mutually exclusive or possess unequal lives (Sirinanda </w:t>
            </w:r>
            <w:r w:rsidRPr="0008312A">
              <w:rPr>
                <w:rFonts w:cs="Times New Roman"/>
                <w:i/>
                <w:sz w:val="24"/>
                <w:szCs w:val="24"/>
              </w:rPr>
              <w:t>et al</w:t>
            </w:r>
            <w:r w:rsidRPr="0008312A">
              <w:rPr>
                <w:rFonts w:cs="Times New Roman"/>
                <w:sz w:val="24"/>
                <w:szCs w:val="24"/>
              </w:rPr>
              <w:t xml:space="preserve">., 2018). </w:t>
            </w:r>
          </w:p>
          <w:p w:rsidR="000861EC" w:rsidRPr="0008312A" w:rsidRDefault="000861EC" w:rsidP="00831D0C">
            <w:pPr>
              <w:pStyle w:val="ListParagraph"/>
              <w:numPr>
                <w:ilvl w:val="0"/>
                <w:numId w:val="1"/>
              </w:numPr>
              <w:rPr>
                <w:rFonts w:cs="Times New Roman"/>
                <w:sz w:val="24"/>
                <w:szCs w:val="24"/>
              </w:rPr>
            </w:pPr>
            <w:r w:rsidRPr="0008312A">
              <w:rPr>
                <w:rFonts w:cs="Times New Roman"/>
                <w:sz w:val="24"/>
                <w:szCs w:val="24"/>
              </w:rPr>
              <w:t xml:space="preserve">No opportunity costs or sunk costs are considered in the method. </w:t>
            </w:r>
          </w:p>
        </w:tc>
      </w:tr>
    </w:tbl>
    <w:p w:rsidR="000861EC" w:rsidRPr="0008312A" w:rsidRDefault="000861EC" w:rsidP="000861EC">
      <w:pPr>
        <w:jc w:val="center"/>
        <w:rPr>
          <w:rFonts w:cs="Times New Roman"/>
          <w:b/>
          <w:szCs w:val="24"/>
        </w:rPr>
      </w:pPr>
      <w:r w:rsidRPr="0008312A">
        <w:rPr>
          <w:rFonts w:cs="Times New Roman"/>
          <w:b/>
          <w:szCs w:val="24"/>
        </w:rPr>
        <w:t xml:space="preserve">Table </w:t>
      </w:r>
      <w:r>
        <w:rPr>
          <w:rFonts w:cs="Times New Roman"/>
          <w:b/>
          <w:szCs w:val="24"/>
        </w:rPr>
        <w:t>13</w:t>
      </w:r>
      <w:r w:rsidRPr="0008312A">
        <w:rPr>
          <w:rFonts w:cs="Times New Roman"/>
          <w:b/>
          <w:szCs w:val="24"/>
        </w:rPr>
        <w:t>: Benefits and shortcomings of NPV, IRR and PBP</w:t>
      </w:r>
    </w:p>
    <w:p w:rsidR="000B1211" w:rsidRDefault="000B1211" w:rsidP="000861EC">
      <w:pPr>
        <w:rPr>
          <w:rFonts w:cs="Times New Roman"/>
          <w:szCs w:val="24"/>
        </w:rPr>
      </w:pPr>
    </w:p>
    <w:p w:rsidR="000861EC" w:rsidRPr="0008312A" w:rsidRDefault="000861EC" w:rsidP="000861EC">
      <w:pPr>
        <w:rPr>
          <w:rFonts w:cs="Times New Roman"/>
          <w:szCs w:val="24"/>
        </w:rPr>
      </w:pPr>
      <w:r w:rsidRPr="0008312A">
        <w:rPr>
          <w:rFonts w:cs="Times New Roman"/>
          <w:szCs w:val="24"/>
        </w:rPr>
        <w:t>However, for ascertaining the success of all investments, it is necessary to consider a number of non-financial factors (Roy and Hota, 2017). The following are the major non-financial factors that need being considered for investments</w:t>
      </w:r>
      <w:r>
        <w:rPr>
          <w:rFonts w:cs="Times New Roman"/>
          <w:szCs w:val="24"/>
        </w:rPr>
        <w:t>:</w:t>
      </w:r>
    </w:p>
    <w:p w:rsidR="000861EC" w:rsidRPr="0008312A" w:rsidRDefault="000861EC" w:rsidP="000861EC">
      <w:pPr>
        <w:pStyle w:val="ListParagraph"/>
        <w:numPr>
          <w:ilvl w:val="0"/>
          <w:numId w:val="2"/>
        </w:numPr>
        <w:rPr>
          <w:rFonts w:cs="Times New Roman"/>
          <w:szCs w:val="24"/>
        </w:rPr>
      </w:pPr>
      <w:r w:rsidRPr="0008312A">
        <w:rPr>
          <w:rFonts w:cs="Times New Roman"/>
          <w:szCs w:val="24"/>
        </w:rPr>
        <w:t xml:space="preserve">Meeting the requirements under future and present legislations </w:t>
      </w:r>
    </w:p>
    <w:p w:rsidR="000861EC" w:rsidRPr="0008312A" w:rsidRDefault="000861EC" w:rsidP="000861EC">
      <w:pPr>
        <w:pStyle w:val="ListParagraph"/>
        <w:numPr>
          <w:ilvl w:val="0"/>
          <w:numId w:val="2"/>
        </w:numPr>
        <w:rPr>
          <w:rFonts w:cs="Times New Roman"/>
          <w:szCs w:val="24"/>
        </w:rPr>
      </w:pPr>
      <w:r w:rsidRPr="0008312A">
        <w:rPr>
          <w:rFonts w:cs="Times New Roman"/>
          <w:szCs w:val="24"/>
        </w:rPr>
        <w:t xml:space="preserve">Ensuring good practice and matching the standards of the industry </w:t>
      </w:r>
    </w:p>
    <w:p w:rsidR="000861EC" w:rsidRPr="0008312A" w:rsidRDefault="000861EC" w:rsidP="000861EC">
      <w:pPr>
        <w:pStyle w:val="ListParagraph"/>
        <w:numPr>
          <w:ilvl w:val="0"/>
          <w:numId w:val="2"/>
        </w:numPr>
        <w:rPr>
          <w:rFonts w:cs="Times New Roman"/>
          <w:szCs w:val="24"/>
        </w:rPr>
      </w:pPr>
      <w:r w:rsidRPr="0008312A">
        <w:rPr>
          <w:rFonts w:cs="Times New Roman"/>
          <w:szCs w:val="24"/>
        </w:rPr>
        <w:t xml:space="preserve">Improvement of staff morale, for easier retention and recruitment of employees </w:t>
      </w:r>
    </w:p>
    <w:p w:rsidR="000861EC" w:rsidRPr="0008312A" w:rsidRDefault="000861EC" w:rsidP="000861EC">
      <w:pPr>
        <w:pStyle w:val="ListParagraph"/>
        <w:numPr>
          <w:ilvl w:val="0"/>
          <w:numId w:val="2"/>
        </w:numPr>
        <w:rPr>
          <w:rFonts w:cs="Times New Roman"/>
          <w:szCs w:val="24"/>
        </w:rPr>
      </w:pPr>
      <w:r w:rsidRPr="0008312A">
        <w:rPr>
          <w:rFonts w:cs="Times New Roman"/>
          <w:szCs w:val="24"/>
        </w:rPr>
        <w:t xml:space="preserve">Enhancing customer and supplier relations </w:t>
      </w:r>
    </w:p>
    <w:p w:rsidR="000861EC" w:rsidRPr="0008312A" w:rsidRDefault="000861EC" w:rsidP="000861EC">
      <w:pPr>
        <w:pStyle w:val="ListParagraph"/>
        <w:numPr>
          <w:ilvl w:val="0"/>
          <w:numId w:val="2"/>
        </w:numPr>
        <w:rPr>
          <w:rFonts w:cs="Times New Roman"/>
          <w:szCs w:val="24"/>
        </w:rPr>
      </w:pPr>
      <w:r w:rsidRPr="0008312A">
        <w:rPr>
          <w:rFonts w:cs="Times New Roman"/>
          <w:szCs w:val="24"/>
        </w:rPr>
        <w:t xml:space="preserve">Development of organisational capabilities for executing the projects smoothly </w:t>
      </w:r>
    </w:p>
    <w:p w:rsidR="000861EC" w:rsidRPr="0008312A" w:rsidRDefault="000861EC" w:rsidP="000861EC">
      <w:pPr>
        <w:pStyle w:val="ListParagraph"/>
        <w:numPr>
          <w:ilvl w:val="0"/>
          <w:numId w:val="2"/>
        </w:numPr>
        <w:rPr>
          <w:rFonts w:cs="Times New Roman"/>
          <w:szCs w:val="24"/>
        </w:rPr>
      </w:pPr>
      <w:r w:rsidRPr="0008312A">
        <w:rPr>
          <w:rFonts w:cs="Times New Roman"/>
          <w:szCs w:val="24"/>
        </w:rPr>
        <w:t xml:space="preserve">Anticipation and tackling of the future threats, for example, protection of intellectual property from potential rivalry </w:t>
      </w:r>
    </w:p>
    <w:p w:rsidR="000861EC" w:rsidRDefault="000861EC" w:rsidP="000861EC">
      <w:pPr>
        <w:jc w:val="left"/>
        <w:rPr>
          <w:rFonts w:cs="Times New Roman"/>
          <w:szCs w:val="24"/>
        </w:rPr>
      </w:pPr>
      <w:bookmarkStart w:id="4" w:name="_Toc25790420"/>
    </w:p>
    <w:p w:rsidR="000861EC" w:rsidRPr="000861EC" w:rsidRDefault="000861EC" w:rsidP="000861EC">
      <w:pPr>
        <w:jc w:val="left"/>
        <w:rPr>
          <w:rFonts w:cs="Times New Roman"/>
          <w:b/>
          <w:bCs/>
          <w:szCs w:val="24"/>
        </w:rPr>
      </w:pPr>
      <w:r w:rsidRPr="000861EC">
        <w:rPr>
          <w:rFonts w:cs="Times New Roman"/>
          <w:b/>
          <w:bCs/>
          <w:szCs w:val="24"/>
        </w:rPr>
        <w:t>Conclusion</w:t>
      </w:r>
      <w:bookmarkEnd w:id="4"/>
      <w:r w:rsidRPr="000861EC">
        <w:rPr>
          <w:rFonts w:cs="Times New Roman"/>
          <w:b/>
          <w:bCs/>
          <w:szCs w:val="24"/>
        </w:rPr>
        <w:t xml:space="preserve"> </w:t>
      </w:r>
    </w:p>
    <w:p w:rsidR="000861EC" w:rsidRPr="0008312A" w:rsidRDefault="000861EC" w:rsidP="000861EC">
      <w:pPr>
        <w:rPr>
          <w:rFonts w:cs="Times New Roman"/>
          <w:szCs w:val="24"/>
        </w:rPr>
      </w:pPr>
      <w:r w:rsidRPr="0008312A">
        <w:rPr>
          <w:rFonts w:cs="Times New Roman"/>
          <w:szCs w:val="24"/>
        </w:rPr>
        <w:t xml:space="preserve">Thus, from this report, it can be concluded that financial analysis and investment appraisal act as significant aspects for understanding the performance of companies and ensuring proper investment decisions. It could be derived that the financial performance of </w:t>
      </w:r>
      <w:r>
        <w:rPr>
          <w:rFonts w:cs="Times New Roman"/>
          <w:szCs w:val="24"/>
        </w:rPr>
        <w:t xml:space="preserve">BT Group </w:t>
      </w:r>
      <w:r w:rsidR="00A8704D">
        <w:rPr>
          <w:rFonts w:cs="Times New Roman"/>
          <w:szCs w:val="24"/>
        </w:rPr>
        <w:t>Plc</w:t>
      </w:r>
      <w:r>
        <w:rPr>
          <w:rFonts w:cs="Times New Roman"/>
          <w:szCs w:val="24"/>
        </w:rPr>
        <w:t xml:space="preserve"> </w:t>
      </w:r>
      <w:r w:rsidRPr="0008312A">
        <w:rPr>
          <w:rFonts w:cs="Times New Roman"/>
          <w:szCs w:val="24"/>
        </w:rPr>
        <w:t xml:space="preserve">is considerably good. This is not only in terms of the own performance of </w:t>
      </w:r>
      <w:r>
        <w:rPr>
          <w:rFonts w:cs="Times New Roman"/>
          <w:szCs w:val="24"/>
        </w:rPr>
        <w:t xml:space="preserve">BT </w:t>
      </w:r>
      <w:r w:rsidRPr="0008312A">
        <w:rPr>
          <w:rFonts w:cs="Times New Roman"/>
          <w:szCs w:val="24"/>
        </w:rPr>
        <w:t xml:space="preserve">but also in comparison to its major competitor </w:t>
      </w:r>
      <w:r>
        <w:rPr>
          <w:rFonts w:cs="Times New Roman"/>
          <w:szCs w:val="24"/>
        </w:rPr>
        <w:t>Vodafone.</w:t>
      </w:r>
      <w:r w:rsidRPr="0008312A">
        <w:rPr>
          <w:rFonts w:cs="Times New Roman"/>
          <w:szCs w:val="24"/>
        </w:rPr>
        <w:t xml:space="preserve"> At the same time, it can be determined that amongst the two projects of the company, Project B is more viable in nature. The financial performance </w:t>
      </w:r>
      <w:r w:rsidRPr="0008312A">
        <w:rPr>
          <w:rFonts w:cs="Times New Roman"/>
          <w:szCs w:val="24"/>
        </w:rPr>
        <w:t xml:space="preserve">of </w:t>
      </w:r>
      <w:r>
        <w:rPr>
          <w:rFonts w:cs="Times New Roman"/>
          <w:szCs w:val="24"/>
        </w:rPr>
        <w:t xml:space="preserve">BT </w:t>
      </w:r>
      <w:r w:rsidRPr="0008312A">
        <w:rPr>
          <w:rFonts w:cs="Times New Roman"/>
          <w:szCs w:val="24"/>
        </w:rPr>
        <w:t xml:space="preserve">can be improved largely if the company uses the recommendations provided in the report both for improving financial soundness and accepting investments effectually. </w:t>
      </w:r>
    </w:p>
    <w:p w:rsidR="000861EC" w:rsidRDefault="000861EC" w:rsidP="000861EC">
      <w:pPr>
        <w:jc w:val="left"/>
        <w:rPr>
          <w:rFonts w:cs="Times New Roman"/>
          <w:szCs w:val="24"/>
        </w:rPr>
      </w:pPr>
      <w:bookmarkStart w:id="5" w:name="_Toc25790421"/>
    </w:p>
    <w:p w:rsidR="000861EC" w:rsidRDefault="000861EC" w:rsidP="000861EC">
      <w:pPr>
        <w:jc w:val="left"/>
        <w:rPr>
          <w:rFonts w:cs="Times New Roman"/>
          <w:szCs w:val="24"/>
        </w:rPr>
      </w:pPr>
    </w:p>
    <w:p w:rsidR="000861EC" w:rsidRDefault="000861EC" w:rsidP="000861EC">
      <w:pPr>
        <w:jc w:val="left"/>
        <w:rPr>
          <w:rFonts w:cs="Times New Roman"/>
          <w:szCs w:val="24"/>
        </w:rPr>
      </w:pPr>
    </w:p>
    <w:p w:rsidR="000861EC" w:rsidRDefault="000861EC" w:rsidP="000861EC">
      <w:pPr>
        <w:jc w:val="left"/>
        <w:rPr>
          <w:rFonts w:cs="Times New Roman"/>
          <w:szCs w:val="24"/>
        </w:rPr>
      </w:pPr>
    </w:p>
    <w:p w:rsidR="000861EC" w:rsidRDefault="000861EC" w:rsidP="000861EC">
      <w:pPr>
        <w:jc w:val="left"/>
        <w:rPr>
          <w:rFonts w:cs="Times New Roman"/>
          <w:szCs w:val="24"/>
        </w:rPr>
      </w:pPr>
    </w:p>
    <w:p w:rsidR="000861EC" w:rsidRDefault="000861EC" w:rsidP="000861EC">
      <w:pPr>
        <w:jc w:val="left"/>
        <w:rPr>
          <w:rFonts w:cs="Times New Roman"/>
          <w:szCs w:val="24"/>
        </w:rPr>
      </w:pPr>
    </w:p>
    <w:p w:rsidR="001B2AA9" w:rsidRPr="000861EC" w:rsidRDefault="00D473A5" w:rsidP="000861EC">
      <w:pPr>
        <w:jc w:val="left"/>
        <w:rPr>
          <w:rFonts w:cs="Times New Roman"/>
          <w:b/>
          <w:bCs/>
          <w:szCs w:val="24"/>
        </w:rPr>
      </w:pPr>
      <w:r w:rsidRPr="000861EC">
        <w:rPr>
          <w:rFonts w:cs="Times New Roman"/>
          <w:b/>
          <w:bCs/>
          <w:szCs w:val="24"/>
        </w:rPr>
        <w:t>Reference List</w:t>
      </w:r>
      <w:bookmarkEnd w:id="5"/>
      <w:r w:rsidRPr="000861EC">
        <w:rPr>
          <w:rFonts w:cs="Times New Roman"/>
          <w:b/>
          <w:bCs/>
          <w:szCs w:val="24"/>
        </w:rPr>
        <w:t xml:space="preserve"> </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Ahmed, S.I., Johari, A., Hashim, H., Lim, J.S., Jusoh, M., Mat, R. and Alkali, H., 2015. Economic and environmental evaluation of landfill gas utilisation: A multi-period optimisation approach for low carbon regions. </w:t>
      </w:r>
      <w:r w:rsidRPr="0008312A">
        <w:rPr>
          <w:rFonts w:cs="Times New Roman"/>
          <w:i/>
          <w:iCs/>
          <w:color w:val="222222"/>
          <w:szCs w:val="24"/>
          <w:shd w:val="clear" w:color="auto" w:fill="FFFFFF"/>
        </w:rPr>
        <w:t>International Biodeterioration &amp; Biodegradation</w:t>
      </w:r>
      <w:r w:rsidRPr="0008312A">
        <w:rPr>
          <w:rFonts w:cs="Times New Roman"/>
          <w:color w:val="222222"/>
          <w:szCs w:val="24"/>
          <w:shd w:val="clear" w:color="auto" w:fill="FFFFFF"/>
        </w:rPr>
        <w:t>, </w:t>
      </w:r>
      <w:r w:rsidRPr="0008312A">
        <w:rPr>
          <w:rFonts w:cs="Times New Roman"/>
          <w:i/>
          <w:iCs/>
          <w:color w:val="222222"/>
          <w:szCs w:val="24"/>
          <w:shd w:val="clear" w:color="auto" w:fill="FFFFFF"/>
        </w:rPr>
        <w:t>102</w:t>
      </w:r>
      <w:r w:rsidRPr="0008312A">
        <w:rPr>
          <w:rFonts w:cs="Times New Roman"/>
          <w:color w:val="222222"/>
          <w:szCs w:val="24"/>
          <w:shd w:val="clear" w:color="auto" w:fill="FFFFFF"/>
        </w:rPr>
        <w:t>, pp.191-201.</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Al Ani, M.K., 2015. A strategic framework to use payback period (PBP) in evaluating the capital budgeting in energy and oil and gas sectors in Oman. </w:t>
      </w:r>
      <w:r w:rsidRPr="0008312A">
        <w:rPr>
          <w:rFonts w:cs="Times New Roman"/>
          <w:i/>
          <w:iCs/>
          <w:color w:val="222222"/>
          <w:szCs w:val="24"/>
          <w:shd w:val="clear" w:color="auto" w:fill="FFFFFF"/>
        </w:rPr>
        <w:t>International journal of economics and financial issues</w:t>
      </w:r>
      <w:r w:rsidRPr="0008312A">
        <w:rPr>
          <w:rFonts w:cs="Times New Roman"/>
          <w:color w:val="222222"/>
          <w:szCs w:val="24"/>
          <w:shd w:val="clear" w:color="auto" w:fill="FFFFFF"/>
        </w:rPr>
        <w:t>, </w:t>
      </w:r>
      <w:r w:rsidRPr="0008312A">
        <w:rPr>
          <w:rFonts w:cs="Times New Roman"/>
          <w:i/>
          <w:iCs/>
          <w:color w:val="222222"/>
          <w:szCs w:val="24"/>
          <w:shd w:val="clear" w:color="auto" w:fill="FFFFFF"/>
        </w:rPr>
        <w:t>5</w:t>
      </w:r>
      <w:r w:rsidRPr="0008312A">
        <w:rPr>
          <w:rFonts w:cs="Times New Roman"/>
          <w:color w:val="222222"/>
          <w:szCs w:val="24"/>
          <w:shd w:val="clear" w:color="auto" w:fill="FFFFFF"/>
        </w:rPr>
        <w:t>(2), pp.469-475.</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bbc.com, 2019. </w:t>
      </w:r>
      <w:r w:rsidRPr="00DB26B7">
        <w:rPr>
          <w:rFonts w:cs="Times New Roman"/>
          <w:i/>
          <w:iCs/>
          <w:color w:val="000000" w:themeColor="text1"/>
          <w:szCs w:val="24"/>
        </w:rPr>
        <w:t>BT Group - BBC News</w:t>
      </w:r>
      <w:r w:rsidRPr="00DB26B7">
        <w:rPr>
          <w:rFonts w:cs="Times New Roman"/>
          <w:color w:val="000000" w:themeColor="text1"/>
          <w:szCs w:val="24"/>
        </w:rPr>
        <w:t>. [online] Available at: https://www.bbc.com/news/topics/cwlw3xz0zwet/bt-group [Accessed 19 Dec. 2019].</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bt.com, 2019. </w:t>
      </w:r>
      <w:r w:rsidRPr="00DB26B7">
        <w:rPr>
          <w:rFonts w:cs="Times New Roman"/>
          <w:i/>
          <w:iCs/>
          <w:color w:val="000000" w:themeColor="text1"/>
          <w:szCs w:val="24"/>
        </w:rPr>
        <w:t>Fibre Broadband, TV Packages, BT Sport &amp; Mobile Deals | BT</w:t>
      </w:r>
      <w:r w:rsidRPr="00DB26B7">
        <w:rPr>
          <w:rFonts w:cs="Times New Roman"/>
          <w:color w:val="000000" w:themeColor="text1"/>
          <w:szCs w:val="24"/>
        </w:rPr>
        <w:t>. [online] Available at: https://www.bt.com/ [Accessed 19 Dec. 2019].</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btplc.com, 2019. [online] Available at: https://www.btplc.com/Sharesandperformance/Annualreportandreview/2018summary/documents/our_business_model.pdf [Accessed 19 Dec. 2019].</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Goedhart, M., Levy, C. and Morgan, P., 2015. A better way to understand internal rate of return. </w:t>
      </w:r>
      <w:r w:rsidRPr="0008312A">
        <w:rPr>
          <w:rFonts w:cs="Times New Roman"/>
          <w:i/>
          <w:iCs/>
          <w:color w:val="222222"/>
          <w:szCs w:val="24"/>
          <w:shd w:val="clear" w:color="auto" w:fill="FFFFFF"/>
        </w:rPr>
        <w:t>Mc Kinsey &amp; Company, November. http://www. mckinsey. com/business-functions/strategy-and-corporate-finance/our-insights/a-betterway-to-understand-internal-rate-of-return</w:t>
      </w:r>
      <w:r w:rsidRPr="0008312A">
        <w:rPr>
          <w:rFonts w:cs="Times New Roman"/>
          <w:color w:val="222222"/>
          <w:szCs w:val="24"/>
          <w:shd w:val="clear" w:color="auto" w:fill="FFFFFF"/>
        </w:rPr>
        <w:t>.</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Hicks, C.L., 2017, July. MODERN PROJECT INVESTMENT APPRAISAL: RETURN TO SIMPLICITY. In </w:t>
      </w:r>
      <w:r w:rsidRPr="0008312A">
        <w:rPr>
          <w:rFonts w:cs="Times New Roman"/>
          <w:i/>
          <w:iCs/>
          <w:color w:val="222222"/>
          <w:szCs w:val="24"/>
          <w:shd w:val="clear" w:color="auto" w:fill="FFFFFF"/>
        </w:rPr>
        <w:t>Process Optimisation: A Three-Day Symposium Organised by the Midlands Branch of the Institution of Chemical Engineers and Held at the University of Nottingham, 7–9 April 1987</w:t>
      </w:r>
      <w:r w:rsidRPr="0008312A">
        <w:rPr>
          <w:rFonts w:cs="Times New Roman"/>
          <w:color w:val="222222"/>
          <w:szCs w:val="24"/>
          <w:shd w:val="clear" w:color="auto" w:fill="FFFFFF"/>
        </w:rPr>
        <w:t> (No. 61, p. 53). Elsevier.</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Hopkinson, M., 2017. </w:t>
      </w:r>
      <w:r w:rsidRPr="0008312A">
        <w:rPr>
          <w:rFonts w:cs="Times New Roman"/>
          <w:i/>
          <w:iCs/>
          <w:color w:val="222222"/>
          <w:szCs w:val="24"/>
          <w:shd w:val="clear" w:color="auto" w:fill="FFFFFF"/>
        </w:rPr>
        <w:t>Net Present value and risk modelling for projects</w:t>
      </w:r>
      <w:r w:rsidRPr="0008312A">
        <w:rPr>
          <w:rFonts w:cs="Times New Roman"/>
          <w:color w:val="222222"/>
          <w:szCs w:val="24"/>
          <w:shd w:val="clear" w:color="auto" w:fill="FFFFFF"/>
        </w:rPr>
        <w:t>. Routledge.</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lastRenderedPageBreak/>
        <w:t>Jabet, T., Caron, J. and Lambert, R., 2016. Payback period in cranberry associated with a wireless irrigation technology. </w:t>
      </w:r>
      <w:r w:rsidRPr="0008312A">
        <w:rPr>
          <w:rFonts w:cs="Times New Roman"/>
          <w:i/>
          <w:iCs/>
          <w:color w:val="222222"/>
          <w:szCs w:val="24"/>
          <w:shd w:val="clear" w:color="auto" w:fill="FFFFFF"/>
        </w:rPr>
        <w:t>Canadian journal of soil science</w:t>
      </w:r>
      <w:r w:rsidRPr="0008312A">
        <w:rPr>
          <w:rFonts w:cs="Times New Roman"/>
          <w:color w:val="222222"/>
          <w:szCs w:val="24"/>
          <w:shd w:val="clear" w:color="auto" w:fill="FFFFFF"/>
        </w:rPr>
        <w:t>, </w:t>
      </w:r>
      <w:r w:rsidRPr="0008312A">
        <w:rPr>
          <w:rFonts w:cs="Times New Roman"/>
          <w:i/>
          <w:iCs/>
          <w:color w:val="222222"/>
          <w:szCs w:val="24"/>
          <w:shd w:val="clear" w:color="auto" w:fill="FFFFFF"/>
        </w:rPr>
        <w:t>97</w:t>
      </w:r>
      <w:r w:rsidRPr="0008312A">
        <w:rPr>
          <w:rFonts w:cs="Times New Roman"/>
          <w:color w:val="222222"/>
          <w:szCs w:val="24"/>
          <w:shd w:val="clear" w:color="auto" w:fill="FFFFFF"/>
        </w:rPr>
        <w:t>(1), pp.71-81.</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Jewell, J.J. and Mankin, J.A., 2016. What Is Your EPS? Issues In Computing And Interpreting Earnings Per Share. </w:t>
      </w:r>
      <w:r w:rsidRPr="0008312A">
        <w:rPr>
          <w:rFonts w:cs="Times New Roman"/>
          <w:i/>
          <w:iCs/>
          <w:color w:val="222222"/>
          <w:szCs w:val="24"/>
          <w:shd w:val="clear" w:color="auto" w:fill="FFFFFF"/>
        </w:rPr>
        <w:t>Jewell, JJ and Mankin, JA (2016). What is Your EPS</w:t>
      </w:r>
      <w:r w:rsidRPr="0008312A">
        <w:rPr>
          <w:rFonts w:cs="Times New Roman"/>
          <w:color w:val="222222"/>
          <w:szCs w:val="24"/>
          <w:shd w:val="clear" w:color="auto" w:fill="FFFFFF"/>
        </w:rPr>
        <w:t>, pp.48-61.</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 xml:space="preserve">Jewell, J.J. and Mankin, J.A., 2016. What Is Your EPS? Issues In Computing </w:t>
      </w:r>
      <w:proofErr w:type="gramStart"/>
      <w:r w:rsidRPr="00DB26B7">
        <w:rPr>
          <w:rFonts w:cs="Times New Roman"/>
          <w:color w:val="000000" w:themeColor="text1"/>
          <w:szCs w:val="24"/>
        </w:rPr>
        <w:t>And</w:t>
      </w:r>
      <w:proofErr w:type="gramEnd"/>
      <w:r w:rsidRPr="00DB26B7">
        <w:rPr>
          <w:rFonts w:cs="Times New Roman"/>
          <w:color w:val="000000" w:themeColor="text1"/>
          <w:szCs w:val="24"/>
        </w:rPr>
        <w:t xml:space="preserve"> Interpreting Earnings Per Share. </w:t>
      </w:r>
      <w:r w:rsidRPr="00DB26B7">
        <w:rPr>
          <w:rFonts w:cs="Times New Roman"/>
          <w:i/>
          <w:iCs/>
          <w:color w:val="000000" w:themeColor="text1"/>
          <w:szCs w:val="24"/>
        </w:rPr>
        <w:t xml:space="preserve">Jewell, JJ and </w:t>
      </w:r>
      <w:proofErr w:type="spellStart"/>
      <w:r w:rsidRPr="00DB26B7">
        <w:rPr>
          <w:rFonts w:cs="Times New Roman"/>
          <w:i/>
          <w:iCs/>
          <w:color w:val="000000" w:themeColor="text1"/>
          <w:szCs w:val="24"/>
        </w:rPr>
        <w:t>Mankin</w:t>
      </w:r>
      <w:proofErr w:type="spellEnd"/>
      <w:r w:rsidRPr="00DB26B7">
        <w:rPr>
          <w:rFonts w:cs="Times New Roman"/>
          <w:i/>
          <w:iCs/>
          <w:color w:val="000000" w:themeColor="text1"/>
          <w:szCs w:val="24"/>
        </w:rPr>
        <w:t>, JA (2016). What is Your EPS</w:t>
      </w:r>
      <w:r w:rsidRPr="00DB26B7">
        <w:rPr>
          <w:rFonts w:cs="Times New Roman"/>
          <w:color w:val="000000" w:themeColor="text1"/>
          <w:szCs w:val="24"/>
        </w:rPr>
        <w:t>, pp.48-61.</w:t>
      </w:r>
    </w:p>
    <w:p w:rsidR="00885D1C" w:rsidRPr="00DB26B7" w:rsidRDefault="00885D1C" w:rsidP="00885D1C">
      <w:pPr>
        <w:rPr>
          <w:rFonts w:cs="Times New Roman"/>
          <w:color w:val="000000" w:themeColor="text1"/>
          <w:szCs w:val="24"/>
        </w:rPr>
      </w:pPr>
      <w:proofErr w:type="spellStart"/>
      <w:r w:rsidRPr="00DB26B7">
        <w:rPr>
          <w:rFonts w:cs="Times New Roman"/>
          <w:color w:val="000000" w:themeColor="text1"/>
          <w:szCs w:val="24"/>
        </w:rPr>
        <w:t>Kajola</w:t>
      </w:r>
      <w:proofErr w:type="spellEnd"/>
      <w:r w:rsidRPr="00DB26B7">
        <w:rPr>
          <w:rFonts w:cs="Times New Roman"/>
          <w:color w:val="000000" w:themeColor="text1"/>
          <w:szCs w:val="24"/>
        </w:rPr>
        <w:t xml:space="preserve">, S.O., </w:t>
      </w:r>
      <w:proofErr w:type="spellStart"/>
      <w:r w:rsidRPr="00DB26B7">
        <w:rPr>
          <w:rFonts w:cs="Times New Roman"/>
          <w:color w:val="000000" w:themeColor="text1"/>
          <w:szCs w:val="24"/>
        </w:rPr>
        <w:t>Sanyaolu</w:t>
      </w:r>
      <w:proofErr w:type="spellEnd"/>
      <w:r w:rsidRPr="00DB26B7">
        <w:rPr>
          <w:rFonts w:cs="Times New Roman"/>
          <w:color w:val="000000" w:themeColor="text1"/>
          <w:szCs w:val="24"/>
        </w:rPr>
        <w:t xml:space="preserve">, W.A., </w:t>
      </w:r>
      <w:proofErr w:type="spellStart"/>
      <w:r w:rsidRPr="00DB26B7">
        <w:rPr>
          <w:rFonts w:cs="Times New Roman"/>
          <w:color w:val="000000" w:themeColor="text1"/>
          <w:szCs w:val="24"/>
        </w:rPr>
        <w:t>Alao</w:t>
      </w:r>
      <w:proofErr w:type="spellEnd"/>
      <w:r w:rsidRPr="00DB26B7">
        <w:rPr>
          <w:rFonts w:cs="Times New Roman"/>
          <w:color w:val="000000" w:themeColor="text1"/>
          <w:szCs w:val="24"/>
        </w:rPr>
        <w:t xml:space="preserve">, A. and </w:t>
      </w:r>
      <w:proofErr w:type="spellStart"/>
      <w:r w:rsidRPr="00DB26B7">
        <w:rPr>
          <w:rFonts w:cs="Times New Roman"/>
          <w:color w:val="000000" w:themeColor="text1"/>
          <w:szCs w:val="24"/>
        </w:rPr>
        <w:t>Ojunrongbe</w:t>
      </w:r>
      <w:proofErr w:type="spellEnd"/>
      <w:r w:rsidRPr="00DB26B7">
        <w:rPr>
          <w:rFonts w:cs="Times New Roman"/>
          <w:color w:val="000000" w:themeColor="text1"/>
          <w:szCs w:val="24"/>
        </w:rPr>
        <w:t>, O.J., 2019. Liquidity and Profitability Dynamics: Evidence from the Nigerian Banking Sector.</w:t>
      </w:r>
    </w:p>
    <w:p w:rsidR="00885D1C" w:rsidRPr="0008312A" w:rsidRDefault="00885D1C" w:rsidP="0008312A">
      <w:pPr>
        <w:rPr>
          <w:rFonts w:cs="Times New Roman"/>
          <w:color w:val="222222"/>
          <w:szCs w:val="24"/>
          <w:shd w:val="clear" w:color="auto" w:fill="FFFFFF"/>
        </w:rPr>
      </w:pPr>
      <w:proofErr w:type="spellStart"/>
      <w:r w:rsidRPr="0008312A">
        <w:rPr>
          <w:rFonts w:cs="Times New Roman"/>
          <w:color w:val="222222"/>
          <w:szCs w:val="24"/>
          <w:shd w:val="clear" w:color="auto" w:fill="FFFFFF"/>
        </w:rPr>
        <w:t>Khamidah</w:t>
      </w:r>
      <w:proofErr w:type="spellEnd"/>
      <w:r w:rsidRPr="0008312A">
        <w:rPr>
          <w:rFonts w:cs="Times New Roman"/>
          <w:color w:val="222222"/>
          <w:szCs w:val="24"/>
          <w:shd w:val="clear" w:color="auto" w:fill="FFFFFF"/>
        </w:rPr>
        <w:t xml:space="preserve">, A., </w:t>
      </w:r>
      <w:proofErr w:type="spellStart"/>
      <w:r w:rsidRPr="0008312A">
        <w:rPr>
          <w:rFonts w:cs="Times New Roman"/>
          <w:color w:val="222222"/>
          <w:szCs w:val="24"/>
          <w:shd w:val="clear" w:color="auto" w:fill="FFFFFF"/>
        </w:rPr>
        <w:t>Gagah</w:t>
      </w:r>
      <w:proofErr w:type="spellEnd"/>
      <w:r w:rsidRPr="0008312A">
        <w:rPr>
          <w:rFonts w:cs="Times New Roman"/>
          <w:color w:val="222222"/>
          <w:szCs w:val="24"/>
          <w:shd w:val="clear" w:color="auto" w:fill="FFFFFF"/>
        </w:rPr>
        <w:t xml:space="preserve">, E. and </w:t>
      </w:r>
      <w:proofErr w:type="spellStart"/>
      <w:r w:rsidRPr="0008312A">
        <w:rPr>
          <w:rFonts w:cs="Times New Roman"/>
          <w:color w:val="222222"/>
          <w:szCs w:val="24"/>
          <w:shd w:val="clear" w:color="auto" w:fill="FFFFFF"/>
        </w:rPr>
        <w:t>Fathoni</w:t>
      </w:r>
      <w:proofErr w:type="spellEnd"/>
      <w:r w:rsidRPr="0008312A">
        <w:rPr>
          <w:rFonts w:cs="Times New Roman"/>
          <w:color w:val="222222"/>
          <w:szCs w:val="24"/>
          <w:shd w:val="clear" w:color="auto" w:fill="FFFFFF"/>
        </w:rPr>
        <w:t>, A., 2018. ANALYSIS OF THE EFFECT OF GROSS PROFIT MARGIN (GPM), EARNING PER SHARE (EPS), DEBT TO EQUITY RATIO (DER), NET PROFIT MARGIN (NPM) ON RETURN ON ASSETS (ROA</w:t>
      </w:r>
      <w:proofErr w:type="gramStart"/>
      <w:r w:rsidRPr="0008312A">
        <w:rPr>
          <w:rFonts w:cs="Times New Roman"/>
          <w:color w:val="222222"/>
          <w:szCs w:val="24"/>
          <w:shd w:val="clear" w:color="auto" w:fill="FFFFFF"/>
        </w:rPr>
        <w:t>)(</w:t>
      </w:r>
      <w:proofErr w:type="gramEnd"/>
      <w:r w:rsidRPr="0008312A">
        <w:rPr>
          <w:rFonts w:cs="Times New Roman"/>
          <w:color w:val="222222"/>
          <w:szCs w:val="24"/>
          <w:shd w:val="clear" w:color="auto" w:fill="FFFFFF"/>
        </w:rPr>
        <w:t>Study On Property and Real Estate Companies listed on the Indonesia Stock Exchange Year 2012–2016). </w:t>
      </w:r>
      <w:r w:rsidRPr="0008312A">
        <w:rPr>
          <w:rFonts w:cs="Times New Roman"/>
          <w:i/>
          <w:iCs/>
          <w:color w:val="222222"/>
          <w:szCs w:val="24"/>
          <w:shd w:val="clear" w:color="auto" w:fill="FFFFFF"/>
        </w:rPr>
        <w:t>Journal of Management</w:t>
      </w:r>
      <w:r w:rsidRPr="0008312A">
        <w:rPr>
          <w:rFonts w:cs="Times New Roman"/>
          <w:color w:val="222222"/>
          <w:szCs w:val="24"/>
          <w:shd w:val="clear" w:color="auto" w:fill="FFFFFF"/>
        </w:rPr>
        <w:t>, </w:t>
      </w:r>
      <w:r w:rsidRPr="0008312A">
        <w:rPr>
          <w:rFonts w:cs="Times New Roman"/>
          <w:i/>
          <w:iCs/>
          <w:color w:val="222222"/>
          <w:szCs w:val="24"/>
          <w:shd w:val="clear" w:color="auto" w:fill="FFFFFF"/>
        </w:rPr>
        <w:t>4</w:t>
      </w:r>
      <w:r w:rsidRPr="0008312A">
        <w:rPr>
          <w:rFonts w:cs="Times New Roman"/>
          <w:color w:val="222222"/>
          <w:szCs w:val="24"/>
          <w:shd w:val="clear" w:color="auto" w:fill="FFFFFF"/>
        </w:rPr>
        <w:t>(4).</w:t>
      </w:r>
    </w:p>
    <w:p w:rsidR="00885D1C" w:rsidRPr="00DB26B7" w:rsidRDefault="00885D1C" w:rsidP="00885D1C">
      <w:pPr>
        <w:rPr>
          <w:rFonts w:cs="Times New Roman"/>
          <w:color w:val="000000" w:themeColor="text1"/>
          <w:szCs w:val="24"/>
        </w:rPr>
      </w:pPr>
      <w:proofErr w:type="spellStart"/>
      <w:r w:rsidRPr="00DB26B7">
        <w:rPr>
          <w:rFonts w:cs="Times New Roman"/>
          <w:color w:val="000000" w:themeColor="text1"/>
          <w:szCs w:val="24"/>
        </w:rPr>
        <w:t>Khamidah</w:t>
      </w:r>
      <w:proofErr w:type="spellEnd"/>
      <w:r w:rsidRPr="00DB26B7">
        <w:rPr>
          <w:rFonts w:cs="Times New Roman"/>
          <w:color w:val="000000" w:themeColor="text1"/>
          <w:szCs w:val="24"/>
        </w:rPr>
        <w:t xml:space="preserve">, A., </w:t>
      </w:r>
      <w:proofErr w:type="spellStart"/>
      <w:r w:rsidRPr="00DB26B7">
        <w:rPr>
          <w:rFonts w:cs="Times New Roman"/>
          <w:color w:val="000000" w:themeColor="text1"/>
          <w:szCs w:val="24"/>
        </w:rPr>
        <w:t>Gagah</w:t>
      </w:r>
      <w:proofErr w:type="spellEnd"/>
      <w:r w:rsidRPr="00DB26B7">
        <w:rPr>
          <w:rFonts w:cs="Times New Roman"/>
          <w:color w:val="000000" w:themeColor="text1"/>
          <w:szCs w:val="24"/>
        </w:rPr>
        <w:t xml:space="preserve">, E. and </w:t>
      </w:r>
      <w:proofErr w:type="spellStart"/>
      <w:r w:rsidRPr="00DB26B7">
        <w:rPr>
          <w:rFonts w:cs="Times New Roman"/>
          <w:color w:val="000000" w:themeColor="text1"/>
          <w:szCs w:val="24"/>
        </w:rPr>
        <w:t>Fathoni</w:t>
      </w:r>
      <w:proofErr w:type="spellEnd"/>
      <w:r w:rsidRPr="00DB26B7">
        <w:rPr>
          <w:rFonts w:cs="Times New Roman"/>
          <w:color w:val="000000" w:themeColor="text1"/>
          <w:szCs w:val="24"/>
        </w:rPr>
        <w:t>, A., 2018. ANALYSIS OF THE EFFECT OF GROSS PROFIT MARGIN (GPM), EARNING PER SHARE (EPS), DEBT TO EQUITY RATIO (DER), NET PROFIT MARGIN (NPM) ON RETURN ON ASSETS (ROA</w:t>
      </w:r>
      <w:proofErr w:type="gramStart"/>
      <w:r w:rsidRPr="00DB26B7">
        <w:rPr>
          <w:rFonts w:cs="Times New Roman"/>
          <w:color w:val="000000" w:themeColor="text1"/>
          <w:szCs w:val="24"/>
        </w:rPr>
        <w:t>)(</w:t>
      </w:r>
      <w:proofErr w:type="gramEnd"/>
      <w:r w:rsidRPr="00DB26B7">
        <w:rPr>
          <w:rFonts w:cs="Times New Roman"/>
          <w:color w:val="000000" w:themeColor="text1"/>
          <w:szCs w:val="24"/>
        </w:rPr>
        <w:t>Study On Property and Real Estate Companies listed on the Indonesia Stock Exchange Year 2012–2016). </w:t>
      </w:r>
      <w:r w:rsidRPr="00DB26B7">
        <w:rPr>
          <w:rFonts w:cs="Times New Roman"/>
          <w:i/>
          <w:iCs/>
          <w:color w:val="000000" w:themeColor="text1"/>
          <w:szCs w:val="24"/>
        </w:rPr>
        <w:t>Journal of Management</w:t>
      </w:r>
      <w:r w:rsidRPr="00DB26B7">
        <w:rPr>
          <w:rFonts w:cs="Times New Roman"/>
          <w:color w:val="000000" w:themeColor="text1"/>
          <w:szCs w:val="24"/>
        </w:rPr>
        <w:t>, </w:t>
      </w:r>
      <w:r w:rsidRPr="00DB26B7">
        <w:rPr>
          <w:rFonts w:cs="Times New Roman"/>
          <w:i/>
          <w:iCs/>
          <w:color w:val="000000" w:themeColor="text1"/>
          <w:szCs w:val="24"/>
        </w:rPr>
        <w:t>4</w:t>
      </w:r>
      <w:r w:rsidRPr="00DB26B7">
        <w:rPr>
          <w:rFonts w:cs="Times New Roman"/>
          <w:color w:val="000000" w:themeColor="text1"/>
          <w:szCs w:val="24"/>
        </w:rPr>
        <w:t>(4).</w:t>
      </w:r>
    </w:p>
    <w:p w:rsidR="00885D1C" w:rsidRPr="00DB26B7" w:rsidRDefault="00885D1C" w:rsidP="00885D1C">
      <w:pPr>
        <w:rPr>
          <w:rFonts w:cs="Times New Roman"/>
          <w:color w:val="000000" w:themeColor="text1"/>
          <w:szCs w:val="24"/>
        </w:rPr>
      </w:pPr>
      <w:proofErr w:type="spellStart"/>
      <w:r w:rsidRPr="00DB26B7">
        <w:rPr>
          <w:rFonts w:cs="Times New Roman"/>
          <w:color w:val="000000" w:themeColor="text1"/>
          <w:szCs w:val="24"/>
        </w:rPr>
        <w:t>Kijewska</w:t>
      </w:r>
      <w:proofErr w:type="spellEnd"/>
      <w:r w:rsidRPr="00DB26B7">
        <w:rPr>
          <w:rFonts w:cs="Times New Roman"/>
          <w:color w:val="000000" w:themeColor="text1"/>
          <w:szCs w:val="24"/>
        </w:rPr>
        <w:t>, A., 2016. Determinants of the return on equity ratio (ROE) on the example of companies from metallurgy and mining sector in Poland. </w:t>
      </w:r>
      <w:proofErr w:type="spellStart"/>
      <w:r w:rsidRPr="00DB26B7">
        <w:rPr>
          <w:rFonts w:cs="Times New Roman"/>
          <w:i/>
          <w:iCs/>
          <w:color w:val="000000" w:themeColor="text1"/>
          <w:szCs w:val="24"/>
        </w:rPr>
        <w:t>Metalurgija</w:t>
      </w:r>
      <w:proofErr w:type="spellEnd"/>
      <w:r w:rsidRPr="00DB26B7">
        <w:rPr>
          <w:rFonts w:cs="Times New Roman"/>
          <w:color w:val="000000" w:themeColor="text1"/>
          <w:szCs w:val="24"/>
        </w:rPr>
        <w:t>, </w:t>
      </w:r>
      <w:r w:rsidRPr="00DB26B7">
        <w:rPr>
          <w:rFonts w:cs="Times New Roman"/>
          <w:i/>
          <w:iCs/>
          <w:color w:val="000000" w:themeColor="text1"/>
          <w:szCs w:val="24"/>
        </w:rPr>
        <w:t>55</w:t>
      </w:r>
      <w:r w:rsidRPr="00DB26B7">
        <w:rPr>
          <w:rFonts w:cs="Times New Roman"/>
          <w:color w:val="000000" w:themeColor="text1"/>
          <w:szCs w:val="24"/>
        </w:rPr>
        <w:t>(2), pp.285-288.</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Konstantin, P. and Konstantin, M., 2018. Investment appraisal methods. In </w:t>
      </w:r>
      <w:r w:rsidRPr="0008312A">
        <w:rPr>
          <w:rFonts w:cs="Times New Roman"/>
          <w:i/>
          <w:iCs/>
          <w:color w:val="222222"/>
          <w:szCs w:val="24"/>
          <w:shd w:val="clear" w:color="auto" w:fill="FFFFFF"/>
        </w:rPr>
        <w:t>Power and energy systems engineering economics</w:t>
      </w:r>
      <w:r w:rsidRPr="0008312A">
        <w:rPr>
          <w:rFonts w:cs="Times New Roman"/>
          <w:color w:val="222222"/>
          <w:szCs w:val="24"/>
          <w:shd w:val="clear" w:color="auto" w:fill="FFFFFF"/>
        </w:rPr>
        <w:t> (pp. 39-64). Springer, Cham.</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 xml:space="preserve">Lane, K. and </w:t>
      </w:r>
      <w:proofErr w:type="spellStart"/>
      <w:r w:rsidRPr="0008312A">
        <w:rPr>
          <w:rFonts w:cs="Times New Roman"/>
          <w:color w:val="222222"/>
          <w:szCs w:val="24"/>
          <w:shd w:val="clear" w:color="auto" w:fill="FFFFFF"/>
        </w:rPr>
        <w:t>Rosewall</w:t>
      </w:r>
      <w:proofErr w:type="spellEnd"/>
      <w:r w:rsidRPr="0008312A">
        <w:rPr>
          <w:rFonts w:cs="Times New Roman"/>
          <w:color w:val="222222"/>
          <w:szCs w:val="24"/>
          <w:shd w:val="clear" w:color="auto" w:fill="FFFFFF"/>
        </w:rPr>
        <w:t>, T., 2015. Firms’ investment decisions and interest rates. </w:t>
      </w:r>
      <w:r w:rsidRPr="0008312A">
        <w:rPr>
          <w:rFonts w:cs="Times New Roman"/>
          <w:i/>
          <w:iCs/>
          <w:color w:val="222222"/>
          <w:szCs w:val="24"/>
          <w:shd w:val="clear" w:color="auto" w:fill="FFFFFF"/>
        </w:rPr>
        <w:t>Firms’ Investment Decisions and Interest Rates 1 Why Is Wage Growth So Low? 9 Developments in Thermal Coal Markets 19 Potential Growth and Rebalancing in China 29 Banking Fees in Australia 39</w:t>
      </w:r>
      <w:r w:rsidRPr="0008312A">
        <w:rPr>
          <w:rFonts w:cs="Times New Roman"/>
          <w:color w:val="222222"/>
          <w:szCs w:val="24"/>
          <w:shd w:val="clear" w:color="auto" w:fill="FFFFFF"/>
        </w:rPr>
        <w:t>, p.1.</w:t>
      </w:r>
    </w:p>
    <w:p w:rsidR="00885D1C" w:rsidRPr="0008312A" w:rsidRDefault="00885D1C" w:rsidP="0008312A">
      <w:pPr>
        <w:rPr>
          <w:rFonts w:cs="Times New Roman"/>
          <w:color w:val="222222"/>
          <w:szCs w:val="24"/>
          <w:shd w:val="clear" w:color="auto" w:fill="FFFFFF"/>
        </w:rPr>
      </w:pPr>
      <w:proofErr w:type="spellStart"/>
      <w:r w:rsidRPr="0008312A">
        <w:rPr>
          <w:rFonts w:cs="Times New Roman"/>
          <w:color w:val="222222"/>
          <w:szCs w:val="24"/>
          <w:shd w:val="clear" w:color="auto" w:fill="FFFFFF"/>
        </w:rPr>
        <w:lastRenderedPageBreak/>
        <w:t>Nezlobin</w:t>
      </w:r>
      <w:proofErr w:type="spellEnd"/>
      <w:r w:rsidRPr="0008312A">
        <w:rPr>
          <w:rFonts w:cs="Times New Roman"/>
          <w:color w:val="222222"/>
          <w:szCs w:val="24"/>
          <w:shd w:val="clear" w:color="auto" w:fill="FFFFFF"/>
        </w:rPr>
        <w:t xml:space="preserve">, A., </w:t>
      </w:r>
      <w:proofErr w:type="spellStart"/>
      <w:r w:rsidRPr="0008312A">
        <w:rPr>
          <w:rFonts w:cs="Times New Roman"/>
          <w:color w:val="222222"/>
          <w:szCs w:val="24"/>
          <w:shd w:val="clear" w:color="auto" w:fill="FFFFFF"/>
        </w:rPr>
        <w:t>Rajan</w:t>
      </w:r>
      <w:proofErr w:type="spellEnd"/>
      <w:r w:rsidRPr="0008312A">
        <w:rPr>
          <w:rFonts w:cs="Times New Roman"/>
          <w:color w:val="222222"/>
          <w:szCs w:val="24"/>
          <w:shd w:val="clear" w:color="auto" w:fill="FFFFFF"/>
        </w:rPr>
        <w:t xml:space="preserve">, M.V. and </w:t>
      </w:r>
      <w:proofErr w:type="spellStart"/>
      <w:r w:rsidRPr="0008312A">
        <w:rPr>
          <w:rFonts w:cs="Times New Roman"/>
          <w:color w:val="222222"/>
          <w:szCs w:val="24"/>
          <w:shd w:val="clear" w:color="auto" w:fill="FFFFFF"/>
        </w:rPr>
        <w:t>Reichelstein</w:t>
      </w:r>
      <w:proofErr w:type="spellEnd"/>
      <w:r w:rsidRPr="0008312A">
        <w:rPr>
          <w:rFonts w:cs="Times New Roman"/>
          <w:color w:val="222222"/>
          <w:szCs w:val="24"/>
          <w:shd w:val="clear" w:color="auto" w:fill="FFFFFF"/>
        </w:rPr>
        <w:t>, S., 2016. Structural properties of the price-to-earnings and price-to-book ratios. </w:t>
      </w:r>
      <w:r w:rsidRPr="0008312A">
        <w:rPr>
          <w:rFonts w:cs="Times New Roman"/>
          <w:i/>
          <w:iCs/>
          <w:color w:val="222222"/>
          <w:szCs w:val="24"/>
          <w:shd w:val="clear" w:color="auto" w:fill="FFFFFF"/>
        </w:rPr>
        <w:t>Review of Accounting Studies</w:t>
      </w:r>
      <w:r w:rsidRPr="0008312A">
        <w:rPr>
          <w:rFonts w:cs="Times New Roman"/>
          <w:color w:val="222222"/>
          <w:szCs w:val="24"/>
          <w:shd w:val="clear" w:color="auto" w:fill="FFFFFF"/>
        </w:rPr>
        <w:t>, </w:t>
      </w:r>
      <w:r w:rsidRPr="0008312A">
        <w:rPr>
          <w:rFonts w:cs="Times New Roman"/>
          <w:i/>
          <w:iCs/>
          <w:color w:val="222222"/>
          <w:szCs w:val="24"/>
          <w:shd w:val="clear" w:color="auto" w:fill="FFFFFF"/>
        </w:rPr>
        <w:t>21</w:t>
      </w:r>
      <w:r w:rsidRPr="0008312A">
        <w:rPr>
          <w:rFonts w:cs="Times New Roman"/>
          <w:color w:val="222222"/>
          <w:szCs w:val="24"/>
          <w:shd w:val="clear" w:color="auto" w:fill="FFFFFF"/>
        </w:rPr>
        <w:t>(2), pp.438-472.</w:t>
      </w:r>
    </w:p>
    <w:p w:rsidR="00885D1C" w:rsidRPr="00DB26B7" w:rsidRDefault="00885D1C" w:rsidP="00885D1C">
      <w:pPr>
        <w:rPr>
          <w:rFonts w:cs="Times New Roman"/>
          <w:color w:val="000000" w:themeColor="text1"/>
          <w:szCs w:val="24"/>
        </w:rPr>
      </w:pPr>
      <w:proofErr w:type="spellStart"/>
      <w:r w:rsidRPr="00DB26B7">
        <w:rPr>
          <w:rFonts w:cs="Times New Roman"/>
          <w:color w:val="000000" w:themeColor="text1"/>
          <w:szCs w:val="24"/>
        </w:rPr>
        <w:t>Nezlobin</w:t>
      </w:r>
      <w:proofErr w:type="spellEnd"/>
      <w:r w:rsidRPr="00DB26B7">
        <w:rPr>
          <w:rFonts w:cs="Times New Roman"/>
          <w:color w:val="000000" w:themeColor="text1"/>
          <w:szCs w:val="24"/>
        </w:rPr>
        <w:t xml:space="preserve">, A., </w:t>
      </w:r>
      <w:proofErr w:type="spellStart"/>
      <w:r w:rsidRPr="00DB26B7">
        <w:rPr>
          <w:rFonts w:cs="Times New Roman"/>
          <w:color w:val="000000" w:themeColor="text1"/>
          <w:szCs w:val="24"/>
        </w:rPr>
        <w:t>Rajan</w:t>
      </w:r>
      <w:proofErr w:type="spellEnd"/>
      <w:r w:rsidRPr="00DB26B7">
        <w:rPr>
          <w:rFonts w:cs="Times New Roman"/>
          <w:color w:val="000000" w:themeColor="text1"/>
          <w:szCs w:val="24"/>
        </w:rPr>
        <w:t xml:space="preserve">, M.V. and </w:t>
      </w:r>
      <w:proofErr w:type="spellStart"/>
      <w:r w:rsidRPr="00DB26B7">
        <w:rPr>
          <w:rFonts w:cs="Times New Roman"/>
          <w:color w:val="000000" w:themeColor="text1"/>
          <w:szCs w:val="24"/>
        </w:rPr>
        <w:t>Reichelstein</w:t>
      </w:r>
      <w:proofErr w:type="spellEnd"/>
      <w:r w:rsidRPr="00DB26B7">
        <w:rPr>
          <w:rFonts w:cs="Times New Roman"/>
          <w:color w:val="000000" w:themeColor="text1"/>
          <w:szCs w:val="24"/>
        </w:rPr>
        <w:t>, S., 2016. Structural properties of the price-to-earnings and price-to-book ratios. </w:t>
      </w:r>
      <w:r w:rsidRPr="00DB26B7">
        <w:rPr>
          <w:rFonts w:cs="Times New Roman"/>
          <w:i/>
          <w:iCs/>
          <w:color w:val="000000" w:themeColor="text1"/>
          <w:szCs w:val="24"/>
        </w:rPr>
        <w:t>Review of Accounting Studies</w:t>
      </w:r>
      <w:r w:rsidRPr="00DB26B7">
        <w:rPr>
          <w:rFonts w:cs="Times New Roman"/>
          <w:color w:val="000000" w:themeColor="text1"/>
          <w:szCs w:val="24"/>
        </w:rPr>
        <w:t>, </w:t>
      </w:r>
      <w:r w:rsidRPr="00DB26B7">
        <w:rPr>
          <w:rFonts w:cs="Times New Roman"/>
          <w:i/>
          <w:iCs/>
          <w:color w:val="000000" w:themeColor="text1"/>
          <w:szCs w:val="24"/>
        </w:rPr>
        <w:t>21</w:t>
      </w:r>
      <w:r w:rsidRPr="00DB26B7">
        <w:rPr>
          <w:rFonts w:cs="Times New Roman"/>
          <w:color w:val="000000" w:themeColor="text1"/>
          <w:szCs w:val="24"/>
        </w:rPr>
        <w:t>(2), pp.438-472.</w:t>
      </w:r>
    </w:p>
    <w:p w:rsidR="00885D1C" w:rsidRPr="00DB26B7" w:rsidRDefault="00885D1C" w:rsidP="0008312A">
      <w:pPr>
        <w:rPr>
          <w:rFonts w:cs="Times New Roman"/>
          <w:color w:val="000000" w:themeColor="text1"/>
          <w:szCs w:val="24"/>
          <w:shd w:val="clear" w:color="auto" w:fill="FFFFFF"/>
        </w:rPr>
      </w:pPr>
      <w:r w:rsidRPr="00DB26B7">
        <w:rPr>
          <w:rFonts w:cs="Times New Roman"/>
          <w:color w:val="000000" w:themeColor="text1"/>
          <w:szCs w:val="24"/>
          <w:shd w:val="clear" w:color="auto" w:fill="FFFFFF"/>
        </w:rPr>
        <w:t>Patrick, M. and French, N., 2016. The internal rate of return (IRR): projections, benchmarks and pitfalls. </w:t>
      </w:r>
      <w:r w:rsidRPr="00DB26B7">
        <w:rPr>
          <w:rFonts w:cs="Times New Roman"/>
          <w:i/>
          <w:iCs/>
          <w:color w:val="000000" w:themeColor="text1"/>
          <w:szCs w:val="24"/>
          <w:shd w:val="clear" w:color="auto" w:fill="FFFFFF"/>
        </w:rPr>
        <w:t>Journal of Property Investment &amp; Finance</w:t>
      </w:r>
      <w:r w:rsidRPr="00DB26B7">
        <w:rPr>
          <w:rFonts w:cs="Times New Roman"/>
          <w:color w:val="000000" w:themeColor="text1"/>
          <w:szCs w:val="24"/>
          <w:shd w:val="clear" w:color="auto" w:fill="FFFFFF"/>
        </w:rPr>
        <w:t>, </w:t>
      </w:r>
      <w:r w:rsidRPr="00DB26B7">
        <w:rPr>
          <w:rFonts w:cs="Times New Roman"/>
          <w:i/>
          <w:iCs/>
          <w:color w:val="000000" w:themeColor="text1"/>
          <w:szCs w:val="24"/>
          <w:shd w:val="clear" w:color="auto" w:fill="FFFFFF"/>
        </w:rPr>
        <w:t>34</w:t>
      </w:r>
      <w:r w:rsidRPr="00DB26B7">
        <w:rPr>
          <w:rFonts w:cs="Times New Roman"/>
          <w:color w:val="000000" w:themeColor="text1"/>
          <w:szCs w:val="24"/>
          <w:shd w:val="clear" w:color="auto" w:fill="FFFFFF"/>
        </w:rPr>
        <w:t>(6), pp.664-669.</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Penman, S.H., 2015. Financial Ratios and Equity Valuation. </w:t>
      </w:r>
      <w:r w:rsidRPr="00DB26B7">
        <w:rPr>
          <w:rFonts w:cs="Times New Roman"/>
          <w:i/>
          <w:iCs/>
          <w:color w:val="000000" w:themeColor="text1"/>
          <w:szCs w:val="24"/>
        </w:rPr>
        <w:t xml:space="preserve">Wiley </w:t>
      </w:r>
      <w:proofErr w:type="spellStart"/>
      <w:r w:rsidRPr="00DB26B7">
        <w:rPr>
          <w:rFonts w:cs="Times New Roman"/>
          <w:i/>
          <w:iCs/>
          <w:color w:val="000000" w:themeColor="text1"/>
          <w:szCs w:val="24"/>
        </w:rPr>
        <w:t>Encyclopedia</w:t>
      </w:r>
      <w:proofErr w:type="spellEnd"/>
      <w:r w:rsidRPr="00DB26B7">
        <w:rPr>
          <w:rFonts w:cs="Times New Roman"/>
          <w:i/>
          <w:iCs/>
          <w:color w:val="000000" w:themeColor="text1"/>
          <w:szCs w:val="24"/>
        </w:rPr>
        <w:t xml:space="preserve"> of Management</w:t>
      </w:r>
      <w:r w:rsidRPr="00DB26B7">
        <w:rPr>
          <w:rFonts w:cs="Times New Roman"/>
          <w:color w:val="000000" w:themeColor="text1"/>
          <w:szCs w:val="24"/>
        </w:rPr>
        <w:t>, pp.1-7.</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Pinto, P. and Joseph, N.R., 2017. Capital structure and financial performance of banks. </w:t>
      </w:r>
      <w:r w:rsidRPr="00DB26B7">
        <w:rPr>
          <w:rFonts w:cs="Times New Roman"/>
          <w:i/>
          <w:iCs/>
          <w:color w:val="000000" w:themeColor="text1"/>
          <w:szCs w:val="24"/>
        </w:rPr>
        <w:t>International Journal of Applied Business and Economic Research</w:t>
      </w:r>
      <w:r w:rsidRPr="00DB26B7">
        <w:rPr>
          <w:rFonts w:cs="Times New Roman"/>
          <w:color w:val="000000" w:themeColor="text1"/>
          <w:szCs w:val="24"/>
        </w:rPr>
        <w:t>, </w:t>
      </w:r>
      <w:r w:rsidRPr="00DB26B7">
        <w:rPr>
          <w:rFonts w:cs="Times New Roman"/>
          <w:i/>
          <w:iCs/>
          <w:color w:val="000000" w:themeColor="text1"/>
          <w:szCs w:val="24"/>
        </w:rPr>
        <w:t>15</w:t>
      </w:r>
      <w:r w:rsidRPr="00DB26B7">
        <w:rPr>
          <w:rFonts w:cs="Times New Roman"/>
          <w:color w:val="000000" w:themeColor="text1"/>
          <w:szCs w:val="24"/>
        </w:rPr>
        <w:t>, pp.303-312.</w:t>
      </w:r>
    </w:p>
    <w:p w:rsidR="00885D1C" w:rsidRPr="00DB26B7" w:rsidRDefault="00885D1C" w:rsidP="0008312A">
      <w:pPr>
        <w:rPr>
          <w:rFonts w:cs="Times New Roman"/>
          <w:color w:val="000000" w:themeColor="text1"/>
          <w:szCs w:val="24"/>
          <w:shd w:val="clear" w:color="auto" w:fill="FFFFFF"/>
        </w:rPr>
      </w:pPr>
      <w:r w:rsidRPr="00DB26B7">
        <w:rPr>
          <w:rFonts w:cs="Times New Roman"/>
          <w:color w:val="000000" w:themeColor="text1"/>
          <w:szCs w:val="24"/>
          <w:shd w:val="clear" w:color="auto" w:fill="FFFFFF"/>
        </w:rPr>
        <w:t xml:space="preserve">Purnomo, A., 2018. Influence of The Ratio of Profit Margin, Financial Leverage Ratio, Current Ratio, Quick Ratio Against </w:t>
      </w:r>
      <w:proofErr w:type="gramStart"/>
      <w:r w:rsidRPr="00DB26B7">
        <w:rPr>
          <w:rFonts w:cs="Times New Roman"/>
          <w:color w:val="000000" w:themeColor="text1"/>
          <w:szCs w:val="24"/>
          <w:shd w:val="clear" w:color="auto" w:fill="FFFFFF"/>
        </w:rPr>
        <w:t>The</w:t>
      </w:r>
      <w:proofErr w:type="gramEnd"/>
      <w:r w:rsidRPr="00DB26B7">
        <w:rPr>
          <w:rFonts w:cs="Times New Roman"/>
          <w:color w:val="000000" w:themeColor="text1"/>
          <w:szCs w:val="24"/>
          <w:shd w:val="clear" w:color="auto" w:fill="FFFFFF"/>
        </w:rPr>
        <w:t xml:space="preserve"> Conditions and Financial Distress. </w:t>
      </w:r>
      <w:r w:rsidRPr="00DB26B7">
        <w:rPr>
          <w:rFonts w:cs="Times New Roman"/>
          <w:i/>
          <w:iCs/>
          <w:color w:val="000000" w:themeColor="text1"/>
          <w:szCs w:val="24"/>
          <w:shd w:val="clear" w:color="auto" w:fill="FFFFFF"/>
        </w:rPr>
        <w:t>Indonesian Journal of Business, Accounting and Management</w:t>
      </w:r>
      <w:r w:rsidRPr="00DB26B7">
        <w:rPr>
          <w:rFonts w:cs="Times New Roman"/>
          <w:color w:val="000000" w:themeColor="text1"/>
          <w:szCs w:val="24"/>
          <w:shd w:val="clear" w:color="auto" w:fill="FFFFFF"/>
        </w:rPr>
        <w:t>, </w:t>
      </w:r>
      <w:r w:rsidRPr="00DB26B7">
        <w:rPr>
          <w:rFonts w:cs="Times New Roman"/>
          <w:i/>
          <w:iCs/>
          <w:color w:val="000000" w:themeColor="text1"/>
          <w:szCs w:val="24"/>
          <w:shd w:val="clear" w:color="auto" w:fill="FFFFFF"/>
        </w:rPr>
        <w:t>1</w:t>
      </w:r>
      <w:r w:rsidRPr="00DB26B7">
        <w:rPr>
          <w:rFonts w:cs="Times New Roman"/>
          <w:color w:val="000000" w:themeColor="text1"/>
          <w:szCs w:val="24"/>
          <w:shd w:val="clear" w:color="auto" w:fill="FFFFFF"/>
        </w:rPr>
        <w:t>(1).</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 xml:space="preserve">Purnomo, A., 2018. Influence of The Ratio of Profit Margin, Financial Leverage Ratio, Current Ratio, Quick Ratio Against </w:t>
      </w:r>
      <w:proofErr w:type="gramStart"/>
      <w:r w:rsidRPr="00DB26B7">
        <w:rPr>
          <w:rFonts w:cs="Times New Roman"/>
          <w:color w:val="000000" w:themeColor="text1"/>
          <w:szCs w:val="24"/>
        </w:rPr>
        <w:t>The</w:t>
      </w:r>
      <w:proofErr w:type="gramEnd"/>
      <w:r w:rsidRPr="00DB26B7">
        <w:rPr>
          <w:rFonts w:cs="Times New Roman"/>
          <w:color w:val="000000" w:themeColor="text1"/>
          <w:szCs w:val="24"/>
        </w:rPr>
        <w:t xml:space="preserve"> Conditions and Financial Distress. </w:t>
      </w:r>
      <w:r w:rsidRPr="00DB26B7">
        <w:rPr>
          <w:rFonts w:cs="Times New Roman"/>
          <w:i/>
          <w:iCs/>
          <w:color w:val="000000" w:themeColor="text1"/>
          <w:szCs w:val="24"/>
        </w:rPr>
        <w:t>Indonesian Journal of Business, Accounting and Management</w:t>
      </w:r>
      <w:r w:rsidRPr="00DB26B7">
        <w:rPr>
          <w:rFonts w:cs="Times New Roman"/>
          <w:color w:val="000000" w:themeColor="text1"/>
          <w:szCs w:val="24"/>
        </w:rPr>
        <w:t>, </w:t>
      </w:r>
      <w:r w:rsidRPr="00DB26B7">
        <w:rPr>
          <w:rFonts w:cs="Times New Roman"/>
          <w:i/>
          <w:iCs/>
          <w:color w:val="000000" w:themeColor="text1"/>
          <w:szCs w:val="24"/>
        </w:rPr>
        <w:t>1</w:t>
      </w:r>
      <w:r w:rsidRPr="00DB26B7">
        <w:rPr>
          <w:rFonts w:cs="Times New Roman"/>
          <w:color w:val="000000" w:themeColor="text1"/>
          <w:szCs w:val="24"/>
        </w:rPr>
        <w:t>(1).</w:t>
      </w:r>
    </w:p>
    <w:p w:rsidR="00885D1C" w:rsidRPr="0008312A" w:rsidRDefault="00885D1C" w:rsidP="0008312A">
      <w:pPr>
        <w:rPr>
          <w:rFonts w:cs="Times New Roman"/>
          <w:color w:val="222222"/>
          <w:szCs w:val="24"/>
          <w:shd w:val="clear" w:color="auto" w:fill="FFFFFF"/>
        </w:rPr>
      </w:pPr>
      <w:r w:rsidRPr="0008312A">
        <w:rPr>
          <w:rFonts w:cs="Times New Roman"/>
          <w:color w:val="222222"/>
          <w:szCs w:val="24"/>
          <w:shd w:val="clear" w:color="auto" w:fill="FFFFFF"/>
        </w:rPr>
        <w:t xml:space="preserve">Roy, D. and </w:t>
      </w:r>
      <w:proofErr w:type="spellStart"/>
      <w:r w:rsidRPr="0008312A">
        <w:rPr>
          <w:rFonts w:cs="Times New Roman"/>
          <w:color w:val="222222"/>
          <w:szCs w:val="24"/>
          <w:shd w:val="clear" w:color="auto" w:fill="FFFFFF"/>
        </w:rPr>
        <w:t>Hota</w:t>
      </w:r>
      <w:proofErr w:type="spellEnd"/>
      <w:r w:rsidRPr="0008312A">
        <w:rPr>
          <w:rFonts w:cs="Times New Roman"/>
          <w:color w:val="222222"/>
          <w:szCs w:val="24"/>
          <w:shd w:val="clear" w:color="auto" w:fill="FFFFFF"/>
        </w:rPr>
        <w:t>, D.C., 2017. Role of Non-Financial Factors in Industrial Investment Decisions: Findings from Survey. </w:t>
      </w:r>
      <w:r w:rsidRPr="0008312A">
        <w:rPr>
          <w:rFonts w:cs="Times New Roman"/>
          <w:i/>
          <w:iCs/>
          <w:color w:val="222222"/>
          <w:szCs w:val="24"/>
          <w:shd w:val="clear" w:color="auto" w:fill="FFFFFF"/>
        </w:rPr>
        <w:t>Research Bulletin</w:t>
      </w:r>
      <w:r w:rsidRPr="0008312A">
        <w:rPr>
          <w:rFonts w:cs="Times New Roman"/>
          <w:color w:val="222222"/>
          <w:szCs w:val="24"/>
          <w:shd w:val="clear" w:color="auto" w:fill="FFFFFF"/>
        </w:rPr>
        <w:t>, </w:t>
      </w:r>
      <w:r w:rsidRPr="0008312A">
        <w:rPr>
          <w:rFonts w:cs="Times New Roman"/>
          <w:i/>
          <w:iCs/>
          <w:color w:val="222222"/>
          <w:szCs w:val="24"/>
          <w:shd w:val="clear" w:color="auto" w:fill="FFFFFF"/>
        </w:rPr>
        <w:t>43</w:t>
      </w:r>
      <w:r w:rsidRPr="0008312A">
        <w:rPr>
          <w:rFonts w:cs="Times New Roman"/>
          <w:color w:val="222222"/>
          <w:szCs w:val="24"/>
          <w:shd w:val="clear" w:color="auto" w:fill="FFFFFF"/>
        </w:rPr>
        <w:t>(3), pp.33-48.</w:t>
      </w:r>
    </w:p>
    <w:p w:rsidR="00885D1C" w:rsidRPr="0008312A" w:rsidRDefault="00885D1C" w:rsidP="0008312A">
      <w:pPr>
        <w:rPr>
          <w:rFonts w:cs="Times New Roman"/>
          <w:color w:val="222222"/>
          <w:szCs w:val="24"/>
          <w:shd w:val="clear" w:color="auto" w:fill="FFFFFF"/>
        </w:rPr>
      </w:pPr>
      <w:proofErr w:type="spellStart"/>
      <w:r w:rsidRPr="0008312A">
        <w:rPr>
          <w:rFonts w:cs="Times New Roman"/>
          <w:color w:val="222222"/>
          <w:szCs w:val="24"/>
          <w:shd w:val="clear" w:color="auto" w:fill="FFFFFF"/>
        </w:rPr>
        <w:t>Rutkowska-Ziarko</w:t>
      </w:r>
      <w:proofErr w:type="spellEnd"/>
      <w:r w:rsidRPr="0008312A">
        <w:rPr>
          <w:rFonts w:cs="Times New Roman"/>
          <w:color w:val="222222"/>
          <w:szCs w:val="24"/>
          <w:shd w:val="clear" w:color="auto" w:fill="FFFFFF"/>
        </w:rPr>
        <w:t>, A. and Pyke, C., 2017. The development of downside accounting beta as a measure of risk. </w:t>
      </w:r>
      <w:r w:rsidRPr="0008312A">
        <w:rPr>
          <w:rFonts w:cs="Times New Roman"/>
          <w:i/>
          <w:iCs/>
          <w:color w:val="222222"/>
          <w:szCs w:val="24"/>
          <w:shd w:val="clear" w:color="auto" w:fill="FFFFFF"/>
        </w:rPr>
        <w:t>Economics and Business review</w:t>
      </w:r>
      <w:r w:rsidRPr="0008312A">
        <w:rPr>
          <w:rFonts w:cs="Times New Roman"/>
          <w:color w:val="222222"/>
          <w:szCs w:val="24"/>
          <w:shd w:val="clear" w:color="auto" w:fill="FFFFFF"/>
        </w:rPr>
        <w:t>, </w:t>
      </w:r>
      <w:r w:rsidRPr="0008312A">
        <w:rPr>
          <w:rFonts w:cs="Times New Roman"/>
          <w:i/>
          <w:iCs/>
          <w:color w:val="222222"/>
          <w:szCs w:val="24"/>
          <w:shd w:val="clear" w:color="auto" w:fill="FFFFFF"/>
        </w:rPr>
        <w:t>3</w:t>
      </w:r>
      <w:r w:rsidRPr="0008312A">
        <w:rPr>
          <w:rFonts w:cs="Times New Roman"/>
          <w:color w:val="222222"/>
          <w:szCs w:val="24"/>
          <w:shd w:val="clear" w:color="auto" w:fill="FFFFFF"/>
        </w:rPr>
        <w:t>(4), pp.55-65.</w:t>
      </w:r>
    </w:p>
    <w:p w:rsidR="00885D1C" w:rsidRPr="0008312A" w:rsidRDefault="00885D1C" w:rsidP="0008312A">
      <w:pPr>
        <w:rPr>
          <w:rFonts w:cs="Times New Roman"/>
          <w:color w:val="222222"/>
          <w:szCs w:val="24"/>
          <w:shd w:val="clear" w:color="auto" w:fill="FFFFFF"/>
        </w:rPr>
      </w:pPr>
      <w:proofErr w:type="spellStart"/>
      <w:r w:rsidRPr="0008312A">
        <w:rPr>
          <w:rFonts w:cs="Times New Roman"/>
          <w:color w:val="222222"/>
          <w:szCs w:val="24"/>
          <w:shd w:val="clear" w:color="auto" w:fill="FFFFFF"/>
        </w:rPr>
        <w:t>Sangogboye</w:t>
      </w:r>
      <w:proofErr w:type="spellEnd"/>
      <w:r w:rsidRPr="0008312A">
        <w:rPr>
          <w:rFonts w:cs="Times New Roman"/>
          <w:color w:val="222222"/>
          <w:szCs w:val="24"/>
          <w:shd w:val="clear" w:color="auto" w:fill="FFFFFF"/>
        </w:rPr>
        <w:t xml:space="preserve">, F.C., </w:t>
      </w:r>
      <w:proofErr w:type="spellStart"/>
      <w:r w:rsidRPr="0008312A">
        <w:rPr>
          <w:rFonts w:cs="Times New Roman"/>
          <w:color w:val="222222"/>
          <w:szCs w:val="24"/>
          <w:shd w:val="clear" w:color="auto" w:fill="FFFFFF"/>
        </w:rPr>
        <w:t>Droegehorn</w:t>
      </w:r>
      <w:proofErr w:type="spellEnd"/>
      <w:r w:rsidRPr="0008312A">
        <w:rPr>
          <w:rFonts w:cs="Times New Roman"/>
          <w:color w:val="222222"/>
          <w:szCs w:val="24"/>
          <w:shd w:val="clear" w:color="auto" w:fill="FFFFFF"/>
        </w:rPr>
        <w:t xml:space="preserve">, O. and Porras, J., 2016. </w:t>
      </w:r>
      <w:proofErr w:type="spellStart"/>
      <w:r w:rsidRPr="0008312A">
        <w:rPr>
          <w:rFonts w:cs="Times New Roman"/>
          <w:color w:val="222222"/>
          <w:szCs w:val="24"/>
          <w:shd w:val="clear" w:color="auto" w:fill="FFFFFF"/>
        </w:rPr>
        <w:t>Analyzing</w:t>
      </w:r>
      <w:proofErr w:type="spellEnd"/>
      <w:r w:rsidRPr="0008312A">
        <w:rPr>
          <w:rFonts w:cs="Times New Roman"/>
          <w:color w:val="222222"/>
          <w:szCs w:val="24"/>
          <w:shd w:val="clear" w:color="auto" w:fill="FFFFFF"/>
        </w:rPr>
        <w:t xml:space="preserve"> the payback time of investments in building automation. In </w:t>
      </w:r>
      <w:r w:rsidRPr="0008312A">
        <w:rPr>
          <w:rFonts w:cs="Times New Roman"/>
          <w:i/>
          <w:iCs/>
          <w:color w:val="222222"/>
          <w:szCs w:val="24"/>
          <w:shd w:val="clear" w:color="auto" w:fill="FFFFFF"/>
        </w:rPr>
        <w:t>Sustainable Ecological Engineering Design</w:t>
      </w:r>
      <w:r w:rsidRPr="0008312A">
        <w:rPr>
          <w:rFonts w:cs="Times New Roman"/>
          <w:color w:val="222222"/>
          <w:szCs w:val="24"/>
          <w:shd w:val="clear" w:color="auto" w:fill="FFFFFF"/>
        </w:rPr>
        <w:t> (pp. 367-381). Springer, Cham.</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 xml:space="preserve">Shapiro, A.C. and </w:t>
      </w:r>
      <w:proofErr w:type="spellStart"/>
      <w:r w:rsidRPr="00DB26B7">
        <w:rPr>
          <w:rFonts w:cs="Times New Roman"/>
          <w:color w:val="000000" w:themeColor="text1"/>
          <w:szCs w:val="24"/>
        </w:rPr>
        <w:t>Hanouna</w:t>
      </w:r>
      <w:proofErr w:type="spellEnd"/>
      <w:r w:rsidRPr="00DB26B7">
        <w:rPr>
          <w:rFonts w:cs="Times New Roman"/>
          <w:color w:val="000000" w:themeColor="text1"/>
          <w:szCs w:val="24"/>
        </w:rPr>
        <w:t>, P., 2019. </w:t>
      </w:r>
      <w:r w:rsidRPr="00DB26B7">
        <w:rPr>
          <w:rFonts w:cs="Times New Roman"/>
          <w:i/>
          <w:iCs/>
          <w:color w:val="000000" w:themeColor="text1"/>
          <w:szCs w:val="24"/>
        </w:rPr>
        <w:t>Multinational financial management</w:t>
      </w:r>
      <w:r w:rsidRPr="00DB26B7">
        <w:rPr>
          <w:rFonts w:cs="Times New Roman"/>
          <w:color w:val="000000" w:themeColor="text1"/>
          <w:szCs w:val="24"/>
        </w:rPr>
        <w:t>. Wiley.</w:t>
      </w:r>
    </w:p>
    <w:p w:rsidR="00885D1C" w:rsidRPr="00DB26B7" w:rsidRDefault="00885D1C" w:rsidP="0008312A">
      <w:pPr>
        <w:rPr>
          <w:rFonts w:cs="Times New Roman"/>
          <w:color w:val="000000" w:themeColor="text1"/>
          <w:szCs w:val="24"/>
          <w:shd w:val="clear" w:color="auto" w:fill="FFFFFF"/>
        </w:rPr>
      </w:pPr>
      <w:proofErr w:type="spellStart"/>
      <w:r w:rsidRPr="00DB26B7">
        <w:rPr>
          <w:rFonts w:cs="Times New Roman"/>
          <w:color w:val="000000" w:themeColor="text1"/>
          <w:szCs w:val="24"/>
          <w:shd w:val="clear" w:color="auto" w:fill="FFFFFF"/>
        </w:rPr>
        <w:lastRenderedPageBreak/>
        <w:t>Sirinanda</w:t>
      </w:r>
      <w:proofErr w:type="spellEnd"/>
      <w:r w:rsidRPr="00DB26B7">
        <w:rPr>
          <w:rFonts w:cs="Times New Roman"/>
          <w:color w:val="000000" w:themeColor="text1"/>
          <w:szCs w:val="24"/>
          <w:shd w:val="clear" w:color="auto" w:fill="FFFFFF"/>
        </w:rPr>
        <w:t>, K.G., Brazil, M., Grossman, P.A., Rubinstein, J.H. and Thomas, D.A., 2018. Strategic underground mine access design to maximise the Net Present Value. In </w:t>
      </w:r>
      <w:r w:rsidRPr="00DB26B7">
        <w:rPr>
          <w:rFonts w:cs="Times New Roman"/>
          <w:i/>
          <w:iCs/>
          <w:color w:val="000000" w:themeColor="text1"/>
          <w:szCs w:val="24"/>
          <w:shd w:val="clear" w:color="auto" w:fill="FFFFFF"/>
        </w:rPr>
        <w:t>Advances in Applied Strategic Mine Planning</w:t>
      </w:r>
      <w:r w:rsidRPr="00DB26B7">
        <w:rPr>
          <w:rFonts w:cs="Times New Roman"/>
          <w:color w:val="000000" w:themeColor="text1"/>
          <w:szCs w:val="24"/>
          <w:shd w:val="clear" w:color="auto" w:fill="FFFFFF"/>
        </w:rPr>
        <w:t> (pp. 607-624). Springer, Cham.</w:t>
      </w:r>
    </w:p>
    <w:p w:rsidR="00885D1C" w:rsidRPr="00DB26B7" w:rsidRDefault="00885D1C" w:rsidP="0008312A">
      <w:pPr>
        <w:rPr>
          <w:rFonts w:cs="Times New Roman"/>
          <w:color w:val="000000" w:themeColor="text1"/>
          <w:szCs w:val="24"/>
          <w:shd w:val="clear" w:color="auto" w:fill="FFFFFF"/>
        </w:rPr>
      </w:pPr>
      <w:proofErr w:type="spellStart"/>
      <w:r w:rsidRPr="00DB26B7">
        <w:rPr>
          <w:rFonts w:cs="Times New Roman"/>
          <w:color w:val="000000" w:themeColor="text1"/>
          <w:szCs w:val="24"/>
          <w:shd w:val="clear" w:color="auto" w:fill="FFFFFF"/>
        </w:rPr>
        <w:t>Sneps-Sneppe</w:t>
      </w:r>
      <w:proofErr w:type="spellEnd"/>
      <w:r w:rsidRPr="00DB26B7">
        <w:rPr>
          <w:rFonts w:cs="Times New Roman"/>
          <w:color w:val="000000" w:themeColor="text1"/>
          <w:szCs w:val="24"/>
          <w:shd w:val="clear" w:color="auto" w:fill="FFFFFF"/>
        </w:rPr>
        <w:t>, M., 2017. On the internal rate of return of IRR and the priority of investments. </w:t>
      </w:r>
      <w:r w:rsidRPr="00DB26B7">
        <w:rPr>
          <w:rFonts w:cs="Times New Roman"/>
          <w:i/>
          <w:iCs/>
          <w:color w:val="000000" w:themeColor="text1"/>
          <w:szCs w:val="24"/>
          <w:shd w:val="clear" w:color="auto" w:fill="FFFFFF"/>
        </w:rPr>
        <w:t>International Journal of Open Information Technologies</w:t>
      </w:r>
      <w:r w:rsidRPr="00DB26B7">
        <w:rPr>
          <w:rFonts w:cs="Times New Roman"/>
          <w:color w:val="000000" w:themeColor="text1"/>
          <w:szCs w:val="24"/>
          <w:shd w:val="clear" w:color="auto" w:fill="FFFFFF"/>
        </w:rPr>
        <w:t>, </w:t>
      </w:r>
      <w:r w:rsidRPr="00DB26B7">
        <w:rPr>
          <w:rFonts w:cs="Times New Roman"/>
          <w:i/>
          <w:iCs/>
          <w:color w:val="000000" w:themeColor="text1"/>
          <w:szCs w:val="24"/>
          <w:shd w:val="clear" w:color="auto" w:fill="FFFFFF"/>
        </w:rPr>
        <w:t>5</w:t>
      </w:r>
      <w:r w:rsidRPr="00DB26B7">
        <w:rPr>
          <w:rFonts w:cs="Times New Roman"/>
          <w:color w:val="000000" w:themeColor="text1"/>
          <w:szCs w:val="24"/>
          <w:shd w:val="clear" w:color="auto" w:fill="FFFFFF"/>
        </w:rPr>
        <w:t>(9), pp.39-44.</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statista.com, 2019. </w:t>
      </w:r>
      <w:r w:rsidRPr="00DB26B7">
        <w:rPr>
          <w:rFonts w:cs="Times New Roman"/>
          <w:i/>
          <w:iCs/>
          <w:color w:val="000000" w:themeColor="text1"/>
          <w:szCs w:val="24"/>
        </w:rPr>
        <w:t>UK: Mobile network market share 2018 | Statista</w:t>
      </w:r>
      <w:r w:rsidRPr="00DB26B7">
        <w:rPr>
          <w:rFonts w:cs="Times New Roman"/>
          <w:color w:val="000000" w:themeColor="text1"/>
          <w:szCs w:val="24"/>
        </w:rPr>
        <w:t>. [online] Available at: https://www.statista.com/statistics/375986/market-share-held-by-mobile-phone-operators-united-kingdom-uk/ [Accessed 19 Dec. 2019].</w:t>
      </w:r>
    </w:p>
    <w:p w:rsidR="00885D1C" w:rsidRPr="00DB26B7" w:rsidRDefault="00885D1C" w:rsidP="0008312A">
      <w:pPr>
        <w:rPr>
          <w:rFonts w:cs="Times New Roman"/>
          <w:color w:val="000000" w:themeColor="text1"/>
          <w:szCs w:val="24"/>
          <w:shd w:val="clear" w:color="auto" w:fill="FFFFFF"/>
        </w:rPr>
      </w:pPr>
      <w:r w:rsidRPr="00DB26B7">
        <w:rPr>
          <w:rFonts w:cs="Times New Roman"/>
          <w:color w:val="000000" w:themeColor="text1"/>
          <w:szCs w:val="24"/>
          <w:shd w:val="clear" w:color="auto" w:fill="FFFFFF"/>
        </w:rPr>
        <w:t>Storey, E.B., 2016. (Keep score: Using internal rate of return to score investments:" and the winner is...". </w:t>
      </w:r>
      <w:r w:rsidRPr="00DB26B7">
        <w:rPr>
          <w:rFonts w:cs="Times New Roman"/>
          <w:i/>
          <w:iCs/>
          <w:color w:val="000000" w:themeColor="text1"/>
          <w:szCs w:val="24"/>
          <w:shd w:val="clear" w:color="auto" w:fill="FFFFFF"/>
        </w:rPr>
        <w:t>Journal of Property Management</w:t>
      </w:r>
      <w:r w:rsidRPr="00DB26B7">
        <w:rPr>
          <w:rFonts w:cs="Times New Roman"/>
          <w:color w:val="000000" w:themeColor="text1"/>
          <w:szCs w:val="24"/>
          <w:shd w:val="clear" w:color="auto" w:fill="FFFFFF"/>
        </w:rPr>
        <w:t>, </w:t>
      </w:r>
      <w:r w:rsidRPr="00DB26B7">
        <w:rPr>
          <w:rFonts w:cs="Times New Roman"/>
          <w:i/>
          <w:iCs/>
          <w:color w:val="000000" w:themeColor="text1"/>
          <w:szCs w:val="24"/>
          <w:shd w:val="clear" w:color="auto" w:fill="FFFFFF"/>
        </w:rPr>
        <w:t>81</w:t>
      </w:r>
      <w:r w:rsidRPr="00DB26B7">
        <w:rPr>
          <w:rFonts w:cs="Times New Roman"/>
          <w:color w:val="000000" w:themeColor="text1"/>
          <w:szCs w:val="24"/>
          <w:shd w:val="clear" w:color="auto" w:fill="FFFFFF"/>
        </w:rPr>
        <w:t>(4), pp.18-22.</w:t>
      </w:r>
    </w:p>
    <w:p w:rsidR="00885D1C" w:rsidRPr="00DB26B7" w:rsidRDefault="00885D1C" w:rsidP="00885D1C">
      <w:pPr>
        <w:rPr>
          <w:rFonts w:cs="Times New Roman"/>
          <w:color w:val="000000" w:themeColor="text1"/>
          <w:szCs w:val="24"/>
        </w:rPr>
      </w:pPr>
      <w:r w:rsidRPr="00DB26B7">
        <w:rPr>
          <w:rFonts w:cs="Times New Roman"/>
          <w:color w:val="000000" w:themeColor="text1"/>
          <w:szCs w:val="24"/>
        </w:rPr>
        <w:t>vodafone.com, 2019. </w:t>
      </w:r>
      <w:r w:rsidRPr="00DB26B7">
        <w:rPr>
          <w:rFonts w:cs="Times New Roman"/>
          <w:i/>
          <w:iCs/>
          <w:color w:val="000000" w:themeColor="text1"/>
          <w:szCs w:val="24"/>
        </w:rPr>
        <w:t>Home</w:t>
      </w:r>
      <w:r w:rsidRPr="00DB26B7">
        <w:rPr>
          <w:rFonts w:cs="Times New Roman"/>
          <w:color w:val="000000" w:themeColor="text1"/>
          <w:szCs w:val="24"/>
        </w:rPr>
        <w:t>. [online] Available at: https://www.vodafone.com/ [Accessed 19 Dec. 2019].</w:t>
      </w:r>
    </w:p>
    <w:p w:rsidR="00885D1C" w:rsidRDefault="00885D1C" w:rsidP="00BA5CBE">
      <w:pPr>
        <w:rPr>
          <w:rFonts w:cs="Times New Roman"/>
          <w:i/>
          <w:iCs/>
          <w:color w:val="222222"/>
          <w:szCs w:val="24"/>
          <w:shd w:val="clear" w:color="auto" w:fill="FFFFFF"/>
        </w:rPr>
      </w:pPr>
      <w:r w:rsidRPr="0008312A">
        <w:rPr>
          <w:rFonts w:cs="Times New Roman"/>
          <w:color w:val="222222"/>
          <w:szCs w:val="24"/>
          <w:shd w:val="clear" w:color="auto" w:fill="FFFFFF"/>
        </w:rPr>
        <w:t>Williams, E.E. and Dobelman, J.A., 2017. Financial statement analysis. </w:t>
      </w:r>
      <w:r w:rsidRPr="0008312A">
        <w:rPr>
          <w:rFonts w:cs="Times New Roman"/>
          <w:i/>
          <w:iCs/>
          <w:color w:val="222222"/>
          <w:szCs w:val="24"/>
          <w:shd w:val="clear" w:color="auto" w:fill="FFFFFF"/>
        </w:rPr>
        <w:t xml:space="preserve">World Scientific Book </w:t>
      </w:r>
    </w:p>
    <w:p w:rsidR="00BA5CBE" w:rsidRPr="00885D1C" w:rsidRDefault="00BA5CBE" w:rsidP="00BA5CBE">
      <w:pPr>
        <w:rPr>
          <w:rFonts w:cs="Times New Roman"/>
          <w:color w:val="FF0000"/>
          <w:szCs w:val="24"/>
        </w:rPr>
      </w:pPr>
    </w:p>
    <w:p w:rsidR="00F70D29" w:rsidRDefault="00F70D29">
      <w:pPr>
        <w:spacing w:line="276" w:lineRule="auto"/>
        <w:jc w:val="left"/>
      </w:pPr>
      <w:r>
        <w:br w:type="page"/>
      </w:r>
    </w:p>
    <w:p w:rsidR="00113B7B" w:rsidRDefault="00F70D29" w:rsidP="00F70D29">
      <w:pPr>
        <w:pStyle w:val="Heading1"/>
      </w:pPr>
      <w:r>
        <w:lastRenderedPageBreak/>
        <w:t xml:space="preserve">Appendix </w:t>
      </w:r>
    </w:p>
    <w:p w:rsidR="00056DEF" w:rsidRPr="005D4ED8" w:rsidRDefault="00F70D29" w:rsidP="00056DEF">
      <w:pPr>
        <w:jc w:val="center"/>
        <w:rPr>
          <w:b/>
          <w:i/>
          <w:color w:val="0070C0"/>
        </w:rPr>
      </w:pPr>
      <w:r w:rsidRPr="005D4ED8">
        <w:rPr>
          <w:b/>
          <w:i/>
          <w:color w:val="0070C0"/>
        </w:rPr>
        <w:t>Financial data from the financial statements of BT Group for the past five years</w:t>
      </w:r>
    </w:p>
    <w:p w:rsidR="00F503C2" w:rsidRPr="005D4ED8" w:rsidRDefault="00F503C2" w:rsidP="00F503C2">
      <w:pPr>
        <w:jc w:val="center"/>
        <w:rPr>
          <w:color w:val="0070C0"/>
        </w:rPr>
      </w:pPr>
      <w:r w:rsidRPr="005D4ED8">
        <w:rPr>
          <w:noProof/>
          <w:color w:val="0070C0"/>
          <w:lang w:val="en-US"/>
        </w:rPr>
        <w:drawing>
          <wp:inline distT="0" distB="0" distL="0" distR="0">
            <wp:extent cx="4944110" cy="5284470"/>
            <wp:effectExtent l="1905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944110" cy="5284470"/>
                    </a:xfrm>
                    <a:prstGeom prst="rect">
                      <a:avLst/>
                    </a:prstGeom>
                    <a:noFill/>
                    <a:ln w="9525">
                      <a:noFill/>
                      <a:miter lim="800000"/>
                      <a:headEnd/>
                      <a:tailEnd/>
                    </a:ln>
                  </pic:spPr>
                </pic:pic>
              </a:graphicData>
            </a:graphic>
          </wp:inline>
        </w:drawing>
      </w:r>
    </w:p>
    <w:p w:rsidR="00F503C2" w:rsidRPr="005D4ED8" w:rsidRDefault="00F503C2" w:rsidP="00F503C2">
      <w:pPr>
        <w:jc w:val="center"/>
        <w:rPr>
          <w:color w:val="0070C0"/>
        </w:rPr>
      </w:pPr>
      <w:r w:rsidRPr="005D4ED8">
        <w:rPr>
          <w:noProof/>
          <w:color w:val="0070C0"/>
          <w:lang w:val="en-US"/>
        </w:rPr>
        <w:lastRenderedPageBreak/>
        <w:drawing>
          <wp:inline distT="0" distB="0" distL="0" distR="0">
            <wp:extent cx="4889228" cy="2775098"/>
            <wp:effectExtent l="19050" t="0" r="6622"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892772" cy="2777110"/>
                    </a:xfrm>
                    <a:prstGeom prst="rect">
                      <a:avLst/>
                    </a:prstGeom>
                    <a:noFill/>
                    <a:ln w="9525">
                      <a:noFill/>
                      <a:miter lim="800000"/>
                      <a:headEnd/>
                      <a:tailEnd/>
                    </a:ln>
                  </pic:spPr>
                </pic:pic>
              </a:graphicData>
            </a:graphic>
          </wp:inline>
        </w:drawing>
      </w:r>
    </w:p>
    <w:p w:rsidR="0078734D" w:rsidRPr="005D4ED8" w:rsidRDefault="0078734D" w:rsidP="00F503C2">
      <w:pPr>
        <w:jc w:val="center"/>
        <w:rPr>
          <w:color w:val="0070C0"/>
        </w:rPr>
      </w:pPr>
      <w:r w:rsidRPr="005D4ED8">
        <w:rPr>
          <w:noProof/>
          <w:color w:val="0070C0"/>
          <w:lang w:val="en-US"/>
        </w:rPr>
        <w:drawing>
          <wp:inline distT="0" distB="0" distL="0" distR="0">
            <wp:extent cx="4996978" cy="243626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997126" cy="2436339"/>
                    </a:xfrm>
                    <a:prstGeom prst="rect">
                      <a:avLst/>
                    </a:prstGeom>
                    <a:noFill/>
                    <a:ln w="9525">
                      <a:noFill/>
                      <a:miter lim="800000"/>
                      <a:headEnd/>
                      <a:tailEnd/>
                    </a:ln>
                  </pic:spPr>
                </pic:pic>
              </a:graphicData>
            </a:graphic>
          </wp:inline>
        </w:drawing>
      </w:r>
    </w:p>
    <w:p w:rsidR="0078734D" w:rsidRPr="005D4ED8" w:rsidRDefault="0078734D" w:rsidP="00F503C2">
      <w:pPr>
        <w:jc w:val="center"/>
        <w:rPr>
          <w:color w:val="0070C0"/>
        </w:rPr>
      </w:pPr>
      <w:r w:rsidRPr="005D4ED8">
        <w:rPr>
          <w:noProof/>
          <w:color w:val="0070C0"/>
          <w:lang w:val="en-US"/>
        </w:rPr>
        <w:drawing>
          <wp:inline distT="0" distB="0" distL="0" distR="0">
            <wp:extent cx="4861294" cy="258158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4873626" cy="2588129"/>
                    </a:xfrm>
                    <a:prstGeom prst="rect">
                      <a:avLst/>
                    </a:prstGeom>
                    <a:noFill/>
                    <a:ln w="9525">
                      <a:noFill/>
                      <a:miter lim="800000"/>
                      <a:headEnd/>
                      <a:tailEnd/>
                    </a:ln>
                  </pic:spPr>
                </pic:pic>
              </a:graphicData>
            </a:graphic>
          </wp:inline>
        </w:drawing>
      </w:r>
    </w:p>
    <w:p w:rsidR="00F503C2" w:rsidRPr="005D4ED8" w:rsidRDefault="00F503C2" w:rsidP="00F503C2">
      <w:pPr>
        <w:jc w:val="center"/>
        <w:rPr>
          <w:color w:val="0070C0"/>
        </w:rPr>
      </w:pPr>
      <w:r w:rsidRPr="005D4ED8">
        <w:rPr>
          <w:noProof/>
          <w:color w:val="0070C0"/>
          <w:lang w:val="en-US"/>
        </w:rPr>
        <w:lastRenderedPageBreak/>
        <w:drawing>
          <wp:inline distT="0" distB="0" distL="0" distR="0">
            <wp:extent cx="4486910" cy="5624830"/>
            <wp:effectExtent l="19050" t="0" r="889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4486910" cy="5624830"/>
                    </a:xfrm>
                    <a:prstGeom prst="rect">
                      <a:avLst/>
                    </a:prstGeom>
                    <a:noFill/>
                    <a:ln w="9525">
                      <a:noFill/>
                      <a:miter lim="800000"/>
                      <a:headEnd/>
                      <a:tailEnd/>
                    </a:ln>
                  </pic:spPr>
                </pic:pic>
              </a:graphicData>
            </a:graphic>
          </wp:inline>
        </w:drawing>
      </w:r>
    </w:p>
    <w:p w:rsidR="0078734D" w:rsidRPr="005D4ED8" w:rsidRDefault="001E0F7E" w:rsidP="00F503C2">
      <w:pPr>
        <w:jc w:val="center"/>
        <w:rPr>
          <w:color w:val="0070C0"/>
        </w:rPr>
      </w:pPr>
      <w:r w:rsidRPr="005D4ED8">
        <w:rPr>
          <w:noProof/>
          <w:color w:val="0070C0"/>
          <w:lang w:val="en-US"/>
        </w:rPr>
        <w:lastRenderedPageBreak/>
        <w:drawing>
          <wp:inline distT="0" distB="0" distL="0" distR="0">
            <wp:extent cx="4444365" cy="562483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4444365" cy="5624830"/>
                    </a:xfrm>
                    <a:prstGeom prst="rect">
                      <a:avLst/>
                    </a:prstGeom>
                    <a:noFill/>
                    <a:ln w="9525">
                      <a:noFill/>
                      <a:miter lim="800000"/>
                      <a:headEnd/>
                      <a:tailEnd/>
                    </a:ln>
                  </pic:spPr>
                </pic:pic>
              </a:graphicData>
            </a:graphic>
          </wp:inline>
        </w:drawing>
      </w:r>
    </w:p>
    <w:p w:rsidR="001E0F7E" w:rsidRPr="005D4ED8" w:rsidRDefault="001E0F7E">
      <w:pPr>
        <w:spacing w:line="276" w:lineRule="auto"/>
        <w:jc w:val="left"/>
        <w:rPr>
          <w:color w:val="0070C0"/>
        </w:rPr>
      </w:pPr>
      <w:r w:rsidRPr="005D4ED8">
        <w:rPr>
          <w:color w:val="0070C0"/>
        </w:rPr>
        <w:br w:type="page"/>
      </w:r>
    </w:p>
    <w:p w:rsidR="001E0F7E" w:rsidRPr="005D4ED8" w:rsidRDefault="001E0F7E" w:rsidP="001E0F7E">
      <w:pPr>
        <w:jc w:val="center"/>
        <w:rPr>
          <w:b/>
          <w:i/>
          <w:color w:val="0070C0"/>
        </w:rPr>
      </w:pPr>
      <w:r w:rsidRPr="005D4ED8">
        <w:rPr>
          <w:b/>
          <w:i/>
          <w:color w:val="0070C0"/>
        </w:rPr>
        <w:lastRenderedPageBreak/>
        <w:t>Financial data from the financial statements of Vodafone Group Plc during 2019</w:t>
      </w:r>
    </w:p>
    <w:p w:rsidR="001E0F7E" w:rsidRPr="005D4ED8" w:rsidRDefault="005D4ED8" w:rsidP="005D4ED8">
      <w:pPr>
        <w:jc w:val="center"/>
        <w:rPr>
          <w:color w:val="0070C0"/>
        </w:rPr>
      </w:pPr>
      <w:r w:rsidRPr="005D4ED8">
        <w:rPr>
          <w:noProof/>
          <w:color w:val="0070C0"/>
          <w:lang w:val="en-US"/>
        </w:rPr>
        <w:drawing>
          <wp:inline distT="0" distB="0" distL="0" distR="0">
            <wp:extent cx="5943600" cy="506426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a:stretch>
                      <a:fillRect/>
                    </a:stretch>
                  </pic:blipFill>
                  <pic:spPr bwMode="auto">
                    <a:xfrm>
                      <a:off x="0" y="0"/>
                      <a:ext cx="5943600" cy="5064260"/>
                    </a:xfrm>
                    <a:prstGeom prst="rect">
                      <a:avLst/>
                    </a:prstGeom>
                    <a:noFill/>
                    <a:ln w="9525">
                      <a:noFill/>
                      <a:miter lim="800000"/>
                      <a:headEnd/>
                      <a:tailEnd/>
                    </a:ln>
                  </pic:spPr>
                </pic:pic>
              </a:graphicData>
            </a:graphic>
          </wp:inline>
        </w:drawing>
      </w:r>
    </w:p>
    <w:p w:rsidR="005D4ED8" w:rsidRPr="005D4ED8" w:rsidRDefault="005D4ED8" w:rsidP="005D4ED8">
      <w:pPr>
        <w:jc w:val="center"/>
        <w:rPr>
          <w:color w:val="0070C0"/>
        </w:rPr>
      </w:pPr>
      <w:r w:rsidRPr="005D4ED8">
        <w:rPr>
          <w:noProof/>
          <w:color w:val="0070C0"/>
          <w:lang w:val="en-US"/>
        </w:rPr>
        <w:lastRenderedPageBreak/>
        <w:drawing>
          <wp:inline distT="0" distB="0" distL="0" distR="0">
            <wp:extent cx="4776234" cy="6157101"/>
            <wp:effectExtent l="19050" t="0" r="5316"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4776097" cy="6156925"/>
                    </a:xfrm>
                    <a:prstGeom prst="rect">
                      <a:avLst/>
                    </a:prstGeom>
                    <a:noFill/>
                    <a:ln w="9525">
                      <a:noFill/>
                      <a:miter lim="800000"/>
                      <a:headEnd/>
                      <a:tailEnd/>
                    </a:ln>
                  </pic:spPr>
                </pic:pic>
              </a:graphicData>
            </a:graphic>
          </wp:inline>
        </w:drawing>
      </w:r>
    </w:p>
    <w:p w:rsidR="00F503C2" w:rsidRPr="00F503C2" w:rsidRDefault="00F503C2" w:rsidP="00F503C2">
      <w:pPr>
        <w:jc w:val="center"/>
      </w:pPr>
    </w:p>
    <w:sectPr w:rsidR="00F503C2" w:rsidRPr="00F503C2" w:rsidSect="006273A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482A" w:rsidRDefault="00EC482A" w:rsidP="00BB6928">
      <w:pPr>
        <w:spacing w:after="0" w:line="240" w:lineRule="auto"/>
      </w:pPr>
      <w:r>
        <w:separator/>
      </w:r>
    </w:p>
  </w:endnote>
  <w:endnote w:type="continuationSeparator" w:id="0">
    <w:p w:rsidR="00EC482A" w:rsidRDefault="00EC482A" w:rsidP="00BB6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7A9F" w:rsidRDefault="00FB7A9F">
    <w:pPr>
      <w:pStyle w:val="Footer"/>
    </w:pPr>
  </w:p>
  <w:p w:rsidR="00FB7A9F" w:rsidRDefault="00FB7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482A" w:rsidRDefault="00EC482A" w:rsidP="00BB6928">
      <w:pPr>
        <w:spacing w:after="0" w:line="240" w:lineRule="auto"/>
      </w:pPr>
      <w:r>
        <w:separator/>
      </w:r>
    </w:p>
  </w:footnote>
  <w:footnote w:type="continuationSeparator" w:id="0">
    <w:p w:rsidR="00EC482A" w:rsidRDefault="00EC482A" w:rsidP="00BB6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A7F93"/>
    <w:multiLevelType w:val="hybridMultilevel"/>
    <w:tmpl w:val="DDB89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D874FF"/>
    <w:multiLevelType w:val="hybridMultilevel"/>
    <w:tmpl w:val="6EE6D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AB5423"/>
    <w:multiLevelType w:val="hybridMultilevel"/>
    <w:tmpl w:val="59405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011C73"/>
    <w:multiLevelType w:val="hybridMultilevel"/>
    <w:tmpl w:val="2BF6F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F3551"/>
    <w:multiLevelType w:val="hybridMultilevel"/>
    <w:tmpl w:val="4F468F3C"/>
    <w:lvl w:ilvl="0" w:tplc="7E3AE9DC">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3918"/>
    <w:rsid w:val="00000CF6"/>
    <w:rsid w:val="000019A1"/>
    <w:rsid w:val="00006C1C"/>
    <w:rsid w:val="00010B20"/>
    <w:rsid w:val="00011DD6"/>
    <w:rsid w:val="00012218"/>
    <w:rsid w:val="000146D3"/>
    <w:rsid w:val="00017E09"/>
    <w:rsid w:val="000204C8"/>
    <w:rsid w:val="000239FC"/>
    <w:rsid w:val="00026E7E"/>
    <w:rsid w:val="00035DC3"/>
    <w:rsid w:val="00040C3F"/>
    <w:rsid w:val="00041671"/>
    <w:rsid w:val="000511DA"/>
    <w:rsid w:val="00056DEF"/>
    <w:rsid w:val="00066D90"/>
    <w:rsid w:val="00067063"/>
    <w:rsid w:val="0007171A"/>
    <w:rsid w:val="00077DC9"/>
    <w:rsid w:val="00082D50"/>
    <w:rsid w:val="0008312A"/>
    <w:rsid w:val="0008440B"/>
    <w:rsid w:val="000861EC"/>
    <w:rsid w:val="00090181"/>
    <w:rsid w:val="000977B1"/>
    <w:rsid w:val="000A4139"/>
    <w:rsid w:val="000A6F5B"/>
    <w:rsid w:val="000A7D4F"/>
    <w:rsid w:val="000B1211"/>
    <w:rsid w:val="000B59F6"/>
    <w:rsid w:val="000C2FFD"/>
    <w:rsid w:val="000C3472"/>
    <w:rsid w:val="000C37B2"/>
    <w:rsid w:val="000C5744"/>
    <w:rsid w:val="000D1BB3"/>
    <w:rsid w:val="000D4B49"/>
    <w:rsid w:val="000D739F"/>
    <w:rsid w:val="000D7F19"/>
    <w:rsid w:val="000E0883"/>
    <w:rsid w:val="000E46EA"/>
    <w:rsid w:val="000E6BFC"/>
    <w:rsid w:val="000F47DC"/>
    <w:rsid w:val="000F68BE"/>
    <w:rsid w:val="000F68F8"/>
    <w:rsid w:val="00102086"/>
    <w:rsid w:val="00106A6C"/>
    <w:rsid w:val="00106AFD"/>
    <w:rsid w:val="0010792D"/>
    <w:rsid w:val="00107FF4"/>
    <w:rsid w:val="001117AC"/>
    <w:rsid w:val="00111CD6"/>
    <w:rsid w:val="00113B7B"/>
    <w:rsid w:val="001140F5"/>
    <w:rsid w:val="001158F7"/>
    <w:rsid w:val="00122B5C"/>
    <w:rsid w:val="00122F68"/>
    <w:rsid w:val="00126C10"/>
    <w:rsid w:val="0013519B"/>
    <w:rsid w:val="001451A7"/>
    <w:rsid w:val="00152388"/>
    <w:rsid w:val="00152DA9"/>
    <w:rsid w:val="00157416"/>
    <w:rsid w:val="00164FF4"/>
    <w:rsid w:val="00173A01"/>
    <w:rsid w:val="00176260"/>
    <w:rsid w:val="00177A80"/>
    <w:rsid w:val="00182B69"/>
    <w:rsid w:val="001859A8"/>
    <w:rsid w:val="00186CAC"/>
    <w:rsid w:val="001B2AA9"/>
    <w:rsid w:val="001B693E"/>
    <w:rsid w:val="001B6FD8"/>
    <w:rsid w:val="001C22D7"/>
    <w:rsid w:val="001C2D8C"/>
    <w:rsid w:val="001D5A81"/>
    <w:rsid w:val="001D6A0C"/>
    <w:rsid w:val="001E0F7E"/>
    <w:rsid w:val="001E32FF"/>
    <w:rsid w:val="001E6F48"/>
    <w:rsid w:val="001E73E6"/>
    <w:rsid w:val="001F1921"/>
    <w:rsid w:val="001F61CB"/>
    <w:rsid w:val="001F6DB5"/>
    <w:rsid w:val="002003E5"/>
    <w:rsid w:val="00202F5B"/>
    <w:rsid w:val="00203BFE"/>
    <w:rsid w:val="002055E4"/>
    <w:rsid w:val="002143ED"/>
    <w:rsid w:val="002219A5"/>
    <w:rsid w:val="00223F22"/>
    <w:rsid w:val="00226FA3"/>
    <w:rsid w:val="0023221B"/>
    <w:rsid w:val="002328D1"/>
    <w:rsid w:val="00240833"/>
    <w:rsid w:val="002410A1"/>
    <w:rsid w:val="00244FC0"/>
    <w:rsid w:val="00245E90"/>
    <w:rsid w:val="0024644E"/>
    <w:rsid w:val="00260B37"/>
    <w:rsid w:val="00265600"/>
    <w:rsid w:val="00270521"/>
    <w:rsid w:val="00290CC2"/>
    <w:rsid w:val="002947A9"/>
    <w:rsid w:val="00295073"/>
    <w:rsid w:val="00297985"/>
    <w:rsid w:val="002A51CF"/>
    <w:rsid w:val="002B07CB"/>
    <w:rsid w:val="002B0996"/>
    <w:rsid w:val="002B530B"/>
    <w:rsid w:val="002B5E9F"/>
    <w:rsid w:val="002C3DD4"/>
    <w:rsid w:val="002C742D"/>
    <w:rsid w:val="002D4CF9"/>
    <w:rsid w:val="002D5862"/>
    <w:rsid w:val="002E404E"/>
    <w:rsid w:val="002E5527"/>
    <w:rsid w:val="003011BF"/>
    <w:rsid w:val="00303D42"/>
    <w:rsid w:val="00305A70"/>
    <w:rsid w:val="00311411"/>
    <w:rsid w:val="00311A28"/>
    <w:rsid w:val="0031221A"/>
    <w:rsid w:val="003122BB"/>
    <w:rsid w:val="00324791"/>
    <w:rsid w:val="00345D44"/>
    <w:rsid w:val="00352455"/>
    <w:rsid w:val="00354450"/>
    <w:rsid w:val="00355C75"/>
    <w:rsid w:val="00374214"/>
    <w:rsid w:val="00385C4A"/>
    <w:rsid w:val="003872D4"/>
    <w:rsid w:val="00393F63"/>
    <w:rsid w:val="0039573F"/>
    <w:rsid w:val="00396269"/>
    <w:rsid w:val="003B2054"/>
    <w:rsid w:val="003B3DB8"/>
    <w:rsid w:val="003C0318"/>
    <w:rsid w:val="003C1709"/>
    <w:rsid w:val="003C3A4C"/>
    <w:rsid w:val="003D33D9"/>
    <w:rsid w:val="003D40B0"/>
    <w:rsid w:val="003D6C80"/>
    <w:rsid w:val="003E66A1"/>
    <w:rsid w:val="003F3CE5"/>
    <w:rsid w:val="003F7BA3"/>
    <w:rsid w:val="00406F09"/>
    <w:rsid w:val="00413C47"/>
    <w:rsid w:val="00422541"/>
    <w:rsid w:val="00422CEB"/>
    <w:rsid w:val="0042326D"/>
    <w:rsid w:val="0043149B"/>
    <w:rsid w:val="00437950"/>
    <w:rsid w:val="004401B6"/>
    <w:rsid w:val="004409EF"/>
    <w:rsid w:val="0044128E"/>
    <w:rsid w:val="00442259"/>
    <w:rsid w:val="00443507"/>
    <w:rsid w:val="00450577"/>
    <w:rsid w:val="00460B79"/>
    <w:rsid w:val="0046164A"/>
    <w:rsid w:val="004643B6"/>
    <w:rsid w:val="00466BED"/>
    <w:rsid w:val="00467F7C"/>
    <w:rsid w:val="004713B1"/>
    <w:rsid w:val="004757FD"/>
    <w:rsid w:val="00480C7A"/>
    <w:rsid w:val="0048207B"/>
    <w:rsid w:val="00483D63"/>
    <w:rsid w:val="00484114"/>
    <w:rsid w:val="0048760A"/>
    <w:rsid w:val="00495A3B"/>
    <w:rsid w:val="004A03E3"/>
    <w:rsid w:val="004A0CC1"/>
    <w:rsid w:val="004A5766"/>
    <w:rsid w:val="004B10CC"/>
    <w:rsid w:val="004B173B"/>
    <w:rsid w:val="004B39E7"/>
    <w:rsid w:val="004B57FA"/>
    <w:rsid w:val="004C06F0"/>
    <w:rsid w:val="004C4920"/>
    <w:rsid w:val="004C5F4E"/>
    <w:rsid w:val="004C78B5"/>
    <w:rsid w:val="004D558B"/>
    <w:rsid w:val="004D624F"/>
    <w:rsid w:val="004D7BD7"/>
    <w:rsid w:val="004F0697"/>
    <w:rsid w:val="004F071C"/>
    <w:rsid w:val="004F183E"/>
    <w:rsid w:val="005013FD"/>
    <w:rsid w:val="00505D9D"/>
    <w:rsid w:val="00506FE9"/>
    <w:rsid w:val="00513D63"/>
    <w:rsid w:val="00522BAB"/>
    <w:rsid w:val="00526EEC"/>
    <w:rsid w:val="00527B9E"/>
    <w:rsid w:val="0054010D"/>
    <w:rsid w:val="0054034D"/>
    <w:rsid w:val="00540A41"/>
    <w:rsid w:val="00540EBF"/>
    <w:rsid w:val="0055124A"/>
    <w:rsid w:val="00563FC6"/>
    <w:rsid w:val="00564C32"/>
    <w:rsid w:val="005708C5"/>
    <w:rsid w:val="00573077"/>
    <w:rsid w:val="005730BD"/>
    <w:rsid w:val="005854FA"/>
    <w:rsid w:val="00585557"/>
    <w:rsid w:val="00586740"/>
    <w:rsid w:val="005923B3"/>
    <w:rsid w:val="00596D38"/>
    <w:rsid w:val="005A2F5E"/>
    <w:rsid w:val="005A4391"/>
    <w:rsid w:val="005A5AB3"/>
    <w:rsid w:val="005A72C8"/>
    <w:rsid w:val="005B33DE"/>
    <w:rsid w:val="005B61B0"/>
    <w:rsid w:val="005B7432"/>
    <w:rsid w:val="005B77BF"/>
    <w:rsid w:val="005C30AC"/>
    <w:rsid w:val="005C3CB9"/>
    <w:rsid w:val="005C544A"/>
    <w:rsid w:val="005D0F7A"/>
    <w:rsid w:val="005D4ED8"/>
    <w:rsid w:val="005D5C02"/>
    <w:rsid w:val="005D63CC"/>
    <w:rsid w:val="005D6AAB"/>
    <w:rsid w:val="005E3A3E"/>
    <w:rsid w:val="005F1008"/>
    <w:rsid w:val="005F4F02"/>
    <w:rsid w:val="00600FB8"/>
    <w:rsid w:val="00606B54"/>
    <w:rsid w:val="00610A77"/>
    <w:rsid w:val="00611071"/>
    <w:rsid w:val="00621619"/>
    <w:rsid w:val="00623332"/>
    <w:rsid w:val="00626EF6"/>
    <w:rsid w:val="006273A7"/>
    <w:rsid w:val="00630B94"/>
    <w:rsid w:val="00635A60"/>
    <w:rsid w:val="006402FB"/>
    <w:rsid w:val="00640CD5"/>
    <w:rsid w:val="0065208B"/>
    <w:rsid w:val="00653700"/>
    <w:rsid w:val="00656662"/>
    <w:rsid w:val="0067178C"/>
    <w:rsid w:val="00672CBE"/>
    <w:rsid w:val="00675050"/>
    <w:rsid w:val="006757C9"/>
    <w:rsid w:val="00684F1D"/>
    <w:rsid w:val="006906D7"/>
    <w:rsid w:val="006A18C1"/>
    <w:rsid w:val="006A2643"/>
    <w:rsid w:val="006A4D8B"/>
    <w:rsid w:val="006A4E0A"/>
    <w:rsid w:val="006B4650"/>
    <w:rsid w:val="006B5581"/>
    <w:rsid w:val="006C226B"/>
    <w:rsid w:val="006C4FA0"/>
    <w:rsid w:val="006C4FF1"/>
    <w:rsid w:val="006C6FED"/>
    <w:rsid w:val="006C70F9"/>
    <w:rsid w:val="006C748B"/>
    <w:rsid w:val="006D236D"/>
    <w:rsid w:val="006D7927"/>
    <w:rsid w:val="006E0088"/>
    <w:rsid w:val="006E07AE"/>
    <w:rsid w:val="006E4A47"/>
    <w:rsid w:val="006F0FB9"/>
    <w:rsid w:val="006F1D18"/>
    <w:rsid w:val="0070438C"/>
    <w:rsid w:val="00714BD7"/>
    <w:rsid w:val="00717DA7"/>
    <w:rsid w:val="00720D55"/>
    <w:rsid w:val="007230D7"/>
    <w:rsid w:val="0072540B"/>
    <w:rsid w:val="00727397"/>
    <w:rsid w:val="007312F6"/>
    <w:rsid w:val="00733AC4"/>
    <w:rsid w:val="0073619B"/>
    <w:rsid w:val="0074470B"/>
    <w:rsid w:val="00746942"/>
    <w:rsid w:val="00746A24"/>
    <w:rsid w:val="00750AEE"/>
    <w:rsid w:val="00751DC6"/>
    <w:rsid w:val="007534B1"/>
    <w:rsid w:val="00756E47"/>
    <w:rsid w:val="00757AF1"/>
    <w:rsid w:val="00761627"/>
    <w:rsid w:val="00765855"/>
    <w:rsid w:val="00780A5E"/>
    <w:rsid w:val="0078543F"/>
    <w:rsid w:val="0078734D"/>
    <w:rsid w:val="00787C30"/>
    <w:rsid w:val="00790017"/>
    <w:rsid w:val="00793217"/>
    <w:rsid w:val="00793541"/>
    <w:rsid w:val="0079499B"/>
    <w:rsid w:val="00795485"/>
    <w:rsid w:val="007A1AAE"/>
    <w:rsid w:val="007A6716"/>
    <w:rsid w:val="007A71BC"/>
    <w:rsid w:val="007D6AF4"/>
    <w:rsid w:val="007D6D5D"/>
    <w:rsid w:val="007E2801"/>
    <w:rsid w:val="007E3B2A"/>
    <w:rsid w:val="007F4061"/>
    <w:rsid w:val="00801500"/>
    <w:rsid w:val="00813C4C"/>
    <w:rsid w:val="008140FD"/>
    <w:rsid w:val="00814872"/>
    <w:rsid w:val="00816840"/>
    <w:rsid w:val="00822173"/>
    <w:rsid w:val="008237AB"/>
    <w:rsid w:val="008251C8"/>
    <w:rsid w:val="00834197"/>
    <w:rsid w:val="00852CE8"/>
    <w:rsid w:val="00853EAE"/>
    <w:rsid w:val="008652D1"/>
    <w:rsid w:val="00865304"/>
    <w:rsid w:val="00871AA8"/>
    <w:rsid w:val="008727A1"/>
    <w:rsid w:val="00876B84"/>
    <w:rsid w:val="008819ED"/>
    <w:rsid w:val="008827C7"/>
    <w:rsid w:val="00885D1C"/>
    <w:rsid w:val="008A2C60"/>
    <w:rsid w:val="008A2CC0"/>
    <w:rsid w:val="008A7152"/>
    <w:rsid w:val="008B1C1C"/>
    <w:rsid w:val="008C15C2"/>
    <w:rsid w:val="008C1648"/>
    <w:rsid w:val="008C3202"/>
    <w:rsid w:val="008C49D0"/>
    <w:rsid w:val="008C6738"/>
    <w:rsid w:val="008C751C"/>
    <w:rsid w:val="008D4A18"/>
    <w:rsid w:val="008E086F"/>
    <w:rsid w:val="008E1EF3"/>
    <w:rsid w:val="008E44C4"/>
    <w:rsid w:val="008F4DCF"/>
    <w:rsid w:val="00910C7C"/>
    <w:rsid w:val="009205A1"/>
    <w:rsid w:val="00921974"/>
    <w:rsid w:val="009271B9"/>
    <w:rsid w:val="00944612"/>
    <w:rsid w:val="00946816"/>
    <w:rsid w:val="009527CE"/>
    <w:rsid w:val="00961C16"/>
    <w:rsid w:val="009637DE"/>
    <w:rsid w:val="009641B7"/>
    <w:rsid w:val="0096563B"/>
    <w:rsid w:val="00965E7B"/>
    <w:rsid w:val="009771EA"/>
    <w:rsid w:val="00981A64"/>
    <w:rsid w:val="00983054"/>
    <w:rsid w:val="00990A70"/>
    <w:rsid w:val="00992520"/>
    <w:rsid w:val="0099370E"/>
    <w:rsid w:val="009955E8"/>
    <w:rsid w:val="009968ED"/>
    <w:rsid w:val="009A185C"/>
    <w:rsid w:val="009A1F03"/>
    <w:rsid w:val="009B0081"/>
    <w:rsid w:val="009B264F"/>
    <w:rsid w:val="009B65E1"/>
    <w:rsid w:val="009B6922"/>
    <w:rsid w:val="009B7D12"/>
    <w:rsid w:val="009C13A7"/>
    <w:rsid w:val="009C1848"/>
    <w:rsid w:val="009C5A74"/>
    <w:rsid w:val="009C6383"/>
    <w:rsid w:val="009D59D4"/>
    <w:rsid w:val="009E099A"/>
    <w:rsid w:val="009E5A82"/>
    <w:rsid w:val="009E7ACE"/>
    <w:rsid w:val="009F0DE3"/>
    <w:rsid w:val="009F21FC"/>
    <w:rsid w:val="009F5D05"/>
    <w:rsid w:val="009F785C"/>
    <w:rsid w:val="00A06AFE"/>
    <w:rsid w:val="00A12626"/>
    <w:rsid w:val="00A20F55"/>
    <w:rsid w:val="00A27566"/>
    <w:rsid w:val="00A3281D"/>
    <w:rsid w:val="00A40939"/>
    <w:rsid w:val="00A41753"/>
    <w:rsid w:val="00A4278C"/>
    <w:rsid w:val="00A50946"/>
    <w:rsid w:val="00A52036"/>
    <w:rsid w:val="00A578A3"/>
    <w:rsid w:val="00A61066"/>
    <w:rsid w:val="00A651F1"/>
    <w:rsid w:val="00A6787A"/>
    <w:rsid w:val="00A76498"/>
    <w:rsid w:val="00A84146"/>
    <w:rsid w:val="00A842EC"/>
    <w:rsid w:val="00A85373"/>
    <w:rsid w:val="00A8704D"/>
    <w:rsid w:val="00A97417"/>
    <w:rsid w:val="00A9769C"/>
    <w:rsid w:val="00AA0EAF"/>
    <w:rsid w:val="00AA3918"/>
    <w:rsid w:val="00AA3B98"/>
    <w:rsid w:val="00AA3E9C"/>
    <w:rsid w:val="00AA7069"/>
    <w:rsid w:val="00AB2059"/>
    <w:rsid w:val="00AB211C"/>
    <w:rsid w:val="00AB216A"/>
    <w:rsid w:val="00AB378C"/>
    <w:rsid w:val="00AC1697"/>
    <w:rsid w:val="00AC4F46"/>
    <w:rsid w:val="00AD4258"/>
    <w:rsid w:val="00AE1E2F"/>
    <w:rsid w:val="00AE39C3"/>
    <w:rsid w:val="00AE4C82"/>
    <w:rsid w:val="00AF2756"/>
    <w:rsid w:val="00AF48F2"/>
    <w:rsid w:val="00AF4BA7"/>
    <w:rsid w:val="00AF61F4"/>
    <w:rsid w:val="00AF7A89"/>
    <w:rsid w:val="00B06C8E"/>
    <w:rsid w:val="00B11E1B"/>
    <w:rsid w:val="00B2237F"/>
    <w:rsid w:val="00B25EAA"/>
    <w:rsid w:val="00B351DE"/>
    <w:rsid w:val="00B41992"/>
    <w:rsid w:val="00B41A2B"/>
    <w:rsid w:val="00B52D24"/>
    <w:rsid w:val="00B630D0"/>
    <w:rsid w:val="00B647DD"/>
    <w:rsid w:val="00B65AF2"/>
    <w:rsid w:val="00B662EB"/>
    <w:rsid w:val="00B665B0"/>
    <w:rsid w:val="00B665F6"/>
    <w:rsid w:val="00B71AE0"/>
    <w:rsid w:val="00B71C94"/>
    <w:rsid w:val="00B71D25"/>
    <w:rsid w:val="00B720C7"/>
    <w:rsid w:val="00B720F0"/>
    <w:rsid w:val="00B820E6"/>
    <w:rsid w:val="00B90101"/>
    <w:rsid w:val="00B905EB"/>
    <w:rsid w:val="00B90B01"/>
    <w:rsid w:val="00BA2406"/>
    <w:rsid w:val="00BA2767"/>
    <w:rsid w:val="00BA5CBE"/>
    <w:rsid w:val="00BA6277"/>
    <w:rsid w:val="00BB2057"/>
    <w:rsid w:val="00BB6928"/>
    <w:rsid w:val="00BB7024"/>
    <w:rsid w:val="00BC4783"/>
    <w:rsid w:val="00BC5F55"/>
    <w:rsid w:val="00BD4A3E"/>
    <w:rsid w:val="00BD5576"/>
    <w:rsid w:val="00BD6BE3"/>
    <w:rsid w:val="00BE4089"/>
    <w:rsid w:val="00BE43F4"/>
    <w:rsid w:val="00BE63B6"/>
    <w:rsid w:val="00BE7E52"/>
    <w:rsid w:val="00BE7F23"/>
    <w:rsid w:val="00BF02FF"/>
    <w:rsid w:val="00BF0A71"/>
    <w:rsid w:val="00BF278F"/>
    <w:rsid w:val="00C02C7F"/>
    <w:rsid w:val="00C04540"/>
    <w:rsid w:val="00C12541"/>
    <w:rsid w:val="00C12CF7"/>
    <w:rsid w:val="00C206CA"/>
    <w:rsid w:val="00C33643"/>
    <w:rsid w:val="00C359DD"/>
    <w:rsid w:val="00C36B99"/>
    <w:rsid w:val="00C459CB"/>
    <w:rsid w:val="00C53C0E"/>
    <w:rsid w:val="00C56ACA"/>
    <w:rsid w:val="00C6687E"/>
    <w:rsid w:val="00C70F28"/>
    <w:rsid w:val="00C713D8"/>
    <w:rsid w:val="00C77C4E"/>
    <w:rsid w:val="00C81595"/>
    <w:rsid w:val="00C8207F"/>
    <w:rsid w:val="00C85A73"/>
    <w:rsid w:val="00CB5056"/>
    <w:rsid w:val="00CB70C2"/>
    <w:rsid w:val="00CC274A"/>
    <w:rsid w:val="00CD2FC5"/>
    <w:rsid w:val="00CD4F70"/>
    <w:rsid w:val="00CE0E07"/>
    <w:rsid w:val="00CE2339"/>
    <w:rsid w:val="00CE51DF"/>
    <w:rsid w:val="00CE6959"/>
    <w:rsid w:val="00CF1221"/>
    <w:rsid w:val="00CF75EF"/>
    <w:rsid w:val="00D009EA"/>
    <w:rsid w:val="00D01411"/>
    <w:rsid w:val="00D02EB0"/>
    <w:rsid w:val="00D14CF9"/>
    <w:rsid w:val="00D17617"/>
    <w:rsid w:val="00D23228"/>
    <w:rsid w:val="00D30574"/>
    <w:rsid w:val="00D32358"/>
    <w:rsid w:val="00D32ABF"/>
    <w:rsid w:val="00D36B82"/>
    <w:rsid w:val="00D43FF1"/>
    <w:rsid w:val="00D44B4C"/>
    <w:rsid w:val="00D45C6A"/>
    <w:rsid w:val="00D46623"/>
    <w:rsid w:val="00D473A5"/>
    <w:rsid w:val="00D5168E"/>
    <w:rsid w:val="00D51936"/>
    <w:rsid w:val="00D52E93"/>
    <w:rsid w:val="00D544D0"/>
    <w:rsid w:val="00D6473A"/>
    <w:rsid w:val="00D7056E"/>
    <w:rsid w:val="00D71839"/>
    <w:rsid w:val="00D74061"/>
    <w:rsid w:val="00D755A5"/>
    <w:rsid w:val="00D77393"/>
    <w:rsid w:val="00D9567D"/>
    <w:rsid w:val="00DA19AF"/>
    <w:rsid w:val="00DB26B7"/>
    <w:rsid w:val="00DB3AC8"/>
    <w:rsid w:val="00DB6752"/>
    <w:rsid w:val="00DC53D7"/>
    <w:rsid w:val="00DC58B7"/>
    <w:rsid w:val="00DC6A56"/>
    <w:rsid w:val="00DD3249"/>
    <w:rsid w:val="00DD5018"/>
    <w:rsid w:val="00DE1864"/>
    <w:rsid w:val="00DE234E"/>
    <w:rsid w:val="00DF4136"/>
    <w:rsid w:val="00DF6B4F"/>
    <w:rsid w:val="00E05848"/>
    <w:rsid w:val="00E06EC0"/>
    <w:rsid w:val="00E14D40"/>
    <w:rsid w:val="00E1775A"/>
    <w:rsid w:val="00E213CE"/>
    <w:rsid w:val="00E2296A"/>
    <w:rsid w:val="00E24154"/>
    <w:rsid w:val="00E3031F"/>
    <w:rsid w:val="00E31F09"/>
    <w:rsid w:val="00E33D6B"/>
    <w:rsid w:val="00E36186"/>
    <w:rsid w:val="00E40808"/>
    <w:rsid w:val="00E44887"/>
    <w:rsid w:val="00E51BFF"/>
    <w:rsid w:val="00E526C5"/>
    <w:rsid w:val="00E55A13"/>
    <w:rsid w:val="00E63BFB"/>
    <w:rsid w:val="00E70B5F"/>
    <w:rsid w:val="00E71B16"/>
    <w:rsid w:val="00E77877"/>
    <w:rsid w:val="00E8425A"/>
    <w:rsid w:val="00E929AD"/>
    <w:rsid w:val="00EA1D23"/>
    <w:rsid w:val="00EA7A74"/>
    <w:rsid w:val="00EB3FD5"/>
    <w:rsid w:val="00EC0A29"/>
    <w:rsid w:val="00EC0EE6"/>
    <w:rsid w:val="00EC35F9"/>
    <w:rsid w:val="00EC482A"/>
    <w:rsid w:val="00ED377A"/>
    <w:rsid w:val="00ED7C1F"/>
    <w:rsid w:val="00EE5E71"/>
    <w:rsid w:val="00EE683D"/>
    <w:rsid w:val="00EF2999"/>
    <w:rsid w:val="00EF5F25"/>
    <w:rsid w:val="00F14120"/>
    <w:rsid w:val="00F1734E"/>
    <w:rsid w:val="00F21F89"/>
    <w:rsid w:val="00F24C32"/>
    <w:rsid w:val="00F2531F"/>
    <w:rsid w:val="00F27047"/>
    <w:rsid w:val="00F40359"/>
    <w:rsid w:val="00F44163"/>
    <w:rsid w:val="00F4437B"/>
    <w:rsid w:val="00F503C2"/>
    <w:rsid w:val="00F6642A"/>
    <w:rsid w:val="00F70D29"/>
    <w:rsid w:val="00F74374"/>
    <w:rsid w:val="00F75A2B"/>
    <w:rsid w:val="00F8068A"/>
    <w:rsid w:val="00F808B5"/>
    <w:rsid w:val="00F80929"/>
    <w:rsid w:val="00F87E3B"/>
    <w:rsid w:val="00F94E6E"/>
    <w:rsid w:val="00FA1FC0"/>
    <w:rsid w:val="00FA7DDE"/>
    <w:rsid w:val="00FB13E6"/>
    <w:rsid w:val="00FB1497"/>
    <w:rsid w:val="00FB2215"/>
    <w:rsid w:val="00FB5338"/>
    <w:rsid w:val="00FB54BB"/>
    <w:rsid w:val="00FB7A9F"/>
    <w:rsid w:val="00FC0B97"/>
    <w:rsid w:val="00FD0A41"/>
    <w:rsid w:val="00FD0CBF"/>
    <w:rsid w:val="00FD1ADE"/>
    <w:rsid w:val="00FE50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79E1A"/>
  <w15:docId w15:val="{19D5A1CB-BCBD-3349-B13A-8DC6DC1F1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3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C70F9"/>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B65AF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rsid w:val="006C70F9"/>
    <w:rPr>
      <w:rFonts w:ascii="Times New Roman" w:eastAsiaTheme="majorEastAsia" w:hAnsi="Times New Roman" w:cstheme="majorBidi"/>
      <w:b/>
      <w:bCs/>
      <w:sz w:val="24"/>
      <w:szCs w:val="26"/>
    </w:rPr>
  </w:style>
  <w:style w:type="paragraph" w:customStyle="1" w:styleId="Default">
    <w:name w:val="Default"/>
    <w:rsid w:val="00113B7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D45C6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41753"/>
    <w:pPr>
      <w:ind w:left="720"/>
      <w:contextualSpacing/>
    </w:pPr>
  </w:style>
  <w:style w:type="paragraph" w:styleId="BalloonText">
    <w:name w:val="Balloon Text"/>
    <w:basedOn w:val="Normal"/>
    <w:link w:val="BalloonTextChar"/>
    <w:uiPriority w:val="99"/>
    <w:semiHidden/>
    <w:unhideWhenUsed/>
    <w:rsid w:val="009F5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D05"/>
    <w:rPr>
      <w:rFonts w:ascii="Tahoma" w:hAnsi="Tahoma" w:cs="Tahoma"/>
      <w:sz w:val="16"/>
      <w:szCs w:val="16"/>
      <w:lang w:val="en-GB"/>
    </w:rPr>
  </w:style>
  <w:style w:type="paragraph" w:styleId="Header">
    <w:name w:val="header"/>
    <w:basedOn w:val="Normal"/>
    <w:link w:val="HeaderChar"/>
    <w:uiPriority w:val="99"/>
    <w:unhideWhenUsed/>
    <w:rsid w:val="00BB69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6928"/>
    <w:rPr>
      <w:rFonts w:ascii="Times New Roman" w:hAnsi="Times New Roman"/>
      <w:sz w:val="24"/>
      <w:lang w:val="en-GB"/>
    </w:rPr>
  </w:style>
  <w:style w:type="paragraph" w:styleId="Footer">
    <w:name w:val="footer"/>
    <w:basedOn w:val="Normal"/>
    <w:link w:val="FooterChar"/>
    <w:uiPriority w:val="99"/>
    <w:unhideWhenUsed/>
    <w:rsid w:val="00BB69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6928"/>
    <w:rPr>
      <w:rFonts w:ascii="Times New Roman" w:hAnsi="Times New Roman"/>
      <w:sz w:val="24"/>
      <w:lang w:val="en-GB"/>
    </w:rPr>
  </w:style>
  <w:style w:type="character" w:customStyle="1" w:styleId="Heading3Char">
    <w:name w:val="Heading 3 Char"/>
    <w:basedOn w:val="DefaultParagraphFont"/>
    <w:link w:val="Heading3"/>
    <w:uiPriority w:val="9"/>
    <w:rsid w:val="00B65AF2"/>
    <w:rPr>
      <w:rFonts w:asciiTheme="majorHAnsi" w:eastAsiaTheme="majorEastAsia" w:hAnsiTheme="majorHAnsi" w:cstheme="majorBidi"/>
      <w:b/>
      <w:bCs/>
      <w:color w:val="4F81BD" w:themeColor="accent1"/>
      <w:sz w:val="24"/>
      <w:lang w:val="en-GB"/>
    </w:rPr>
  </w:style>
  <w:style w:type="paragraph" w:styleId="TableofFigures">
    <w:name w:val="table of figures"/>
    <w:basedOn w:val="Normal"/>
    <w:next w:val="Normal"/>
    <w:uiPriority w:val="99"/>
    <w:unhideWhenUsed/>
    <w:rsid w:val="000D4B49"/>
    <w:pPr>
      <w:spacing w:after="0"/>
    </w:pPr>
  </w:style>
  <w:style w:type="character" w:styleId="Hyperlink">
    <w:name w:val="Hyperlink"/>
    <w:basedOn w:val="DefaultParagraphFont"/>
    <w:uiPriority w:val="99"/>
    <w:unhideWhenUsed/>
    <w:rsid w:val="000D4B49"/>
    <w:rPr>
      <w:color w:val="0000FF" w:themeColor="hyperlink"/>
      <w:u w:val="single"/>
    </w:rPr>
  </w:style>
  <w:style w:type="paragraph" w:styleId="NoSpacing">
    <w:name w:val="No Spacing"/>
    <w:uiPriority w:val="1"/>
    <w:qFormat/>
    <w:rsid w:val="00DB26B7"/>
    <w:pPr>
      <w:spacing w:after="0" w:line="240" w:lineRule="auto"/>
      <w:jc w:val="both"/>
    </w:pPr>
    <w:rPr>
      <w:rFonts w:ascii="Times New Roman" w:hAnsi="Times New Roman"/>
      <w:sz w:val="24"/>
      <w:lang w:val="en-GB"/>
    </w:rPr>
  </w:style>
  <w:style w:type="paragraph" w:styleId="Subtitle">
    <w:name w:val="Subtitle"/>
    <w:basedOn w:val="Normal"/>
    <w:next w:val="Normal"/>
    <w:link w:val="SubtitleChar"/>
    <w:uiPriority w:val="11"/>
    <w:qFormat/>
    <w:rsid w:val="00DB26B7"/>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DB26B7"/>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9143">
      <w:bodyDiv w:val="1"/>
      <w:marLeft w:val="0"/>
      <w:marRight w:val="0"/>
      <w:marTop w:val="0"/>
      <w:marBottom w:val="0"/>
      <w:divBdr>
        <w:top w:val="none" w:sz="0" w:space="0" w:color="auto"/>
        <w:left w:val="none" w:sz="0" w:space="0" w:color="auto"/>
        <w:bottom w:val="none" w:sz="0" w:space="0" w:color="auto"/>
        <w:right w:val="none" w:sz="0" w:space="0" w:color="auto"/>
      </w:divBdr>
    </w:div>
    <w:div w:id="42026899">
      <w:bodyDiv w:val="1"/>
      <w:marLeft w:val="0"/>
      <w:marRight w:val="0"/>
      <w:marTop w:val="0"/>
      <w:marBottom w:val="0"/>
      <w:divBdr>
        <w:top w:val="none" w:sz="0" w:space="0" w:color="auto"/>
        <w:left w:val="none" w:sz="0" w:space="0" w:color="auto"/>
        <w:bottom w:val="none" w:sz="0" w:space="0" w:color="auto"/>
        <w:right w:val="none" w:sz="0" w:space="0" w:color="auto"/>
      </w:divBdr>
    </w:div>
    <w:div w:id="145098740">
      <w:bodyDiv w:val="1"/>
      <w:marLeft w:val="0"/>
      <w:marRight w:val="0"/>
      <w:marTop w:val="0"/>
      <w:marBottom w:val="0"/>
      <w:divBdr>
        <w:top w:val="none" w:sz="0" w:space="0" w:color="auto"/>
        <w:left w:val="none" w:sz="0" w:space="0" w:color="auto"/>
        <w:bottom w:val="none" w:sz="0" w:space="0" w:color="auto"/>
        <w:right w:val="none" w:sz="0" w:space="0" w:color="auto"/>
      </w:divBdr>
    </w:div>
    <w:div w:id="348527246">
      <w:bodyDiv w:val="1"/>
      <w:marLeft w:val="0"/>
      <w:marRight w:val="0"/>
      <w:marTop w:val="0"/>
      <w:marBottom w:val="0"/>
      <w:divBdr>
        <w:top w:val="none" w:sz="0" w:space="0" w:color="auto"/>
        <w:left w:val="none" w:sz="0" w:space="0" w:color="auto"/>
        <w:bottom w:val="none" w:sz="0" w:space="0" w:color="auto"/>
        <w:right w:val="none" w:sz="0" w:space="0" w:color="auto"/>
      </w:divBdr>
    </w:div>
    <w:div w:id="386535293">
      <w:bodyDiv w:val="1"/>
      <w:marLeft w:val="0"/>
      <w:marRight w:val="0"/>
      <w:marTop w:val="0"/>
      <w:marBottom w:val="0"/>
      <w:divBdr>
        <w:top w:val="none" w:sz="0" w:space="0" w:color="auto"/>
        <w:left w:val="none" w:sz="0" w:space="0" w:color="auto"/>
        <w:bottom w:val="none" w:sz="0" w:space="0" w:color="auto"/>
        <w:right w:val="none" w:sz="0" w:space="0" w:color="auto"/>
      </w:divBdr>
    </w:div>
    <w:div w:id="456484987">
      <w:bodyDiv w:val="1"/>
      <w:marLeft w:val="0"/>
      <w:marRight w:val="0"/>
      <w:marTop w:val="0"/>
      <w:marBottom w:val="0"/>
      <w:divBdr>
        <w:top w:val="none" w:sz="0" w:space="0" w:color="auto"/>
        <w:left w:val="none" w:sz="0" w:space="0" w:color="auto"/>
        <w:bottom w:val="none" w:sz="0" w:space="0" w:color="auto"/>
        <w:right w:val="none" w:sz="0" w:space="0" w:color="auto"/>
      </w:divBdr>
    </w:div>
    <w:div w:id="586424292">
      <w:bodyDiv w:val="1"/>
      <w:marLeft w:val="0"/>
      <w:marRight w:val="0"/>
      <w:marTop w:val="0"/>
      <w:marBottom w:val="0"/>
      <w:divBdr>
        <w:top w:val="none" w:sz="0" w:space="0" w:color="auto"/>
        <w:left w:val="none" w:sz="0" w:space="0" w:color="auto"/>
        <w:bottom w:val="none" w:sz="0" w:space="0" w:color="auto"/>
        <w:right w:val="none" w:sz="0" w:space="0" w:color="auto"/>
      </w:divBdr>
    </w:div>
    <w:div w:id="590433728">
      <w:bodyDiv w:val="1"/>
      <w:marLeft w:val="0"/>
      <w:marRight w:val="0"/>
      <w:marTop w:val="0"/>
      <w:marBottom w:val="0"/>
      <w:divBdr>
        <w:top w:val="none" w:sz="0" w:space="0" w:color="auto"/>
        <w:left w:val="none" w:sz="0" w:space="0" w:color="auto"/>
        <w:bottom w:val="none" w:sz="0" w:space="0" w:color="auto"/>
        <w:right w:val="none" w:sz="0" w:space="0" w:color="auto"/>
      </w:divBdr>
    </w:div>
    <w:div w:id="761335369">
      <w:bodyDiv w:val="1"/>
      <w:marLeft w:val="0"/>
      <w:marRight w:val="0"/>
      <w:marTop w:val="0"/>
      <w:marBottom w:val="0"/>
      <w:divBdr>
        <w:top w:val="none" w:sz="0" w:space="0" w:color="auto"/>
        <w:left w:val="none" w:sz="0" w:space="0" w:color="auto"/>
        <w:bottom w:val="none" w:sz="0" w:space="0" w:color="auto"/>
        <w:right w:val="none" w:sz="0" w:space="0" w:color="auto"/>
      </w:divBdr>
    </w:div>
    <w:div w:id="1094010199">
      <w:bodyDiv w:val="1"/>
      <w:marLeft w:val="0"/>
      <w:marRight w:val="0"/>
      <w:marTop w:val="0"/>
      <w:marBottom w:val="0"/>
      <w:divBdr>
        <w:top w:val="none" w:sz="0" w:space="0" w:color="auto"/>
        <w:left w:val="none" w:sz="0" w:space="0" w:color="auto"/>
        <w:bottom w:val="none" w:sz="0" w:space="0" w:color="auto"/>
        <w:right w:val="none" w:sz="0" w:space="0" w:color="auto"/>
      </w:divBdr>
    </w:div>
    <w:div w:id="1202280809">
      <w:bodyDiv w:val="1"/>
      <w:marLeft w:val="0"/>
      <w:marRight w:val="0"/>
      <w:marTop w:val="0"/>
      <w:marBottom w:val="0"/>
      <w:divBdr>
        <w:top w:val="none" w:sz="0" w:space="0" w:color="auto"/>
        <w:left w:val="none" w:sz="0" w:space="0" w:color="auto"/>
        <w:bottom w:val="none" w:sz="0" w:space="0" w:color="auto"/>
        <w:right w:val="none" w:sz="0" w:space="0" w:color="auto"/>
      </w:divBdr>
    </w:div>
    <w:div w:id="1241872061">
      <w:bodyDiv w:val="1"/>
      <w:marLeft w:val="0"/>
      <w:marRight w:val="0"/>
      <w:marTop w:val="0"/>
      <w:marBottom w:val="0"/>
      <w:divBdr>
        <w:top w:val="none" w:sz="0" w:space="0" w:color="auto"/>
        <w:left w:val="none" w:sz="0" w:space="0" w:color="auto"/>
        <w:bottom w:val="none" w:sz="0" w:space="0" w:color="auto"/>
        <w:right w:val="none" w:sz="0" w:space="0" w:color="auto"/>
      </w:divBdr>
    </w:div>
    <w:div w:id="1264529954">
      <w:bodyDiv w:val="1"/>
      <w:marLeft w:val="0"/>
      <w:marRight w:val="0"/>
      <w:marTop w:val="0"/>
      <w:marBottom w:val="0"/>
      <w:divBdr>
        <w:top w:val="none" w:sz="0" w:space="0" w:color="auto"/>
        <w:left w:val="none" w:sz="0" w:space="0" w:color="auto"/>
        <w:bottom w:val="none" w:sz="0" w:space="0" w:color="auto"/>
        <w:right w:val="none" w:sz="0" w:space="0" w:color="auto"/>
      </w:divBdr>
    </w:div>
    <w:div w:id="1273828875">
      <w:bodyDiv w:val="1"/>
      <w:marLeft w:val="0"/>
      <w:marRight w:val="0"/>
      <w:marTop w:val="0"/>
      <w:marBottom w:val="0"/>
      <w:divBdr>
        <w:top w:val="none" w:sz="0" w:space="0" w:color="auto"/>
        <w:left w:val="none" w:sz="0" w:space="0" w:color="auto"/>
        <w:bottom w:val="none" w:sz="0" w:space="0" w:color="auto"/>
        <w:right w:val="none" w:sz="0" w:space="0" w:color="auto"/>
      </w:divBdr>
    </w:div>
    <w:div w:id="1281453079">
      <w:bodyDiv w:val="1"/>
      <w:marLeft w:val="0"/>
      <w:marRight w:val="0"/>
      <w:marTop w:val="0"/>
      <w:marBottom w:val="0"/>
      <w:divBdr>
        <w:top w:val="none" w:sz="0" w:space="0" w:color="auto"/>
        <w:left w:val="none" w:sz="0" w:space="0" w:color="auto"/>
        <w:bottom w:val="none" w:sz="0" w:space="0" w:color="auto"/>
        <w:right w:val="none" w:sz="0" w:space="0" w:color="auto"/>
      </w:divBdr>
    </w:div>
    <w:div w:id="1334337943">
      <w:bodyDiv w:val="1"/>
      <w:marLeft w:val="0"/>
      <w:marRight w:val="0"/>
      <w:marTop w:val="0"/>
      <w:marBottom w:val="0"/>
      <w:divBdr>
        <w:top w:val="none" w:sz="0" w:space="0" w:color="auto"/>
        <w:left w:val="none" w:sz="0" w:space="0" w:color="auto"/>
        <w:bottom w:val="none" w:sz="0" w:space="0" w:color="auto"/>
        <w:right w:val="none" w:sz="0" w:space="0" w:color="auto"/>
      </w:divBdr>
    </w:div>
    <w:div w:id="1336113129">
      <w:bodyDiv w:val="1"/>
      <w:marLeft w:val="0"/>
      <w:marRight w:val="0"/>
      <w:marTop w:val="0"/>
      <w:marBottom w:val="0"/>
      <w:divBdr>
        <w:top w:val="none" w:sz="0" w:space="0" w:color="auto"/>
        <w:left w:val="none" w:sz="0" w:space="0" w:color="auto"/>
        <w:bottom w:val="none" w:sz="0" w:space="0" w:color="auto"/>
        <w:right w:val="none" w:sz="0" w:space="0" w:color="auto"/>
      </w:divBdr>
    </w:div>
    <w:div w:id="1619796365">
      <w:bodyDiv w:val="1"/>
      <w:marLeft w:val="0"/>
      <w:marRight w:val="0"/>
      <w:marTop w:val="0"/>
      <w:marBottom w:val="0"/>
      <w:divBdr>
        <w:top w:val="none" w:sz="0" w:space="0" w:color="auto"/>
        <w:left w:val="none" w:sz="0" w:space="0" w:color="auto"/>
        <w:bottom w:val="none" w:sz="0" w:space="0" w:color="auto"/>
        <w:right w:val="none" w:sz="0" w:space="0" w:color="auto"/>
      </w:divBdr>
    </w:div>
    <w:div w:id="1645506993">
      <w:bodyDiv w:val="1"/>
      <w:marLeft w:val="0"/>
      <w:marRight w:val="0"/>
      <w:marTop w:val="0"/>
      <w:marBottom w:val="0"/>
      <w:divBdr>
        <w:top w:val="none" w:sz="0" w:space="0" w:color="auto"/>
        <w:left w:val="none" w:sz="0" w:space="0" w:color="auto"/>
        <w:bottom w:val="none" w:sz="0" w:space="0" w:color="auto"/>
        <w:right w:val="none" w:sz="0" w:space="0" w:color="auto"/>
      </w:divBdr>
    </w:div>
    <w:div w:id="1715807071">
      <w:bodyDiv w:val="1"/>
      <w:marLeft w:val="0"/>
      <w:marRight w:val="0"/>
      <w:marTop w:val="0"/>
      <w:marBottom w:val="0"/>
      <w:divBdr>
        <w:top w:val="none" w:sz="0" w:space="0" w:color="auto"/>
        <w:left w:val="none" w:sz="0" w:space="0" w:color="auto"/>
        <w:bottom w:val="none" w:sz="0" w:space="0" w:color="auto"/>
        <w:right w:val="none" w:sz="0" w:space="0" w:color="auto"/>
      </w:divBdr>
    </w:div>
    <w:div w:id="1723404451">
      <w:bodyDiv w:val="1"/>
      <w:marLeft w:val="0"/>
      <w:marRight w:val="0"/>
      <w:marTop w:val="0"/>
      <w:marBottom w:val="0"/>
      <w:divBdr>
        <w:top w:val="none" w:sz="0" w:space="0" w:color="auto"/>
        <w:left w:val="none" w:sz="0" w:space="0" w:color="auto"/>
        <w:bottom w:val="none" w:sz="0" w:space="0" w:color="auto"/>
        <w:right w:val="none" w:sz="0" w:space="0" w:color="auto"/>
      </w:divBdr>
    </w:div>
    <w:div w:id="1731878273">
      <w:bodyDiv w:val="1"/>
      <w:marLeft w:val="0"/>
      <w:marRight w:val="0"/>
      <w:marTop w:val="0"/>
      <w:marBottom w:val="0"/>
      <w:divBdr>
        <w:top w:val="none" w:sz="0" w:space="0" w:color="auto"/>
        <w:left w:val="none" w:sz="0" w:space="0" w:color="auto"/>
        <w:bottom w:val="none" w:sz="0" w:space="0" w:color="auto"/>
        <w:right w:val="none" w:sz="0" w:space="0" w:color="auto"/>
      </w:divBdr>
    </w:div>
    <w:div w:id="1774666215">
      <w:bodyDiv w:val="1"/>
      <w:marLeft w:val="0"/>
      <w:marRight w:val="0"/>
      <w:marTop w:val="0"/>
      <w:marBottom w:val="0"/>
      <w:divBdr>
        <w:top w:val="none" w:sz="0" w:space="0" w:color="auto"/>
        <w:left w:val="none" w:sz="0" w:space="0" w:color="auto"/>
        <w:bottom w:val="none" w:sz="0" w:space="0" w:color="auto"/>
        <w:right w:val="none" w:sz="0" w:space="0" w:color="auto"/>
      </w:divBdr>
    </w:div>
    <w:div w:id="1905606892">
      <w:bodyDiv w:val="1"/>
      <w:marLeft w:val="0"/>
      <w:marRight w:val="0"/>
      <w:marTop w:val="0"/>
      <w:marBottom w:val="0"/>
      <w:divBdr>
        <w:top w:val="none" w:sz="0" w:space="0" w:color="auto"/>
        <w:left w:val="none" w:sz="0" w:space="0" w:color="auto"/>
        <w:bottom w:val="none" w:sz="0" w:space="0" w:color="auto"/>
        <w:right w:val="none" w:sz="0" w:space="0" w:color="auto"/>
      </w:divBdr>
    </w:div>
    <w:div w:id="2004238059">
      <w:bodyDiv w:val="1"/>
      <w:marLeft w:val="0"/>
      <w:marRight w:val="0"/>
      <w:marTop w:val="0"/>
      <w:marBottom w:val="0"/>
      <w:divBdr>
        <w:top w:val="none" w:sz="0" w:space="0" w:color="auto"/>
        <w:left w:val="none" w:sz="0" w:space="0" w:color="auto"/>
        <w:bottom w:val="none" w:sz="0" w:space="0" w:color="auto"/>
        <w:right w:val="none" w:sz="0" w:space="0" w:color="auto"/>
      </w:divBdr>
    </w:div>
    <w:div w:id="2027174071">
      <w:bodyDiv w:val="1"/>
      <w:marLeft w:val="0"/>
      <w:marRight w:val="0"/>
      <w:marTop w:val="0"/>
      <w:marBottom w:val="0"/>
      <w:divBdr>
        <w:top w:val="none" w:sz="0" w:space="0" w:color="auto"/>
        <w:left w:val="none" w:sz="0" w:space="0" w:color="auto"/>
        <w:bottom w:val="none" w:sz="0" w:space="0" w:color="auto"/>
        <w:right w:val="none" w:sz="0" w:space="0" w:color="auto"/>
      </w:divBdr>
    </w:div>
    <w:div w:id="2115395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774026-DEDB-0943-B1F5-737C603E1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34</Pages>
  <Words>5905</Words>
  <Characters>33664</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ionce paula ioana</cp:lastModifiedBy>
  <cp:revision>32</cp:revision>
  <dcterms:created xsi:type="dcterms:W3CDTF">2020-01-03T11:47:00Z</dcterms:created>
  <dcterms:modified xsi:type="dcterms:W3CDTF">2020-01-17T16:21:00Z</dcterms:modified>
</cp:coreProperties>
</file>