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32288D" w14:textId="39D15789" w:rsidR="00944A85" w:rsidRDefault="00944A85">
      <w:r>
        <w:t xml:space="preserve">Literature review </w:t>
      </w:r>
      <w:r w:rsidR="00052CBC">
        <w:t xml:space="preserve">Draft </w:t>
      </w:r>
    </w:p>
    <w:p w14:paraId="35953ED7" w14:textId="4FB51DFD" w:rsidR="00873E55" w:rsidRPr="00873E55" w:rsidRDefault="00873E55">
      <w:pPr>
        <w:rPr>
          <w:b/>
          <w:bCs/>
          <w:sz w:val="32"/>
          <w:szCs w:val="32"/>
        </w:rPr>
      </w:pPr>
      <w:r w:rsidRPr="00873E55">
        <w:rPr>
          <w:b/>
          <w:bCs/>
          <w:sz w:val="32"/>
          <w:szCs w:val="32"/>
        </w:rPr>
        <w:t>Introduction</w:t>
      </w:r>
    </w:p>
    <w:p w14:paraId="4E12AB6F" w14:textId="462C931C" w:rsidR="00944A85" w:rsidRDefault="00944A85">
      <w:r>
        <w:t>Cybercrime has become a significant part of modern-day policing, criminals are using the internet to extort, blackmail and demand victims to pay and provide details of their lives through the evergrowing internet. This literature review will look into already existing research in the area of frontline officers dealing with cybercrime by analysing what is cybercrim</w:t>
      </w:r>
      <w:r w:rsidR="004427C6">
        <w:t>e,</w:t>
      </w:r>
      <w:r>
        <w:t xml:space="preserve"> </w:t>
      </w:r>
      <w:r w:rsidR="004427C6">
        <w:t>looking</w:t>
      </w:r>
      <w:r>
        <w:t xml:space="preserve"> at the effectiveness of frontline officers dealing with cybercrime</w:t>
      </w:r>
      <w:r w:rsidR="004427C6">
        <w:t xml:space="preserve">, </w:t>
      </w:r>
      <w:r>
        <w:t xml:space="preserve"> the challenges</w:t>
      </w:r>
      <w:r w:rsidR="004427C6">
        <w:t xml:space="preserve"> and shortfalls of</w:t>
      </w:r>
      <w:r>
        <w:t xml:space="preserve"> </w:t>
      </w:r>
      <w:r w:rsidR="004427C6">
        <w:t>frontline officers</w:t>
      </w:r>
      <w:r>
        <w:t xml:space="preserve"> face</w:t>
      </w:r>
      <w:r w:rsidR="004427C6">
        <w:t xml:space="preserve">. </w:t>
      </w:r>
    </w:p>
    <w:p w14:paraId="4A0332E5" w14:textId="112614C7" w:rsidR="00944A85" w:rsidRDefault="00944A85">
      <w:r>
        <w:t xml:space="preserve"> The review will analyse the key findings and identify gaps, trends and areas of further research which this paper plans to </w:t>
      </w:r>
      <w:r w:rsidR="0042668E">
        <w:t>identify and address</w:t>
      </w:r>
      <w:r>
        <w:t>.</w:t>
      </w:r>
    </w:p>
    <w:p w14:paraId="7D3B1E77" w14:textId="0BB26993" w:rsidR="0007230E" w:rsidRDefault="0007230E">
      <w:r>
        <w:t xml:space="preserve">This will be achieved by examining and analysing literature obtained from the UWTSD online library as well as verified academic work found through Google Scholar and Government publications. The primary search phrases used were ‘Frontline’, ‘Cybercrime’, and ‘Policing’. The research that has been reviewed has been obtained mainly from UK-based papers or countries of similar UK law and policing such as  Australia and Canada. </w:t>
      </w:r>
    </w:p>
    <w:p w14:paraId="509510DB" w14:textId="5474C1DC" w:rsidR="00944A85" w:rsidRDefault="00873E55" w:rsidP="00944A85">
      <w:pPr>
        <w:rPr>
          <w:sz w:val="32"/>
          <w:szCs w:val="32"/>
        </w:rPr>
      </w:pPr>
      <w:r w:rsidRPr="00873E55">
        <w:rPr>
          <w:sz w:val="32"/>
          <w:szCs w:val="32"/>
        </w:rPr>
        <w:t xml:space="preserve">What is Cybercrime? </w:t>
      </w:r>
    </w:p>
    <w:p w14:paraId="49C6B775" w14:textId="6211512D" w:rsidR="00873E55" w:rsidRDefault="005D39CE" w:rsidP="00944A85">
      <w:pPr>
        <w:rPr>
          <w:rFonts w:ascii="Roboto" w:hAnsi="Roboto"/>
          <w:color w:val="2C3E50"/>
          <w:sz w:val="23"/>
          <w:szCs w:val="23"/>
          <w:shd w:val="clear" w:color="auto" w:fill="FFFFFF"/>
        </w:rPr>
      </w:pPr>
      <w:r>
        <w:t xml:space="preserve">Defining cybercrime has become more difficult with the overall technological advancements, with the advancements members of the public and police themselves have struggled to define exactly what is </w:t>
      </w:r>
      <w:proofErr w:type="spellStart"/>
      <w:r>
        <w:t>cyber crime</w:t>
      </w:r>
      <w:proofErr w:type="spellEnd"/>
      <w:r>
        <w:t xml:space="preserve"> </w:t>
      </w:r>
      <w:r>
        <w:rPr>
          <w:rFonts w:ascii="Roboto" w:hAnsi="Roboto"/>
          <w:color w:val="2C3E50"/>
          <w:sz w:val="23"/>
          <w:szCs w:val="23"/>
          <w:shd w:val="clear" w:color="auto" w:fill="FFFFFF"/>
        </w:rPr>
        <w:t>(</w:t>
      </w:r>
      <w:proofErr w:type="spellStart"/>
      <w:r>
        <w:rPr>
          <w:rFonts w:ascii="Roboto" w:hAnsi="Roboto"/>
          <w:color w:val="2C3E50"/>
          <w:sz w:val="23"/>
          <w:szCs w:val="23"/>
          <w:shd w:val="clear" w:color="auto" w:fill="FFFFFF"/>
        </w:rPr>
        <w:t>Hadlington</w:t>
      </w:r>
      <w:proofErr w:type="spellEnd"/>
      <w:r>
        <w:rPr>
          <w:rFonts w:ascii="Roboto" w:hAnsi="Roboto"/>
          <w:color w:val="2C3E50"/>
          <w:sz w:val="23"/>
          <w:szCs w:val="23"/>
          <w:shd w:val="clear" w:color="auto" w:fill="FFFFFF"/>
        </w:rPr>
        <w:t> </w:t>
      </w:r>
      <w:r>
        <w:rPr>
          <w:rFonts w:ascii="Roboto" w:hAnsi="Roboto"/>
          <w:i/>
          <w:iCs/>
          <w:color w:val="2C3E50"/>
          <w:sz w:val="23"/>
          <w:szCs w:val="23"/>
          <w:shd w:val="clear" w:color="auto" w:fill="FFFFFF"/>
        </w:rPr>
        <w:t>et al.</w:t>
      </w:r>
      <w:r>
        <w:rPr>
          <w:rFonts w:ascii="Roboto" w:hAnsi="Roboto"/>
          <w:color w:val="2C3E50"/>
          <w:sz w:val="23"/>
          <w:szCs w:val="23"/>
          <w:shd w:val="clear" w:color="auto" w:fill="FFFFFF"/>
        </w:rPr>
        <w:t xml:space="preserve">, 2018) </w:t>
      </w:r>
    </w:p>
    <w:p w14:paraId="143E508C" w14:textId="7818F1F2" w:rsidR="005D39CE" w:rsidRDefault="005D39CE" w:rsidP="00944A85">
      <w:r>
        <w:t xml:space="preserve">There is little knowledge of what front-line officers views and opinions on what is </w:t>
      </w:r>
      <w:proofErr w:type="spellStart"/>
      <w:r>
        <w:t>cyber crime</w:t>
      </w:r>
      <w:proofErr w:type="spellEnd"/>
      <w:r>
        <w:t xml:space="preserve"> and the perceptions they have but that front-line officers believe that they should not be dealing with cybercrime-related offences at the first instance, but also that officers do not have a set defined definition of cybercrime</w:t>
      </w:r>
      <w:r w:rsidR="0042668E">
        <w:t xml:space="preserve"> to follow</w:t>
      </w:r>
      <w:r>
        <w:t xml:space="preserve"> </w:t>
      </w:r>
      <w:r>
        <w:rPr>
          <w:rFonts w:ascii="Roboto" w:hAnsi="Roboto"/>
          <w:color w:val="2C3E50"/>
          <w:sz w:val="23"/>
          <w:szCs w:val="23"/>
          <w:shd w:val="clear" w:color="auto" w:fill="FFFFFF"/>
        </w:rPr>
        <w:t>(Bossler and Holt, 2012)</w:t>
      </w:r>
      <w:r>
        <w:t xml:space="preserve">. </w:t>
      </w:r>
    </w:p>
    <w:p w14:paraId="1D85E7D1" w14:textId="23CA124B" w:rsidR="005D39CE" w:rsidRPr="005D39CE" w:rsidRDefault="005D39CE" w:rsidP="00944A85">
      <w:pPr>
        <w:rPr>
          <w:rFonts w:ascii="Times New Roman" w:eastAsia="Times New Roman" w:hAnsi="Times New Roman" w:cs="Times New Roman"/>
          <w:kern w:val="0"/>
          <w:lang w:eastAsia="en-GB"/>
          <w14:ligatures w14:val="none"/>
        </w:rPr>
      </w:pPr>
      <w:r>
        <w:t>The National Cyber Security Strategy 2016-2021 has defined cybercrime</w:t>
      </w:r>
      <w:r w:rsidR="0042668E">
        <w:t xml:space="preserve"> into two parts. </w:t>
      </w:r>
      <w:r>
        <w:t xml:space="preserve">Cyber-dependant and Cyber-enabled crimes </w:t>
      </w:r>
      <w:r w:rsidRPr="005D39CE">
        <w:rPr>
          <w:rFonts w:ascii="Times New Roman" w:eastAsia="Times New Roman" w:hAnsi="Times New Roman" w:cs="Times New Roman"/>
          <w:kern w:val="0"/>
          <w:lang w:eastAsia="en-GB"/>
          <w14:ligatures w14:val="none"/>
        </w:rPr>
        <w:t>(National security and intelligence et al., 2016)</w:t>
      </w:r>
    </w:p>
    <w:p w14:paraId="66E9E10D" w14:textId="1AFD53B1" w:rsidR="005D39CE" w:rsidRPr="005D39CE" w:rsidRDefault="005D39CE" w:rsidP="00944A85">
      <w:pPr>
        <w:rPr>
          <w:rFonts w:ascii="Times New Roman" w:eastAsia="Times New Roman" w:hAnsi="Times New Roman" w:cs="Times New Roman"/>
          <w:kern w:val="0"/>
          <w:lang w:eastAsia="en-GB"/>
          <w14:ligatures w14:val="none"/>
        </w:rPr>
      </w:pPr>
      <w:r>
        <w:t xml:space="preserve">Cyber-dependant crimes are defined as crimes that are committed only through the use of ICT devices where they are the tool for committing the crime and the target of the crime. </w:t>
      </w:r>
      <w:r w:rsidRPr="005D39CE">
        <w:rPr>
          <w:rFonts w:ascii="Times New Roman" w:eastAsia="Times New Roman" w:hAnsi="Times New Roman" w:cs="Times New Roman"/>
          <w:kern w:val="0"/>
          <w:lang w:eastAsia="en-GB"/>
          <w14:ligatures w14:val="none"/>
        </w:rPr>
        <w:t>(Crown Prosecution Service, 2019)</w:t>
      </w:r>
    </w:p>
    <w:p w14:paraId="731F3B66" w14:textId="77777777" w:rsidR="005D39CE" w:rsidRPr="005D39CE" w:rsidRDefault="005D39CE" w:rsidP="005D39CE">
      <w:pPr>
        <w:rPr>
          <w:rFonts w:ascii="Times New Roman" w:eastAsia="Times New Roman" w:hAnsi="Times New Roman" w:cs="Times New Roman"/>
          <w:kern w:val="0"/>
          <w:lang w:eastAsia="en-GB"/>
          <w14:ligatures w14:val="none"/>
        </w:rPr>
      </w:pPr>
      <w:r>
        <w:t xml:space="preserve">Cyber-enabled crimes are defined as crimes that would be ‘Traditional crimes’ that can be increased in scale by the use of computers. An example of this would be Fraud </w:t>
      </w:r>
      <w:r w:rsidRPr="005D39CE">
        <w:rPr>
          <w:rFonts w:ascii="Times New Roman" w:eastAsia="Times New Roman" w:hAnsi="Times New Roman" w:cs="Times New Roman"/>
          <w:kern w:val="0"/>
          <w:lang w:eastAsia="en-GB"/>
          <w14:ligatures w14:val="none"/>
        </w:rPr>
        <w:t>(Crown Prosecution Service, 2019)</w:t>
      </w:r>
    </w:p>
    <w:p w14:paraId="7D4801BB" w14:textId="1036A24E" w:rsidR="005D39CE" w:rsidRPr="005D39CE" w:rsidRDefault="005D39CE" w:rsidP="00944A85"/>
    <w:p w14:paraId="10EA6EAE" w14:textId="7B6B5088" w:rsidR="004427C6" w:rsidRDefault="00873E55" w:rsidP="00944A85">
      <w:pPr>
        <w:rPr>
          <w:sz w:val="32"/>
          <w:szCs w:val="32"/>
        </w:rPr>
      </w:pPr>
      <w:r>
        <w:rPr>
          <w:sz w:val="32"/>
          <w:szCs w:val="32"/>
        </w:rPr>
        <w:lastRenderedPageBreak/>
        <w:t xml:space="preserve">Effectiveness of Frontline </w:t>
      </w:r>
      <w:r w:rsidR="004427C6">
        <w:rPr>
          <w:sz w:val="32"/>
          <w:szCs w:val="32"/>
        </w:rPr>
        <w:t>Officers Dealing</w:t>
      </w:r>
      <w:r>
        <w:rPr>
          <w:sz w:val="32"/>
          <w:szCs w:val="32"/>
        </w:rPr>
        <w:t xml:space="preserve"> with Cybercrime</w:t>
      </w:r>
    </w:p>
    <w:p w14:paraId="3E681D42" w14:textId="5367DB67" w:rsidR="005D39CE" w:rsidRDefault="005D39CE" w:rsidP="00944A85">
      <w:r>
        <w:t xml:space="preserve">In a paper published about cyberstalking during the 2020 Covid pandemic, victims reported that they felt failed by the police. Police had identified that the effectiveness of policing was lower due to the lack of knowledge around cyberstalking due to it not fitting into traditional stalking that they normally deal with </w:t>
      </w:r>
      <w:r w:rsidRPr="005D39CE">
        <w:rPr>
          <w:rFonts w:ascii="Times New Roman" w:eastAsia="Times New Roman" w:hAnsi="Times New Roman" w:cs="Times New Roman"/>
          <w:kern w:val="0"/>
          <w:lang w:eastAsia="en-GB"/>
          <w14:ligatures w14:val="none"/>
        </w:rPr>
        <w:t>(</w:t>
      </w:r>
      <w:proofErr w:type="spellStart"/>
      <w:r w:rsidRPr="005D39CE">
        <w:rPr>
          <w:rFonts w:ascii="Times New Roman" w:eastAsia="Times New Roman" w:hAnsi="Times New Roman" w:cs="Times New Roman"/>
          <w:kern w:val="0"/>
          <w:lang w:eastAsia="en-GB"/>
          <w14:ligatures w14:val="none"/>
        </w:rPr>
        <w:t>Martellozzo</w:t>
      </w:r>
      <w:proofErr w:type="spellEnd"/>
      <w:r w:rsidRPr="005D39CE">
        <w:rPr>
          <w:rFonts w:ascii="Times New Roman" w:eastAsia="Times New Roman" w:hAnsi="Times New Roman" w:cs="Times New Roman"/>
          <w:kern w:val="0"/>
          <w:lang w:eastAsia="en-GB"/>
          <w14:ligatures w14:val="none"/>
        </w:rPr>
        <w:t xml:space="preserve"> et al., 2022)</w:t>
      </w:r>
      <w:r>
        <w:t xml:space="preserve">. </w:t>
      </w:r>
    </w:p>
    <w:p w14:paraId="0EEFD876" w14:textId="6F7CF8B8" w:rsidR="00980305" w:rsidRPr="00980305" w:rsidRDefault="00980305" w:rsidP="00980305">
      <w:pPr>
        <w:rPr>
          <w:rFonts w:ascii="Times New Roman" w:eastAsia="Times New Roman" w:hAnsi="Times New Roman" w:cs="Times New Roman"/>
          <w:kern w:val="0"/>
          <w:lang w:eastAsia="en-GB"/>
          <w14:ligatures w14:val="none"/>
        </w:rPr>
      </w:pPr>
      <w:r>
        <w:t xml:space="preserve">It is apparent that cybercrime is becoming more prevalent, however, budgetary and resources are not being allocated to the right departments to take on cyber-enabled crimes. An example of this is that the workload on the </w:t>
      </w:r>
      <w:r w:rsidR="0042668E">
        <w:t>cybercrime team within the Australian police</w:t>
      </w:r>
      <w:r>
        <w:t xml:space="preserve"> doubled</w:t>
      </w:r>
      <w:r w:rsidR="0042668E">
        <w:t>,</w:t>
      </w:r>
      <w:r>
        <w:t xml:space="preserve"> </w:t>
      </w:r>
      <w:r w:rsidR="0042668E">
        <w:t>with this, there were</w:t>
      </w:r>
      <w:r>
        <w:t xml:space="preserve"> no additional resources or budgetary increases </w:t>
      </w:r>
      <w:r w:rsidR="0042668E">
        <w:t>to assist with the increasing prevalence of cybercrime</w:t>
      </w:r>
      <w:r>
        <w:t xml:space="preserve"> </w:t>
      </w:r>
      <w:r w:rsidRPr="00980305">
        <w:rPr>
          <w:rFonts w:ascii="Times New Roman" w:eastAsia="Times New Roman" w:hAnsi="Times New Roman" w:cs="Times New Roman"/>
          <w:kern w:val="0"/>
          <w:lang w:eastAsia="en-GB"/>
          <w14:ligatures w14:val="none"/>
        </w:rPr>
        <w:t>(Harkin, Whelan and Chang, 2018)</w:t>
      </w:r>
    </w:p>
    <w:p w14:paraId="0D75D92C" w14:textId="4F39C1F4" w:rsidR="00873E55" w:rsidRDefault="00980305" w:rsidP="00944A85">
      <w:pPr>
        <w:rPr>
          <w:rFonts w:ascii="Times New Roman" w:eastAsia="Times New Roman" w:hAnsi="Times New Roman" w:cs="Times New Roman"/>
          <w:kern w:val="0"/>
          <w:lang w:eastAsia="en-GB"/>
          <w14:ligatures w14:val="none"/>
        </w:rPr>
      </w:pPr>
      <w:r>
        <w:t xml:space="preserve">Frontline officers often are the first to respond to a cyber-enabled crime, they often </w:t>
      </w:r>
      <w:r w:rsidR="0042668E">
        <w:t>unsure on how</w:t>
      </w:r>
      <w:r>
        <w:t xml:space="preserve"> to </w:t>
      </w:r>
      <w:r w:rsidR="00B41ABC">
        <w:t xml:space="preserve">handle digital devices for evidential preservation. </w:t>
      </w:r>
      <w:r w:rsidR="0042668E">
        <w:t>T</w:t>
      </w:r>
      <w:r w:rsidR="00B41ABC">
        <w:t xml:space="preserve">hese officers </w:t>
      </w:r>
      <w:r w:rsidR="00BA0D25">
        <w:t>can't</w:t>
      </w:r>
      <w:r w:rsidR="00B41ABC">
        <w:t xml:space="preserve"> effectively and quickly deal with a crime due to not </w:t>
      </w:r>
      <w:r w:rsidR="0042668E">
        <w:t>having the knowledge and training on</w:t>
      </w:r>
      <w:r w:rsidR="00B41ABC">
        <w:t xml:space="preserve"> how to find simple information such as IP addresses, email addresses and basic identification information. This is due to front-line officers believing that these crimes should be handled by specialised </w:t>
      </w:r>
      <w:r w:rsidR="0042668E">
        <w:t>departments which leads to the</w:t>
      </w:r>
      <w:r w:rsidR="00B41ABC">
        <w:t xml:space="preserve"> inability to effectively deal with technology-enabled crime </w:t>
      </w:r>
      <w:r w:rsidR="00B41ABC" w:rsidRPr="00B41ABC">
        <w:rPr>
          <w:rFonts w:ascii="Times New Roman" w:eastAsia="Times New Roman" w:hAnsi="Times New Roman" w:cs="Times New Roman"/>
          <w:kern w:val="0"/>
          <w:lang w:eastAsia="en-GB"/>
          <w14:ligatures w14:val="none"/>
        </w:rPr>
        <w:t>(Harkin and Whelan, 2021)</w:t>
      </w:r>
      <w:r w:rsidR="00B41ABC">
        <w:t xml:space="preserve">. </w:t>
      </w:r>
      <w:r w:rsidR="009F580E">
        <w:t xml:space="preserve"> </w:t>
      </w:r>
    </w:p>
    <w:p w14:paraId="28D80908" w14:textId="77777777" w:rsidR="00CE7860" w:rsidRPr="00CE7860" w:rsidRDefault="00CE7860" w:rsidP="00944A85">
      <w:pPr>
        <w:rPr>
          <w:rFonts w:ascii="Times New Roman" w:eastAsia="Times New Roman" w:hAnsi="Times New Roman" w:cs="Times New Roman"/>
          <w:kern w:val="0"/>
          <w:lang w:eastAsia="en-GB"/>
          <w14:ligatures w14:val="none"/>
        </w:rPr>
      </w:pPr>
    </w:p>
    <w:p w14:paraId="4B017DE1" w14:textId="67DF2DAB" w:rsidR="00873E55" w:rsidRDefault="00873E55" w:rsidP="00944A85">
      <w:pPr>
        <w:rPr>
          <w:sz w:val="32"/>
          <w:szCs w:val="32"/>
        </w:rPr>
      </w:pPr>
      <w:r>
        <w:rPr>
          <w:sz w:val="32"/>
          <w:szCs w:val="32"/>
        </w:rPr>
        <w:t>Challenges</w:t>
      </w:r>
      <w:r w:rsidR="004427C6">
        <w:rPr>
          <w:sz w:val="32"/>
          <w:szCs w:val="32"/>
        </w:rPr>
        <w:t xml:space="preserve"> and shortfalls</w:t>
      </w:r>
      <w:r>
        <w:rPr>
          <w:sz w:val="32"/>
          <w:szCs w:val="32"/>
        </w:rPr>
        <w:t xml:space="preserve"> faced by Frontline officers </w:t>
      </w:r>
    </w:p>
    <w:p w14:paraId="1683374A" w14:textId="4D61D465" w:rsidR="004427C6" w:rsidRDefault="00CE7860" w:rsidP="00944A85">
      <w:r>
        <w:t xml:space="preserve">Due to the fast-changing world of Cybercrime and technology, training is a key part to ensure frontline officers are able to attend and achieve best evidence, this also applies to specialised units. It appears to be seen that specialised officers are being employed in positions of dealing with cybercrime but are not given specialised training into dealing with Cybercrime but are expected to learn as they go along </w:t>
      </w:r>
      <w:r w:rsidRPr="00B41ABC">
        <w:rPr>
          <w:rFonts w:ascii="Times New Roman" w:eastAsia="Times New Roman" w:hAnsi="Times New Roman" w:cs="Times New Roman"/>
          <w:kern w:val="0"/>
          <w:lang w:eastAsia="en-GB"/>
          <w14:ligatures w14:val="none"/>
        </w:rPr>
        <w:t>(Harkin and Whelan, 2021)</w:t>
      </w:r>
      <w:r>
        <w:t xml:space="preserve">.  </w:t>
      </w:r>
    </w:p>
    <w:p w14:paraId="589DE9FF" w14:textId="1135192F" w:rsidR="00CE7860" w:rsidRPr="00CE7860" w:rsidRDefault="00CE7860" w:rsidP="00CE7860">
      <w:pPr>
        <w:rPr>
          <w:rFonts w:ascii="Times New Roman" w:eastAsia="Times New Roman" w:hAnsi="Times New Roman" w:cs="Times New Roman"/>
          <w:kern w:val="0"/>
          <w:lang w:eastAsia="en-GB"/>
          <w14:ligatures w14:val="none"/>
        </w:rPr>
      </w:pPr>
      <w:r>
        <w:t xml:space="preserve">When looking back at cyberstalking during the covid pandemic, officers found themselves being 3 steps back when dealing with the sophistication of criminals using ICT to spy on their victims and that officers are always on the catch up </w:t>
      </w:r>
      <w:r w:rsidRPr="00CE7860">
        <w:rPr>
          <w:rFonts w:ascii="Times New Roman" w:eastAsia="Times New Roman" w:hAnsi="Times New Roman" w:cs="Times New Roman"/>
          <w:kern w:val="0"/>
          <w:lang w:eastAsia="en-GB"/>
          <w14:ligatures w14:val="none"/>
        </w:rPr>
        <w:t>(</w:t>
      </w:r>
      <w:proofErr w:type="spellStart"/>
      <w:r w:rsidRPr="00CE7860">
        <w:rPr>
          <w:rFonts w:ascii="Times New Roman" w:eastAsia="Times New Roman" w:hAnsi="Times New Roman" w:cs="Times New Roman"/>
          <w:kern w:val="0"/>
          <w:lang w:eastAsia="en-GB"/>
          <w14:ligatures w14:val="none"/>
        </w:rPr>
        <w:t>Martellozzo</w:t>
      </w:r>
      <w:proofErr w:type="spellEnd"/>
      <w:r w:rsidRPr="00CE7860">
        <w:rPr>
          <w:rFonts w:ascii="Times New Roman" w:eastAsia="Times New Roman" w:hAnsi="Times New Roman" w:cs="Times New Roman"/>
          <w:kern w:val="0"/>
          <w:lang w:eastAsia="en-GB"/>
          <w14:ligatures w14:val="none"/>
        </w:rPr>
        <w:t xml:space="preserve"> et al., 2022)</w:t>
      </w:r>
      <w:r>
        <w:rPr>
          <w:rFonts w:ascii="Times New Roman" w:eastAsia="Times New Roman" w:hAnsi="Times New Roman" w:cs="Times New Roman"/>
          <w:kern w:val="0"/>
          <w:lang w:eastAsia="en-GB"/>
          <w14:ligatures w14:val="none"/>
        </w:rPr>
        <w:t>.</w:t>
      </w:r>
    </w:p>
    <w:p w14:paraId="4537B9DC" w14:textId="0DD62204" w:rsidR="00CE7860" w:rsidRDefault="00377B43" w:rsidP="00944A85">
      <w:r>
        <w:t xml:space="preserve">Challenges working within Cybercrime units have become unsustainable due to the loss of qualified officers moving to better-paying jobs within the field, pressures on the quantity of work have swamped officers </w:t>
      </w:r>
      <w:r w:rsidRPr="00377B43">
        <w:rPr>
          <w:rFonts w:ascii="Times New Roman" w:eastAsia="Times New Roman" w:hAnsi="Times New Roman" w:cs="Times New Roman"/>
          <w:kern w:val="0"/>
          <w:lang w:eastAsia="en-GB"/>
          <w14:ligatures w14:val="none"/>
        </w:rPr>
        <w:t>(Harkin, Whelan and Chang, 2018)</w:t>
      </w:r>
      <w:r>
        <w:t xml:space="preserve">. This has </w:t>
      </w:r>
      <w:proofErr w:type="spellStart"/>
      <w:r>
        <w:t>lead</w:t>
      </w:r>
      <w:proofErr w:type="spellEnd"/>
      <w:r>
        <w:t xml:space="preserve"> to police having to pass work back to frontline officers to deal with but due to the high quantity of work obtaining the necessary advice from specialised departments has become difficult. </w:t>
      </w:r>
    </w:p>
    <w:p w14:paraId="592FE4EF" w14:textId="7417CC8A" w:rsidR="004F2CFB" w:rsidRPr="00377B43" w:rsidRDefault="004F2CFB" w:rsidP="00944A85">
      <w:pPr>
        <w:rPr>
          <w:rFonts w:ascii="Times New Roman" w:eastAsia="Times New Roman" w:hAnsi="Times New Roman" w:cs="Times New Roman"/>
          <w:kern w:val="0"/>
          <w:lang w:eastAsia="en-GB"/>
          <w14:ligatures w14:val="none"/>
        </w:rPr>
      </w:pPr>
      <w:r>
        <w:lastRenderedPageBreak/>
        <w:t xml:space="preserve">It continues to appear that frontline officers do not how to properly identify and deal with Cybercrime incidents, officers are struggling to first identify the offence and do the necessary investigatory work for that specific offence. This has become difficult for these officers due to the same offence could be trivial or complex depending on the circumstances of how the offence has taken place </w:t>
      </w:r>
      <w:r w:rsidRPr="004F2CFB">
        <w:rPr>
          <w:rFonts w:ascii="Times New Roman" w:eastAsia="Times New Roman" w:hAnsi="Times New Roman" w:cs="Times New Roman"/>
          <w:kern w:val="0"/>
          <w:lang w:eastAsia="en-GB"/>
          <w14:ligatures w14:val="none"/>
        </w:rPr>
        <w:t>(Harkin and Whelan, 2021)</w:t>
      </w:r>
      <w:r>
        <w:t xml:space="preserve">. </w:t>
      </w:r>
    </w:p>
    <w:p w14:paraId="46E09CA7" w14:textId="77777777" w:rsidR="00CE7860" w:rsidRDefault="00CE7860" w:rsidP="00944A85">
      <w:pPr>
        <w:rPr>
          <w:sz w:val="32"/>
          <w:szCs w:val="32"/>
        </w:rPr>
      </w:pPr>
    </w:p>
    <w:p w14:paraId="10172F33" w14:textId="5267129F" w:rsidR="004427C6" w:rsidRDefault="004427C6" w:rsidP="00944A85">
      <w:pPr>
        <w:rPr>
          <w:sz w:val="32"/>
          <w:szCs w:val="32"/>
        </w:rPr>
      </w:pPr>
      <w:r>
        <w:rPr>
          <w:sz w:val="32"/>
          <w:szCs w:val="32"/>
        </w:rPr>
        <w:t>Conclusion</w:t>
      </w:r>
    </w:p>
    <w:p w14:paraId="47320F54" w14:textId="346FE01D" w:rsidR="004427C6" w:rsidRDefault="00884499" w:rsidP="00944A85">
      <w:r>
        <w:t xml:space="preserve">When looking back at the journals reviewed and the </w:t>
      </w:r>
      <w:proofErr w:type="spellStart"/>
      <w:r>
        <w:t>comparisions</w:t>
      </w:r>
      <w:proofErr w:type="spellEnd"/>
      <w:r>
        <w:t xml:space="preserve"> they show including the differences it is able to be concluded that there is a vast gap between </w:t>
      </w:r>
      <w:proofErr w:type="spellStart"/>
      <w:r>
        <w:t>Cyberpolicing</w:t>
      </w:r>
      <w:proofErr w:type="spellEnd"/>
      <w:r>
        <w:t xml:space="preserve"> and the impact it has on frontline officers. </w:t>
      </w:r>
    </w:p>
    <w:p w14:paraId="60878F5C" w14:textId="5247FDFF" w:rsidR="00884499" w:rsidRDefault="00884499" w:rsidP="00944A85">
      <w:r>
        <w:t xml:space="preserve">There is different definitions for what Cybercrime is and that the set definition set in the </w:t>
      </w:r>
      <w:proofErr w:type="spellStart"/>
      <w:r>
        <w:t>The</w:t>
      </w:r>
      <w:proofErr w:type="spellEnd"/>
      <w:r>
        <w:t xml:space="preserve"> National Cyber Security Strategy 2016-2021 of the two </w:t>
      </w:r>
      <w:proofErr w:type="spellStart"/>
      <w:r>
        <w:t>technologie</w:t>
      </w:r>
      <w:proofErr w:type="spellEnd"/>
      <w:r>
        <w:t xml:space="preserve"> enabled crimes. This being the Cyber-enabled and Cyber-dependant</w:t>
      </w:r>
      <w:r w:rsidR="00303B1F">
        <w:t xml:space="preserve">. However, there is no officer defined definition where by what frontline officers believe is cybercrime and what they think they should be dealing with. </w:t>
      </w:r>
    </w:p>
    <w:p w14:paraId="17FDE518" w14:textId="2D6BE4A9" w:rsidR="00303B1F" w:rsidRDefault="00AB5944" w:rsidP="00944A85">
      <w:r>
        <w:t xml:space="preserve">When looking into the effectiveness of frontline officers dealing with cybercrime there is a lot of information on cybercrime teams. </w:t>
      </w:r>
    </w:p>
    <w:p w14:paraId="419EBCF5" w14:textId="77777777" w:rsidR="00884499" w:rsidRPr="00884499" w:rsidRDefault="00884499" w:rsidP="00944A85"/>
    <w:p w14:paraId="6F207969" w14:textId="3BCB773C" w:rsidR="005D39CE" w:rsidRPr="005D39CE" w:rsidRDefault="005D39CE" w:rsidP="00944A85">
      <w:pPr>
        <w:rPr>
          <w:sz w:val="32"/>
          <w:szCs w:val="32"/>
          <w:u w:val="single"/>
        </w:rPr>
      </w:pPr>
      <w:r w:rsidRPr="005D39CE">
        <w:rPr>
          <w:sz w:val="32"/>
          <w:szCs w:val="32"/>
          <w:u w:val="single"/>
        </w:rPr>
        <w:t xml:space="preserve">Bibliography </w:t>
      </w:r>
    </w:p>
    <w:p w14:paraId="3ED45520" w14:textId="47B819B3" w:rsidR="005D39CE" w:rsidRDefault="005D39CE" w:rsidP="005D39CE">
      <w:pPr>
        <w:pStyle w:val="NormalWeb"/>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Hadlington</w:t>
      </w:r>
      <w:proofErr w:type="spellEnd"/>
      <w:r>
        <w:rPr>
          <w:rFonts w:ascii="Calibri" w:hAnsi="Calibri" w:cs="Calibri"/>
          <w:color w:val="000000"/>
          <w:sz w:val="27"/>
          <w:szCs w:val="27"/>
        </w:rPr>
        <w:t>, L. </w:t>
      </w:r>
      <w:r>
        <w:rPr>
          <w:rFonts w:ascii="Calibri" w:hAnsi="Calibri" w:cs="Calibri"/>
          <w:i/>
          <w:iCs/>
          <w:color w:val="000000"/>
          <w:sz w:val="27"/>
          <w:szCs w:val="27"/>
        </w:rPr>
        <w:t>et al.</w:t>
      </w:r>
      <w:r>
        <w:rPr>
          <w:rFonts w:ascii="Calibri" w:hAnsi="Calibri" w:cs="Calibri"/>
          <w:color w:val="000000"/>
          <w:sz w:val="27"/>
          <w:szCs w:val="27"/>
        </w:rPr>
        <w:t> (2018) ‘A Qualitative Exploration of Police Officers’ Experiences, Challenges, and Perceptions of Cybercrime’, </w:t>
      </w:r>
      <w:r>
        <w:rPr>
          <w:rFonts w:ascii="Calibri" w:hAnsi="Calibri" w:cs="Calibri"/>
          <w:i/>
          <w:iCs/>
          <w:color w:val="000000"/>
          <w:sz w:val="27"/>
          <w:szCs w:val="27"/>
        </w:rPr>
        <w:t>Policing: A Journal of Policy and Practice</w:t>
      </w:r>
      <w:r>
        <w:rPr>
          <w:rFonts w:ascii="Calibri" w:hAnsi="Calibri" w:cs="Calibri"/>
          <w:color w:val="000000"/>
          <w:sz w:val="27"/>
          <w:szCs w:val="27"/>
        </w:rPr>
        <w:t xml:space="preserve">, 15(1), pp. 34–43. Available at: </w:t>
      </w:r>
      <w:hyperlink r:id="rId4" w:history="1">
        <w:r w:rsidRPr="005C088C">
          <w:rPr>
            <w:rStyle w:val="Hyperlink"/>
            <w:rFonts w:ascii="Calibri" w:hAnsi="Calibri" w:cs="Calibri"/>
            <w:sz w:val="27"/>
            <w:szCs w:val="27"/>
          </w:rPr>
          <w:t>https://doi.org/10.1093/police/pay090</w:t>
        </w:r>
      </w:hyperlink>
      <w:r>
        <w:rPr>
          <w:rFonts w:ascii="Calibri" w:hAnsi="Calibri" w:cs="Calibri"/>
          <w:color w:val="000000"/>
          <w:sz w:val="27"/>
          <w:szCs w:val="27"/>
        </w:rPr>
        <w:t>.</w:t>
      </w:r>
    </w:p>
    <w:p w14:paraId="53372354" w14:textId="77777777" w:rsidR="005D39CE" w:rsidRDefault="005D39CE" w:rsidP="005D39CE">
      <w:pPr>
        <w:pStyle w:val="NormalWeb"/>
        <w:spacing w:before="0" w:beforeAutospacing="0" w:after="0" w:afterAutospacing="0" w:line="360" w:lineRule="atLeast"/>
        <w:rPr>
          <w:rFonts w:ascii="Calibri" w:hAnsi="Calibri" w:cs="Calibri"/>
          <w:color w:val="000000"/>
          <w:sz w:val="27"/>
          <w:szCs w:val="27"/>
        </w:rPr>
      </w:pPr>
    </w:p>
    <w:p w14:paraId="4F46996B" w14:textId="77777777" w:rsidR="005D39CE" w:rsidRDefault="005D39CE" w:rsidP="005D39CE">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‌Bossler, A.M. and Holt, T.J. (2012) ‘Patrol officers’ perceived role in responding to cybercrime’, </w:t>
      </w:r>
      <w:r>
        <w:rPr>
          <w:rFonts w:ascii="Calibri" w:hAnsi="Calibri" w:cs="Calibri"/>
          <w:i/>
          <w:iCs/>
          <w:color w:val="000000"/>
          <w:sz w:val="27"/>
          <w:szCs w:val="27"/>
        </w:rPr>
        <w:t>Policing: An International Journal of Police Strategies &amp; Management</w:t>
      </w:r>
      <w:r>
        <w:rPr>
          <w:rFonts w:ascii="Calibri" w:hAnsi="Calibri" w:cs="Calibri"/>
          <w:color w:val="000000"/>
          <w:sz w:val="27"/>
          <w:szCs w:val="27"/>
        </w:rPr>
        <w:t>, 35(1), pp. 165–181. Available at: https://doi.org/10.1108/13639511211215504.</w:t>
      </w:r>
    </w:p>
    <w:p w14:paraId="2AC2AF01" w14:textId="77777777" w:rsidR="005D39CE" w:rsidRDefault="005D39CE" w:rsidP="005D39CE">
      <w:pPr>
        <w:pStyle w:val="NormalWeb"/>
        <w:spacing w:before="0" w:beforeAutospacing="0" w:after="240" w:afterAutospacing="0" w:line="360" w:lineRule="auto"/>
      </w:pPr>
      <w:r>
        <w:rPr>
          <w:rFonts w:ascii="Calibri" w:hAnsi="Calibri" w:cs="Calibri"/>
          <w:color w:val="000000"/>
          <w:sz w:val="27"/>
          <w:szCs w:val="27"/>
        </w:rPr>
        <w:t>‌</w:t>
      </w:r>
      <w:r>
        <w:t xml:space="preserve">National security and intelligence, Cabinet Office, HM Treasury and Hammond , R.H.P. </w:t>
      </w:r>
    </w:p>
    <w:p w14:paraId="528695FB" w14:textId="0B21CD03" w:rsidR="005D39CE" w:rsidRDefault="005D39CE" w:rsidP="005D39CE">
      <w:pPr>
        <w:pStyle w:val="NormalWeb"/>
        <w:spacing w:before="0" w:beforeAutospacing="0" w:after="240" w:afterAutospacing="0" w:line="360" w:lineRule="auto"/>
      </w:pPr>
      <w:r>
        <w:t xml:space="preserve">(2016). </w:t>
      </w:r>
      <w:r>
        <w:rPr>
          <w:i/>
          <w:iCs/>
        </w:rPr>
        <w:t>National Cyber Security Strategy 2016 - 2021</w:t>
      </w:r>
      <w:r>
        <w:t>. Available at: https://assets.publishing.service.gov.uk/government/uploads/system/uploads/attachment_data/file/567242/national_cyber_security_strategy_2016.pdf [Accessed 5 May 2024].</w:t>
      </w:r>
    </w:p>
    <w:p w14:paraId="6CC25318" w14:textId="77777777" w:rsidR="005D39CE" w:rsidRDefault="005D39CE" w:rsidP="005D39CE">
      <w:pPr>
        <w:pStyle w:val="NormalWeb"/>
        <w:spacing w:before="0" w:beforeAutospacing="0" w:after="240" w:afterAutospacing="0" w:line="360" w:lineRule="auto"/>
      </w:pPr>
      <w:r>
        <w:lastRenderedPageBreak/>
        <w:t xml:space="preserve">Crown Prosecution Service (2019). </w:t>
      </w:r>
      <w:r>
        <w:rPr>
          <w:i/>
          <w:iCs/>
        </w:rPr>
        <w:t>Cybercrime - Prosecution Guidance</w:t>
      </w:r>
      <w:r>
        <w:t>. [online] Cps.gov.uk. Available at: https://www.cps.gov.uk/legal-guidance/cybercrime-prosecution-guidance [Accessed 5 May 2024].</w:t>
      </w:r>
    </w:p>
    <w:p w14:paraId="1C57A9F5" w14:textId="77777777" w:rsidR="005D39CE" w:rsidRDefault="005D39CE" w:rsidP="005D39CE">
      <w:pPr>
        <w:pStyle w:val="NormalWeb"/>
        <w:spacing w:before="0" w:beforeAutospacing="0" w:after="240" w:afterAutospacing="0" w:line="360" w:lineRule="auto"/>
      </w:pPr>
      <w:proofErr w:type="spellStart"/>
      <w:r>
        <w:t>Martellozzo</w:t>
      </w:r>
      <w:proofErr w:type="spellEnd"/>
      <w:r>
        <w:t xml:space="preserve">, E., Bleakley, P., Bradbury, P., Frost, S. and Short, E. (2022). Police responses to cyberstalking during the Covid-19 pandemic in the UK. </w:t>
      </w:r>
      <w:r>
        <w:rPr>
          <w:i/>
          <w:iCs/>
        </w:rPr>
        <w:t>The Police Journal: Theory, Practice and Principles</w:t>
      </w:r>
      <w:r>
        <w:t xml:space="preserve">, 96(4), p.0032258X2211134. </w:t>
      </w:r>
      <w:proofErr w:type="spellStart"/>
      <w:r>
        <w:t>doi:https</w:t>
      </w:r>
      <w:proofErr w:type="spellEnd"/>
      <w:r>
        <w:t>://doi.org/10.1177/0032258x221113452.</w:t>
      </w:r>
    </w:p>
    <w:p w14:paraId="4A35B074" w14:textId="77777777" w:rsidR="00980305" w:rsidRDefault="00980305" w:rsidP="00980305">
      <w:pPr>
        <w:pStyle w:val="NormalWeb"/>
        <w:spacing w:before="0" w:beforeAutospacing="0" w:after="240" w:afterAutospacing="0" w:line="360" w:lineRule="auto"/>
      </w:pPr>
      <w:r>
        <w:t xml:space="preserve">Harkin, D., Whelan, C. and Chang, L. (2018). The challenges facing specialist police cyber-crime units: an empirical analysis. </w:t>
      </w:r>
      <w:r>
        <w:rPr>
          <w:i/>
          <w:iCs/>
        </w:rPr>
        <w:t>Police Practice and Research</w:t>
      </w:r>
      <w:r>
        <w:t xml:space="preserve">, 19(6), pp.519–536. </w:t>
      </w:r>
      <w:proofErr w:type="spellStart"/>
      <w:r>
        <w:t>doi:https</w:t>
      </w:r>
      <w:proofErr w:type="spellEnd"/>
      <w:r>
        <w:t>://doi.org/10.1080/15614263.2018.1507889.</w:t>
      </w:r>
    </w:p>
    <w:p w14:paraId="206F1189" w14:textId="77777777" w:rsidR="00B41ABC" w:rsidRDefault="00B41ABC" w:rsidP="00B41ABC">
      <w:pPr>
        <w:pStyle w:val="NormalWeb"/>
        <w:spacing w:before="0" w:beforeAutospacing="0" w:after="240" w:afterAutospacing="0" w:line="360" w:lineRule="auto"/>
      </w:pPr>
      <w:r>
        <w:t xml:space="preserve">Harkin, D. and Whelan, C. (2021). Perceptions of police training needs in cyber-crime. </w:t>
      </w:r>
      <w:r>
        <w:rPr>
          <w:i/>
          <w:iCs/>
        </w:rPr>
        <w:t>International Journal of Police Science &amp; Management</w:t>
      </w:r>
      <w:r>
        <w:t xml:space="preserve">, [online] 24(1), pp.66–76. </w:t>
      </w:r>
      <w:proofErr w:type="spellStart"/>
      <w:r>
        <w:t>doi:https</w:t>
      </w:r>
      <w:proofErr w:type="spellEnd"/>
      <w:r>
        <w:t>://doi.org/10.1177/14613557211036565.</w:t>
      </w:r>
    </w:p>
    <w:p w14:paraId="0BF774CD" w14:textId="77777777" w:rsidR="005D39CE" w:rsidRDefault="005D39CE" w:rsidP="005D39CE">
      <w:pPr>
        <w:pStyle w:val="NormalWeb"/>
        <w:spacing w:before="0" w:beforeAutospacing="0" w:after="240" w:afterAutospacing="0" w:line="360" w:lineRule="auto"/>
      </w:pPr>
    </w:p>
    <w:p w14:paraId="62787F0D" w14:textId="1034AFEE" w:rsidR="005D39CE" w:rsidRDefault="005D39CE" w:rsidP="005D39CE">
      <w:pPr>
        <w:pStyle w:val="NormalWeb"/>
        <w:rPr>
          <w:rFonts w:ascii="Calibri" w:hAnsi="Calibri" w:cs="Calibri"/>
          <w:color w:val="000000"/>
          <w:sz w:val="27"/>
          <w:szCs w:val="27"/>
        </w:rPr>
      </w:pPr>
    </w:p>
    <w:p w14:paraId="72D28F14" w14:textId="43AF061D" w:rsidR="005D39CE" w:rsidRDefault="005D39CE" w:rsidP="005D39CE">
      <w:pPr>
        <w:pStyle w:val="NormalWeb"/>
        <w:rPr>
          <w:rFonts w:ascii="Calibri" w:hAnsi="Calibri" w:cs="Calibri"/>
          <w:color w:val="000000"/>
          <w:sz w:val="27"/>
          <w:szCs w:val="27"/>
        </w:rPr>
      </w:pPr>
    </w:p>
    <w:p w14:paraId="38E4B97A" w14:textId="77777777" w:rsidR="005D39CE" w:rsidRDefault="005D39CE" w:rsidP="00944A85">
      <w:pPr>
        <w:rPr>
          <w:sz w:val="32"/>
          <w:szCs w:val="32"/>
        </w:rPr>
      </w:pPr>
    </w:p>
    <w:sectPr w:rsidR="005D39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Roboto">
    <w:charset w:val="00"/>
    <w:family w:val="auto"/>
    <w:pitch w:val="variable"/>
    <w:sig w:usb0="E0000AFF" w:usb1="5000217F" w:usb2="00000021" w:usb3="00000000" w:csb0="0000019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4A85"/>
    <w:rsid w:val="00052CBC"/>
    <w:rsid w:val="0007230E"/>
    <w:rsid w:val="00303B1F"/>
    <w:rsid w:val="00377B43"/>
    <w:rsid w:val="0042668E"/>
    <w:rsid w:val="004427C6"/>
    <w:rsid w:val="004F2CFB"/>
    <w:rsid w:val="005D39CE"/>
    <w:rsid w:val="00873E55"/>
    <w:rsid w:val="00884499"/>
    <w:rsid w:val="009251FC"/>
    <w:rsid w:val="00944A85"/>
    <w:rsid w:val="00980305"/>
    <w:rsid w:val="00987936"/>
    <w:rsid w:val="009F580E"/>
    <w:rsid w:val="00AB5944"/>
    <w:rsid w:val="00B07B9F"/>
    <w:rsid w:val="00B41ABC"/>
    <w:rsid w:val="00BA0D25"/>
    <w:rsid w:val="00CE7860"/>
    <w:rsid w:val="00ED1B0A"/>
    <w:rsid w:val="00FA53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975FB1C"/>
  <w15:chartTrackingRefBased/>
  <w15:docId w15:val="{3EF55289-1B5A-4318-B1EF-52ED4F5876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4A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44A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44A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44A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44A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44A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4A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4A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4A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4A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44A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44A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44A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44A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44A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4A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4A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4A85"/>
    <w:rPr>
      <w:rFonts w:eastAsiaTheme="majorEastAsia" w:cstheme="majorBidi"/>
      <w:color w:val="272727" w:themeColor="text1" w:themeTint="D8"/>
    </w:rPr>
  </w:style>
  <w:style w:type="paragraph" w:styleId="Title">
    <w:name w:val="Title"/>
    <w:basedOn w:val="Normal"/>
    <w:next w:val="Normal"/>
    <w:link w:val="TitleChar"/>
    <w:uiPriority w:val="10"/>
    <w:qFormat/>
    <w:rsid w:val="00944A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4A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4A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4A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4A85"/>
    <w:pPr>
      <w:spacing w:before="160"/>
      <w:jc w:val="center"/>
    </w:pPr>
    <w:rPr>
      <w:i/>
      <w:iCs/>
      <w:color w:val="404040" w:themeColor="text1" w:themeTint="BF"/>
    </w:rPr>
  </w:style>
  <w:style w:type="character" w:customStyle="1" w:styleId="QuoteChar">
    <w:name w:val="Quote Char"/>
    <w:basedOn w:val="DefaultParagraphFont"/>
    <w:link w:val="Quote"/>
    <w:uiPriority w:val="29"/>
    <w:rsid w:val="00944A85"/>
    <w:rPr>
      <w:i/>
      <w:iCs/>
      <w:color w:val="404040" w:themeColor="text1" w:themeTint="BF"/>
    </w:rPr>
  </w:style>
  <w:style w:type="paragraph" w:styleId="ListParagraph">
    <w:name w:val="List Paragraph"/>
    <w:basedOn w:val="Normal"/>
    <w:uiPriority w:val="34"/>
    <w:qFormat/>
    <w:rsid w:val="00944A85"/>
    <w:pPr>
      <w:ind w:left="720"/>
      <w:contextualSpacing/>
    </w:pPr>
  </w:style>
  <w:style w:type="character" w:styleId="IntenseEmphasis">
    <w:name w:val="Intense Emphasis"/>
    <w:basedOn w:val="DefaultParagraphFont"/>
    <w:uiPriority w:val="21"/>
    <w:qFormat/>
    <w:rsid w:val="00944A85"/>
    <w:rPr>
      <w:i/>
      <w:iCs/>
      <w:color w:val="0F4761" w:themeColor="accent1" w:themeShade="BF"/>
    </w:rPr>
  </w:style>
  <w:style w:type="paragraph" w:styleId="IntenseQuote">
    <w:name w:val="Intense Quote"/>
    <w:basedOn w:val="Normal"/>
    <w:next w:val="Normal"/>
    <w:link w:val="IntenseQuoteChar"/>
    <w:uiPriority w:val="30"/>
    <w:qFormat/>
    <w:rsid w:val="00944A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44A85"/>
    <w:rPr>
      <w:i/>
      <w:iCs/>
      <w:color w:val="0F4761" w:themeColor="accent1" w:themeShade="BF"/>
    </w:rPr>
  </w:style>
  <w:style w:type="character" w:styleId="IntenseReference">
    <w:name w:val="Intense Reference"/>
    <w:basedOn w:val="DefaultParagraphFont"/>
    <w:uiPriority w:val="32"/>
    <w:qFormat/>
    <w:rsid w:val="00944A85"/>
    <w:rPr>
      <w:b/>
      <w:bCs/>
      <w:smallCaps/>
      <w:color w:val="0F4761" w:themeColor="accent1" w:themeShade="BF"/>
      <w:spacing w:val="5"/>
    </w:rPr>
  </w:style>
  <w:style w:type="paragraph" w:styleId="NormalWeb">
    <w:name w:val="Normal (Web)"/>
    <w:basedOn w:val="Normal"/>
    <w:uiPriority w:val="99"/>
    <w:semiHidden/>
    <w:unhideWhenUsed/>
    <w:rsid w:val="005D39C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5D39CE"/>
    <w:rPr>
      <w:color w:val="467886" w:themeColor="hyperlink"/>
      <w:u w:val="single"/>
    </w:rPr>
  </w:style>
  <w:style w:type="character" w:styleId="UnresolvedMention">
    <w:name w:val="Unresolved Mention"/>
    <w:basedOn w:val="DefaultParagraphFont"/>
    <w:uiPriority w:val="99"/>
    <w:semiHidden/>
    <w:unhideWhenUsed/>
    <w:rsid w:val="005D39C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522162">
      <w:bodyDiv w:val="1"/>
      <w:marLeft w:val="0"/>
      <w:marRight w:val="0"/>
      <w:marTop w:val="0"/>
      <w:marBottom w:val="0"/>
      <w:divBdr>
        <w:top w:val="none" w:sz="0" w:space="0" w:color="auto"/>
        <w:left w:val="none" w:sz="0" w:space="0" w:color="auto"/>
        <w:bottom w:val="none" w:sz="0" w:space="0" w:color="auto"/>
        <w:right w:val="none" w:sz="0" w:space="0" w:color="auto"/>
      </w:divBdr>
    </w:div>
    <w:div w:id="101264198">
      <w:bodyDiv w:val="1"/>
      <w:marLeft w:val="0"/>
      <w:marRight w:val="0"/>
      <w:marTop w:val="0"/>
      <w:marBottom w:val="0"/>
      <w:divBdr>
        <w:top w:val="none" w:sz="0" w:space="0" w:color="auto"/>
        <w:left w:val="none" w:sz="0" w:space="0" w:color="auto"/>
        <w:bottom w:val="none" w:sz="0" w:space="0" w:color="auto"/>
        <w:right w:val="none" w:sz="0" w:space="0" w:color="auto"/>
      </w:divBdr>
      <w:divsChild>
        <w:div w:id="1264387626">
          <w:marLeft w:val="0"/>
          <w:marRight w:val="0"/>
          <w:marTop w:val="0"/>
          <w:marBottom w:val="0"/>
          <w:divBdr>
            <w:top w:val="none" w:sz="0" w:space="0" w:color="auto"/>
            <w:left w:val="none" w:sz="0" w:space="0" w:color="auto"/>
            <w:bottom w:val="none" w:sz="0" w:space="0" w:color="auto"/>
            <w:right w:val="none" w:sz="0" w:space="0" w:color="auto"/>
          </w:divBdr>
        </w:div>
      </w:divsChild>
    </w:div>
    <w:div w:id="162742340">
      <w:bodyDiv w:val="1"/>
      <w:marLeft w:val="0"/>
      <w:marRight w:val="0"/>
      <w:marTop w:val="0"/>
      <w:marBottom w:val="0"/>
      <w:divBdr>
        <w:top w:val="none" w:sz="0" w:space="0" w:color="auto"/>
        <w:left w:val="none" w:sz="0" w:space="0" w:color="auto"/>
        <w:bottom w:val="none" w:sz="0" w:space="0" w:color="auto"/>
        <w:right w:val="none" w:sz="0" w:space="0" w:color="auto"/>
      </w:divBdr>
    </w:div>
    <w:div w:id="726342372">
      <w:bodyDiv w:val="1"/>
      <w:marLeft w:val="0"/>
      <w:marRight w:val="0"/>
      <w:marTop w:val="0"/>
      <w:marBottom w:val="0"/>
      <w:divBdr>
        <w:top w:val="none" w:sz="0" w:space="0" w:color="auto"/>
        <w:left w:val="none" w:sz="0" w:space="0" w:color="auto"/>
        <w:bottom w:val="none" w:sz="0" w:space="0" w:color="auto"/>
        <w:right w:val="none" w:sz="0" w:space="0" w:color="auto"/>
      </w:divBdr>
    </w:div>
    <w:div w:id="814645113">
      <w:bodyDiv w:val="1"/>
      <w:marLeft w:val="0"/>
      <w:marRight w:val="0"/>
      <w:marTop w:val="0"/>
      <w:marBottom w:val="0"/>
      <w:divBdr>
        <w:top w:val="none" w:sz="0" w:space="0" w:color="auto"/>
        <w:left w:val="none" w:sz="0" w:space="0" w:color="auto"/>
        <w:bottom w:val="none" w:sz="0" w:space="0" w:color="auto"/>
        <w:right w:val="none" w:sz="0" w:space="0" w:color="auto"/>
      </w:divBdr>
    </w:div>
    <w:div w:id="1027370984">
      <w:bodyDiv w:val="1"/>
      <w:marLeft w:val="0"/>
      <w:marRight w:val="0"/>
      <w:marTop w:val="0"/>
      <w:marBottom w:val="0"/>
      <w:divBdr>
        <w:top w:val="none" w:sz="0" w:space="0" w:color="auto"/>
        <w:left w:val="none" w:sz="0" w:space="0" w:color="auto"/>
        <w:bottom w:val="none" w:sz="0" w:space="0" w:color="auto"/>
        <w:right w:val="none" w:sz="0" w:space="0" w:color="auto"/>
      </w:divBdr>
    </w:div>
    <w:div w:id="1057239548">
      <w:bodyDiv w:val="1"/>
      <w:marLeft w:val="0"/>
      <w:marRight w:val="0"/>
      <w:marTop w:val="0"/>
      <w:marBottom w:val="0"/>
      <w:divBdr>
        <w:top w:val="none" w:sz="0" w:space="0" w:color="auto"/>
        <w:left w:val="none" w:sz="0" w:space="0" w:color="auto"/>
        <w:bottom w:val="none" w:sz="0" w:space="0" w:color="auto"/>
        <w:right w:val="none" w:sz="0" w:space="0" w:color="auto"/>
      </w:divBdr>
      <w:divsChild>
        <w:div w:id="1490901907">
          <w:marLeft w:val="0"/>
          <w:marRight w:val="0"/>
          <w:marTop w:val="0"/>
          <w:marBottom w:val="0"/>
          <w:divBdr>
            <w:top w:val="none" w:sz="0" w:space="0" w:color="auto"/>
            <w:left w:val="none" w:sz="0" w:space="0" w:color="auto"/>
            <w:bottom w:val="none" w:sz="0" w:space="0" w:color="auto"/>
            <w:right w:val="none" w:sz="0" w:space="0" w:color="auto"/>
          </w:divBdr>
        </w:div>
      </w:divsChild>
    </w:div>
    <w:div w:id="1067070085">
      <w:bodyDiv w:val="1"/>
      <w:marLeft w:val="0"/>
      <w:marRight w:val="0"/>
      <w:marTop w:val="0"/>
      <w:marBottom w:val="0"/>
      <w:divBdr>
        <w:top w:val="none" w:sz="0" w:space="0" w:color="auto"/>
        <w:left w:val="none" w:sz="0" w:space="0" w:color="auto"/>
        <w:bottom w:val="none" w:sz="0" w:space="0" w:color="auto"/>
        <w:right w:val="none" w:sz="0" w:space="0" w:color="auto"/>
      </w:divBdr>
      <w:divsChild>
        <w:div w:id="747269489">
          <w:marLeft w:val="0"/>
          <w:marRight w:val="0"/>
          <w:marTop w:val="0"/>
          <w:marBottom w:val="0"/>
          <w:divBdr>
            <w:top w:val="none" w:sz="0" w:space="0" w:color="auto"/>
            <w:left w:val="none" w:sz="0" w:space="0" w:color="auto"/>
            <w:bottom w:val="none" w:sz="0" w:space="0" w:color="auto"/>
            <w:right w:val="none" w:sz="0" w:space="0" w:color="auto"/>
          </w:divBdr>
        </w:div>
      </w:divsChild>
    </w:div>
    <w:div w:id="1180925594">
      <w:bodyDiv w:val="1"/>
      <w:marLeft w:val="0"/>
      <w:marRight w:val="0"/>
      <w:marTop w:val="0"/>
      <w:marBottom w:val="0"/>
      <w:divBdr>
        <w:top w:val="none" w:sz="0" w:space="0" w:color="auto"/>
        <w:left w:val="none" w:sz="0" w:space="0" w:color="auto"/>
        <w:bottom w:val="none" w:sz="0" w:space="0" w:color="auto"/>
        <w:right w:val="none" w:sz="0" w:space="0" w:color="auto"/>
      </w:divBdr>
    </w:div>
    <w:div w:id="1216238144">
      <w:bodyDiv w:val="1"/>
      <w:marLeft w:val="0"/>
      <w:marRight w:val="0"/>
      <w:marTop w:val="0"/>
      <w:marBottom w:val="0"/>
      <w:divBdr>
        <w:top w:val="none" w:sz="0" w:space="0" w:color="auto"/>
        <w:left w:val="none" w:sz="0" w:space="0" w:color="auto"/>
        <w:bottom w:val="none" w:sz="0" w:space="0" w:color="auto"/>
        <w:right w:val="none" w:sz="0" w:space="0" w:color="auto"/>
      </w:divBdr>
      <w:divsChild>
        <w:div w:id="994839444">
          <w:marLeft w:val="0"/>
          <w:marRight w:val="0"/>
          <w:marTop w:val="0"/>
          <w:marBottom w:val="0"/>
          <w:divBdr>
            <w:top w:val="none" w:sz="0" w:space="0" w:color="auto"/>
            <w:left w:val="none" w:sz="0" w:space="0" w:color="auto"/>
            <w:bottom w:val="none" w:sz="0" w:space="0" w:color="auto"/>
            <w:right w:val="none" w:sz="0" w:space="0" w:color="auto"/>
          </w:divBdr>
        </w:div>
      </w:divsChild>
    </w:div>
    <w:div w:id="1420449617">
      <w:bodyDiv w:val="1"/>
      <w:marLeft w:val="0"/>
      <w:marRight w:val="0"/>
      <w:marTop w:val="0"/>
      <w:marBottom w:val="0"/>
      <w:divBdr>
        <w:top w:val="none" w:sz="0" w:space="0" w:color="auto"/>
        <w:left w:val="none" w:sz="0" w:space="0" w:color="auto"/>
        <w:bottom w:val="none" w:sz="0" w:space="0" w:color="auto"/>
        <w:right w:val="none" w:sz="0" w:space="0" w:color="auto"/>
      </w:divBdr>
    </w:div>
    <w:div w:id="1473526283">
      <w:bodyDiv w:val="1"/>
      <w:marLeft w:val="0"/>
      <w:marRight w:val="0"/>
      <w:marTop w:val="0"/>
      <w:marBottom w:val="0"/>
      <w:divBdr>
        <w:top w:val="none" w:sz="0" w:space="0" w:color="auto"/>
        <w:left w:val="none" w:sz="0" w:space="0" w:color="auto"/>
        <w:bottom w:val="none" w:sz="0" w:space="0" w:color="auto"/>
        <w:right w:val="none" w:sz="0" w:space="0" w:color="auto"/>
      </w:divBdr>
    </w:div>
    <w:div w:id="1592622439">
      <w:bodyDiv w:val="1"/>
      <w:marLeft w:val="0"/>
      <w:marRight w:val="0"/>
      <w:marTop w:val="0"/>
      <w:marBottom w:val="0"/>
      <w:divBdr>
        <w:top w:val="none" w:sz="0" w:space="0" w:color="auto"/>
        <w:left w:val="none" w:sz="0" w:space="0" w:color="auto"/>
        <w:bottom w:val="none" w:sz="0" w:space="0" w:color="auto"/>
        <w:right w:val="none" w:sz="0" w:space="0" w:color="auto"/>
      </w:divBdr>
    </w:div>
    <w:div w:id="1687638716">
      <w:bodyDiv w:val="1"/>
      <w:marLeft w:val="0"/>
      <w:marRight w:val="0"/>
      <w:marTop w:val="0"/>
      <w:marBottom w:val="0"/>
      <w:divBdr>
        <w:top w:val="none" w:sz="0" w:space="0" w:color="auto"/>
        <w:left w:val="none" w:sz="0" w:space="0" w:color="auto"/>
        <w:bottom w:val="none" w:sz="0" w:space="0" w:color="auto"/>
        <w:right w:val="none" w:sz="0" w:space="0" w:color="auto"/>
      </w:divBdr>
    </w:div>
    <w:div w:id="1862862559">
      <w:bodyDiv w:val="1"/>
      <w:marLeft w:val="0"/>
      <w:marRight w:val="0"/>
      <w:marTop w:val="0"/>
      <w:marBottom w:val="0"/>
      <w:divBdr>
        <w:top w:val="none" w:sz="0" w:space="0" w:color="auto"/>
        <w:left w:val="none" w:sz="0" w:space="0" w:color="auto"/>
        <w:bottom w:val="none" w:sz="0" w:space="0" w:color="auto"/>
        <w:right w:val="none" w:sz="0" w:space="0" w:color="auto"/>
      </w:divBdr>
    </w:div>
    <w:div w:id="1934699142">
      <w:bodyDiv w:val="1"/>
      <w:marLeft w:val="0"/>
      <w:marRight w:val="0"/>
      <w:marTop w:val="0"/>
      <w:marBottom w:val="0"/>
      <w:divBdr>
        <w:top w:val="none" w:sz="0" w:space="0" w:color="auto"/>
        <w:left w:val="none" w:sz="0" w:space="0" w:color="auto"/>
        <w:bottom w:val="none" w:sz="0" w:space="0" w:color="auto"/>
        <w:right w:val="none" w:sz="0" w:space="0" w:color="auto"/>
      </w:divBdr>
      <w:divsChild>
        <w:div w:id="1907645539">
          <w:marLeft w:val="0"/>
          <w:marRight w:val="0"/>
          <w:marTop w:val="0"/>
          <w:marBottom w:val="0"/>
          <w:divBdr>
            <w:top w:val="none" w:sz="0" w:space="0" w:color="auto"/>
            <w:left w:val="none" w:sz="0" w:space="0" w:color="auto"/>
            <w:bottom w:val="none" w:sz="0" w:space="0" w:color="auto"/>
            <w:right w:val="none" w:sz="0" w:space="0" w:color="auto"/>
          </w:divBdr>
        </w:div>
      </w:divsChild>
    </w:div>
    <w:div w:id="20059305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doi.org/10.1093/police/pay09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1347</TotalTime>
  <Pages>4</Pages>
  <Words>1187</Words>
  <Characters>6770</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Patrick Levy (2124745)</dc:creator>
  <cp:keywords/>
  <dc:description/>
  <cp:lastModifiedBy>Levy,Patrick swp8178</cp:lastModifiedBy>
  <cp:revision>11</cp:revision>
  <dcterms:created xsi:type="dcterms:W3CDTF">2024-05-05T17:33:00Z</dcterms:created>
  <dcterms:modified xsi:type="dcterms:W3CDTF">2024-05-06T21:06:00Z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2563247f-99a0-458c-9bfb-7a0ce9fda10a</vt:lpwstr>
  </property>
  <property fmtid="{D5CDD505-2E9C-101B-9397-08002B2CF9AE}" pid="3" name="MSIP_Label_66cf8fe5-b7b7-4df7-b38d-1c61ac2f6639_Enabled">
    <vt:lpwstr>true</vt:lpwstr>
  </property>
  <property fmtid="{D5CDD505-2E9C-101B-9397-08002B2CF9AE}" pid="4" name="MSIP_Label_66cf8fe5-b7b7-4df7-b38d-1c61ac2f6639_SetDate">
    <vt:lpwstr>2024-05-06T20:56:58Z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af598f3e-4617-42df-a93d-e15c5b91777a</vt:lpwstr>
  </property>
  <property fmtid="{D5CDD505-2E9C-101B-9397-08002B2CF9AE}" pid="9" name="MSIP_Label_66cf8fe5-b7b7-4df7-b38d-1c61ac2f6639_ContentBits">
    <vt:lpwstr>0</vt:lpwstr>
  </property>
</Properties>
</file>