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62B019" w14:textId="77777777" w:rsidR="00995E08" w:rsidRPr="00B82D45" w:rsidRDefault="00995E08" w:rsidP="00733AD7">
      <w:pPr>
        <w:spacing w:line="360" w:lineRule="auto"/>
        <w:jc w:val="both"/>
        <w:rPr>
          <w:rFonts w:ascii="Calibri" w:hAnsi="Calibri"/>
        </w:rPr>
      </w:pPr>
      <w:r w:rsidRPr="00B82D45">
        <w:rPr>
          <w:rFonts w:ascii="Calibri" w:hAnsi="Calibri"/>
        </w:rPr>
        <w:t>Traethawd</w:t>
      </w:r>
    </w:p>
    <w:p w14:paraId="530A92F6" w14:textId="77777777" w:rsidR="00995E08" w:rsidRPr="00B82D45" w:rsidRDefault="00995E08" w:rsidP="00733AD7">
      <w:pPr>
        <w:spacing w:line="360" w:lineRule="auto"/>
        <w:jc w:val="both"/>
        <w:rPr>
          <w:rFonts w:ascii="Calibri" w:hAnsi="Calibri"/>
          <w:lang w:val="cy-GB"/>
        </w:rPr>
      </w:pPr>
    </w:p>
    <w:p w14:paraId="57B4C613" w14:textId="3F0308D0" w:rsidR="00995E08" w:rsidRPr="00B82D45" w:rsidRDefault="000D047D" w:rsidP="00733AD7">
      <w:pPr>
        <w:spacing w:line="360" w:lineRule="auto"/>
        <w:jc w:val="both"/>
        <w:rPr>
          <w:rFonts w:ascii="Calibri" w:hAnsi="Calibri"/>
          <w:lang w:val="cy-GB"/>
        </w:rPr>
      </w:pPr>
      <w:r>
        <w:rPr>
          <w:rFonts w:ascii="Calibri" w:hAnsi="Calibri" w:cs="Calibri"/>
          <w:lang w:val="cy-GB"/>
        </w:rPr>
        <w:t xml:space="preserve">Yn ystod ein hamser mewn ysgol, ni fyddaf yn enwi’r ysgol am resymau moesegol cafwyd y cyfle i arsylwi dosbarth blwyddyn pump a chwech am tuag awr a hefyd dosbarth meithrin am 45 munud. Roedd yr ysgol wedi lleoli mewn pentref, serch hynny mae’r plant yn mynychu’r ysgol o’r dalgylch eang. Yn ôl adroddiad diweddar Estyn yn 2017 roedd 631 o blant yn mynychu’r ysgol (Estyn, 2017). Serch hynny, mae’r ysgol yn darparu addysg o dair oed nes un deg naw oed. Yn ôl Estyn (2017) 8% o’r disgyblion sy’n gymwys am brydiau ysgol am ddim. Mae’r ffigwr yma tipyn yn is na’r cyfartaledd cenedlaethol. Roedd yn rhaid bod yn ymwybodol o’r materion moesegol, felly yn ystod y traethawd ni fyddaf yn cyfeirio at enw iawn blentyn, yn hytrach fyddaf yn cyfeirio at y disgyblion fel disgybl A neu ddisgyblion. Byddaf hefyd yn cadw enw'r athro/athrawes yn anhysbysrwydd trwy gyfeirio fel athro/athrawes. Byddaf yn parchu ac yn llawn ystyried moeseg sy’n ymwneud a’r arsylwad er enghraifft rhyw, ethnigrwydd, parchu hawliau, atal trin pobl gyda rhagfarn pob unigolyn wrth yn ôl canllawiau BERA (BERA, 2018). Roedd yn rhaid bod yn ymwybod o grefyddau a diwylliant rhai </w:t>
      </w:r>
      <w:r w:rsidR="00BD5DB7">
        <w:rPr>
          <w:rFonts w:ascii="Calibri" w:hAnsi="Calibri" w:cs="Calibri"/>
          <w:lang w:val="cy-GB"/>
        </w:rPr>
        <w:t>o’r disgyblion. Noda Estyn (2017</w:t>
      </w:r>
      <w:r>
        <w:rPr>
          <w:rFonts w:ascii="Calibri" w:hAnsi="Calibri" w:cs="Calibri"/>
          <w:lang w:val="cy-GB"/>
        </w:rPr>
        <w:t>) bod rhan fwyaf o’r plant o ethnig gwyn. Fe wnaeth yr athro/athrawes tynnu ein sylw ar ddisgybl Ac oherwydd ei fod yn fewndroëdig, felly roedd rhaid i ni barchu hyn ac roedd hwn yn wybodaeth bwysig roedd yn rhaid cymryd mewn i ystyriaeth wrth wneud yr arsylwad. Yn rhan gyntaf o’r traethawd, byddaf yn sôn am yr arsylwi ac yn gwerthuso cryfderau a chyfyngiadau’r dull a ddewisir. Yn yr ail ran fyddaf yn cysylltu gan ddefnyddio damcaniaethau dysgu ac yn adfyfyrio yn feirniadol. Yn y drydedd ran fyddaf yn son fy amgylchedd dysgu delfrydol trwy gyfiawnhau gydag ymchwil a gwybodaeth o’r arsylwad.</w:t>
      </w:r>
    </w:p>
    <w:p w14:paraId="723F9FAE" w14:textId="10EAC41B" w:rsidR="00AA4A9E" w:rsidRPr="00B82D45" w:rsidRDefault="00AA4A9E" w:rsidP="00733AD7">
      <w:pPr>
        <w:spacing w:line="360" w:lineRule="auto"/>
        <w:jc w:val="both"/>
        <w:rPr>
          <w:rFonts w:ascii="Calibri" w:hAnsi="Calibri"/>
          <w:lang w:val="cy-GB"/>
        </w:rPr>
      </w:pPr>
    </w:p>
    <w:p w14:paraId="066C09A0" w14:textId="58E276C2" w:rsidR="00F1328D" w:rsidRPr="00B82D45" w:rsidRDefault="000D047D" w:rsidP="00733AD7">
      <w:pPr>
        <w:spacing w:line="360" w:lineRule="auto"/>
        <w:jc w:val="both"/>
        <w:rPr>
          <w:rFonts w:ascii="Calibri" w:eastAsia="Times New Roman" w:hAnsi="Calibri"/>
          <w:lang w:val="cy-GB"/>
        </w:rPr>
      </w:pPr>
      <w:r>
        <w:rPr>
          <w:rFonts w:ascii="Calibri" w:hAnsi="Calibri" w:cs="Calibri"/>
          <w:lang w:val="cy-GB"/>
        </w:rPr>
        <w:t xml:space="preserve">Yr arsylwad byddaf yn ffocws ac yn tansoddi’r cyfer yr aseiniad yma yw pa mor drwyadl oedd yr athro/athrawes yn marcio gwaith y plant dosbarth 5 a 6. </w:t>
      </w:r>
      <w:r>
        <w:rPr>
          <w:rFonts w:ascii="Calibri" w:hAnsi="Calibri" w:cs="Calibri"/>
          <w:color w:val="000000"/>
          <w:lang w:val="cy-GB"/>
        </w:rPr>
        <w:t xml:space="preserve">Noda asesu gyfer dysgu  dylai ymarferwyr </w:t>
      </w:r>
      <w:r>
        <w:rPr>
          <w:rFonts w:ascii="Calibri" w:hAnsi="Calibri" w:cs="Calibri"/>
          <w:lang w:val="cy-GB"/>
        </w:rPr>
        <w:t xml:space="preserve">“rhoi adborth â ffocws, sy’n benodol, yn glir ac yn addysgiadol” (Llywodraeth Cymru, 2013, t. 35). </w:t>
      </w:r>
      <w:r>
        <w:rPr>
          <w:rFonts w:ascii="Calibri" w:hAnsi="Calibri" w:cs="Calibri"/>
          <w:color w:val="000000"/>
          <w:lang w:val="cy-GB"/>
        </w:rPr>
        <w:t xml:space="preserve"> </w:t>
      </w:r>
      <w:r>
        <w:rPr>
          <w:rFonts w:ascii="Calibri" w:hAnsi="Calibri" w:cs="Calibri"/>
          <w:lang w:val="cy-GB"/>
        </w:rPr>
        <w:t>Wrth arsylwi roedd modd gweld pa mor drwyadl oedd y marcio sut oedd yr adborth yn berthnasol i anghenion y disgyblion er mwyn targedu’r gwendidau a chamsyniadau. Mae hyn yn gyd yn mynd ac asesu gyfer dysgu wrth i’r ddogfen nodi dylai ymarferydd rhoi arweiniad i ddisgyblion am sut i wella gwaith gyda chyfarwyddiadau penodol dylent weithredu (Llywodraeth Cymru, 2013).</w:t>
      </w:r>
    </w:p>
    <w:p w14:paraId="127C7C16" w14:textId="77777777" w:rsidR="005B71F4" w:rsidRPr="00B82D45" w:rsidRDefault="005B71F4" w:rsidP="00733AD7">
      <w:pPr>
        <w:spacing w:line="360" w:lineRule="auto"/>
        <w:jc w:val="both"/>
        <w:rPr>
          <w:rFonts w:ascii="Calibri" w:hAnsi="Calibri"/>
          <w:u w:val="single"/>
          <w:lang w:val="cy-GB"/>
        </w:rPr>
      </w:pPr>
    </w:p>
    <w:p w14:paraId="7090CD9A" w14:textId="7E2C831B" w:rsidR="00F1328D" w:rsidRPr="00B82D45" w:rsidRDefault="00F1328D" w:rsidP="00733AD7">
      <w:pPr>
        <w:spacing w:line="360" w:lineRule="auto"/>
        <w:jc w:val="both"/>
        <w:rPr>
          <w:rFonts w:ascii="Calibri" w:hAnsi="Calibri"/>
          <w:u w:val="single"/>
          <w:lang w:val="cy-GB"/>
        </w:rPr>
      </w:pPr>
      <w:r w:rsidRPr="00B82D45">
        <w:rPr>
          <w:rFonts w:ascii="Calibri" w:hAnsi="Calibri"/>
          <w:u w:val="single"/>
          <w:lang w:val="cy-GB"/>
        </w:rPr>
        <w:t>Arsylwi</w:t>
      </w:r>
    </w:p>
    <w:p w14:paraId="4D1FB785" w14:textId="77777777" w:rsidR="00D4331B" w:rsidRPr="00B82D45" w:rsidRDefault="00E46B8D" w:rsidP="00733AD7">
      <w:pPr>
        <w:spacing w:line="360" w:lineRule="auto"/>
        <w:jc w:val="both"/>
        <w:rPr>
          <w:rFonts w:ascii="Calibri" w:hAnsi="Calibri"/>
          <w:lang w:val="cy-GB"/>
        </w:rPr>
      </w:pPr>
    </w:p>
    <w:p w14:paraId="06D8E043" w14:textId="331E2333" w:rsidR="0097604F" w:rsidRPr="00B82D45" w:rsidRDefault="000D047D" w:rsidP="00733AD7">
      <w:pPr>
        <w:spacing w:line="360" w:lineRule="auto"/>
        <w:jc w:val="both"/>
        <w:rPr>
          <w:rFonts w:ascii="Calibri" w:hAnsi="Calibri"/>
          <w:lang w:val="cy-GB"/>
        </w:rPr>
      </w:pPr>
      <w:r>
        <w:rPr>
          <w:rFonts w:ascii="Calibri" w:hAnsi="Calibri" w:cs="Calibri"/>
          <w:lang w:val="cy-GB"/>
        </w:rPr>
        <w:t xml:space="preserve">Cafwyd y cyfle i arsylwi yn ddosbarth 5 a 6 am tuag awr. Roeddent yn gwneud gwers Cymraeg gyda thasg lafar lle roeddwn yn gweithio fel parau neu driawd. Yn gyntaf fe wnaeth yr athro rhoi cyflwyniad llafar i’r disgyblion am y gwaith roedd yn ddisgwyliedig i gwblhau'r diwrnod hynny. Yn ôl Llywodraeth Cymru (2013) mae dysgwyr yn dysgu orau os ydynt yn deall nod y dysgu a sut medru cyflawni'r nod sy’n hanfodol i addysgu a dysgu effeithiol. Nod y wers oedd gweithio mewn partneriaid ac i holi'r partner er mwyn ysgrifennu brawddegau i ddisgrifio'r partner. Ar ôl nodi'r amcanion fe wnaethpwyd ymarfer patrwm brawddegau gan fod nifer yn ysgrifennu'r patrwm yn anghywir. Ar lafar roedden yn ymarfer mae ganddi ac mae ganddyn nhw fel enghreifftiau. Gwnaethpwyd ailadrodd hyn sawl gwaith i’r disgyblion, er mwyn atgyfnerthu'r patrwm brawddeg gywir i geisio atal camgymeriadau neu gamsyniad oedd wedi bod yn digwydd </w:t>
      </w:r>
      <w:r>
        <w:rPr>
          <w:rFonts w:ascii="Calibri" w:hAnsi="Calibri" w:cs="Calibri"/>
          <w:color w:val="000000"/>
          <w:lang w:val="cy-GB"/>
        </w:rPr>
        <w:t>yn y gwaith blaenorol. Mae Maria Montessori yn gweld pwysigrwydd ailadrodd wrth ddweud ailadrodd yw’r gyfrin</w:t>
      </w:r>
      <w:r w:rsidR="00BD5DB7">
        <w:rPr>
          <w:rFonts w:ascii="Calibri" w:hAnsi="Calibri" w:cs="Calibri"/>
          <w:color w:val="000000"/>
          <w:lang w:val="cy-GB"/>
        </w:rPr>
        <w:t>ach i berffeithrwydd (Montessori</w:t>
      </w:r>
      <w:r>
        <w:rPr>
          <w:rFonts w:ascii="Calibri" w:hAnsi="Calibri" w:cs="Calibri"/>
          <w:color w:val="000000"/>
          <w:lang w:val="cy-GB"/>
        </w:rPr>
        <w:t xml:space="preserve"> Academy, 2017). Roedd rhaid holi'r partner cwestiynau cyntaf cyn ysgrifennu brawddegau felly roedd yn dasg llafaredd ac ysgrifennu sy’n cyd-fynd ar strand llafaredd ac ysgrifennu o’r fframwaith llythrennedd a rhifedd (Llywodraeth Cymru, 20</w:t>
      </w:r>
      <w:r>
        <w:rPr>
          <w:rFonts w:ascii="Calibri" w:hAnsi="Calibri" w:cs="Calibri"/>
          <w:color w:val="FF0000"/>
          <w:lang w:val="cy-GB"/>
        </w:rPr>
        <w:t>?)</w:t>
      </w:r>
    </w:p>
    <w:p w14:paraId="37735FE3" w14:textId="77777777" w:rsidR="00925575" w:rsidRPr="00B82D45" w:rsidRDefault="00925575" w:rsidP="00733AD7">
      <w:pPr>
        <w:spacing w:line="360" w:lineRule="auto"/>
        <w:jc w:val="both"/>
        <w:rPr>
          <w:rFonts w:ascii="Calibri" w:hAnsi="Calibri"/>
          <w:lang w:val="cy-GB"/>
        </w:rPr>
      </w:pPr>
    </w:p>
    <w:p w14:paraId="60325B28" w14:textId="0F762FC6" w:rsidR="00925575" w:rsidRPr="00B82D45" w:rsidRDefault="000D047D" w:rsidP="00733AD7">
      <w:pPr>
        <w:spacing w:line="360" w:lineRule="auto"/>
        <w:jc w:val="both"/>
        <w:rPr>
          <w:rFonts w:ascii="Calibri" w:hAnsi="Calibri"/>
          <w:color w:val="FF0000"/>
          <w:lang w:val="cy-GB"/>
        </w:rPr>
      </w:pPr>
      <w:r>
        <w:rPr>
          <w:rFonts w:ascii="Calibri" w:hAnsi="Calibri" w:cs="Calibri"/>
          <w:lang w:val="cy-GB"/>
        </w:rPr>
        <w:t xml:space="preserve">Roedd rhaid parchu dymuniadau'r pennaeth a nododd ein bod ni’n arsylwi yng ngweledol ac nid oedd yn argymell mynd i’r dosbarthiadau gydag unrhyw beth. Nid oedd am i ni roi ofn i’r plant wrth fynd mewn i’r ystafell dosbarth gyda phapur a phen a gofynnwyd i ni fod yng nghroesawgar tuag at y plant. Felly roedd rhaid parchu hyn. Noda Grigg (2010)  bod arsylwi ym mhroses o wylio plant yn ofalus iawn gan wrando ar yr hyn maent wedi dweud wrth gymryd nodyn. Byddai arsylwi gyda phapur a phen wedi bod yn defnyddio i gymryd nodyn yn syth.  Serch hynny byddai cyfyngiadau wedi defnyddio'r dull yma oherwydd wrth ysgrifennu nodiadau gallaf wedi bod yn colli rhywbeth pwysig roedd yn mynd blaen gan fod yn sylwi i ar y papur ac nid ar y dosbarth. Sonia Grigg (2010) bod ymarferwyr sy’n arsylwi yn dda o hyd yn cymryd nodiadau meddyliol o ba mor dda mae plant yn rhyngweithio gydag eraill. Gan nad oedd unrhyw beth gyda ni ysgrifennu ein canfyddiadau roedd rhaid cofio'r hyn welwyd. Ar ôl gadael y dosbarth cafwyd cyfle i ysgrifennu'r arsylwad fyny. Roedd hi’n anodd cofio popeth aeth mlaen yn y sesiwn. Defnyddiais y grid cafwyd ei dosbarthu i ni. Yr her cafwyd oedd </w:t>
      </w:r>
      <w:r>
        <w:rPr>
          <w:rFonts w:ascii="Calibri" w:hAnsi="Calibri" w:cs="Calibri"/>
          <w:lang w:val="cy-GB"/>
        </w:rPr>
        <w:lastRenderedPageBreak/>
        <w:t xml:space="preserve">ysgrifennais bopeth lawr yn gyflym oherwydd nid oeddwn am anghofio rhywbeth, o ganlyniad i hyn roedd y nodiadau ychydig yn flêr ac anodd i ddeall. </w:t>
      </w:r>
      <w:r>
        <w:rPr>
          <w:rFonts w:ascii="Calibri" w:hAnsi="Calibri" w:cs="Calibri"/>
          <w:color w:val="FF0000"/>
          <w:lang w:val="cy-GB"/>
        </w:rPr>
        <w:t>Pryd byddaf yn cael y cyfle i arsylwi eto fyddaf yn newid sut roeddwn wedi arsylwi. Wrth ymchwilio mewn i arsylwi mae gwahanol diliau o aryslwi gyda manteision ac anfanteision gwahanol. Mae Grigg (2010) yn cynnig dull addas o arsylwi sef edrych, gwrando a nodi. Mae’n rhaid edrych gyda phwrpas penedol. Gwrando ar sut mae’r plentyn yn rhyngweithio gyda phlant ac oedolion gwahanol. Wedyn nodi'r hyn welwyd mor fuan â phosibl gan gofio'r nodweddion ymddygiadol, addysgo a datblygiadol. Rwy’n credu bydd y dull yma yn ddefnyddiol i’r dyfodol.</w:t>
      </w:r>
    </w:p>
    <w:p w14:paraId="4863AA37" w14:textId="77777777" w:rsidR="0043556F" w:rsidRPr="00B82D45" w:rsidRDefault="0043556F" w:rsidP="00733AD7">
      <w:pPr>
        <w:spacing w:line="360" w:lineRule="auto"/>
        <w:jc w:val="both"/>
        <w:rPr>
          <w:rFonts w:ascii="Calibri" w:hAnsi="Calibri"/>
          <w:lang w:val="cy-GB"/>
        </w:rPr>
      </w:pPr>
    </w:p>
    <w:p w14:paraId="3285E12A" w14:textId="3DC2D961" w:rsidR="0043556F" w:rsidRPr="00E67996" w:rsidRDefault="000D047D" w:rsidP="00733AD7">
      <w:pPr>
        <w:spacing w:line="360" w:lineRule="auto"/>
        <w:jc w:val="both"/>
        <w:rPr>
          <w:rFonts w:ascii="Calibri" w:hAnsi="Calibri"/>
          <w:lang w:val="cy-GB"/>
        </w:rPr>
      </w:pPr>
      <w:r>
        <w:rPr>
          <w:rFonts w:ascii="Calibri" w:hAnsi="Calibri" w:cs="Calibri"/>
          <w:color w:val="000000"/>
          <w:lang w:val="cy-GB"/>
        </w:rPr>
        <w:t xml:space="preserve">Nododd yr athro/athrawes ei bod yn grwpio plant fesul gallu i sesiynau iaith a mathemateg, gan ei fod yn wers llythrennedd roedd y plant wedi grwpio fesul gallu. Noda Higgins et al, (2014) bod tystiolaeth yn dangos bod grwpio plant fesul gallu braidd yn cael effaith ar ei chanlyniadau addysg. Serch hynny noda McKinsey (2007) bod gosod plant gydag athro sy’n perfformio yn dda yn datblygu tair gwaith yn gynt o gymharu  gydag athro sy’n perfformio yn isel. Fodd bynnag, i sesiynau thema roedd y plant yn eistedd ar hap gallu cymysg. Roedd y ddau fwrdd tuag at y blaen yn grwpiau llai o faint gyda dim ond 4 i bob bwrdd. Roedd angen cymorth ar grwpiau yma. Felly nododd yn athro/athrawes wrth gael y grwpiau yma tuag at y blaen roedd mhoen cadw ffocws a sylw ar rain. Yn ôl Coe et al, (2014) mae grwpio fesul gallu medru helpu ymarferydd targedu'r disgyblion sydd angen cymorth, fodd bynnag maent hefyd yn medru cael effaith negyddol oherwydd gall yr athro/athrawes mynd yn rhy gyflym gyda'r grŵp gallu uwch a rhy araf gyda’r grŵp gallu is. Roedd y grwpiau eraill ar fwrdd gyda grwpiau o 6 disgyblion tuag at gefn y dosbarth. Roedd y plant yma yn fwy annibynnol felly nid oedd angen cadw llygaid arnynt oherwydd roeddent ar dasg. </w:t>
      </w:r>
      <w:r>
        <w:rPr>
          <w:rFonts w:ascii="Calibri" w:hAnsi="Calibri" w:cs="Calibri"/>
          <w:lang w:val="cy-GB"/>
        </w:rPr>
        <w:t xml:space="preserve">Roedd y gwaith wedi gwahaniaethu i wahanol allu. Roedd un grwp dim ond yn ysgrifennu brawddegau yn cynnwys ansoddair a sicrhau ei bod yn dechrau brawddeg gyda phrif lythyren. Roedd gan y grwpiau gwahanol frawddegau er mwyn ysgogi cwestiynau. Roedd y grwpiau eraill yn gorfod cynnwys cymhariaeth, trosiad ac ansoddair. </w:t>
      </w:r>
      <w:r>
        <w:rPr>
          <w:rFonts w:ascii="Calibri" w:hAnsi="Calibri" w:cs="Calibri"/>
          <w:color w:val="FF0000"/>
          <w:lang w:val="cy-GB"/>
        </w:rPr>
        <w:t>Gwahaniaethu symud?</w:t>
      </w:r>
    </w:p>
    <w:p w14:paraId="4F8978AB" w14:textId="77777777" w:rsidR="009C7387" w:rsidRPr="00B82D45" w:rsidRDefault="009C7387" w:rsidP="00733AD7">
      <w:pPr>
        <w:spacing w:line="360" w:lineRule="auto"/>
        <w:jc w:val="both"/>
        <w:rPr>
          <w:rFonts w:ascii="Calibri" w:hAnsi="Calibri"/>
          <w:lang w:val="cy-GB"/>
        </w:rPr>
      </w:pPr>
    </w:p>
    <w:p w14:paraId="333999C2" w14:textId="4CD7434A" w:rsidR="00B64B7A" w:rsidRPr="00F73DEE" w:rsidRDefault="000D047D" w:rsidP="00733AD7">
      <w:pPr>
        <w:spacing w:line="360" w:lineRule="auto"/>
        <w:jc w:val="both"/>
        <w:rPr>
          <w:rFonts w:ascii="Calibri" w:hAnsi="Calibri"/>
          <w:lang w:val="cy-GB"/>
        </w:rPr>
      </w:pPr>
      <w:r>
        <w:rPr>
          <w:rFonts w:ascii="Calibri" w:hAnsi="Calibri" w:cs="Calibri"/>
          <w:color w:val="000000"/>
          <w:lang w:val="cy-GB"/>
        </w:rPr>
        <w:t xml:space="preserve">Roedd y dosbarth yn ddosbarth cymysg 5/6 lle'r oedd y plant yn barod i ddysgu. Yn o’r 4 diben y cwricwlwm newydd yw “ddysgwr uchelgeisiol, halluog sy’n barod barod i ddysgu drwy gydol eu hoes (Donalson, 2015, pp. 31). Roedd </w:t>
      </w:r>
      <w:r>
        <w:rPr>
          <w:rFonts w:ascii="Calibri" w:hAnsi="Calibri" w:cs="Calibri"/>
          <w:lang w:val="cy-GB"/>
        </w:rPr>
        <w:t xml:space="preserve">y plant awyddus i ddysgu gyda pharch tuag at yr athro/athrawes. Roedd disgyblaeth y disgyblion yn ystod y sesiwn yn dda iawn. Roeddwn yn </w:t>
      </w:r>
      <w:r>
        <w:rPr>
          <w:rFonts w:ascii="Calibri" w:hAnsi="Calibri" w:cs="Calibri"/>
          <w:lang w:val="cy-GB"/>
        </w:rPr>
        <w:lastRenderedPageBreak/>
        <w:t xml:space="preserve">gwrando ar yr athro/athrawes yn ystod y wers. Yn ystod y cyflwyniad roedd yr athro/athrawes yn holi cwestiynau er mwyn gweld os oedd y plant yn deall yr hyn roedd newydd esbonio iddynt. Ar y degau'r rhai oedd gyda dwylo fynnu byddai’n ateb neu roedd yn dewis y rhai heb ei dwylo fynnu ac yn rhoi digon o gyfle i’r plant meddwl cyn ateb. Roedd y </w:t>
      </w:r>
      <w:r>
        <w:rPr>
          <w:rFonts w:ascii="Calibri" w:hAnsi="Calibri" w:cs="Calibri"/>
          <w:color w:val="000000"/>
          <w:lang w:val="cy-GB"/>
        </w:rPr>
        <w:t xml:space="preserve">disgyblion yn barod i ddysgu oherwydd fyddent yn holi'r athro/athrawes neu’r partner cwestiynau synhwyrol. Mae hyn yn ymwneud a strand y fframwaith rhifedd a llythrennedd o lafaredd wrth iddo nodi dylai disgyblion “ymateb i eraill gyda chwestiynau a sylwadau sy’n canolbwyntio ar resymau, goblygiadau a chamau nesaf” </w:t>
      </w:r>
      <w:r>
        <w:rPr>
          <w:rFonts w:ascii="Calibri" w:hAnsi="Calibri" w:cs="Calibri"/>
          <w:color w:val="FF0000"/>
          <w:lang w:val="cy-GB"/>
        </w:rPr>
        <w:t>(Llywodraeth Cymru, 2014, tt dim tudalen).</w:t>
      </w:r>
    </w:p>
    <w:p w14:paraId="33D63CC0" w14:textId="77777777" w:rsidR="00B64B7A" w:rsidRPr="00B82D45" w:rsidRDefault="00B64B7A" w:rsidP="00733AD7">
      <w:pPr>
        <w:spacing w:line="360" w:lineRule="auto"/>
        <w:jc w:val="both"/>
        <w:rPr>
          <w:rFonts w:ascii="Calibri" w:hAnsi="Calibri"/>
          <w:color w:val="FF0000"/>
          <w:lang w:val="cy-GB"/>
        </w:rPr>
      </w:pPr>
    </w:p>
    <w:p w14:paraId="67E705AB" w14:textId="5C1F3B9C" w:rsidR="009C7387" w:rsidRPr="00B82D45" w:rsidRDefault="000D047D" w:rsidP="00733AD7">
      <w:pPr>
        <w:spacing w:line="360" w:lineRule="auto"/>
        <w:jc w:val="both"/>
        <w:rPr>
          <w:rFonts w:ascii="Calibri" w:hAnsi="Calibri"/>
          <w:lang w:val="cy-GB"/>
        </w:rPr>
      </w:pPr>
      <w:r>
        <w:rPr>
          <w:rFonts w:ascii="Calibri" w:hAnsi="Calibri" w:cs="Calibri"/>
          <w:lang w:val="cy-GB"/>
        </w:rPr>
        <w:t xml:space="preserve">Serch hynny fel gwnaeth yr athro gwobrwyo rhai o’r disgyblion ar lafar. Noda Cremin a Arthur (2014) heb atgyfnerthiad positif,  bydd ymatebion sydd wedi dysgu yn diflannu yn gyflym oherwydd bydd y disgyblion yn addasu ei ymddygiad nes maent yn derbyn atgyfnerthiad positif. Er hynny fe wnaeth yr athro/athrawes disgyblu dau ddisgybl oedd yn gam bihafio a siarad yn ystod esboniad a chael rhybudd. O ganlyniad i hyn dangoswyd yr athro/athrawes siom a symud y ddau i’r mat oedd yn blaen y dosbarth. Roedd modd gweld fod y plant yn anhapus i symud. Ond roedden yn deall pam ei bod wedi cael ei symud i’r mat. Mae hyn yn gysylltiedig â theori ymddygiadol. Mae plant sy’n ymddwyn yn dda yn cael ei annog i ailadrodd yr ymddygiad derbyniol, ac yn ben draw fydd yr ymddygiad sy’n annerbyniol yn marw allan </w:t>
      </w:r>
      <w:r>
        <w:rPr>
          <w:rFonts w:ascii="Calibri" w:hAnsi="Calibri" w:cs="Calibri"/>
          <w:color w:val="FF0000"/>
          <w:lang w:val="cy-GB"/>
        </w:rPr>
        <w:t>Siecyn</w:t>
      </w:r>
      <w:r>
        <w:rPr>
          <w:rFonts w:ascii="Calibri" w:hAnsi="Calibri" w:cs="Calibri"/>
          <w:lang w:val="cy-GB"/>
        </w:rPr>
        <w:t xml:space="preserve">. </w:t>
      </w:r>
      <w:r w:rsidR="009D7E16">
        <w:rPr>
          <w:rFonts w:ascii="Calibri" w:hAnsi="Calibri" w:cs="Calibri"/>
          <w:lang w:val="cy-GB"/>
        </w:rPr>
        <w:t>Yn ol damcaniaeth Pa</w:t>
      </w:r>
      <w:r w:rsidR="00BD6FD3">
        <w:rPr>
          <w:rFonts w:ascii="Calibri" w:hAnsi="Calibri" w:cs="Calibri"/>
          <w:lang w:val="cy-GB"/>
        </w:rPr>
        <w:t xml:space="preserve">vlov unwaith mae rhywbeth wedi dysgu mae’n anodd i dileu (Gray a Macblain, (2012). </w:t>
      </w:r>
      <w:r>
        <w:rPr>
          <w:rFonts w:ascii="Calibri" w:hAnsi="Calibri" w:cs="Calibri"/>
          <w:lang w:val="cy-GB"/>
        </w:rPr>
        <w:t>Fodd bynnag noda Cremin a Arthur (2014) os mae plentyn yn camfihafio ac yn derbyn ymateb negyddol wrth yr athro medru cael ei weld fel cael ei gwobr oherwydd mae peth sylw yn well na dim.</w:t>
      </w:r>
    </w:p>
    <w:p w14:paraId="1F57D25A" w14:textId="77777777" w:rsidR="00EE466F" w:rsidRPr="00B82D45" w:rsidRDefault="00EE466F" w:rsidP="00733AD7">
      <w:pPr>
        <w:spacing w:line="360" w:lineRule="auto"/>
        <w:jc w:val="both"/>
        <w:rPr>
          <w:rFonts w:ascii="Calibri" w:hAnsi="Calibri"/>
          <w:lang w:val="cy-GB"/>
        </w:rPr>
      </w:pPr>
    </w:p>
    <w:p w14:paraId="46E79ADF" w14:textId="27E56A04" w:rsidR="00EA710F" w:rsidRPr="00B82D45" w:rsidRDefault="000D047D" w:rsidP="00733AD7">
      <w:pPr>
        <w:spacing w:line="360" w:lineRule="auto"/>
        <w:jc w:val="both"/>
        <w:rPr>
          <w:rFonts w:ascii="Calibri" w:hAnsi="Calibri"/>
          <w:lang w:val="cy-GB"/>
        </w:rPr>
      </w:pPr>
      <w:r>
        <w:rPr>
          <w:rFonts w:ascii="Calibri" w:hAnsi="Calibri" w:cs="Calibri"/>
          <w:lang w:val="cy-GB"/>
        </w:rPr>
        <w:t xml:space="preserve">Roedd un plentyn yn fewndroëdig ac fe wnaeth yr athro/athrawes tynnu ein sylw i hyn cyn mynychu'r dosbarth. Roedd y dasg yn dasg lafar felly nid oedd y disgybl yn gyflawn y dasg. Nid oedd yn medru siarad â’r partner er mwyn holi cwestiynau. Roedd hi’n bosibl gweld fod y plentyn yn drist ac yn pryderu yn ystod y wers, gan nid oedd yn medru holi'r partner cwestiynau er mwyn disgrifio'r partner. Wrth weld y dasg flaenorol roedd y plentyn wedi cyflawni'r dasg oherwydd roedd yn dasg ysgrifenedig ac nid siarad yn ymwneud a’r wers. Nododd yr athro/athrawes ei bod yn credu roedd y plentyn ar y sbectrwm awtistiaeth ac roedd gan y fam pryderon. Roedd y disgybl wrth ei fodd yn y pwnc mathemateg oherwydd </w:t>
      </w:r>
      <w:r>
        <w:rPr>
          <w:rFonts w:ascii="Calibri" w:hAnsi="Calibri" w:cs="Calibri"/>
          <w:lang w:val="cy-GB"/>
        </w:rPr>
        <w:lastRenderedPageBreak/>
        <w:t>roedd yn hyderus yn y pwnc ac roedd yn deall y gwaith ac yn aml wrth wneud mathemateg nid oedd rhaid cyfathrebu gyda phlant.</w:t>
      </w:r>
    </w:p>
    <w:p w14:paraId="3B6EE0A3" w14:textId="77777777" w:rsidR="00925575" w:rsidRPr="00B82D45" w:rsidRDefault="00925575" w:rsidP="00733AD7">
      <w:pPr>
        <w:spacing w:line="360" w:lineRule="auto"/>
        <w:jc w:val="both"/>
        <w:rPr>
          <w:rFonts w:ascii="Calibri" w:hAnsi="Calibri"/>
          <w:lang w:val="cy-GB"/>
        </w:rPr>
      </w:pPr>
    </w:p>
    <w:p w14:paraId="1660CF76" w14:textId="1C12D71C" w:rsidR="005A17EC" w:rsidRPr="00B82D45" w:rsidRDefault="000D047D" w:rsidP="00733AD7">
      <w:pPr>
        <w:spacing w:line="360" w:lineRule="auto"/>
        <w:jc w:val="both"/>
        <w:rPr>
          <w:rFonts w:ascii="Calibri" w:hAnsi="Calibri"/>
          <w:lang w:val="cy-GB"/>
        </w:rPr>
      </w:pPr>
      <w:r>
        <w:rPr>
          <w:rFonts w:ascii="Calibri" w:hAnsi="Calibri" w:cs="Calibri"/>
          <w:lang w:val="cy-GB"/>
        </w:rPr>
        <w:t xml:space="preserve">Ar ôl esbonio'r dasg, nododd yr athro i’r disgyblion bod llawer o adborth a chywiriadau gyda’r plant i wneud yn ei llyfrau cyn iddynt symud ymlaen i’r dasg newydd. Nododd yr athro mae’n bwysig gadael amser i blant cywiro adborth er mwyn iddynt ddysgu o’r wers ac atal yr un camgymeriad digwydd eto. Roedd yr athro yn marcio yn drwyadl. Yn ôl Hattie </w:t>
      </w:r>
      <w:r>
        <w:rPr>
          <w:rFonts w:ascii="Calibri" w:hAnsi="Calibri" w:cs="Calibri"/>
          <w:color w:val="FF0000"/>
          <w:lang w:val="cy-GB"/>
        </w:rPr>
        <w:t xml:space="preserve">Dyddiad </w:t>
      </w:r>
      <w:r>
        <w:rPr>
          <w:rFonts w:ascii="Calibri" w:hAnsi="Calibri" w:cs="Calibri"/>
          <w:lang w:val="cy-GB"/>
        </w:rPr>
        <w:t xml:space="preserve">adborth yw un o’r elfennau pwysicaf o addysgu a dysgu. Cytuna Sutton trust </w:t>
      </w:r>
      <w:r>
        <w:rPr>
          <w:rFonts w:ascii="Calibri" w:hAnsi="Calibri" w:cs="Calibri"/>
          <w:color w:val="FF0000"/>
          <w:lang w:val="cy-GB"/>
        </w:rPr>
        <w:t xml:space="preserve">dyddiad </w:t>
      </w:r>
      <w:r>
        <w:rPr>
          <w:rFonts w:ascii="Calibri" w:hAnsi="Calibri" w:cs="Calibri"/>
          <w:lang w:val="cy-GB"/>
        </w:rPr>
        <w:t>wrth nodi adborth o safon yn elfen hanfodol o addysgu. Wrth edrych yn ôl ar lyfrau roedd gyda rhan fwyaf o’r plant hanner tudalen neu hyn yn oed tudalen. Roedd yn gamgymeriad yn amrywio o wallau sillafu, ffurfio llawysgrifen yn anghywir neu batrwm y frawddeg yn anghywir. Fyddai rhaid i’r plant ail gwneud yn gywir 10 gwaith. Noda Grigg (2010) bod angen i adborth cynnwys elfennau o beth mae’n medru gwneud a beth sydd angen gwneud nesaf. Nododd fod hyn yn hanfodol er mwyn atal yr un camgymeriadau neu gamsyniad ail ymddangos yn y gwaith. Dangosodd llyfr o flwyddyn ddiwethaf, mae llawer o gywiriadau i wneud ar ddechrau'r llyfr. Wrth i’r llyfr mynd yn ei flaen mae modd gweld bod nifer o gywiriadau yn mynd yn llai. Amlwg roedd y plant yn dysgu o’r camgymeriadau. Erbyn diwedd y flwyddyn mae nifer o’r camgymeriadau neu gamsyniad wedi lleihau. Gan roedden yn parchu dymuniadau'r brif athrawes nid oes copi o’r marcio ac adborth i roi yn yr atodiad. Roedd nifer o’r plant wedi bod yn ffurfio llythrennau glŵm yn anghywir. Un enghraifft oedd ffurfio f heb brif lythyren fel prif lythyren. Roedd rhaid iddynt ail ysgrifennu yn ffurf gywir allan 10 gwaith. Wrth aryslwi roedd y disgyblion ar ôl ymarfer yn ffurfio llythrennau yn gywir yn y darn cywiriadau, serch hynny fe wnaethpwyd parhau ffurfio llythrennau yn gywir yn y darn nesaf o waith. Mae llawysgrifen sy’n ddarllenadwy a’n llifo yn gofion y Fframwaith Llythrennedd a Rhifedd Cenedlaethol i flwyddyn 6 (Dysgu Cymru, 2016).</w:t>
      </w:r>
    </w:p>
    <w:p w14:paraId="5AE67ED1" w14:textId="77777777" w:rsidR="00C0721A" w:rsidRPr="00B82D45" w:rsidRDefault="00C0721A" w:rsidP="00733AD7">
      <w:pPr>
        <w:spacing w:line="360" w:lineRule="auto"/>
        <w:jc w:val="both"/>
        <w:rPr>
          <w:rFonts w:ascii="Calibri" w:hAnsi="Calibri"/>
          <w:lang w:val="cy-GB"/>
        </w:rPr>
      </w:pPr>
    </w:p>
    <w:p w14:paraId="3979A66F" w14:textId="2A6DD9D0" w:rsidR="00925575" w:rsidRPr="00B82D45" w:rsidRDefault="000D047D" w:rsidP="00733AD7">
      <w:pPr>
        <w:spacing w:line="360" w:lineRule="auto"/>
        <w:jc w:val="both"/>
        <w:rPr>
          <w:rFonts w:ascii="Calibri" w:hAnsi="Calibri"/>
          <w:lang w:val="cy-GB"/>
        </w:rPr>
      </w:pPr>
      <w:r>
        <w:rPr>
          <w:rFonts w:ascii="Calibri" w:hAnsi="Calibri" w:cs="Calibri"/>
          <w:lang w:val="cy-GB"/>
        </w:rPr>
        <w:t>Yr ail gyfle i arsylwi yn yr ysgol roedd yn y dosbarth meithrin am tua 45 munud. Yn y dosbarth meithrin roedd 26 o ddisgyblion. Roedd y disgyblion yn dysgu trwy chwarae. Roedd hwn yn hollol wahanol i’r dosbarth blwyddyn 6. Wrth edrych ar adborth a hunan asesu roedd yn bosib gweld roeddent yn wahanol iawn i’w gilydd.</w:t>
      </w:r>
    </w:p>
    <w:p w14:paraId="75509CB8" w14:textId="77777777" w:rsidR="002856E3" w:rsidRPr="00B82D45" w:rsidRDefault="002856E3" w:rsidP="00733AD7">
      <w:pPr>
        <w:spacing w:line="360" w:lineRule="auto"/>
        <w:jc w:val="both"/>
        <w:rPr>
          <w:rFonts w:ascii="Calibri" w:hAnsi="Calibri"/>
          <w:lang w:val="cy-GB"/>
        </w:rPr>
      </w:pPr>
    </w:p>
    <w:p w14:paraId="5203A604" w14:textId="7104CEA0" w:rsidR="00961F06" w:rsidRPr="00B82D45" w:rsidRDefault="00961F06" w:rsidP="00733AD7">
      <w:pPr>
        <w:spacing w:line="360" w:lineRule="auto"/>
        <w:jc w:val="both"/>
        <w:rPr>
          <w:rFonts w:ascii="Calibri" w:hAnsi="Calibri"/>
          <w:u w:val="single"/>
          <w:lang w:val="cy-GB"/>
        </w:rPr>
      </w:pPr>
      <w:r w:rsidRPr="00B82D45">
        <w:rPr>
          <w:rFonts w:ascii="Calibri" w:hAnsi="Calibri"/>
          <w:u w:val="single"/>
          <w:lang w:val="cy-GB"/>
        </w:rPr>
        <w:t>Rhan 2</w:t>
      </w:r>
    </w:p>
    <w:p w14:paraId="579C02C6" w14:textId="77777777" w:rsidR="00C0721A" w:rsidRPr="00B82D45" w:rsidRDefault="00C0721A" w:rsidP="00733AD7">
      <w:pPr>
        <w:spacing w:line="360" w:lineRule="auto"/>
        <w:jc w:val="both"/>
        <w:rPr>
          <w:rFonts w:ascii="Calibri" w:hAnsi="Calibri"/>
          <w:u w:val="single"/>
          <w:lang w:val="cy-GB"/>
        </w:rPr>
      </w:pPr>
    </w:p>
    <w:p w14:paraId="61FF196A" w14:textId="2E18E974" w:rsidR="00757EBD" w:rsidRPr="000F2740" w:rsidRDefault="002721BF" w:rsidP="00733AD7">
      <w:pPr>
        <w:spacing w:line="360" w:lineRule="auto"/>
        <w:jc w:val="both"/>
        <w:rPr>
          <w:rFonts w:ascii="Calibri" w:hAnsi="Calibri" w:cs="Calibri"/>
          <w:lang w:val="cy-GB"/>
        </w:rPr>
      </w:pPr>
      <w:r>
        <w:rPr>
          <w:rFonts w:ascii="Calibri" w:hAnsi="Calibri" w:cs="Calibri"/>
          <w:lang w:val="cy-GB"/>
        </w:rPr>
        <w:t>Wrth feddwl am y sut roedd yr athro/athrawes yn marcio byddaf yn defnyddio safbwyntiau ddysgu penodol er mwyn helpu ddeall yr hyn wnaeth digwydd. Noda Bruce (2004) bod damcaniaethwyr dysgu yn dylanwadu ar addysgu yn ysgolion prif ffrwd ar draws y byd. Enghraifft o hyn yw damcaniaethwyr Jean-Jacques Rousseau. Wnaeth ysgolion Pestlozzi yn y Swistir agor ar egwyddorion Rousseau a wnaeth ei waith dylanwadu addysgu yn Ewrop a America (Gray a Mcblain, 2012). Mae Dyfodol llwyddiannus yn gwricwlwm sy’n agored i newid o ganlyniad i nifer o ffactorau megis “ddatblygiadau mewn theori addysg, seicoleg ac, yn fwy diweddar, niwrowyddoniaeth” (Donalsdon, 2015, tt. 6). Mae’n amlwg fod Donaldson yn cydnabod damcaniaethau dysgu gwahanol yn ei waith. Wrth ddadansoddi a gwerthuso damcaniaethau dysgu mae modd gweld sut mae’n effeithio ar ddeilliannau dysgu disgyblion a fy arfer dysgu yn y dyfodol.</w:t>
      </w:r>
    </w:p>
    <w:p w14:paraId="39EC3AEA" w14:textId="77777777" w:rsidR="005B0F1C" w:rsidRPr="00B82D45" w:rsidRDefault="005B0F1C" w:rsidP="00733AD7">
      <w:pPr>
        <w:spacing w:line="360" w:lineRule="auto"/>
        <w:jc w:val="both"/>
        <w:rPr>
          <w:rFonts w:ascii="Calibri" w:hAnsi="Calibri"/>
          <w:u w:val="single"/>
          <w:lang w:val="cy-GB"/>
        </w:rPr>
      </w:pPr>
    </w:p>
    <w:p w14:paraId="52BDC004" w14:textId="3A48EE1F" w:rsidR="00773BCC" w:rsidRDefault="002721BF" w:rsidP="00733AD7">
      <w:pPr>
        <w:spacing w:line="360" w:lineRule="auto"/>
        <w:jc w:val="both"/>
        <w:rPr>
          <w:rFonts w:ascii="Calibri" w:hAnsi="Calibri" w:cs="Calibri"/>
          <w:lang w:val="cy-GB"/>
        </w:rPr>
      </w:pPr>
      <w:r>
        <w:rPr>
          <w:rFonts w:ascii="Calibri" w:hAnsi="Calibri" w:cs="Calibri"/>
          <w:lang w:val="cy-GB"/>
        </w:rPr>
        <w:t>Mae’r maes o ddatblygiad plant o hyd yn datblygu ac yn cymryd cyfeiriadau newydd (Paloiologu, 2009). Wrth feddwl am ddamcaniaethau dysgu mae’n rhaid cymryd i ystyriaeth damcaniaethau cannodd o flynyddoedd yn ôl oherwydd dyma rhai o’r rhai syniadau cynnar ac maent wedi dylanwadu ar nifer o ddamcaniaethau eraill. Er bod damcaniaeth Jean-Jacques Rousseau (1712-1778) dros 300 o flynyddoedd oed cafodd ei waith ei weld fel chwyldroadol ar y pryd a chafodd ei waith ei efelychu gan Piaget, Dewey a Montessori (Gray a Mcblain, 2012). Yn ei nofel ‘Emile’ noda os yw plentyn yn dibynnu ar awdurdod oedolyn ni fydd yn dysgu. I Rousseau mae rôl yr ymarferydd yn bwysig iawn gan maen nhw’n sy’n siapio'r amgylchedd mae person ifanc yn cyflwyno i addysgu (Gray a Mcblain, 2012).</w:t>
      </w:r>
    </w:p>
    <w:p w14:paraId="6DFC16DF" w14:textId="44124724" w:rsidR="00BD31A7" w:rsidRDefault="00BD31A7" w:rsidP="00733AD7">
      <w:pPr>
        <w:spacing w:line="360" w:lineRule="auto"/>
        <w:jc w:val="both"/>
        <w:rPr>
          <w:rFonts w:ascii="Calibri" w:hAnsi="Calibri" w:cs="Calibri"/>
          <w:lang w:val="cy-GB"/>
        </w:rPr>
      </w:pPr>
    </w:p>
    <w:p w14:paraId="608C3F23" w14:textId="5993D3B5" w:rsidR="00EE1E46" w:rsidRDefault="002721BF" w:rsidP="00733AD7">
      <w:pPr>
        <w:spacing w:line="360" w:lineRule="auto"/>
        <w:jc w:val="both"/>
        <w:rPr>
          <w:rFonts w:ascii="Calibri" w:hAnsi="Calibri" w:cs="Calibri"/>
          <w:color w:val="FF0000"/>
          <w:lang w:val="cy-GB"/>
        </w:rPr>
      </w:pPr>
      <w:r>
        <w:rPr>
          <w:rFonts w:ascii="Calibri" w:hAnsi="Calibri" w:cs="Calibri"/>
          <w:lang w:val="cy-GB"/>
        </w:rPr>
        <w:t xml:space="preserve">Yn ôl Siencyn (2008) cred Rousseau yw ni ddylid cosbi plant am fethu gwneud pethau. Serch hynny wrth i’r athro/athrawes marcio gwaith a phlant a gosod adborth oedd yn berthnasol i anghenion y disgybl oedd yn targedu'r camgymeriad gall hyn cael ei weld fel cosb i rai plant oherwydd ei bod wedi cael ei chywiro. Noda Grigg (2010) dylai adborth cynnwys enghreifftiau o beth gall disgyblion gwneud a’r hyn sydd angen i wneud nesaf er mwyn gwella. Gan fod yr adborth yn cynnig enghreifftiau o sut i wella nid yw’n cosbi plant am fethu gwneud pethau cywir y tro cyntaf ond annog datblygiad gyfer y dyfodol. Dywed Gray a Mcblain (2012) bod datblygiad plentyn yn broses naturiol ac nid oes angen rheoleiddio gan oedolyn. Mae plant yn medru dod o hyn i bethau ben eu hun wrth i athrawon cymryd cam yn ôl  a gadael y process </w:t>
      </w:r>
      <w:r>
        <w:rPr>
          <w:rFonts w:ascii="Calibri" w:hAnsi="Calibri" w:cs="Calibri"/>
          <w:lang w:val="cy-GB"/>
        </w:rPr>
        <w:lastRenderedPageBreak/>
        <w:t>ddysgu naturiol i ddigwydd. Wrth i’r athro/athrawes dychwelid y llyfrau gwaith a thynnu sylw'r disgyblion tuag at yr adborth. Mae’r athro/athrawes adael y process ddysgu naturiol i ddigwydd wrth gymryd cam yn ôl a gadael y plant gwneud y cywiriadau yn annibynnol. Mae modd cysylltu hyn gyda damcaniaeth Piaget gan ei fod yn nodi bod plant yn dysgu orau pryd maent yn gwneud pethau ar ben eu hun, yn lle derbyn cyfarwyddiau gan ymarferydd (Bruce, 2010).</w:t>
      </w:r>
    </w:p>
    <w:p w14:paraId="7884C1CF" w14:textId="77777777" w:rsidR="00DA2C5A" w:rsidRDefault="00DA2C5A" w:rsidP="00733AD7">
      <w:pPr>
        <w:spacing w:line="360" w:lineRule="auto"/>
        <w:jc w:val="both"/>
        <w:rPr>
          <w:rFonts w:ascii="Calibri" w:hAnsi="Calibri" w:cs="Calibri"/>
          <w:color w:val="FF0000"/>
          <w:lang w:val="cy-GB"/>
        </w:rPr>
      </w:pPr>
    </w:p>
    <w:p w14:paraId="1FEBC649" w14:textId="26E91ED6" w:rsidR="00CA104D" w:rsidRDefault="002721BF" w:rsidP="00733AD7">
      <w:pPr>
        <w:spacing w:line="360" w:lineRule="auto"/>
        <w:jc w:val="both"/>
        <w:rPr>
          <w:rFonts w:ascii="Calibri" w:hAnsi="Calibri" w:cs="Calibri"/>
          <w:color w:val="FF0000"/>
          <w:lang w:val="cy-GB"/>
        </w:rPr>
      </w:pPr>
      <w:r>
        <w:rPr>
          <w:rFonts w:ascii="Calibri" w:hAnsi="Calibri" w:cs="Calibri"/>
          <w:color w:val="FF0000"/>
          <w:lang w:val="cy-GB"/>
        </w:rPr>
        <w:t xml:space="preserve">Mae’r damcaniaethau adeileddiaeth gymdeithasol wedi cael ei adeiladu ymhellach gan Jerome Bruner. Yn ôl Siencyn (2010) mae dysgu plant yn broses weithredol oherwydd bod plant yn adeiladu ar ei wybodaeth trwy brofiadau sy’n ymwneud a’r amgylchedd dysgu. Mae’r broses yma yn debyg iawn i Sgema Piaget oherwydd mae plant yn adeiladu gwybodaeth wrth addasu'r hyn maent wedi dysgu. Felly ar ôl i’r athro/athrawes darparu adborth mae hyn yn adeiladu ar beth maent wedi dysgu. Yn ôl Bruner rôl cefnogi sydd gan ymarferwyr i ddysgu plant: Rôl yw ymarferydd yw i sgaffaldu dysgu plant </w:t>
      </w:r>
      <w:r>
        <w:rPr>
          <w:rFonts w:ascii="Calibri" w:hAnsi="Calibri" w:cs="Calibri"/>
          <w:lang w:val="cy-GB"/>
        </w:rPr>
        <w:t>(Paloiologu, 2009)</w:t>
      </w:r>
      <w:r>
        <w:rPr>
          <w:rFonts w:ascii="Calibri" w:hAnsi="Calibri" w:cs="Calibri"/>
          <w:color w:val="FF0000"/>
          <w:lang w:val="cy-GB"/>
        </w:rPr>
        <w:t xml:space="preserve">. Maent yn gwneud hwn trwy gefnogi'r disgyblion, mae’r oedolyn wedyn yn cynorthwyo’r plant trwy adeiladu ar wybodaeth a dealltwriaeth ben ei hun. Yn ôl </w:t>
      </w:r>
      <w:r>
        <w:rPr>
          <w:rFonts w:ascii="Calibri" w:hAnsi="Calibri" w:cs="Calibri"/>
          <w:color w:val="000000"/>
          <w:lang w:val="cy-GB"/>
        </w:rPr>
        <w:t>Sadlers (2008</w:t>
      </w:r>
      <w:r>
        <w:rPr>
          <w:rFonts w:ascii="Calibri" w:hAnsi="Calibri" w:cs="Calibri"/>
          <w:color w:val="FF0000"/>
          <w:lang w:val="cy-GB"/>
        </w:rPr>
        <w:t>) er mwyn i adborth fod yn llwyddiannus mae’n rhaid i’r disgybl fod yn medru deall yr adborth maent yn derbyn, cael amser i’w defnyddio ac yn olaf mae’r disgybl yn medru defnyddio'r adborth.</w:t>
      </w:r>
    </w:p>
    <w:p w14:paraId="293D2F8A" w14:textId="77777777" w:rsidR="00BB5283" w:rsidRDefault="00BB5283" w:rsidP="00733AD7">
      <w:pPr>
        <w:spacing w:line="360" w:lineRule="auto"/>
        <w:jc w:val="both"/>
        <w:rPr>
          <w:rFonts w:ascii="Calibri" w:hAnsi="Calibri" w:cs="Calibri"/>
          <w:color w:val="FF0000"/>
          <w:lang w:val="cy-GB"/>
        </w:rPr>
      </w:pPr>
    </w:p>
    <w:p w14:paraId="0B24B6CB" w14:textId="79CC77FF" w:rsidR="00BB5283"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 xml:space="preserve">Noda </w:t>
      </w:r>
      <w:r>
        <w:rPr>
          <w:rFonts w:ascii="Calibri" w:hAnsi="Calibri" w:cs="Calibri"/>
          <w:color w:val="FF0000"/>
          <w:lang w:val="cy-GB"/>
        </w:rPr>
        <w:t xml:space="preserve">William and black (dyddiad) </w:t>
      </w:r>
      <w:r>
        <w:rPr>
          <w:rFonts w:ascii="Calibri" w:hAnsi="Calibri" w:cs="Calibri"/>
          <w:color w:val="000000"/>
          <w:lang w:val="cy-GB"/>
        </w:rPr>
        <w:t>bod marcio yn dueddol i fod yn gyson, er hynny  nid yw cynnig gymorth i ddisgyblion o sut i wella ei gwaith. Yn adroddiad Estyn diweddar yr ysgol nodwyd bod rhan fwyaf o’r llyfrau gydag adborth defnyddiol i ddisgyblion gwella ei gwaith gyda, cyfarwyddiad clir ac enghreifftiau, fodd bynnag nodwyd nid oedd pob athro/athrawes yn sicrhau fod y plant yn cwblhau'r tasgau adborth (Estyn, 2017). Yn fy marn i mae’n amlwg fod yr ysgol wedi ymateb i hyn oherwydd roedd hi’n bosibl gweld ar draws yr ysgol plant yn cael cyfle i ymateb i adborth. Roedd y marcio ac adborth yn digwydd yn rheolaidd gyda dulliau gwahanol yn cael ei defnyddio i’r cyfnod sylfaen i gymharu â chyfnod allweddol dau (CA2). Roedd y cyfnod sylfaen yn ymateb i adborth trwy gymeriadau cartŵn ac roedd hyn i weld fel dull effeithiol ond yn fras gwelais hwn. Roedd yr athro/athrawes wedi gweld pwysigrwydd adborth oherwydd roedd ganddynt adborth manwl fel y nodwyd yn rhan un. Roedd y disgyblion yn cael amser i gywiro'r gwallau ac ymateb i’r adborth. Nodwyd Gardner (2012) un o wendidau adborth yw nad yw plant yn cael cyfle i ymateb i adborth.</w:t>
      </w:r>
    </w:p>
    <w:p w14:paraId="69CBF718" w14:textId="77777777" w:rsidR="00BB5283" w:rsidRDefault="00BB5283" w:rsidP="00733AD7">
      <w:pPr>
        <w:spacing w:line="360" w:lineRule="auto"/>
        <w:jc w:val="both"/>
        <w:rPr>
          <w:rFonts w:ascii="Calibri" w:hAnsi="Calibri" w:cs="Calibri"/>
          <w:color w:val="000000" w:themeColor="text1"/>
          <w:lang w:val="cy-GB"/>
        </w:rPr>
      </w:pPr>
    </w:p>
    <w:p w14:paraId="2322A8E4" w14:textId="25E80451" w:rsidR="001F40C3"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Yn ôl Hattie (2012) y dull gorau i ddeall adborth yw edrych ar waith Sadlers (1989) ar adborth. Noda Sadlers (1989) dylai adborth i fod yn lleihau'r blwch rhwng ble mae myfywrwr and ble mae hi neu ef i fod, felly rhwng y llwyddiant blaenorol neu bresennol a’r meini prawf llwyddiant. Er mwyn i adborth i fod yn llwyddianus mae’n rhaid i athrawon cael syniad o ble mae’r plentyn ar hyn o bryd a ble sydd angen iddynt i fod er mwyn llwyddo. Dywed Hattie (2012) dylai adborth ateb tri chwestiwn sef, ble i fi’n mynd, sut ydw i’n mynd ac yn olaf ble nesaf. Wrth edrych ar yr adborth cafodd y disgyblion roedd yr adborth yn fanwl gyda llawer o gyweiriadau i’w gwneud. Roedd hi’n amlwg bod yr athro\ athrawes yn gwybod y disgyblion oherwydd roedd faint o adborth roedd wedi cael ei adael yn amrywio. Felly roedden yn gwybod faint i herio'r plant er mwyn iddynt lwyddo.</w:t>
      </w:r>
    </w:p>
    <w:p w14:paraId="18B4F8C7" w14:textId="77777777" w:rsidR="009B5B1D" w:rsidRDefault="009B5B1D" w:rsidP="00733AD7">
      <w:pPr>
        <w:spacing w:line="360" w:lineRule="auto"/>
        <w:jc w:val="both"/>
        <w:rPr>
          <w:rFonts w:ascii="Calibri" w:hAnsi="Calibri" w:cs="Calibri"/>
          <w:color w:val="000000" w:themeColor="text1"/>
          <w:lang w:val="cy-GB"/>
        </w:rPr>
      </w:pPr>
    </w:p>
    <w:p w14:paraId="71B8B66B" w14:textId="11FD059B" w:rsidR="009B5B1D"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Yn ol Black (1998) roedd disgyblion gwan yn credu taw prif bwrpas adborth oedd gwneud iddynt weithio yn galetach. Hefyd yn ei ymchwil nododd taw pwrpas adborth oedd i’r ysgol a rhieni yn hytrach nag iddyn nhw. Cytuna Greigg (2010) wrth nodi bod rhan fwyaf o ddisgyblion yn credu taw pwrpas  marcio oedd i’r buddio'r ysgol neu rheini and nid i helpu nhw. Sonia Carless (2006) fod 70% o athrawon yn credu bod ei adborth yn darparu cymorth i’r disgyblion i wella ond ar y llaw arall dim ond 45% o ddisgyblion sy’n gyntunau gyda’r hyn mae athrawon yn dweud. Mae athrawon yn gweld yr adborth maent yn darparu yn llawer mwy gwerthfawr na’r disgyblion oherwydd ei bod yn gweld yr adborth yn ddryslyd ac yn anddealladwy (Hattie, 2012). Yn y ddogfen asesu cyfer dysgu mae’n nodi dylai athrawon rhoi adborth sydd â ffocws clir, penodol ac yn addysgol (Llywodraeth Cymru, 2014). Enghraifft o hyn yw oedd os gwnaeth y disgyblion defnyddio cystrawen frawddeg anghywir fyddai’r athro/athrawes wedi tynnu sylw'r disgybl at hyn yn yr adborth a nodi’r ffordd gywir. Wedyn fyddai’n rhaid iddynt gywiro’r  frawddeg gyda’r gystrawen gywir. Yn y darn nesaf o waith roeddent yn symud ymlaen i wneud ar ôl cywiro’r gwaith blaenorol roedd y disgyblion wedi dysgu o’r camgymeriad ac nid oedd yr un camgymeriad yn digwydd yn y darn nesaf o waith. Roedd yr athro/athrawes yn gwirio gwaith y plant er mwyn sicrhau nid oeddynt yn gwneud yr un camgymeriad ac yn canmol y plant ar lafar os na fyddent yn gweld. Yn ôl Cole et al (Dyddiad) mae adborth yn fwyaf tebygol o gael ei weithredu pryd mae’n cael ei arwain gyda mentor o fewn amgylchedd o gefnogaeth a chymorth.</w:t>
      </w:r>
    </w:p>
    <w:p w14:paraId="557B3F96" w14:textId="77777777" w:rsidR="00BB5283" w:rsidRDefault="00BB5283" w:rsidP="00733AD7">
      <w:pPr>
        <w:spacing w:line="360" w:lineRule="auto"/>
        <w:jc w:val="both"/>
        <w:rPr>
          <w:rFonts w:ascii="Calibri" w:hAnsi="Calibri" w:cs="Calibri"/>
          <w:color w:val="000000" w:themeColor="text1"/>
          <w:lang w:val="cy-GB"/>
        </w:rPr>
      </w:pPr>
    </w:p>
    <w:p w14:paraId="618DB823" w14:textId="13789222" w:rsidR="00353016"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lastRenderedPageBreak/>
        <w:t>Wrth ddod i gasgliad yn rhan yma o’r aseiniad, trwy ddadansoddi’r digwyddiad yma mae modd gweld sut mae gwahanol damcaniaethu dysgu perthnasol a thrafodir yn ychwanegu i’n dealltwriaeth o’r effaith mae adborth medru cael ar ymarferwyr neu ddisgyblion. Er hynny mae Biesta (2013) yn anhapus gyda damcaniaethau dysgu, nid yw’n cytuno gyda lluniadaeth. Mae dal angen ymarferydd ysgogi ddysgu plant. Gyfer y dyfodol pwy a ŵyr pa gyfeiriad bydd  y maes yma yn cymryd wrth i ddatblygiad mewn technoleg ac ymchwil galluogi seicolegwyr i ddeall fwy am yr ymennydd a sut mae plant yn dysgu.</w:t>
      </w:r>
    </w:p>
    <w:p w14:paraId="242E9C35" w14:textId="77777777" w:rsidR="001B1768" w:rsidRDefault="001B1768" w:rsidP="00733AD7">
      <w:pPr>
        <w:spacing w:line="360" w:lineRule="auto"/>
        <w:jc w:val="both"/>
        <w:rPr>
          <w:rFonts w:ascii="Calibri" w:hAnsi="Calibri" w:cs="Calibri"/>
          <w:color w:val="000000" w:themeColor="text1"/>
          <w:lang w:val="cy-GB"/>
        </w:rPr>
      </w:pPr>
    </w:p>
    <w:p w14:paraId="2B2B6E54" w14:textId="3E9B6183" w:rsidR="001B1768" w:rsidRPr="001B1768" w:rsidRDefault="001B1768" w:rsidP="00733AD7">
      <w:pPr>
        <w:spacing w:line="360" w:lineRule="auto"/>
        <w:jc w:val="both"/>
        <w:rPr>
          <w:rFonts w:ascii="Calibri" w:hAnsi="Calibri" w:cs="Calibri"/>
          <w:color w:val="000000" w:themeColor="text1"/>
          <w:u w:val="single"/>
          <w:lang w:val="cy-GB"/>
        </w:rPr>
      </w:pPr>
      <w:r w:rsidRPr="001B1768">
        <w:rPr>
          <w:rFonts w:ascii="Calibri" w:hAnsi="Calibri" w:cs="Calibri"/>
          <w:color w:val="000000" w:themeColor="text1"/>
          <w:u w:val="single"/>
          <w:lang w:val="cy-GB"/>
        </w:rPr>
        <w:t>Rhan 3</w:t>
      </w:r>
    </w:p>
    <w:p w14:paraId="3C345486" w14:textId="77777777" w:rsidR="001B1768" w:rsidRDefault="001B1768" w:rsidP="00733AD7">
      <w:pPr>
        <w:spacing w:line="360" w:lineRule="auto"/>
        <w:jc w:val="both"/>
        <w:rPr>
          <w:rFonts w:ascii="Calibri" w:hAnsi="Calibri" w:cs="Calibri"/>
          <w:color w:val="000000" w:themeColor="text1"/>
          <w:lang w:val="cy-GB"/>
        </w:rPr>
      </w:pPr>
    </w:p>
    <w:p w14:paraId="69F8A758" w14:textId="51E737FC" w:rsidR="001B1768" w:rsidRDefault="002721BF" w:rsidP="00733AD7">
      <w:pPr>
        <w:spacing w:line="360" w:lineRule="auto"/>
        <w:jc w:val="both"/>
        <w:rPr>
          <w:rFonts w:ascii="Calibri" w:hAnsi="Calibri" w:cs="Calibri"/>
          <w:color w:val="000000"/>
          <w:lang w:val="cy-GB"/>
        </w:rPr>
      </w:pPr>
      <w:r>
        <w:rPr>
          <w:rFonts w:ascii="Calibri" w:hAnsi="Calibri" w:cs="Calibri"/>
          <w:color w:val="000000"/>
          <w:lang w:val="cy-GB"/>
        </w:rPr>
        <w:t>Bydd yn boster yma wedi targedu at ddosbarth blwyddyn 1 yn y cyfnod sylfaen. Nid wyf wedi dewis CA2 oherwydd wrth arsylwi rwy’n teimlo ar hyn o bryd mae’n amgylchedd dysgu delfrydol yn y Cyfnod Sylfaen. Sonia’r poster am fy amgylchedd dysgu delfrydol sy’n berthnasol i’r oed rwyf wedi penderfynu. Byddaf yn cyfiawnhau’r egwyddorion addysgu hyn trwy’r arsylwad ac ymchwil.</w:t>
      </w:r>
    </w:p>
    <w:p w14:paraId="3A54850F" w14:textId="77777777" w:rsidR="0086736A" w:rsidRDefault="0086736A" w:rsidP="00733AD7">
      <w:pPr>
        <w:spacing w:line="360" w:lineRule="auto"/>
        <w:jc w:val="both"/>
        <w:rPr>
          <w:rFonts w:ascii="Calibri" w:hAnsi="Calibri" w:cs="Calibri"/>
          <w:color w:val="000000"/>
          <w:lang w:val="cy-GB"/>
        </w:rPr>
      </w:pPr>
    </w:p>
    <w:p w14:paraId="57816C9C" w14:textId="1FF9D555"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u w:val="single"/>
          <w:lang w:val="cy-GB"/>
        </w:rPr>
        <w:t>L</w:t>
      </w:r>
      <w:r w:rsidRPr="0086736A">
        <w:rPr>
          <w:rFonts w:ascii="Calibri" w:hAnsi="Calibri" w:cs="Calibri"/>
          <w:color w:val="000000"/>
          <w:u w:val="single"/>
          <w:lang w:val="cy-GB"/>
        </w:rPr>
        <w:t>lais y disgybl</w:t>
      </w:r>
    </w:p>
    <w:p w14:paraId="6276AAF8" w14:textId="77777777" w:rsidR="00517DC9" w:rsidRDefault="00517DC9" w:rsidP="00733AD7">
      <w:pPr>
        <w:spacing w:line="360" w:lineRule="auto"/>
        <w:jc w:val="both"/>
        <w:rPr>
          <w:rFonts w:ascii="Calibri" w:hAnsi="Calibri" w:cs="Calibri"/>
          <w:color w:val="000000" w:themeColor="text1"/>
          <w:lang w:val="cy-GB"/>
        </w:rPr>
      </w:pPr>
    </w:p>
    <w:p w14:paraId="7FAAB5EC" w14:textId="1571809E" w:rsidR="00AA54AC"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 xml:space="preserve">Mae llais y disgybl yn rhan bwysig o bob amgylchedd dysgu. Mae llais y plentyn yn un o ofynion Confensiwn y Cenhedloedd Unedig ar Hawliau'r Plentyn (CCUHP). Yn ôl CCUHP erthygl 12 yw bod gan bobl plentyn yr hawl i ddweud beth ddylai digwydd ac i rywun wrando arnynt (Comisiynydd Plant Cymru, Dim dyddiad). Mae dogfen y cyfnod Sylfaen yn nodi dylai pob plentyn a phobl ifanc yn cael rhywun i wrando arnynt (Llywodraeth Cymru, 2015). Un o sylfeini'r cyfnod sylfaen  yw bod ymarferwyr a disgyblion yn trafod, cynllunio a gweithio gyda’i gilydd. Felly yn yr ystafell dosbarth pryd byddaf yn athrawes  byddai’n cynllunio gyda’r plant, er mwyn cael effaith positif ar ei hunan hyder os ydynt yn gweld ei syniadau yn dod yn fwy. Mae’r cyfnod sylfaen yn nodi dylai plentyn fod yn wraidd unrhyw gwricwlwm a gynllunnir (Llywodraeth Cymru, 2015). Wrth i blentyn fod gwraidd yn cynllunio mae’n medru cael effaith postif’ ar blant wrth i’w hunan hyder a chymhelliant codi o ganlyniad bod ganddynt fwy o berchnogaeth dros eu dysgu. Noda Hopwood (2017) wrth wneud hyn mae’n magu hunan hyder plant  sy’n creu dysgwyr annibynnol. Mae modd gweld hyn yng ngweledigaeth </w:t>
      </w:r>
      <w:r>
        <w:rPr>
          <w:rFonts w:ascii="Calibri" w:hAnsi="Calibri" w:cs="Calibri"/>
          <w:color w:val="000000"/>
          <w:lang w:val="cy-GB"/>
        </w:rPr>
        <w:lastRenderedPageBreak/>
        <w:t xml:space="preserve">Donaldson (2015 </w:t>
      </w:r>
      <w:r>
        <w:rPr>
          <w:rFonts w:ascii="Calibri" w:hAnsi="Calibri" w:cs="Calibri"/>
          <w:color w:val="FF0000"/>
          <w:lang w:val="cy-GB"/>
        </w:rPr>
        <w:t>tudalen</w:t>
      </w:r>
      <w:r>
        <w:rPr>
          <w:rFonts w:ascii="Calibri" w:hAnsi="Calibri" w:cs="Calibri"/>
          <w:color w:val="000000"/>
          <w:lang w:val="cy-GB"/>
        </w:rPr>
        <w:t>) “ddysgwr uchelgeisiol, galluog sy’n barod i ddysgu drwy gydol eu hoes”.</w:t>
      </w:r>
    </w:p>
    <w:p w14:paraId="550146F3" w14:textId="77777777" w:rsidR="00232E59" w:rsidRDefault="00232E59" w:rsidP="00733AD7">
      <w:pPr>
        <w:spacing w:line="360" w:lineRule="auto"/>
        <w:jc w:val="both"/>
        <w:rPr>
          <w:rFonts w:ascii="Calibri" w:hAnsi="Calibri" w:cs="Calibri"/>
          <w:color w:val="000000" w:themeColor="text1"/>
          <w:lang w:val="cy-GB"/>
        </w:rPr>
      </w:pPr>
    </w:p>
    <w:p w14:paraId="0D40AC19" w14:textId="045FC107"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u w:val="single"/>
          <w:lang w:val="cy-GB"/>
        </w:rPr>
        <w:t>Amgylchedd awyr agored</w:t>
      </w:r>
    </w:p>
    <w:p w14:paraId="75C7CE42" w14:textId="77777777" w:rsidR="0086736A" w:rsidRDefault="0086736A" w:rsidP="00733AD7">
      <w:pPr>
        <w:spacing w:line="360" w:lineRule="auto"/>
        <w:jc w:val="both"/>
        <w:rPr>
          <w:rFonts w:ascii="Calibri" w:hAnsi="Calibri" w:cs="Calibri"/>
          <w:color w:val="000000" w:themeColor="text1"/>
          <w:lang w:val="cy-GB"/>
        </w:rPr>
      </w:pPr>
    </w:p>
    <w:p w14:paraId="2F37B6E8" w14:textId="36575080" w:rsidR="00517DC9"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Mae’r amgylchedd dysgu yn tu hwnt o bwysig yn fy marn i. Mae Reggio Emilia yn gweld yr amgylchedd fel y trydydd athro wrth i’r amgylchedd cynnig amryw o brofiad diddorol a chyfleoedd i blant ddatblygu (Hopwood, 2017). Yn ôl Bilton (2010) mae’n rhaid bod yr amgylchedd yn ddiddorol er mwyn i ysgogi plant i ddysgu. Credaf fod yr amgylchedd tu allan yn rhan allweddol o’r amgylchedd dysgu. Mae modd gweld rwyf wedi nodi'r ardal allanol yn y poster. Mae’r cyfnod sylfaen yn gweld pwysigrwydd yr ardal allanol wrth eu bod hybu datblygiad plant a chwilfrydedd naturiol oherwydd maent yn dysgu o brofiadau uniongyrchol (Llywodraeth Cymru, 2015). Yn ôl Llywodraeth Cymru (2015) mae angen rhoi fwy o bwyslais i sicrhâi fod yr amgylchedd tu allan yn cael ei defnyddio fel adnodd i ddysgu plant. Rwyf wedi nodi yn boster gwahanol syniadau am fy amgylchedd dysgu allanol. Un o’r syniad yw ardal gerddorol wrth ddefnyddio offer cegin. Er hynny mae modd defnyddio'r offer yma gyfer gwahanol bwrpas fyddai’n annog chwarae symbyliad. Wrth ddysgu tu allan mae plant yn cael gwahanol brofiadau mewn amgylchedd diddorol</w:t>
      </w:r>
      <w:r>
        <w:rPr>
          <w:rFonts w:ascii="Calibri" w:hAnsi="Calibri" w:cs="Calibri"/>
          <w:lang w:val="cy-GB"/>
        </w:rPr>
        <w:t xml:space="preserve"> (Bilton, 2010).</w:t>
      </w:r>
    </w:p>
    <w:p w14:paraId="592EB3A3" w14:textId="77777777" w:rsidR="009E136C" w:rsidRDefault="009E136C" w:rsidP="00733AD7">
      <w:pPr>
        <w:spacing w:line="360" w:lineRule="auto"/>
        <w:jc w:val="both"/>
        <w:rPr>
          <w:rFonts w:ascii="Calibri" w:hAnsi="Calibri" w:cs="Calibri"/>
          <w:color w:val="000000" w:themeColor="text1"/>
          <w:lang w:val="cy-GB"/>
        </w:rPr>
      </w:pPr>
    </w:p>
    <w:p w14:paraId="0D3EC809" w14:textId="584E8D88" w:rsidR="008F1177" w:rsidRDefault="002721BF" w:rsidP="00733AD7">
      <w:pPr>
        <w:spacing w:line="360" w:lineRule="auto"/>
        <w:jc w:val="both"/>
        <w:rPr>
          <w:rFonts w:ascii="Calibri" w:hAnsi="Calibri" w:cs="Calibri"/>
          <w:lang w:val="cy-GB"/>
        </w:rPr>
      </w:pPr>
      <w:r>
        <w:rPr>
          <w:rFonts w:ascii="Calibri" w:hAnsi="Calibri" w:cs="Calibri"/>
          <w:color w:val="000000"/>
          <w:lang w:val="cy-GB"/>
        </w:rPr>
        <w:t xml:space="preserve">Mae’r awyr agored cynnig amryw o gyfleoedd gwahanol i blant ddatblygu sgiliau gwybyddus cymdeithasol a corfforol. Mae angen i blant cael cysylltiad gyda natur. Yn ôl Davies (2010) mae’n rhaid i blant i gael profiad a chyfle i chwarae gyda natur er mwyn iddynt wneud cysylltiad natur. Yn y poster mae yn llun o randir. Dylai plant cael profiad o dyfu llysiau neu berlysiau. Mae hyn yn annog cysylltiad gyda natur. Mae’r damcaniaethwr Fredrich Froebel yn cydnabod pwysigrwydd chwarae gan ei god yn cael gweld chwarae fel y dull gorau o ddysgu </w:t>
      </w:r>
      <w:r>
        <w:rPr>
          <w:rFonts w:ascii="Calibri" w:hAnsi="Calibri" w:cs="Calibri"/>
          <w:lang w:val="cy-GB"/>
        </w:rPr>
        <w:t xml:space="preserve">(Bruce, 2012). Rwyf wedi nodi cegin fwd oherwydd bod plant yn medru datblygu amryw o sgiliau trwy chwarae. Gyfer y deunyddiau gyfer yn y gegin fwd byddai yn ceisio osgoi deunyddiau plastig  a cheisio cael deunyddiau sydd wedi ei ailgylchu neu ddeunyddiau naturiol. Wrth gael deunyddiau wedi ailgylchu mae modd gwneud cysylltiad â chynaladwyedd. Er bod yr oed yma yn ifanc mae’n bosibl i ddysgu am gynaladwyedd mewn ffordd sy’n addas i’r oed yma. Mae Donaldson (2015) yn nodi dylai disgyblion fod yn ddinasyddion egwyddor a gwybodus yng Nghymru a’r byd. Felly bydd modd dysgu am </w:t>
      </w:r>
      <w:r>
        <w:rPr>
          <w:rFonts w:ascii="Calibri" w:hAnsi="Calibri" w:cs="Calibri"/>
          <w:lang w:val="cy-GB"/>
        </w:rPr>
        <w:lastRenderedPageBreak/>
        <w:t>gynaladwyedd a chynhesu byd eang ar draws y byd. Wrth gael deunyddiau naturiol mae modd helpu datblygiad holistig plant oherwydd gan fod deunyddiau naturiol yn ysgogi synhwyrau. Yn ôl Wellhouse (2002) wrth i blant trafod amryw o ddeunyddiau naturiol mae’n cael amryw o brofiadau sy’n ysgogi’r synhwyrau. Mae’n bosib gweld y buddion o’r gegin gyfer ddatblygiad plentyn. Wrth wneud y gweithgaredd o’r fath mae angen sicrhau fod dillad addas ar gael i’r plant gwisgo er mwyn atal cael rhieni yn cwyno. Er hynny byddai modd i’r rhiant arsylwi'r digwyddiad i weld yr effaith positif mae’n cael ar ddatblygiad plentyn.</w:t>
      </w:r>
    </w:p>
    <w:p w14:paraId="687CE75B" w14:textId="77777777" w:rsidR="0086736A" w:rsidRDefault="0086736A" w:rsidP="00733AD7">
      <w:pPr>
        <w:spacing w:line="360" w:lineRule="auto"/>
        <w:jc w:val="both"/>
        <w:rPr>
          <w:rFonts w:ascii="Calibri" w:hAnsi="Calibri" w:cs="Calibri"/>
          <w:lang w:val="cy-GB"/>
        </w:rPr>
      </w:pPr>
    </w:p>
    <w:p w14:paraId="1AC488A5" w14:textId="7E1A7F28" w:rsidR="0086736A" w:rsidRPr="0086736A" w:rsidRDefault="0086736A" w:rsidP="00733AD7">
      <w:pPr>
        <w:spacing w:line="360" w:lineRule="auto"/>
        <w:jc w:val="both"/>
        <w:rPr>
          <w:rFonts w:asciiTheme="minorHAnsi" w:hAnsiTheme="minorHAnsi" w:cs="Arial"/>
          <w:u w:val="single"/>
          <w:lang w:val="cy-GB"/>
        </w:rPr>
      </w:pPr>
      <w:r w:rsidRPr="0086736A">
        <w:rPr>
          <w:rFonts w:ascii="Calibri" w:hAnsi="Calibri" w:cs="Calibri"/>
          <w:color w:val="000000"/>
          <w:u w:val="single"/>
          <w:lang w:val="cy-GB"/>
        </w:rPr>
        <w:t>C</w:t>
      </w:r>
      <w:r w:rsidRPr="0086736A">
        <w:rPr>
          <w:rFonts w:ascii="Calibri" w:hAnsi="Calibri" w:cs="Calibri"/>
          <w:color w:val="000000"/>
          <w:u w:val="single"/>
          <w:lang w:val="cy-GB"/>
        </w:rPr>
        <w:t>ynorthwyydd</w:t>
      </w:r>
    </w:p>
    <w:p w14:paraId="3C8CA815" w14:textId="77777777" w:rsidR="008F1177" w:rsidRDefault="008F1177" w:rsidP="00733AD7">
      <w:pPr>
        <w:spacing w:line="360" w:lineRule="auto"/>
        <w:jc w:val="both"/>
        <w:rPr>
          <w:rFonts w:ascii="Calibri" w:hAnsi="Calibri" w:cs="Calibri"/>
          <w:color w:val="000000" w:themeColor="text1"/>
          <w:lang w:val="cy-GB"/>
        </w:rPr>
      </w:pPr>
    </w:p>
    <w:p w14:paraId="6CD6DA5D" w14:textId="124905C3" w:rsidR="00514C00" w:rsidRDefault="002721BF" w:rsidP="00733AD7">
      <w:pPr>
        <w:spacing w:line="360" w:lineRule="auto"/>
        <w:jc w:val="both"/>
        <w:rPr>
          <w:rFonts w:ascii="Calibri" w:hAnsi="Calibri" w:cs="Calibri"/>
          <w:color w:val="000000"/>
          <w:lang w:val="cy-GB"/>
        </w:rPr>
      </w:pPr>
      <w:r>
        <w:rPr>
          <w:rFonts w:ascii="Calibri" w:hAnsi="Calibri" w:cs="Calibri"/>
          <w:color w:val="000000"/>
          <w:lang w:val="cy-GB"/>
        </w:rPr>
        <w:t xml:space="preserve">Byddai cael cynorthwyydd dosbarth yn ddefnyddiol. Wrth arsylwi ac o brofiad mae modd gweld faint o gymorth maent fedru darparu i’r dosbarth. Gall y cynorthwyydd ar ôl rhoi cyfarwyddiadau neu dangos y cynllunio mynd a grŵp o blant tu allan er mwyn cyflawni'r dasg sy’n wedi cael ei gosod. Noda Hammersley-Fletcher et al(2006) mae cyn-orthwyr yn gwneud mwy na darparu cymorth ac mae ganddynt rôl allweddol yn y dosbarth. Wrth ofyn i’r cynorthwyydd mynd a grŵp o blant i weithio ar dasg mae’n rhyddhau lle yn ddosbarth. Nid oes llawer o le ym mhob dosbarth. Mae’n dibynnu ar yr ysgol. Wrth i’r cynorthwyydd mynd a grŵp o blant mae modd iddynt scafaldi wybodaeth plant. Mae hyn yn gysylltiedig â Piaget sy’n credu bod angen i blant cael profiadau go iawn er mwyn datblygu pethau dros eu hun. Rôl yr ymarferydd yw darparu cyfleodd i blant er mwyn hwyluso gallu plentyn i feddwl a dysgu (Siencyn, 2010).  Yn ôl Hattie (2012) mae’r dosbarth delfrydol gyfer dysgu gydag awyrgylch o ymddiriedaeth, felly awyrgylch sy’n deall ei bod yn iawn i wneud camgymeriadau a dyma bwrpas dysgu.  </w:t>
      </w:r>
    </w:p>
    <w:p w14:paraId="42924CA2" w14:textId="77777777" w:rsidR="0086736A" w:rsidRDefault="0086736A" w:rsidP="00733AD7">
      <w:pPr>
        <w:spacing w:line="360" w:lineRule="auto"/>
        <w:jc w:val="both"/>
        <w:rPr>
          <w:rFonts w:ascii="Calibri" w:hAnsi="Calibri" w:cs="Calibri"/>
          <w:color w:val="000000"/>
          <w:lang w:val="cy-GB"/>
        </w:rPr>
      </w:pPr>
    </w:p>
    <w:p w14:paraId="0192C815" w14:textId="48A7DD7E"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themeColor="text1"/>
          <w:u w:val="single"/>
          <w:lang w:val="cy-GB"/>
        </w:rPr>
        <w:t>A</w:t>
      </w:r>
      <w:r w:rsidRPr="0086736A">
        <w:rPr>
          <w:rFonts w:ascii="Calibri" w:hAnsi="Calibri" w:cs="Calibri"/>
          <w:color w:val="000000" w:themeColor="text1"/>
          <w:u w:val="single"/>
          <w:lang w:val="cy-GB"/>
        </w:rPr>
        <w:t>rdal mathamateg</w:t>
      </w:r>
    </w:p>
    <w:p w14:paraId="728B44A4" w14:textId="77777777" w:rsidR="00514C00" w:rsidRDefault="00514C00" w:rsidP="00733AD7">
      <w:pPr>
        <w:spacing w:line="360" w:lineRule="auto"/>
        <w:jc w:val="both"/>
        <w:rPr>
          <w:rFonts w:ascii="Calibri" w:hAnsi="Calibri" w:cs="Calibri"/>
          <w:color w:val="000000" w:themeColor="text1"/>
          <w:lang w:val="cy-GB"/>
        </w:rPr>
      </w:pPr>
    </w:p>
    <w:p w14:paraId="477BB141" w14:textId="5D34B96F" w:rsidR="000218E6" w:rsidRDefault="000218E6" w:rsidP="00733AD7">
      <w:pPr>
        <w:spacing w:line="360" w:lineRule="auto"/>
        <w:jc w:val="both"/>
        <w:rPr>
          <w:rFonts w:ascii="Calibri" w:hAnsi="Calibri" w:cs="Calibri"/>
          <w:color w:val="000000" w:themeColor="text1"/>
          <w:lang w:val="cy-GB"/>
        </w:rPr>
      </w:pPr>
      <w:bookmarkStart w:id="0" w:name="cysill"/>
      <w:bookmarkEnd w:id="0"/>
      <w:r>
        <w:rPr>
          <w:rFonts w:ascii="Calibri" w:hAnsi="Calibri" w:cs="Calibri"/>
          <w:color w:val="000000" w:themeColor="text1"/>
          <w:lang w:val="cy-GB"/>
        </w:rPr>
        <w:t xml:space="preserve">Mae’r ardal mathamateg a ardal iaith yn pwyig iawn o fewn yr amgylchedd dysgu. Ers y fframwaith llythrennedd a rhifedd yn 2015 mae llythrennedd a rhifedd yn cael ei dysgu ar draws y cwricwlwm. Felly maent yn elfen pwysig o’r amgylchedd dysgu. Mae arddangosfeydd yn rhan o’r amgylched dysgu. Trwy cael arddanosefeydd mathemateg a llythrennedd sy’n pethnasol i’r sgil neu llynyn maent yn gwneud, mae’n medru atgyfnerthu yr hyn maent plant </w:t>
      </w:r>
      <w:r>
        <w:rPr>
          <w:rFonts w:ascii="Calibri" w:hAnsi="Calibri" w:cs="Calibri"/>
          <w:color w:val="000000" w:themeColor="text1"/>
          <w:lang w:val="cy-GB"/>
        </w:rPr>
        <w:lastRenderedPageBreak/>
        <w:t>wedi bod yn dysgu. Yn enwedig os maent yn disgwyr gweledol.</w:t>
      </w:r>
      <w:r w:rsidR="000867AA">
        <w:rPr>
          <w:rFonts w:ascii="Calibri" w:hAnsi="Calibri" w:cs="Calibri"/>
          <w:color w:val="000000" w:themeColor="text1"/>
          <w:lang w:val="cy-GB"/>
        </w:rPr>
        <w:t xml:space="preserve"> Noda Cremin a Arthur (2014) bod eich arddangosfeydd yn dweud llawer am sut ydych chi’n gweld y plant yn dysgu. </w:t>
      </w:r>
    </w:p>
    <w:p w14:paraId="4ABAC984" w14:textId="62484175" w:rsidR="000867AA" w:rsidRDefault="00EE1147" w:rsidP="00733AD7">
      <w:pPr>
        <w:spacing w:line="360" w:lineRule="auto"/>
        <w:jc w:val="both"/>
        <w:rPr>
          <w:rFonts w:ascii="Calibri" w:hAnsi="Calibri" w:cs="Calibri"/>
          <w:color w:val="000000" w:themeColor="text1"/>
          <w:lang w:val="cy-GB"/>
        </w:rPr>
      </w:pPr>
      <w:r>
        <w:rPr>
          <w:rFonts w:ascii="Calibri" w:hAnsi="Calibri" w:cs="Calibri"/>
          <w:color w:val="000000" w:themeColor="text1"/>
          <w:lang w:val="cy-GB"/>
        </w:rPr>
        <w:t>Mae datblygiad mathemategol yn un o’r mesydd dysgu y cyfnod sylfaen. Noda Pound (2008) bod darpariaeth mathemateg o fewn y dosbarth fel after yn brin gyda bwrdd a ychydig o defnyddiau megis, sgwar cant, siapiau a linell amser. Nid yw deinadol ac annog plant i ddysgu. Dylai ymafer sicrhau amgylchedd mathemateg sy’n ysgogi dysgu. Yn fy marn i mae athrawon yn buddio o cael ardal mathemateg sy’n ysgogi  dysgu oherwydd bod y plant yn brwdfrydig ac yn barod i ddysgu. Yn ol Pound (2008) mae angen i’r adral mathemtegol fod yn amgylchedd cyfothog gyda amryw o adnoddau mathemategol er mwyn i plant gwneud cysylltiadau gyda mathemateg. Nid oes angen prynu adnoddod mathemateg. Mae’n bosib i creu anoddau mathemateg sy’n rhad. Enghraifft o hyn yw defnyddio hen hongiwr dillad a pegiau dillad er mwyn dangos bondiau rhif. Yn fy’n nosbarth delfydol byddaf yn sicrhau bod yr amgylchedd a’r ardal mathemtegol yn denadol er mwyn ysgogi i plant i ddysgu yr ardal hynny.</w:t>
      </w:r>
    </w:p>
    <w:p w14:paraId="6AE8FE3E" w14:textId="77777777" w:rsidR="0086736A" w:rsidRDefault="0086736A" w:rsidP="00733AD7">
      <w:pPr>
        <w:spacing w:line="360" w:lineRule="auto"/>
        <w:jc w:val="both"/>
        <w:rPr>
          <w:rFonts w:ascii="Calibri" w:hAnsi="Calibri" w:cs="Calibri"/>
          <w:color w:val="000000" w:themeColor="text1"/>
          <w:lang w:val="cy-GB"/>
        </w:rPr>
      </w:pPr>
    </w:p>
    <w:p w14:paraId="076E77B4" w14:textId="33F2EC83"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themeColor="text1"/>
          <w:u w:val="single"/>
          <w:lang w:val="cy-GB"/>
        </w:rPr>
        <w:t>Ardal llythrennedd</w:t>
      </w:r>
    </w:p>
    <w:p w14:paraId="16BEE9DD" w14:textId="77777777" w:rsidR="0086736A" w:rsidRDefault="0086736A" w:rsidP="00733AD7">
      <w:pPr>
        <w:spacing w:line="360" w:lineRule="auto"/>
        <w:jc w:val="both"/>
        <w:rPr>
          <w:rFonts w:ascii="Calibri" w:hAnsi="Calibri" w:cs="Calibri"/>
          <w:color w:val="000000" w:themeColor="text1"/>
          <w:lang w:val="cy-GB"/>
        </w:rPr>
      </w:pPr>
    </w:p>
    <w:p w14:paraId="6EEF091A" w14:textId="14F3FC94" w:rsidR="006C7F67" w:rsidRDefault="0086736A" w:rsidP="00733AD7">
      <w:pPr>
        <w:spacing w:line="360" w:lineRule="auto"/>
        <w:jc w:val="both"/>
        <w:rPr>
          <w:rFonts w:ascii="Calibri" w:hAnsi="Calibri" w:cs="Calibri"/>
          <w:color w:val="000000" w:themeColor="text1"/>
          <w:lang w:val="cy-GB"/>
        </w:rPr>
      </w:pPr>
      <w:r>
        <w:rPr>
          <w:rFonts w:ascii="Calibri" w:hAnsi="Calibri" w:cs="Calibri"/>
          <w:color w:val="000000" w:themeColor="text1"/>
          <w:lang w:val="cy-GB"/>
        </w:rPr>
        <w:t xml:space="preserve">Mae llythrennedd  gyda rhan pwysig o’r cyfnod sylfaen. Yn ol Marsh (2005) mae technoleg digidol yn effaith ar ddatblygiad llythrnenedd plant. Fodd bynnag mae bosib defnyddio technoleg mewn moedd posifit er mwyn hyrwyddo llythrennedd. </w:t>
      </w:r>
      <w:r w:rsidR="006C7F67">
        <w:rPr>
          <w:rFonts w:ascii="Calibri" w:hAnsi="Calibri" w:cs="Calibri"/>
          <w:color w:val="000000" w:themeColor="text1"/>
          <w:lang w:val="cy-GB"/>
        </w:rPr>
        <w:t xml:space="preserve">Mae Donalson (2015) yn gweld pwysigrwydd </w:t>
      </w:r>
      <w:r>
        <w:rPr>
          <w:rFonts w:ascii="Calibri" w:hAnsi="Calibri" w:cs="Calibri"/>
          <w:color w:val="000000" w:themeColor="text1"/>
          <w:lang w:val="cy-GB"/>
        </w:rPr>
        <w:t xml:space="preserve">technoleg a chymhwysedd digidol. </w:t>
      </w:r>
      <w:r w:rsidR="006C7F67">
        <w:rPr>
          <w:rFonts w:ascii="Calibri" w:hAnsi="Calibri" w:cs="Calibri"/>
          <w:color w:val="000000" w:themeColor="text1"/>
          <w:lang w:val="cy-GB"/>
        </w:rPr>
        <w:t xml:space="preserve">Noda Dynia et al (2016) dylai’r amgylchedd llythrennedd cael amryw o llyfrau, amryw o deunyddiau ysgrifennu, amryw o denfydd technoleg ac amryw o denydd arall sy’n gysylltiedig a llythrennedd. Mae angen i’r ardal llythrenned cael digon o pethau yna er mwyn spardino addysgu. Yn yr ardal llythrennedd mae angen sicrhau bod pobeth yn yr ardal yn barod i’r plant. Dylai papur neu dasg i fod yn yr ardal gyda penciliau yn barod yn cyflawni y dasg. Dylai yn ardal llythrennedd cael yr wyddor yna er mwyn i plant medru edrych ar y gerirau os ydynt yn cael trafaeth i ffurfio llythrennau. Dylai’r meini prawf llwyddiant i fod yn glir er mwyn i’r plant cofio beth sy’n angen gwneud. Os taw ysgrifennu brawddegau am yr hydref yn cynnwys, prif llythyren, ansoddeiriau a atalnodi llawn mae angen pob yn o’r uchod i fyny ar y wall i atgoffa plant. </w:t>
      </w:r>
    </w:p>
    <w:p w14:paraId="0CFE66EA" w14:textId="77777777" w:rsidR="0086736A" w:rsidRDefault="0086736A" w:rsidP="00733AD7">
      <w:pPr>
        <w:spacing w:line="360" w:lineRule="auto"/>
        <w:jc w:val="both"/>
        <w:rPr>
          <w:rFonts w:ascii="Calibri" w:hAnsi="Calibri" w:cs="Calibri"/>
          <w:color w:val="000000" w:themeColor="text1"/>
          <w:lang w:val="cy-GB"/>
        </w:rPr>
      </w:pPr>
    </w:p>
    <w:p w14:paraId="7DA8B727" w14:textId="77777777" w:rsidR="000218E6" w:rsidRDefault="000218E6" w:rsidP="00733AD7">
      <w:pPr>
        <w:spacing w:line="360" w:lineRule="auto"/>
        <w:jc w:val="both"/>
        <w:rPr>
          <w:rFonts w:ascii="Calibri" w:hAnsi="Calibri" w:cs="Calibri"/>
          <w:color w:val="000000" w:themeColor="text1"/>
          <w:lang w:val="cy-GB"/>
        </w:rPr>
      </w:pPr>
    </w:p>
    <w:p w14:paraId="13C370F9" w14:textId="59D4A856" w:rsidR="000218E6" w:rsidRDefault="000218E6" w:rsidP="00733AD7">
      <w:pPr>
        <w:spacing w:line="360" w:lineRule="auto"/>
        <w:jc w:val="both"/>
        <w:rPr>
          <w:rFonts w:ascii="Calibri" w:hAnsi="Calibri" w:cs="Calibri"/>
          <w:color w:val="000000" w:themeColor="text1"/>
          <w:lang w:val="cy-GB"/>
        </w:rPr>
      </w:pPr>
      <w:r>
        <w:rPr>
          <w:rFonts w:ascii="Calibri" w:hAnsi="Calibri" w:cs="Calibri"/>
          <w:color w:val="000000" w:themeColor="text1"/>
          <w:lang w:val="cy-GB"/>
        </w:rPr>
        <w:lastRenderedPageBreak/>
        <w:t xml:space="preserve">Wrth dod i casgliad, trwy dadansoddi y marcio a’r adborth sy’n cael ei rhoi i’r disgyblion mae nifer o damcaniaethay dysgu yn allweddol i’r maes yma. Er hynny, mae technoleg yn ddatblygu o fewn y maes o sut mae plant yn dysgu fydd yn dylanwadu ar ein wybodaeth yn y dyfodol. Mae’r amgylchedd dysgu yn bwysig iawn gyfer ysgogi datblygiad plentyn. Mae Reggio Emila yn ystytred yr amgylchedd dysgu fel yr trydydd (Hopwood, 2017). Mae angen amgylchedd dysgu sy’n ysgogi ddysgwyr ucheleisgiol sy’n barod i ddysgu fel mae Donalson yn nodi. </w:t>
      </w:r>
    </w:p>
    <w:p w14:paraId="7E30A7E7" w14:textId="77777777" w:rsidR="00CE3F46" w:rsidRDefault="00CE3F46" w:rsidP="00733AD7">
      <w:pPr>
        <w:spacing w:line="360" w:lineRule="auto"/>
        <w:jc w:val="both"/>
        <w:rPr>
          <w:rFonts w:ascii="Calibri" w:hAnsi="Calibri" w:cs="Calibri"/>
          <w:color w:val="000000" w:themeColor="text1"/>
          <w:lang w:val="cy-GB"/>
        </w:rPr>
      </w:pPr>
    </w:p>
    <w:p w14:paraId="22228089" w14:textId="77777777" w:rsidR="00CE3F46" w:rsidRPr="004F085D" w:rsidRDefault="00CE3F46" w:rsidP="00CE3F46">
      <w:pPr>
        <w:rPr>
          <w:rFonts w:ascii="Calibri" w:hAnsi="Calibri"/>
        </w:rPr>
      </w:pPr>
      <w:r w:rsidRPr="004F085D">
        <w:rPr>
          <w:rFonts w:ascii="Calibri" w:hAnsi="Calibri"/>
        </w:rPr>
        <w:t>Cyferinodi</w:t>
      </w:r>
    </w:p>
    <w:p w14:paraId="20A9CA29" w14:textId="77777777" w:rsidR="00CE3F46" w:rsidRPr="004F085D" w:rsidRDefault="00CE3F46" w:rsidP="00CE3F46">
      <w:pPr>
        <w:rPr>
          <w:rFonts w:ascii="Calibri" w:hAnsi="Calibri"/>
        </w:rPr>
      </w:pPr>
      <w:r w:rsidRPr="004F085D">
        <w:rPr>
          <w:rFonts w:ascii="Calibri" w:hAnsi="Calibri"/>
        </w:rPr>
        <w:t xml:space="preserve">BERA (2018)  </w:t>
      </w:r>
      <w:r w:rsidRPr="004F085D">
        <w:rPr>
          <w:rFonts w:ascii="Calibri" w:hAnsi="Calibri"/>
          <w:i/>
        </w:rPr>
        <w:t>ETHICAL GUIDELINES FOR EDUCATIONAL RESEARCH. Available</w:t>
      </w:r>
      <w:r w:rsidRPr="004F085D">
        <w:rPr>
          <w:rFonts w:ascii="Calibri" w:hAnsi="Calibri"/>
        </w:rPr>
        <w:t xml:space="preserve"> at: </w:t>
      </w:r>
      <w:hyperlink r:id="rId6" w:history="1">
        <w:r w:rsidRPr="004F085D">
          <w:rPr>
            <w:rStyle w:val="Hyperlink"/>
            <w:rFonts w:ascii="Calibri" w:hAnsi="Calibri"/>
          </w:rPr>
          <w:t>file:///Users/manonjames/Downloads/BERA-Ethical-Guidelines-for-Educational-Research_4thEdn_2018.pdf</w:t>
        </w:r>
      </w:hyperlink>
      <w:r w:rsidRPr="004F085D">
        <w:rPr>
          <w:rFonts w:ascii="Calibri" w:hAnsi="Calibri"/>
        </w:rPr>
        <w:t xml:space="preserve"> (Accessed: 24th September 2018).</w:t>
      </w:r>
    </w:p>
    <w:p w14:paraId="2CBD37D3" w14:textId="77777777" w:rsidR="00CE3F46" w:rsidRPr="004F085D" w:rsidRDefault="00CE3F46" w:rsidP="00CE3F46">
      <w:pPr>
        <w:rPr>
          <w:rFonts w:ascii="Calibri" w:hAnsi="Calibri"/>
        </w:rPr>
      </w:pPr>
    </w:p>
    <w:p w14:paraId="72136494" w14:textId="77777777" w:rsidR="00CE3F46" w:rsidRPr="004F085D" w:rsidRDefault="00CE3F46" w:rsidP="00CE3F46">
      <w:pPr>
        <w:spacing w:line="360" w:lineRule="auto"/>
        <w:jc w:val="both"/>
        <w:rPr>
          <w:rFonts w:ascii="Calibri" w:hAnsi="Calibri"/>
        </w:rPr>
      </w:pPr>
    </w:p>
    <w:p w14:paraId="6D06742E" w14:textId="77777777" w:rsidR="00CE3F46" w:rsidRPr="004F085D" w:rsidRDefault="00CE3F46" w:rsidP="00CE3F46">
      <w:pPr>
        <w:spacing w:line="360" w:lineRule="auto"/>
        <w:jc w:val="both"/>
        <w:rPr>
          <w:rFonts w:ascii="Calibri" w:hAnsi="Calibri"/>
          <w:bCs/>
        </w:rPr>
      </w:pPr>
      <w:r w:rsidRPr="004F085D">
        <w:rPr>
          <w:rFonts w:ascii="Calibri" w:hAnsi="Calibri"/>
        </w:rPr>
        <w:t xml:space="preserve">Bilton, H. (2010) </w:t>
      </w:r>
      <w:r w:rsidRPr="004F085D">
        <w:rPr>
          <w:rFonts w:ascii="Calibri" w:hAnsi="Calibri"/>
          <w:bCs/>
          <w:i/>
        </w:rPr>
        <w:t>Outdoor Learning in the Early Years: Management and Innovation.</w:t>
      </w:r>
      <w:r w:rsidRPr="004F085D">
        <w:rPr>
          <w:rFonts w:ascii="Calibri" w:hAnsi="Calibri"/>
          <w:bCs/>
        </w:rPr>
        <w:t xml:space="preserve"> London: Routledge.</w:t>
      </w:r>
    </w:p>
    <w:p w14:paraId="2BA3F0A3" w14:textId="77777777" w:rsidR="00CE3F46" w:rsidRPr="004F085D" w:rsidRDefault="00CE3F46" w:rsidP="00CE3F46">
      <w:pPr>
        <w:rPr>
          <w:rFonts w:ascii="Calibri" w:hAnsi="Calibri"/>
        </w:rPr>
      </w:pPr>
    </w:p>
    <w:p w14:paraId="4B5374A8" w14:textId="77777777" w:rsidR="00CE3F46" w:rsidRPr="004F085D" w:rsidRDefault="00CE3F46" w:rsidP="00CE3F46">
      <w:pPr>
        <w:spacing w:line="360" w:lineRule="auto"/>
        <w:jc w:val="both"/>
        <w:rPr>
          <w:rFonts w:ascii="Calibri" w:hAnsi="Calibri"/>
        </w:rPr>
      </w:pPr>
    </w:p>
    <w:p w14:paraId="5BAF29E5" w14:textId="77777777" w:rsidR="00CE3F46" w:rsidRPr="004F085D" w:rsidRDefault="00CE3F46" w:rsidP="00CE3F46">
      <w:pPr>
        <w:spacing w:line="360" w:lineRule="auto"/>
        <w:jc w:val="both"/>
        <w:rPr>
          <w:rFonts w:ascii="Calibri" w:hAnsi="Calibri"/>
        </w:rPr>
      </w:pPr>
      <w:r w:rsidRPr="004F085D">
        <w:rPr>
          <w:rFonts w:ascii="Calibri" w:hAnsi="Calibri"/>
        </w:rPr>
        <w:t xml:space="preserve">Bruce, T. (gol) (2012) </w:t>
      </w:r>
      <w:r w:rsidRPr="004F085D">
        <w:rPr>
          <w:rFonts w:ascii="Calibri" w:hAnsi="Calibri"/>
          <w:i/>
        </w:rPr>
        <w:t>Early Childhood Practice: Froebel Today</w:t>
      </w:r>
      <w:r w:rsidRPr="004F085D">
        <w:rPr>
          <w:rFonts w:ascii="Calibri" w:hAnsi="Calibri"/>
        </w:rPr>
        <w:t>.London: SAGE Publication Ltd.</w:t>
      </w:r>
    </w:p>
    <w:p w14:paraId="69E7205D" w14:textId="77777777" w:rsidR="00CE3F46" w:rsidRPr="004F085D" w:rsidRDefault="00CE3F46" w:rsidP="00CE3F46">
      <w:pPr>
        <w:rPr>
          <w:rFonts w:ascii="Calibri" w:hAnsi="Calibri"/>
        </w:rPr>
      </w:pPr>
    </w:p>
    <w:p w14:paraId="62D17862" w14:textId="77777777" w:rsidR="00CE3F46" w:rsidRPr="004F085D" w:rsidRDefault="00CE3F46" w:rsidP="00CE3F46">
      <w:pPr>
        <w:rPr>
          <w:rFonts w:ascii="Calibri" w:hAnsi="Calibri"/>
        </w:rPr>
      </w:pPr>
      <w:r w:rsidRPr="004F085D">
        <w:rPr>
          <w:rFonts w:ascii="Calibri" w:hAnsi="Calibri" w:cs="Calibri"/>
          <w:color w:val="000000" w:themeColor="text1"/>
          <w:lang w:val="cy-GB"/>
        </w:rPr>
        <w:t>Comisynydd Plant Cymru (Dim dyddiad)</w:t>
      </w:r>
      <w:r w:rsidRPr="004F085D">
        <w:rPr>
          <w:rFonts w:ascii="Calibri" w:hAnsi="Calibri" w:cs="Calibri"/>
          <w:i/>
          <w:color w:val="000000" w:themeColor="text1"/>
          <w:lang w:val="cy-GB"/>
        </w:rPr>
        <w:t xml:space="preserve"> CCUHP – Hawliau Plant.</w:t>
      </w:r>
      <w:r w:rsidRPr="004F085D">
        <w:rPr>
          <w:rFonts w:ascii="Calibri" w:hAnsi="Calibri" w:cs="Calibri"/>
          <w:color w:val="000000" w:themeColor="text1"/>
          <w:lang w:val="cy-GB"/>
        </w:rPr>
        <w:t xml:space="preserve"> </w:t>
      </w:r>
      <w:r w:rsidRPr="004F085D">
        <w:rPr>
          <w:rFonts w:ascii="Calibri" w:hAnsi="Calibri"/>
        </w:rPr>
        <w:t xml:space="preserve">Available at: </w:t>
      </w:r>
      <w:hyperlink r:id="rId7" w:history="1">
        <w:r w:rsidRPr="004F085D">
          <w:rPr>
            <w:rStyle w:val="Hyperlink"/>
            <w:rFonts w:ascii="Calibri" w:hAnsi="Calibri"/>
          </w:rPr>
          <w:t>https://www.complantcymru.org.uk/ccuhp-hawliau-plant/ccuhp/</w:t>
        </w:r>
      </w:hyperlink>
      <w:r w:rsidRPr="004F085D">
        <w:rPr>
          <w:rFonts w:ascii="Calibri" w:hAnsi="Calibri"/>
        </w:rPr>
        <w:t xml:space="preserve"> (Accessed: 10 October 2018).</w:t>
      </w:r>
    </w:p>
    <w:p w14:paraId="19043753" w14:textId="77777777" w:rsidR="00CE3F46" w:rsidRPr="004F085D" w:rsidRDefault="00CE3F46" w:rsidP="00CE3F46">
      <w:pPr>
        <w:rPr>
          <w:rFonts w:ascii="Calibri" w:hAnsi="Calibri"/>
        </w:rPr>
      </w:pPr>
    </w:p>
    <w:p w14:paraId="51CB17F5" w14:textId="77777777" w:rsidR="00CE3F46" w:rsidRPr="004F085D" w:rsidRDefault="00CE3F46" w:rsidP="00CE3F46">
      <w:pPr>
        <w:rPr>
          <w:rFonts w:ascii="Calibri" w:eastAsia="Times New Roman" w:hAnsi="Calibri"/>
        </w:rPr>
      </w:pPr>
      <w:r w:rsidRPr="004F085D">
        <w:rPr>
          <w:rFonts w:ascii="Calibri" w:eastAsia="Times New Roman" w:hAnsi="Calibri"/>
        </w:rPr>
        <w:t>Coe, R. and Aloisi, C. and Higgins, S. and Major, L.E. (2014) 'What makes great teaching? Review of the underpinning research.', Project Report. Sutton Trust, London.</w:t>
      </w:r>
    </w:p>
    <w:p w14:paraId="776303AB" w14:textId="77777777" w:rsidR="00CE3F46" w:rsidRPr="004F085D" w:rsidRDefault="00CE3F46" w:rsidP="00CE3F46">
      <w:pPr>
        <w:rPr>
          <w:rFonts w:ascii="Calibri" w:hAnsi="Calibri"/>
        </w:rPr>
      </w:pPr>
    </w:p>
    <w:p w14:paraId="2C90A604" w14:textId="77777777" w:rsidR="00CE3F46" w:rsidRPr="004F085D" w:rsidRDefault="00CE3F46" w:rsidP="00CE3F46">
      <w:pPr>
        <w:rPr>
          <w:rFonts w:ascii="Calibri" w:hAnsi="Calibri"/>
        </w:rPr>
      </w:pPr>
    </w:p>
    <w:p w14:paraId="443DBAB3" w14:textId="77777777" w:rsidR="00CE3F46" w:rsidRPr="004F085D" w:rsidRDefault="00CE3F46" w:rsidP="00CE3F46">
      <w:pPr>
        <w:rPr>
          <w:rFonts w:ascii="Calibri" w:hAnsi="Calibri"/>
        </w:rPr>
      </w:pPr>
      <w:r w:rsidRPr="004F085D">
        <w:rPr>
          <w:rFonts w:ascii="Calibri" w:hAnsi="Calibri"/>
        </w:rPr>
        <w:t xml:space="preserve">Coe et al </w:t>
      </w:r>
      <w:hyperlink r:id="rId8" w:history="1">
        <w:r w:rsidRPr="004F085D">
          <w:rPr>
            <w:rStyle w:val="Hyperlink"/>
            <w:rFonts w:ascii="Calibri" w:hAnsi="Calibri"/>
          </w:rPr>
          <w:t>https://www.suttontrust.com/wp-co</w:t>
        </w:r>
        <w:r w:rsidRPr="004F085D">
          <w:rPr>
            <w:rStyle w:val="Hyperlink"/>
            <w:rFonts w:ascii="Calibri" w:hAnsi="Calibri"/>
          </w:rPr>
          <w:t>n</w:t>
        </w:r>
        <w:r w:rsidRPr="004F085D">
          <w:rPr>
            <w:rStyle w:val="Hyperlink"/>
            <w:rFonts w:ascii="Calibri" w:hAnsi="Calibri"/>
          </w:rPr>
          <w:t>tent/uploads/2014/10/What-Makes-Great-Teaching-REPORT.pdf</w:t>
        </w:r>
      </w:hyperlink>
      <w:r w:rsidRPr="004F085D">
        <w:rPr>
          <w:rFonts w:ascii="Calibri" w:hAnsi="Calibri"/>
        </w:rPr>
        <w:t xml:space="preserve"> </w:t>
      </w:r>
    </w:p>
    <w:p w14:paraId="0F30374D" w14:textId="77777777" w:rsidR="00CE3F46" w:rsidRPr="004F085D" w:rsidRDefault="00CE3F46" w:rsidP="00CE3F46">
      <w:pPr>
        <w:rPr>
          <w:rFonts w:ascii="Calibri" w:hAnsi="Calibri"/>
        </w:rPr>
      </w:pPr>
    </w:p>
    <w:p w14:paraId="47C64962" w14:textId="77777777" w:rsidR="00CE3F46" w:rsidRPr="004F085D" w:rsidRDefault="00CE3F46" w:rsidP="00CE3F46">
      <w:pPr>
        <w:rPr>
          <w:rFonts w:ascii="Calibri" w:hAnsi="Calibri"/>
        </w:rPr>
      </w:pPr>
      <w:r w:rsidRPr="004F085D">
        <w:rPr>
          <w:rFonts w:ascii="Calibri" w:hAnsi="Calibri"/>
        </w:rPr>
        <w:t xml:space="preserve">Cremin, T. and Arthur, J. (2014) </w:t>
      </w:r>
      <w:r w:rsidRPr="004F085D">
        <w:rPr>
          <w:rFonts w:ascii="Calibri" w:hAnsi="Calibri"/>
          <w:i/>
        </w:rPr>
        <w:t>Learning to Teach in the Primary School. 3</w:t>
      </w:r>
      <w:r w:rsidRPr="004F085D">
        <w:rPr>
          <w:rFonts w:ascii="Calibri" w:hAnsi="Calibri"/>
          <w:i/>
          <w:vertAlign w:val="superscript"/>
        </w:rPr>
        <w:t>rd</w:t>
      </w:r>
      <w:r w:rsidRPr="004F085D">
        <w:rPr>
          <w:rFonts w:ascii="Calibri" w:hAnsi="Calibri"/>
          <w:i/>
        </w:rPr>
        <w:t xml:space="preserve"> Edition</w:t>
      </w:r>
      <w:r w:rsidRPr="004F085D">
        <w:rPr>
          <w:rFonts w:ascii="Calibri" w:hAnsi="Calibri"/>
        </w:rPr>
        <w:t>. London: Routledge.</w:t>
      </w:r>
    </w:p>
    <w:p w14:paraId="1CFA0839" w14:textId="77777777" w:rsidR="00CE3F46" w:rsidRPr="004F085D" w:rsidRDefault="00CE3F46" w:rsidP="00CE3F46">
      <w:pPr>
        <w:rPr>
          <w:rFonts w:ascii="Calibri" w:hAnsi="Calibri"/>
        </w:rPr>
      </w:pPr>
    </w:p>
    <w:p w14:paraId="3F1A4175" w14:textId="77777777" w:rsidR="00CE3F46" w:rsidRPr="00B42B2F" w:rsidRDefault="00CE3F46" w:rsidP="00CE3F46">
      <w:pPr>
        <w:spacing w:line="360" w:lineRule="auto"/>
        <w:jc w:val="both"/>
        <w:rPr>
          <w:rFonts w:ascii="Calibri" w:eastAsia="ＭＳ 明朝" w:hAnsi="Calibri"/>
        </w:rPr>
      </w:pPr>
    </w:p>
    <w:p w14:paraId="6D4DFBAB" w14:textId="77777777" w:rsidR="00CE3F46" w:rsidRPr="00B42B2F" w:rsidRDefault="00CE3F46" w:rsidP="00CE3F46">
      <w:pPr>
        <w:spacing w:line="360" w:lineRule="auto"/>
        <w:jc w:val="both"/>
        <w:rPr>
          <w:rFonts w:ascii="Calibri" w:eastAsia="ＭＳ 明朝" w:hAnsi="Calibri"/>
        </w:rPr>
      </w:pPr>
      <w:r w:rsidRPr="00B42B2F">
        <w:rPr>
          <w:rFonts w:ascii="Calibri" w:eastAsia="ＭＳ 明朝" w:hAnsi="Calibri"/>
        </w:rPr>
        <w:t xml:space="preserve">Davis, J. (2010) </w:t>
      </w:r>
      <w:r w:rsidRPr="00B42B2F">
        <w:rPr>
          <w:rFonts w:ascii="Calibri" w:eastAsia="ＭＳ 明朝" w:hAnsi="Calibri"/>
          <w:i/>
        </w:rPr>
        <w:t>Young Children and the Environment: Early Education for Sustainability.</w:t>
      </w:r>
      <w:r w:rsidRPr="00B42B2F">
        <w:rPr>
          <w:rFonts w:ascii="Calibri" w:eastAsia="ＭＳ 明朝" w:hAnsi="Calibri"/>
        </w:rPr>
        <w:t xml:space="preserve"> Cambridge: Cambridge University Press. </w:t>
      </w:r>
    </w:p>
    <w:p w14:paraId="63BCCAFA" w14:textId="77777777" w:rsidR="00CE3F46" w:rsidRPr="004F085D" w:rsidRDefault="00CE3F46" w:rsidP="00CE3F46">
      <w:pPr>
        <w:rPr>
          <w:rFonts w:ascii="Calibri" w:hAnsi="Calibri"/>
        </w:rPr>
      </w:pPr>
    </w:p>
    <w:p w14:paraId="5CC3BC66" w14:textId="77777777" w:rsidR="00CE3F46" w:rsidRPr="004F085D" w:rsidRDefault="00CE3F46" w:rsidP="00CE3F46">
      <w:pPr>
        <w:rPr>
          <w:rFonts w:ascii="Calibri" w:hAnsi="Calibri"/>
        </w:rPr>
      </w:pPr>
    </w:p>
    <w:p w14:paraId="5C1F7E41" w14:textId="77777777" w:rsidR="00CE3F46" w:rsidRPr="004F085D" w:rsidRDefault="00CE3F46" w:rsidP="00CE3F46">
      <w:pPr>
        <w:rPr>
          <w:rFonts w:ascii="Calibri" w:hAnsi="Calibri"/>
        </w:rPr>
      </w:pPr>
      <w:r w:rsidRPr="004F085D">
        <w:rPr>
          <w:rFonts w:ascii="Calibri" w:hAnsi="Calibri"/>
          <w:lang w:val="cy-GB"/>
        </w:rPr>
        <w:lastRenderedPageBreak/>
        <w:t>(Dysgu Cymru, 2016) http://learning.gov.wales/resources/browse-all/nlnf/framework?component=literacy&amp;year=6938374_2&amp;selectedYear=col_12&amp;lang=cy</w:t>
      </w:r>
    </w:p>
    <w:p w14:paraId="3F3B5E5A" w14:textId="77777777" w:rsidR="00CE3F46" w:rsidRDefault="00CE3F46" w:rsidP="00CE3F46">
      <w:pPr>
        <w:rPr>
          <w:rFonts w:ascii="Calibri" w:hAnsi="Calibri"/>
        </w:rPr>
      </w:pPr>
    </w:p>
    <w:p w14:paraId="639F7B42" w14:textId="77777777" w:rsidR="00CE3F46" w:rsidRPr="00C266D8" w:rsidRDefault="00CE3F46" w:rsidP="00CE3F46">
      <w:pPr>
        <w:rPr>
          <w:rFonts w:ascii="Calibri" w:hAnsi="Calibri"/>
        </w:rPr>
      </w:pPr>
      <w:r w:rsidRPr="00C266D8">
        <w:rPr>
          <w:rFonts w:ascii="Calibri" w:hAnsi="Calibri"/>
        </w:rPr>
        <w:t>Dynia</w:t>
      </w:r>
      <w:r>
        <w:rPr>
          <w:rFonts w:ascii="Calibri" w:hAnsi="Calibri"/>
        </w:rPr>
        <w:t xml:space="preserve">, J., </w:t>
      </w:r>
      <w:r w:rsidRPr="00C266D8">
        <w:rPr>
          <w:rFonts w:ascii="Calibri" w:hAnsi="Calibri"/>
        </w:rPr>
        <w:t>Schachter,</w:t>
      </w:r>
      <w:r>
        <w:rPr>
          <w:rFonts w:ascii="Calibri" w:hAnsi="Calibri"/>
        </w:rPr>
        <w:t xml:space="preserve">R., </w:t>
      </w:r>
      <w:r w:rsidRPr="00C266D8">
        <w:rPr>
          <w:rFonts w:ascii="Calibri" w:hAnsi="Calibri"/>
        </w:rPr>
        <w:t>Piasta,</w:t>
      </w:r>
      <w:r>
        <w:rPr>
          <w:rFonts w:ascii="Calibri" w:hAnsi="Calibri"/>
        </w:rPr>
        <w:t xml:space="preserve">S., </w:t>
      </w:r>
      <w:r w:rsidRPr="00C266D8">
        <w:rPr>
          <w:rFonts w:ascii="Calibri" w:hAnsi="Calibri"/>
        </w:rPr>
        <w:t>Justice,</w:t>
      </w:r>
      <w:r>
        <w:rPr>
          <w:rFonts w:ascii="Calibri" w:hAnsi="Calibri"/>
        </w:rPr>
        <w:t xml:space="preserve">L.,  </w:t>
      </w:r>
      <w:r w:rsidRPr="00C266D8">
        <w:rPr>
          <w:rFonts w:ascii="Calibri" w:hAnsi="Calibri"/>
        </w:rPr>
        <w:t>O’Connell,</w:t>
      </w:r>
      <w:r>
        <w:rPr>
          <w:rFonts w:ascii="Calibri" w:hAnsi="Calibri"/>
        </w:rPr>
        <w:t xml:space="preserve"> A a </w:t>
      </w:r>
      <w:r w:rsidRPr="00C266D8">
        <w:rPr>
          <w:rFonts w:ascii="Calibri" w:hAnsi="Calibri"/>
        </w:rPr>
        <w:t>Pelatti</w:t>
      </w:r>
      <w:r>
        <w:rPr>
          <w:rFonts w:ascii="Calibri" w:hAnsi="Calibri"/>
        </w:rPr>
        <w:t>, C.(2016) ‘</w:t>
      </w:r>
      <w:r w:rsidRPr="00C266D8">
        <w:rPr>
          <w:rFonts w:ascii="Calibri" w:hAnsi="Calibri"/>
        </w:rPr>
        <w:t>An empirical investigation of the dimensionality of the physical literacy environment in early childhood classrooms</w:t>
      </w:r>
      <w:r>
        <w:rPr>
          <w:rFonts w:ascii="Calibri" w:hAnsi="Calibri"/>
        </w:rPr>
        <w:t xml:space="preserve">’, </w:t>
      </w:r>
      <w:r w:rsidRPr="00E52CB5">
        <w:rPr>
          <w:rFonts w:ascii="Calibri" w:hAnsi="Calibri"/>
          <w:i/>
        </w:rPr>
        <w:t>Journal of Early Childhood Literacy,</w:t>
      </w:r>
      <w:r>
        <w:rPr>
          <w:rFonts w:ascii="Calibri" w:hAnsi="Calibri"/>
        </w:rPr>
        <w:t xml:space="preserve"> 18, 2, tt.</w:t>
      </w:r>
      <w:r w:rsidRPr="00C266D8">
        <w:rPr>
          <w:rFonts w:ascii="Calibri" w:hAnsi="Calibri"/>
        </w:rPr>
        <w:t>239–263</w:t>
      </w:r>
      <w:r>
        <w:rPr>
          <w:rFonts w:ascii="Calibri" w:hAnsi="Calibri"/>
        </w:rPr>
        <w:t xml:space="preserve">. [Ar-lein]. Ar gael yn: </w:t>
      </w:r>
      <w:hyperlink r:id="rId9" w:history="1">
        <w:r w:rsidRPr="00FD09AA">
          <w:rPr>
            <w:rStyle w:val="Hyperlink"/>
            <w:rFonts w:ascii="Calibri" w:hAnsi="Calibri"/>
          </w:rPr>
          <w:t>https://whel-primo.hosted.exlibrisgroup.com/primo-explore/search?query=any,contains,An%20empirical%20investigation%20of%20the%20dimensionality%20of%20the%20physical%20literacy%20environment%20in%20early%20childhood&amp;tab=tab1&amp;search_scope=CSCOP_EVERYTHING&amp;vid=44WHELF_UWTSD_VU1&amp;lang=en_US&amp;offset=0</w:t>
        </w:r>
      </w:hyperlink>
      <w:r>
        <w:rPr>
          <w:rFonts w:ascii="Calibri" w:hAnsi="Calibri"/>
        </w:rPr>
        <w:t xml:space="preserve"> [Darllenwyd: 7 Hydref 2018].</w:t>
      </w:r>
    </w:p>
    <w:p w14:paraId="784887A3" w14:textId="77777777" w:rsidR="00CE3F46" w:rsidRDefault="00CE3F46" w:rsidP="00CE3F46">
      <w:pPr>
        <w:rPr>
          <w:rFonts w:ascii="Calibri" w:hAnsi="Calibri"/>
        </w:rPr>
      </w:pPr>
    </w:p>
    <w:p w14:paraId="1188714D" w14:textId="77777777" w:rsidR="00CE3F46" w:rsidRDefault="00CE3F46" w:rsidP="00CE3F46">
      <w:pPr>
        <w:rPr>
          <w:rFonts w:ascii="Calibri" w:hAnsi="Calibri"/>
        </w:rPr>
      </w:pPr>
    </w:p>
    <w:p w14:paraId="3A6F5ED4" w14:textId="77777777" w:rsidR="00CE3F46" w:rsidRPr="004F085D" w:rsidRDefault="00CE3F46" w:rsidP="00CE3F46">
      <w:pPr>
        <w:rPr>
          <w:rFonts w:ascii="Calibri" w:hAnsi="Calibri"/>
        </w:rPr>
      </w:pPr>
    </w:p>
    <w:p w14:paraId="5D95CC45" w14:textId="77777777" w:rsidR="00CE3F46" w:rsidRPr="004F085D" w:rsidRDefault="00CE3F46" w:rsidP="00CE3F46">
      <w:pPr>
        <w:rPr>
          <w:rFonts w:ascii="Calibri" w:hAnsi="Calibri"/>
        </w:rPr>
      </w:pPr>
      <w:r w:rsidRPr="004F085D">
        <w:rPr>
          <w:rFonts w:ascii="Calibri" w:hAnsi="Calibri"/>
        </w:rPr>
        <w:t xml:space="preserve">Estyn (2017) </w:t>
      </w:r>
      <w:r w:rsidRPr="004F085D">
        <w:rPr>
          <w:rFonts w:ascii="Calibri" w:hAnsi="Calibri"/>
          <w:i/>
        </w:rPr>
        <w:t>A report on Ysgol Llanhari.</w:t>
      </w:r>
      <w:r w:rsidRPr="004F085D">
        <w:rPr>
          <w:rFonts w:ascii="Calibri" w:hAnsi="Calibri"/>
        </w:rPr>
        <w:t xml:space="preserve"> Available at: </w:t>
      </w:r>
      <w:hyperlink r:id="rId10" w:history="1">
        <w:r w:rsidRPr="004F085D">
          <w:rPr>
            <w:rStyle w:val="Hyperlink"/>
            <w:rFonts w:ascii="Calibri" w:hAnsi="Calibri"/>
          </w:rPr>
          <w:t>https://www.estyn.gov.wales/sites/default/files/documents/Ysgol%20Llanhari%20en.pdf</w:t>
        </w:r>
      </w:hyperlink>
      <w:r w:rsidRPr="004F085D">
        <w:rPr>
          <w:rFonts w:ascii="Calibri" w:hAnsi="Calibri"/>
        </w:rPr>
        <w:t xml:space="preserve"> (Accessed: 23rd September 2018).</w:t>
      </w:r>
    </w:p>
    <w:p w14:paraId="56CA6A6D" w14:textId="77777777" w:rsidR="00CE3F46" w:rsidRPr="004F085D" w:rsidRDefault="00CE3F46" w:rsidP="00CE3F46">
      <w:pPr>
        <w:rPr>
          <w:rFonts w:ascii="Calibri" w:hAnsi="Calibri"/>
        </w:rPr>
      </w:pPr>
    </w:p>
    <w:p w14:paraId="2E61BF00" w14:textId="77777777" w:rsidR="00CE3F46" w:rsidRPr="004F085D" w:rsidRDefault="00CE3F46" w:rsidP="00CE3F46">
      <w:pPr>
        <w:rPr>
          <w:rFonts w:ascii="Calibri" w:hAnsi="Calibri"/>
        </w:rPr>
      </w:pPr>
      <w:r w:rsidRPr="004F085D">
        <w:rPr>
          <w:rFonts w:ascii="Calibri" w:hAnsi="Calibri"/>
        </w:rPr>
        <w:t xml:space="preserve">Grigg, R. (2010) </w:t>
      </w:r>
      <w:r w:rsidRPr="004F085D">
        <w:rPr>
          <w:rFonts w:ascii="Calibri" w:hAnsi="Calibri"/>
          <w:i/>
        </w:rPr>
        <w:t>Becoming An Outstanding Primary School Teacher</w:t>
      </w:r>
      <w:r w:rsidRPr="004F085D">
        <w:rPr>
          <w:rFonts w:ascii="Calibri" w:hAnsi="Calibri"/>
        </w:rPr>
        <w:t>. Harlow: Pearson Education Limited.</w:t>
      </w:r>
    </w:p>
    <w:p w14:paraId="76E92FF3" w14:textId="77777777" w:rsidR="00CE3F46" w:rsidRPr="004F085D" w:rsidRDefault="00CE3F46" w:rsidP="00CE3F46">
      <w:pPr>
        <w:rPr>
          <w:rFonts w:ascii="Calibri" w:hAnsi="Calibri"/>
        </w:rPr>
      </w:pPr>
    </w:p>
    <w:p w14:paraId="6AE16C05" w14:textId="77777777" w:rsidR="00CE3F46" w:rsidRPr="004F085D" w:rsidRDefault="00CE3F46" w:rsidP="00CE3F46">
      <w:pPr>
        <w:rPr>
          <w:rFonts w:ascii="Calibri" w:hAnsi="Calibri"/>
        </w:rPr>
      </w:pPr>
      <w:r w:rsidRPr="004F085D">
        <w:rPr>
          <w:rFonts w:ascii="Calibri" w:hAnsi="Calibri"/>
        </w:rPr>
        <w:t>Hattie</w:t>
      </w:r>
    </w:p>
    <w:p w14:paraId="64F9E7A3" w14:textId="77777777" w:rsidR="00CE3F46" w:rsidRPr="004F085D" w:rsidRDefault="00CE3F46" w:rsidP="00CE3F46">
      <w:pPr>
        <w:rPr>
          <w:rFonts w:ascii="Calibri" w:hAnsi="Calibri"/>
        </w:rPr>
      </w:pPr>
    </w:p>
    <w:p w14:paraId="623840BD" w14:textId="77777777" w:rsidR="00CE3F46" w:rsidRPr="004F085D" w:rsidRDefault="00CE3F46" w:rsidP="00CE3F46">
      <w:pPr>
        <w:rPr>
          <w:rFonts w:ascii="Calibri" w:hAnsi="Calibri"/>
        </w:rPr>
      </w:pPr>
      <w:r w:rsidRPr="004F085D">
        <w:rPr>
          <w:rFonts w:ascii="Calibri" w:hAnsi="Calibri"/>
        </w:rPr>
        <w:t>Hopwood, M. (Gol) (2017) Llawlyfr Darpar Athrawon Cymru, Prifysgol Cymru Y Drindod Dewi Sant: Caerfyrddin</w:t>
      </w:r>
    </w:p>
    <w:p w14:paraId="23187B69" w14:textId="77777777" w:rsidR="00CE3F46" w:rsidRPr="004F085D" w:rsidRDefault="00CE3F46" w:rsidP="00CE3F46">
      <w:pPr>
        <w:rPr>
          <w:rFonts w:ascii="Calibri" w:hAnsi="Calibri"/>
        </w:rPr>
      </w:pPr>
    </w:p>
    <w:p w14:paraId="7D43426F" w14:textId="77777777" w:rsidR="00CE3F46" w:rsidRPr="004F085D" w:rsidRDefault="00CE3F46" w:rsidP="00CE3F46">
      <w:pPr>
        <w:rPr>
          <w:rFonts w:ascii="Calibri" w:eastAsia="Times New Roman" w:hAnsi="Calibri"/>
        </w:rPr>
      </w:pPr>
      <w:r w:rsidRPr="004F085D">
        <w:rPr>
          <w:rFonts w:ascii="Calibri" w:hAnsi="Calibri"/>
        </w:rPr>
        <w:t xml:space="preserve">Llywodraeth Cymru (2013) </w:t>
      </w:r>
      <w:r w:rsidRPr="004F085D">
        <w:rPr>
          <w:rFonts w:ascii="Calibri" w:eastAsia="Times New Roman" w:hAnsi="Calibri"/>
        </w:rPr>
        <w:t xml:space="preserve">Asesu ar gyfer dysgu a’r Fframwaith Llythrennedd a Rhifedd Cenedlaethol. Available at: </w:t>
      </w:r>
      <w:hyperlink r:id="rId11" w:history="1">
        <w:r w:rsidRPr="004F085D">
          <w:rPr>
            <w:rStyle w:val="Hyperlink"/>
            <w:rFonts w:ascii="Calibri" w:eastAsia="Times New Roman" w:hAnsi="Calibri"/>
          </w:rPr>
          <w:t>http://learning.gov.wales/docs/learningwales/publications/131104-assessment-for-learning-and-the-nlnf-cy.pdf</w:t>
        </w:r>
      </w:hyperlink>
      <w:r w:rsidRPr="004F085D">
        <w:rPr>
          <w:rFonts w:ascii="Calibri" w:eastAsia="Times New Roman" w:hAnsi="Calibri"/>
        </w:rPr>
        <w:t xml:space="preserve"> (Accessed: 28th September 2018).</w:t>
      </w:r>
    </w:p>
    <w:p w14:paraId="18588D9E" w14:textId="77777777" w:rsidR="00CE3F46" w:rsidRPr="004F085D" w:rsidRDefault="00CE3F46" w:rsidP="00CE3F46">
      <w:pPr>
        <w:rPr>
          <w:rFonts w:ascii="Calibri" w:eastAsia="Times New Roman" w:hAnsi="Calibri"/>
        </w:rPr>
      </w:pPr>
    </w:p>
    <w:p w14:paraId="183DB274" w14:textId="77777777" w:rsidR="00CE3F46" w:rsidRDefault="00CE3F46" w:rsidP="00CE3F46">
      <w:pPr>
        <w:rPr>
          <w:rFonts w:ascii="Calibri" w:eastAsia="Times New Roman" w:hAnsi="Calibri"/>
        </w:rPr>
      </w:pPr>
      <w:r w:rsidRPr="004F085D">
        <w:rPr>
          <w:rFonts w:ascii="Calibri" w:hAnsi="Calibri"/>
        </w:rPr>
        <w:t xml:space="preserve">Llywodraeth Cymru (2015) Fframwaith y Cyfnod Sylfaen (Diwygiedig 2015). Available at </w:t>
      </w:r>
      <w:hyperlink r:id="rId12" w:history="1">
        <w:r w:rsidRPr="004F085D">
          <w:rPr>
            <w:rStyle w:val="Hyperlink"/>
            <w:rFonts w:ascii="Calibri" w:hAnsi="Calibri"/>
          </w:rPr>
          <w:t>http://learning.gov.wales/docs/learningwales/publications/150803-fp-framework-cy.pdf</w:t>
        </w:r>
      </w:hyperlink>
      <w:r w:rsidRPr="004F085D">
        <w:rPr>
          <w:rFonts w:ascii="Calibri" w:hAnsi="Calibri"/>
        </w:rPr>
        <w:t xml:space="preserve"> </w:t>
      </w:r>
      <w:r w:rsidRPr="004F085D">
        <w:rPr>
          <w:rFonts w:ascii="Calibri" w:eastAsia="Times New Roman" w:hAnsi="Calibri"/>
        </w:rPr>
        <w:t>(Accessed: 5th October 2018).</w:t>
      </w:r>
    </w:p>
    <w:p w14:paraId="11F3CDA2" w14:textId="77777777" w:rsidR="00CE3F46" w:rsidRDefault="00CE3F46" w:rsidP="00CE3F46">
      <w:pPr>
        <w:rPr>
          <w:rFonts w:ascii="Calibri" w:eastAsia="Times New Roman" w:hAnsi="Calibri"/>
        </w:rPr>
      </w:pPr>
    </w:p>
    <w:p w14:paraId="512469E3" w14:textId="77777777" w:rsidR="00CE3F46" w:rsidRPr="004F085D" w:rsidRDefault="00CE3F46" w:rsidP="00CE3F46">
      <w:pPr>
        <w:rPr>
          <w:rFonts w:ascii="Calibri" w:eastAsia="Times New Roman" w:hAnsi="Calibri"/>
        </w:rPr>
      </w:pPr>
      <w:r>
        <w:rPr>
          <w:rFonts w:ascii="Calibri" w:eastAsia="Times New Roman" w:hAnsi="Calibri"/>
        </w:rPr>
        <w:t xml:space="preserve">Marsh, J. (2005) </w:t>
      </w:r>
      <w:r w:rsidRPr="00C266D8">
        <w:rPr>
          <w:rFonts w:ascii="Calibri" w:eastAsia="Times New Roman" w:hAnsi="Calibri"/>
        </w:rPr>
        <w:t>https://books.google.co.uk/books?hl=en&amp;lr=&amp;id=6dMWD_62AC0C&amp;oi=fnd&amp;pg=PR8&amp;dq=early+childhood+and+literacy&amp;ots=V97xbkK83r&amp;sig=HC_h2EQo_Q1DdlSwWaUszKdFHC8#v=onepage&amp;q=early%20childhood%20and%20literacy&amp;f=false</w:t>
      </w:r>
    </w:p>
    <w:p w14:paraId="7CFEFF7B" w14:textId="77777777" w:rsidR="00CE3F46" w:rsidRPr="004F085D" w:rsidRDefault="00CE3F46" w:rsidP="00CE3F46">
      <w:pPr>
        <w:rPr>
          <w:rFonts w:ascii="Calibri" w:hAnsi="Calibri"/>
        </w:rPr>
      </w:pPr>
    </w:p>
    <w:p w14:paraId="5D9BFF9A" w14:textId="77777777" w:rsidR="00CE3F46" w:rsidRPr="004F085D" w:rsidRDefault="00CE3F46" w:rsidP="00CE3F46">
      <w:pPr>
        <w:shd w:val="clear" w:color="auto" w:fill="FFFFFF"/>
        <w:rPr>
          <w:rFonts w:ascii="Calibri" w:hAnsi="Calibri"/>
        </w:rPr>
      </w:pPr>
      <w:r w:rsidRPr="004F085D">
        <w:rPr>
          <w:rFonts w:ascii="Calibri" w:hAnsi="Calibri"/>
        </w:rPr>
        <w:t xml:space="preserve">Mckinsey (2007) </w:t>
      </w:r>
      <w:r w:rsidRPr="004F085D">
        <w:rPr>
          <w:rFonts w:ascii="Calibri" w:hAnsi="Calibri"/>
          <w:i/>
        </w:rPr>
        <w:t xml:space="preserve">How the world’s best-performing school systems come out on top. </w:t>
      </w:r>
      <w:r w:rsidRPr="004F085D">
        <w:rPr>
          <w:rFonts w:ascii="Calibri" w:hAnsi="Calibri"/>
        </w:rPr>
        <w:t xml:space="preserve">Available at: </w:t>
      </w:r>
      <w:hyperlink r:id="rId13" w:history="1">
        <w:r w:rsidRPr="004F085D">
          <w:rPr>
            <w:rStyle w:val="Hyperlink"/>
            <w:rFonts w:ascii="Calibri" w:eastAsia="Times New Roman" w:hAnsi="Calibri" w:cs="Arial"/>
          </w:rPr>
          <w:t>https://www.mckinsey.com/~/media/mckinsey/industries/social%20sector/our%20insights/how%20the%20worlds%20best%20performing%20school%20systems%20come%20out%20on%20top/how_the_world_s_best performing_school_systems_come_out_on_top.ashx</w:t>
        </w:r>
      </w:hyperlink>
      <w:r w:rsidRPr="004F085D">
        <w:rPr>
          <w:rFonts w:ascii="Calibri" w:eastAsia="Times New Roman" w:hAnsi="Calibri" w:cs="Arial"/>
          <w:color w:val="222222"/>
        </w:rPr>
        <w:t xml:space="preserve"> </w:t>
      </w:r>
      <w:r w:rsidRPr="004F085D">
        <w:rPr>
          <w:rFonts w:ascii="Calibri" w:hAnsi="Calibri"/>
        </w:rPr>
        <w:t>(Accessed: 24th September 2018).</w:t>
      </w:r>
    </w:p>
    <w:p w14:paraId="44A9A2C4" w14:textId="77777777" w:rsidR="00CE3F46" w:rsidRPr="004F085D" w:rsidRDefault="00CE3F46" w:rsidP="00CE3F46">
      <w:pPr>
        <w:shd w:val="clear" w:color="auto" w:fill="FFFFFF"/>
        <w:rPr>
          <w:rFonts w:ascii="Calibri" w:hAnsi="Calibri"/>
        </w:rPr>
      </w:pPr>
    </w:p>
    <w:p w14:paraId="3AD621A7" w14:textId="77777777" w:rsidR="00CE3F46" w:rsidRPr="004F085D" w:rsidRDefault="00CE3F46" w:rsidP="00CE3F46">
      <w:pPr>
        <w:shd w:val="clear" w:color="auto" w:fill="FFFFFF"/>
        <w:rPr>
          <w:rFonts w:ascii="Calibri" w:hAnsi="Calibri"/>
        </w:rPr>
      </w:pPr>
      <w:r w:rsidRPr="004F085D">
        <w:rPr>
          <w:rFonts w:ascii="Calibri" w:hAnsi="Calibri"/>
        </w:rPr>
        <w:lastRenderedPageBreak/>
        <w:t xml:space="preserve">Montessori Academy (2017) Repetition and Child Development in Montessori Education </w:t>
      </w:r>
      <w:r w:rsidRPr="004F085D">
        <w:rPr>
          <w:rFonts w:ascii="Calibri" w:eastAsia="Times New Roman" w:hAnsi="Calibri"/>
        </w:rPr>
        <w:t xml:space="preserve">Available at: https://montessoriacademy.com.au/repetition-child-development-montessori/ </w:t>
      </w:r>
      <w:r w:rsidRPr="004F085D">
        <w:rPr>
          <w:rFonts w:ascii="Calibri" w:hAnsi="Calibri"/>
        </w:rPr>
        <w:t>(Accessed: 1</w:t>
      </w:r>
      <w:r w:rsidRPr="004F085D">
        <w:rPr>
          <w:rFonts w:ascii="Calibri" w:hAnsi="Calibri"/>
          <w:vertAlign w:val="superscript"/>
        </w:rPr>
        <w:t>st</w:t>
      </w:r>
      <w:r w:rsidRPr="004F085D">
        <w:rPr>
          <w:rFonts w:ascii="Calibri" w:hAnsi="Calibri"/>
        </w:rPr>
        <w:t xml:space="preserve"> October 2018).</w:t>
      </w:r>
    </w:p>
    <w:p w14:paraId="43D5E573" w14:textId="77777777" w:rsidR="00CE3F46" w:rsidRPr="004F085D" w:rsidRDefault="00CE3F46" w:rsidP="00CE3F46">
      <w:pPr>
        <w:shd w:val="clear" w:color="auto" w:fill="FFFFFF"/>
        <w:rPr>
          <w:rFonts w:ascii="Calibri" w:hAnsi="Calibri"/>
        </w:rPr>
      </w:pPr>
    </w:p>
    <w:p w14:paraId="7FD04830" w14:textId="77777777" w:rsidR="00CE3F46" w:rsidRPr="004F085D" w:rsidRDefault="00CE3F46" w:rsidP="00CE3F46">
      <w:pPr>
        <w:shd w:val="clear" w:color="auto" w:fill="FFFFFF"/>
        <w:rPr>
          <w:rFonts w:ascii="Calibri" w:eastAsia="Times New Roman" w:hAnsi="Calibri" w:cs="Arial"/>
          <w:color w:val="222222"/>
        </w:rPr>
      </w:pPr>
      <w:r w:rsidRPr="004F085D">
        <w:rPr>
          <w:rFonts w:ascii="Calibri" w:hAnsi="Calibri"/>
        </w:rPr>
        <w:t xml:space="preserve">Paloilogou, I. (2009) </w:t>
      </w:r>
      <w:r w:rsidRPr="004F085D">
        <w:rPr>
          <w:rFonts w:ascii="Calibri" w:hAnsi="Calibri"/>
          <w:i/>
        </w:rPr>
        <w:t>Childhood Observation</w:t>
      </w:r>
      <w:r w:rsidRPr="004F085D">
        <w:rPr>
          <w:rFonts w:ascii="Calibri" w:hAnsi="Calibri"/>
        </w:rPr>
        <w:t>. Exeter: Learning Matters.</w:t>
      </w:r>
    </w:p>
    <w:p w14:paraId="746E4A5A" w14:textId="77777777" w:rsidR="00CE3F46" w:rsidRDefault="00CE3F46" w:rsidP="00CE3F46">
      <w:pPr>
        <w:rPr>
          <w:rFonts w:ascii="Calibri" w:eastAsia="Times New Roman" w:hAnsi="Calibri"/>
        </w:rPr>
      </w:pPr>
    </w:p>
    <w:p w14:paraId="462754B5" w14:textId="77777777" w:rsidR="00CE3F46" w:rsidRPr="004F085D" w:rsidRDefault="00CE3F46" w:rsidP="00CE3F46">
      <w:pPr>
        <w:rPr>
          <w:rFonts w:ascii="Calibri" w:eastAsia="Times New Roman" w:hAnsi="Calibri"/>
        </w:rPr>
      </w:pPr>
      <w:r>
        <w:rPr>
          <w:rFonts w:ascii="Calibri" w:eastAsia="Times New Roman" w:hAnsi="Calibri"/>
        </w:rPr>
        <w:t xml:space="preserve">Pound, L. (2008) </w:t>
      </w:r>
      <w:r w:rsidRPr="00C266D8">
        <w:rPr>
          <w:rFonts w:ascii="Calibri" w:eastAsia="Times New Roman" w:hAnsi="Calibri"/>
          <w:i/>
        </w:rPr>
        <w:t>Thinking and learning about mathematics in the early years.</w:t>
      </w:r>
      <w:r>
        <w:rPr>
          <w:rFonts w:ascii="Calibri" w:eastAsia="Times New Roman" w:hAnsi="Calibri"/>
        </w:rPr>
        <w:t xml:space="preserve"> </w:t>
      </w:r>
      <w:r w:rsidRPr="004F085D">
        <w:rPr>
          <w:rFonts w:ascii="Calibri" w:hAnsi="Calibri" w:cs="Arial"/>
        </w:rPr>
        <w:t>Routledge: London.</w:t>
      </w:r>
    </w:p>
    <w:p w14:paraId="6DE980E3" w14:textId="77777777" w:rsidR="00CE3F46" w:rsidRPr="004F085D" w:rsidRDefault="00CE3F46" w:rsidP="00CE3F46">
      <w:pPr>
        <w:rPr>
          <w:rFonts w:ascii="Calibri" w:eastAsia="Times New Roman" w:hAnsi="Calibri"/>
        </w:rPr>
      </w:pPr>
    </w:p>
    <w:p w14:paraId="32027C34" w14:textId="77777777" w:rsidR="00CE3F46" w:rsidRPr="004F085D" w:rsidRDefault="00CE3F46" w:rsidP="00CE3F46">
      <w:pPr>
        <w:rPr>
          <w:rFonts w:ascii="Calibri" w:eastAsia="Times New Roman" w:hAnsi="Calibri"/>
        </w:rPr>
      </w:pPr>
      <w:r w:rsidRPr="004F085D">
        <w:rPr>
          <w:rFonts w:ascii="Calibri" w:eastAsia="Times New Roman" w:hAnsi="Calibri"/>
        </w:rPr>
        <w:t>https://www.rdc.udel.edu/wp-content/uploads/2015/04/InsideBlackBox.pdf</w:t>
      </w:r>
    </w:p>
    <w:p w14:paraId="2463948F" w14:textId="77777777" w:rsidR="00CE3F46" w:rsidRPr="004F085D" w:rsidRDefault="00CE3F46" w:rsidP="00CE3F46">
      <w:pPr>
        <w:rPr>
          <w:rFonts w:ascii="Calibri" w:hAnsi="Calibri"/>
        </w:rPr>
      </w:pPr>
      <w:r w:rsidRPr="004F085D">
        <w:rPr>
          <w:rFonts w:ascii="Calibri" w:hAnsi="Calibri"/>
        </w:rPr>
        <w:t xml:space="preserve">Sadlers, D. R. (1989) ‘Formative assessment and the design of instructional systems’, </w:t>
      </w:r>
      <w:r w:rsidRPr="004F085D">
        <w:rPr>
          <w:rFonts w:ascii="Calibri" w:hAnsi="Calibri"/>
          <w:i/>
        </w:rPr>
        <w:t>Instructional Science</w:t>
      </w:r>
      <w:r w:rsidRPr="004F085D">
        <w:rPr>
          <w:rFonts w:ascii="Calibri" w:hAnsi="Calibri"/>
        </w:rPr>
        <w:t>, 18: 119-44</w:t>
      </w:r>
    </w:p>
    <w:p w14:paraId="1B46F83C" w14:textId="77777777" w:rsidR="00CE3F46" w:rsidRPr="004F085D" w:rsidRDefault="00CE3F46" w:rsidP="00CE3F46">
      <w:pPr>
        <w:rPr>
          <w:rFonts w:ascii="Calibri" w:hAnsi="Calibri"/>
        </w:rPr>
      </w:pPr>
    </w:p>
    <w:p w14:paraId="0CADD7D0" w14:textId="77777777" w:rsidR="00CE3F46" w:rsidRPr="004F085D" w:rsidRDefault="00CE3F46" w:rsidP="00CE3F46">
      <w:pPr>
        <w:rPr>
          <w:rFonts w:ascii="Calibri" w:hAnsi="Calibri"/>
        </w:rPr>
      </w:pPr>
    </w:p>
    <w:p w14:paraId="043CFB04" w14:textId="77777777" w:rsidR="00CE3F46" w:rsidRPr="004F085D" w:rsidRDefault="00CE3F46" w:rsidP="00CE3F46">
      <w:pPr>
        <w:spacing w:line="360" w:lineRule="auto"/>
        <w:jc w:val="both"/>
        <w:rPr>
          <w:rFonts w:ascii="Calibri" w:hAnsi="Calibri" w:cs="Arial"/>
        </w:rPr>
      </w:pPr>
      <w:r w:rsidRPr="004F085D">
        <w:rPr>
          <w:rFonts w:ascii="Calibri" w:hAnsi="Calibri" w:cs="Arial"/>
        </w:rPr>
        <w:t xml:space="preserve">Wellhousen, K. (2002) </w:t>
      </w:r>
      <w:r w:rsidRPr="004F085D">
        <w:rPr>
          <w:rFonts w:ascii="Calibri" w:hAnsi="Calibri" w:cs="Arial"/>
          <w:i/>
        </w:rPr>
        <w:t>Outdoor Play Every Day: Innovative Play Concepts for Early Childhood.</w:t>
      </w:r>
      <w:r w:rsidRPr="004F085D">
        <w:rPr>
          <w:rFonts w:ascii="Calibri" w:hAnsi="Calibri" w:cs="Arial"/>
        </w:rPr>
        <w:t xml:space="preserve"> Albany: New York.</w:t>
      </w:r>
    </w:p>
    <w:p w14:paraId="327681A0" w14:textId="77777777" w:rsidR="00CE3F46" w:rsidRPr="004F085D" w:rsidRDefault="00CE3F46" w:rsidP="00CE3F46">
      <w:pPr>
        <w:spacing w:line="360" w:lineRule="auto"/>
        <w:jc w:val="both"/>
        <w:rPr>
          <w:rFonts w:ascii="Calibri" w:hAnsi="Calibri" w:cs="Arial"/>
        </w:rPr>
      </w:pPr>
    </w:p>
    <w:p w14:paraId="0757A14F" w14:textId="77777777" w:rsidR="00CE3F46" w:rsidRPr="004F085D" w:rsidRDefault="00CE3F46" w:rsidP="00CE3F46">
      <w:pPr>
        <w:spacing w:line="360" w:lineRule="auto"/>
        <w:jc w:val="both"/>
        <w:rPr>
          <w:rFonts w:ascii="Calibri" w:hAnsi="Calibri" w:cs="Arial"/>
        </w:rPr>
      </w:pPr>
      <w:r w:rsidRPr="004F085D">
        <w:rPr>
          <w:rFonts w:ascii="Calibri" w:hAnsi="Calibri" w:cs="Arial"/>
        </w:rPr>
        <w:t xml:space="preserve">Hammersley-Fletcher, F., Lowe M., a Pugh J. </w:t>
      </w:r>
      <w:r w:rsidRPr="004F085D">
        <w:rPr>
          <w:rFonts w:ascii="Calibri" w:hAnsi="Calibri" w:cs="Arial"/>
          <w:i/>
        </w:rPr>
        <w:t>The teaching assistant's guide an essential textbook for foundation degree students</w:t>
      </w:r>
      <w:r w:rsidRPr="004F085D">
        <w:rPr>
          <w:rFonts w:ascii="Calibri" w:hAnsi="Calibri" w:cs="Arial"/>
        </w:rPr>
        <w:t>. Routledge: London.</w:t>
      </w:r>
    </w:p>
    <w:p w14:paraId="2BA633EB" w14:textId="77777777" w:rsidR="00CE3F46" w:rsidRPr="00733AD7" w:rsidRDefault="00CE3F46" w:rsidP="00733AD7">
      <w:pPr>
        <w:spacing w:line="360" w:lineRule="auto"/>
        <w:jc w:val="both"/>
        <w:rPr>
          <w:rFonts w:ascii="Calibri" w:hAnsi="Calibri" w:cs="Calibri"/>
          <w:color w:val="000000" w:themeColor="text1"/>
          <w:lang w:val="cy-GB"/>
        </w:rPr>
      </w:pPr>
      <w:bookmarkStart w:id="1" w:name="_GoBack"/>
      <w:bookmarkEnd w:id="1"/>
    </w:p>
    <w:sectPr w:rsidR="00CE3F46" w:rsidRPr="00733AD7" w:rsidSect="001D5D49">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0F8F2" w14:textId="77777777" w:rsidR="00E46B8D" w:rsidRDefault="00E46B8D" w:rsidP="00995E08">
      <w:r>
        <w:separator/>
      </w:r>
    </w:p>
  </w:endnote>
  <w:endnote w:type="continuationSeparator" w:id="0">
    <w:p w14:paraId="5CFA9C45" w14:textId="77777777" w:rsidR="00E46B8D" w:rsidRDefault="00E46B8D" w:rsidP="00995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FD4A6" w14:textId="77777777" w:rsidR="00995E08" w:rsidRDefault="00995E08" w:rsidP="00285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DC1E4" w14:textId="77777777" w:rsidR="00995E08" w:rsidRDefault="00995E08" w:rsidP="00995E0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BD775" w14:textId="77777777" w:rsidR="00995E08" w:rsidRDefault="00995E08" w:rsidP="00285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3F46">
      <w:rPr>
        <w:rStyle w:val="PageNumber"/>
        <w:noProof/>
      </w:rPr>
      <w:t>1</w:t>
    </w:r>
    <w:r>
      <w:rPr>
        <w:rStyle w:val="PageNumber"/>
      </w:rPr>
      <w:fldChar w:fldCharType="end"/>
    </w:r>
  </w:p>
  <w:p w14:paraId="39C58489" w14:textId="77777777" w:rsidR="00995E08" w:rsidRDefault="00995E08" w:rsidP="00995E0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1BDBD" w14:textId="77777777" w:rsidR="00E46B8D" w:rsidRDefault="00E46B8D" w:rsidP="00995E08">
      <w:r>
        <w:separator/>
      </w:r>
    </w:p>
  </w:footnote>
  <w:footnote w:type="continuationSeparator" w:id="0">
    <w:p w14:paraId="617055CA" w14:textId="77777777" w:rsidR="00E46B8D" w:rsidRDefault="00E46B8D" w:rsidP="00995E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C6F38" w14:textId="77777777" w:rsidR="00995E08" w:rsidRDefault="00995E08">
    <w:pPr>
      <w:pStyle w:val="Header"/>
    </w:pPr>
    <w:r>
      <w:tab/>
      <w:t xml:space="preserve">         </w:t>
    </w:r>
    <w:r>
      <w:tab/>
      <w:t>1300602</w:t>
    </w:r>
  </w:p>
  <w:p w14:paraId="4A53BC44" w14:textId="77777777" w:rsidR="00995E08" w:rsidRDefault="00995E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E08"/>
    <w:rsid w:val="000056E6"/>
    <w:rsid w:val="000104E1"/>
    <w:rsid w:val="000218E6"/>
    <w:rsid w:val="0004355B"/>
    <w:rsid w:val="000630FA"/>
    <w:rsid w:val="00082CE2"/>
    <w:rsid w:val="000867AA"/>
    <w:rsid w:val="000B5513"/>
    <w:rsid w:val="000B70C6"/>
    <w:rsid w:val="000D047D"/>
    <w:rsid w:val="000D44A2"/>
    <w:rsid w:val="000E1D9E"/>
    <w:rsid w:val="000F2740"/>
    <w:rsid w:val="00103F3A"/>
    <w:rsid w:val="00106F4E"/>
    <w:rsid w:val="0010776B"/>
    <w:rsid w:val="00132557"/>
    <w:rsid w:val="0013661C"/>
    <w:rsid w:val="00143C3E"/>
    <w:rsid w:val="00152CE0"/>
    <w:rsid w:val="00160B95"/>
    <w:rsid w:val="00165624"/>
    <w:rsid w:val="00171D46"/>
    <w:rsid w:val="001832F6"/>
    <w:rsid w:val="00190F54"/>
    <w:rsid w:val="0019154D"/>
    <w:rsid w:val="001A37C9"/>
    <w:rsid w:val="001B1768"/>
    <w:rsid w:val="001C2442"/>
    <w:rsid w:val="001C6491"/>
    <w:rsid w:val="001C6BBC"/>
    <w:rsid w:val="001D5D49"/>
    <w:rsid w:val="001E406C"/>
    <w:rsid w:val="001F0530"/>
    <w:rsid w:val="001F40C3"/>
    <w:rsid w:val="002043D6"/>
    <w:rsid w:val="00232E59"/>
    <w:rsid w:val="00265636"/>
    <w:rsid w:val="002721BF"/>
    <w:rsid w:val="002733F3"/>
    <w:rsid w:val="0028286A"/>
    <w:rsid w:val="002856E3"/>
    <w:rsid w:val="002D3671"/>
    <w:rsid w:val="002D68D6"/>
    <w:rsid w:val="002E7A4B"/>
    <w:rsid w:val="002F2496"/>
    <w:rsid w:val="0033002C"/>
    <w:rsid w:val="00351641"/>
    <w:rsid w:val="00353016"/>
    <w:rsid w:val="00354B5B"/>
    <w:rsid w:val="00375F2D"/>
    <w:rsid w:val="00385CB3"/>
    <w:rsid w:val="00386C63"/>
    <w:rsid w:val="003879F6"/>
    <w:rsid w:val="003B2719"/>
    <w:rsid w:val="003B5EA2"/>
    <w:rsid w:val="003C7FBE"/>
    <w:rsid w:val="003D237B"/>
    <w:rsid w:val="003D2EE7"/>
    <w:rsid w:val="003D669B"/>
    <w:rsid w:val="003F1006"/>
    <w:rsid w:val="003F1A1D"/>
    <w:rsid w:val="003F4B2C"/>
    <w:rsid w:val="004113A8"/>
    <w:rsid w:val="0043556F"/>
    <w:rsid w:val="004458A4"/>
    <w:rsid w:val="00450347"/>
    <w:rsid w:val="004551B2"/>
    <w:rsid w:val="0047054D"/>
    <w:rsid w:val="00472F9E"/>
    <w:rsid w:val="004B1ABF"/>
    <w:rsid w:val="004B2D49"/>
    <w:rsid w:val="004D2820"/>
    <w:rsid w:val="004D53CC"/>
    <w:rsid w:val="004D68A8"/>
    <w:rsid w:val="005051F9"/>
    <w:rsid w:val="00505C2F"/>
    <w:rsid w:val="00514C00"/>
    <w:rsid w:val="005166AA"/>
    <w:rsid w:val="00517DC9"/>
    <w:rsid w:val="005301A7"/>
    <w:rsid w:val="00532FED"/>
    <w:rsid w:val="005366F2"/>
    <w:rsid w:val="00543E6C"/>
    <w:rsid w:val="0054785D"/>
    <w:rsid w:val="00583808"/>
    <w:rsid w:val="005A17EC"/>
    <w:rsid w:val="005A4D12"/>
    <w:rsid w:val="005A7B88"/>
    <w:rsid w:val="005B0F1C"/>
    <w:rsid w:val="005B3A71"/>
    <w:rsid w:val="005B71F4"/>
    <w:rsid w:val="005E52A4"/>
    <w:rsid w:val="005F2819"/>
    <w:rsid w:val="005F5C7F"/>
    <w:rsid w:val="00622A5F"/>
    <w:rsid w:val="006303A5"/>
    <w:rsid w:val="0063421D"/>
    <w:rsid w:val="00643F37"/>
    <w:rsid w:val="006503C0"/>
    <w:rsid w:val="00674606"/>
    <w:rsid w:val="00692900"/>
    <w:rsid w:val="00697A57"/>
    <w:rsid w:val="006A3019"/>
    <w:rsid w:val="006C7F67"/>
    <w:rsid w:val="006D081B"/>
    <w:rsid w:val="006D0C33"/>
    <w:rsid w:val="006D4D50"/>
    <w:rsid w:val="006E72E1"/>
    <w:rsid w:val="006F418D"/>
    <w:rsid w:val="00721D37"/>
    <w:rsid w:val="00722AAE"/>
    <w:rsid w:val="00733AD7"/>
    <w:rsid w:val="00744E34"/>
    <w:rsid w:val="00757EBD"/>
    <w:rsid w:val="00773BCC"/>
    <w:rsid w:val="007800F3"/>
    <w:rsid w:val="00795017"/>
    <w:rsid w:val="00797C42"/>
    <w:rsid w:val="007A15B6"/>
    <w:rsid w:val="007B0D88"/>
    <w:rsid w:val="007B78BB"/>
    <w:rsid w:val="007D3C6C"/>
    <w:rsid w:val="007D5FC0"/>
    <w:rsid w:val="007F49BD"/>
    <w:rsid w:val="00800D18"/>
    <w:rsid w:val="00821ED8"/>
    <w:rsid w:val="0084108A"/>
    <w:rsid w:val="00843929"/>
    <w:rsid w:val="0086736A"/>
    <w:rsid w:val="00871A37"/>
    <w:rsid w:val="00873755"/>
    <w:rsid w:val="00881127"/>
    <w:rsid w:val="008934C3"/>
    <w:rsid w:val="008B02B2"/>
    <w:rsid w:val="008C3929"/>
    <w:rsid w:val="008C4AA4"/>
    <w:rsid w:val="008D15E4"/>
    <w:rsid w:val="008F1177"/>
    <w:rsid w:val="00925575"/>
    <w:rsid w:val="0093359C"/>
    <w:rsid w:val="009344C2"/>
    <w:rsid w:val="009572A4"/>
    <w:rsid w:val="00961F06"/>
    <w:rsid w:val="00975160"/>
    <w:rsid w:val="0097604F"/>
    <w:rsid w:val="009811B4"/>
    <w:rsid w:val="009833C2"/>
    <w:rsid w:val="009918C5"/>
    <w:rsid w:val="00993E2A"/>
    <w:rsid w:val="00995E08"/>
    <w:rsid w:val="009B1BE7"/>
    <w:rsid w:val="009B5B1D"/>
    <w:rsid w:val="009B7F7B"/>
    <w:rsid w:val="009C7387"/>
    <w:rsid w:val="009D7E16"/>
    <w:rsid w:val="009E136C"/>
    <w:rsid w:val="009E77DE"/>
    <w:rsid w:val="00A02374"/>
    <w:rsid w:val="00A11254"/>
    <w:rsid w:val="00A62B0E"/>
    <w:rsid w:val="00A826A0"/>
    <w:rsid w:val="00A83CDC"/>
    <w:rsid w:val="00AA4A9E"/>
    <w:rsid w:val="00AA54AC"/>
    <w:rsid w:val="00AB0D9D"/>
    <w:rsid w:val="00AB788B"/>
    <w:rsid w:val="00AC1019"/>
    <w:rsid w:val="00AC63CF"/>
    <w:rsid w:val="00AD611D"/>
    <w:rsid w:val="00AF7115"/>
    <w:rsid w:val="00B06466"/>
    <w:rsid w:val="00B15340"/>
    <w:rsid w:val="00B64B7A"/>
    <w:rsid w:val="00B82D45"/>
    <w:rsid w:val="00B851D3"/>
    <w:rsid w:val="00B94BF3"/>
    <w:rsid w:val="00B97854"/>
    <w:rsid w:val="00BA4688"/>
    <w:rsid w:val="00BA547D"/>
    <w:rsid w:val="00BB2850"/>
    <w:rsid w:val="00BB5283"/>
    <w:rsid w:val="00BD31A7"/>
    <w:rsid w:val="00BD5DB7"/>
    <w:rsid w:val="00BD6FD3"/>
    <w:rsid w:val="00BF7B1B"/>
    <w:rsid w:val="00C00E19"/>
    <w:rsid w:val="00C0721A"/>
    <w:rsid w:val="00C20E73"/>
    <w:rsid w:val="00C36061"/>
    <w:rsid w:val="00C40E6D"/>
    <w:rsid w:val="00CA104D"/>
    <w:rsid w:val="00CA1DD0"/>
    <w:rsid w:val="00CA607B"/>
    <w:rsid w:val="00CA7E1D"/>
    <w:rsid w:val="00CB565A"/>
    <w:rsid w:val="00CD0914"/>
    <w:rsid w:val="00CD2658"/>
    <w:rsid w:val="00CD574B"/>
    <w:rsid w:val="00CE3F46"/>
    <w:rsid w:val="00CF7238"/>
    <w:rsid w:val="00D016BC"/>
    <w:rsid w:val="00D101A6"/>
    <w:rsid w:val="00D329EE"/>
    <w:rsid w:val="00D4679C"/>
    <w:rsid w:val="00D65B07"/>
    <w:rsid w:val="00D7001F"/>
    <w:rsid w:val="00D7411C"/>
    <w:rsid w:val="00D84F91"/>
    <w:rsid w:val="00D95428"/>
    <w:rsid w:val="00DA2C5A"/>
    <w:rsid w:val="00DA4B58"/>
    <w:rsid w:val="00DB6F6C"/>
    <w:rsid w:val="00DD0769"/>
    <w:rsid w:val="00DD795A"/>
    <w:rsid w:val="00DE7457"/>
    <w:rsid w:val="00DF4579"/>
    <w:rsid w:val="00DF67C3"/>
    <w:rsid w:val="00DF68B6"/>
    <w:rsid w:val="00E003BB"/>
    <w:rsid w:val="00E0426C"/>
    <w:rsid w:val="00E0609D"/>
    <w:rsid w:val="00E25C84"/>
    <w:rsid w:val="00E27697"/>
    <w:rsid w:val="00E46B8D"/>
    <w:rsid w:val="00E547E3"/>
    <w:rsid w:val="00E65300"/>
    <w:rsid w:val="00E67996"/>
    <w:rsid w:val="00E84401"/>
    <w:rsid w:val="00E978D4"/>
    <w:rsid w:val="00EA710F"/>
    <w:rsid w:val="00EB61A4"/>
    <w:rsid w:val="00EC228F"/>
    <w:rsid w:val="00EC2463"/>
    <w:rsid w:val="00EC2BEA"/>
    <w:rsid w:val="00EC74D0"/>
    <w:rsid w:val="00ED49A8"/>
    <w:rsid w:val="00EE1147"/>
    <w:rsid w:val="00EE1E46"/>
    <w:rsid w:val="00EE466F"/>
    <w:rsid w:val="00F00760"/>
    <w:rsid w:val="00F1328D"/>
    <w:rsid w:val="00F23F53"/>
    <w:rsid w:val="00F27E0C"/>
    <w:rsid w:val="00F40E2D"/>
    <w:rsid w:val="00F63414"/>
    <w:rsid w:val="00F73DEE"/>
    <w:rsid w:val="00FA1EBA"/>
    <w:rsid w:val="00FA67BD"/>
    <w:rsid w:val="00FB796B"/>
    <w:rsid w:val="00FD2309"/>
    <w:rsid w:val="00FE26D4"/>
    <w:rsid w:val="00FE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55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1A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E08"/>
    <w:pPr>
      <w:tabs>
        <w:tab w:val="center" w:pos="4513"/>
        <w:tab w:val="right" w:pos="9026"/>
      </w:tabs>
    </w:pPr>
    <w:rPr>
      <w:rFonts w:asciiTheme="minorHAnsi" w:hAnsiTheme="minorHAnsi" w:cstheme="minorBidi"/>
      <w:lang w:val="en-GB"/>
    </w:rPr>
  </w:style>
  <w:style w:type="character" w:customStyle="1" w:styleId="HeaderChar">
    <w:name w:val="Header Char"/>
    <w:basedOn w:val="DefaultParagraphFont"/>
    <w:link w:val="Header"/>
    <w:uiPriority w:val="99"/>
    <w:rsid w:val="00995E08"/>
    <w:rPr>
      <w:lang w:val="en-GB"/>
    </w:rPr>
  </w:style>
  <w:style w:type="paragraph" w:styleId="Footer">
    <w:name w:val="footer"/>
    <w:basedOn w:val="Normal"/>
    <w:link w:val="FooterChar"/>
    <w:uiPriority w:val="99"/>
    <w:unhideWhenUsed/>
    <w:rsid w:val="00995E08"/>
    <w:pPr>
      <w:tabs>
        <w:tab w:val="center" w:pos="4513"/>
        <w:tab w:val="right" w:pos="9026"/>
      </w:tabs>
    </w:pPr>
    <w:rPr>
      <w:rFonts w:asciiTheme="minorHAnsi" w:hAnsiTheme="minorHAnsi" w:cstheme="minorBidi"/>
      <w:lang w:val="en-GB"/>
    </w:rPr>
  </w:style>
  <w:style w:type="character" w:customStyle="1" w:styleId="FooterChar">
    <w:name w:val="Footer Char"/>
    <w:basedOn w:val="DefaultParagraphFont"/>
    <w:link w:val="Footer"/>
    <w:uiPriority w:val="99"/>
    <w:rsid w:val="00995E08"/>
    <w:rPr>
      <w:lang w:val="en-GB"/>
    </w:rPr>
  </w:style>
  <w:style w:type="character" w:styleId="PageNumber">
    <w:name w:val="page number"/>
    <w:basedOn w:val="DefaultParagraphFont"/>
    <w:uiPriority w:val="99"/>
    <w:semiHidden/>
    <w:unhideWhenUsed/>
    <w:rsid w:val="00995E08"/>
  </w:style>
  <w:style w:type="character" w:styleId="Emphasis">
    <w:name w:val="Emphasis"/>
    <w:basedOn w:val="DefaultParagraphFont"/>
    <w:uiPriority w:val="20"/>
    <w:qFormat/>
    <w:rsid w:val="0097604F"/>
    <w:rPr>
      <w:i/>
      <w:iCs/>
    </w:rPr>
  </w:style>
  <w:style w:type="paragraph" w:styleId="BalloonText">
    <w:name w:val="Balloon Text"/>
    <w:basedOn w:val="Normal"/>
    <w:link w:val="BalloonTextChar"/>
    <w:uiPriority w:val="99"/>
    <w:semiHidden/>
    <w:unhideWhenUsed/>
    <w:rsid w:val="00FE6C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C8D"/>
    <w:rPr>
      <w:rFonts w:ascii="Segoe UI" w:hAnsi="Segoe UI" w:cs="Segoe UI"/>
      <w:sz w:val="18"/>
      <w:szCs w:val="18"/>
    </w:rPr>
  </w:style>
  <w:style w:type="character" w:styleId="Hyperlink">
    <w:name w:val="Hyperlink"/>
    <w:basedOn w:val="DefaultParagraphFont"/>
    <w:uiPriority w:val="99"/>
    <w:unhideWhenUsed/>
    <w:rsid w:val="00CE3F46"/>
    <w:rPr>
      <w:color w:val="0563C1" w:themeColor="hyperlink"/>
      <w:u w:val="single"/>
    </w:rPr>
  </w:style>
  <w:style w:type="character" w:styleId="FollowedHyperlink">
    <w:name w:val="FollowedHyperlink"/>
    <w:basedOn w:val="DefaultParagraphFont"/>
    <w:uiPriority w:val="99"/>
    <w:semiHidden/>
    <w:unhideWhenUsed/>
    <w:rsid w:val="00CE3F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665760">
      <w:bodyDiv w:val="1"/>
      <w:marLeft w:val="0"/>
      <w:marRight w:val="0"/>
      <w:marTop w:val="0"/>
      <w:marBottom w:val="0"/>
      <w:divBdr>
        <w:top w:val="none" w:sz="0" w:space="0" w:color="auto"/>
        <w:left w:val="none" w:sz="0" w:space="0" w:color="auto"/>
        <w:bottom w:val="none" w:sz="0" w:space="0" w:color="auto"/>
        <w:right w:val="none" w:sz="0" w:space="0" w:color="auto"/>
      </w:divBdr>
    </w:div>
    <w:div w:id="391512637">
      <w:bodyDiv w:val="1"/>
      <w:marLeft w:val="0"/>
      <w:marRight w:val="0"/>
      <w:marTop w:val="0"/>
      <w:marBottom w:val="0"/>
      <w:divBdr>
        <w:top w:val="none" w:sz="0" w:space="0" w:color="auto"/>
        <w:left w:val="none" w:sz="0" w:space="0" w:color="auto"/>
        <w:bottom w:val="none" w:sz="0" w:space="0" w:color="auto"/>
        <w:right w:val="none" w:sz="0" w:space="0" w:color="auto"/>
      </w:divBdr>
    </w:div>
    <w:div w:id="465902012">
      <w:bodyDiv w:val="1"/>
      <w:marLeft w:val="0"/>
      <w:marRight w:val="0"/>
      <w:marTop w:val="0"/>
      <w:marBottom w:val="0"/>
      <w:divBdr>
        <w:top w:val="none" w:sz="0" w:space="0" w:color="auto"/>
        <w:left w:val="none" w:sz="0" w:space="0" w:color="auto"/>
        <w:bottom w:val="none" w:sz="0" w:space="0" w:color="auto"/>
        <w:right w:val="none" w:sz="0" w:space="0" w:color="auto"/>
      </w:divBdr>
    </w:div>
    <w:div w:id="775490388">
      <w:bodyDiv w:val="1"/>
      <w:marLeft w:val="0"/>
      <w:marRight w:val="0"/>
      <w:marTop w:val="0"/>
      <w:marBottom w:val="0"/>
      <w:divBdr>
        <w:top w:val="none" w:sz="0" w:space="0" w:color="auto"/>
        <w:left w:val="none" w:sz="0" w:space="0" w:color="auto"/>
        <w:bottom w:val="none" w:sz="0" w:space="0" w:color="auto"/>
        <w:right w:val="none" w:sz="0" w:space="0" w:color="auto"/>
      </w:divBdr>
    </w:div>
    <w:div w:id="1060178375">
      <w:bodyDiv w:val="1"/>
      <w:marLeft w:val="0"/>
      <w:marRight w:val="0"/>
      <w:marTop w:val="0"/>
      <w:marBottom w:val="0"/>
      <w:divBdr>
        <w:top w:val="none" w:sz="0" w:space="0" w:color="auto"/>
        <w:left w:val="none" w:sz="0" w:space="0" w:color="auto"/>
        <w:bottom w:val="none" w:sz="0" w:space="0" w:color="auto"/>
        <w:right w:val="none" w:sz="0" w:space="0" w:color="auto"/>
      </w:divBdr>
    </w:div>
    <w:div w:id="1212378976">
      <w:bodyDiv w:val="1"/>
      <w:marLeft w:val="0"/>
      <w:marRight w:val="0"/>
      <w:marTop w:val="0"/>
      <w:marBottom w:val="0"/>
      <w:divBdr>
        <w:top w:val="none" w:sz="0" w:space="0" w:color="auto"/>
        <w:left w:val="none" w:sz="0" w:space="0" w:color="auto"/>
        <w:bottom w:val="none" w:sz="0" w:space="0" w:color="auto"/>
        <w:right w:val="none" w:sz="0" w:space="0" w:color="auto"/>
      </w:divBdr>
    </w:div>
    <w:div w:id="1245726678">
      <w:bodyDiv w:val="1"/>
      <w:marLeft w:val="0"/>
      <w:marRight w:val="0"/>
      <w:marTop w:val="0"/>
      <w:marBottom w:val="0"/>
      <w:divBdr>
        <w:top w:val="none" w:sz="0" w:space="0" w:color="auto"/>
        <w:left w:val="none" w:sz="0" w:space="0" w:color="auto"/>
        <w:bottom w:val="none" w:sz="0" w:space="0" w:color="auto"/>
        <w:right w:val="none" w:sz="0" w:space="0" w:color="auto"/>
      </w:divBdr>
    </w:div>
    <w:div w:id="1317302739">
      <w:bodyDiv w:val="1"/>
      <w:marLeft w:val="0"/>
      <w:marRight w:val="0"/>
      <w:marTop w:val="0"/>
      <w:marBottom w:val="0"/>
      <w:divBdr>
        <w:top w:val="none" w:sz="0" w:space="0" w:color="auto"/>
        <w:left w:val="none" w:sz="0" w:space="0" w:color="auto"/>
        <w:bottom w:val="none" w:sz="0" w:space="0" w:color="auto"/>
        <w:right w:val="none" w:sz="0" w:space="0" w:color="auto"/>
      </w:divBdr>
    </w:div>
    <w:div w:id="1408263113">
      <w:bodyDiv w:val="1"/>
      <w:marLeft w:val="0"/>
      <w:marRight w:val="0"/>
      <w:marTop w:val="0"/>
      <w:marBottom w:val="0"/>
      <w:divBdr>
        <w:top w:val="none" w:sz="0" w:space="0" w:color="auto"/>
        <w:left w:val="none" w:sz="0" w:space="0" w:color="auto"/>
        <w:bottom w:val="none" w:sz="0" w:space="0" w:color="auto"/>
        <w:right w:val="none" w:sz="0" w:space="0" w:color="auto"/>
      </w:divBdr>
    </w:div>
    <w:div w:id="1417357780">
      <w:bodyDiv w:val="1"/>
      <w:marLeft w:val="0"/>
      <w:marRight w:val="0"/>
      <w:marTop w:val="0"/>
      <w:marBottom w:val="0"/>
      <w:divBdr>
        <w:top w:val="none" w:sz="0" w:space="0" w:color="auto"/>
        <w:left w:val="none" w:sz="0" w:space="0" w:color="auto"/>
        <w:bottom w:val="none" w:sz="0" w:space="0" w:color="auto"/>
        <w:right w:val="none" w:sz="0" w:space="0" w:color="auto"/>
      </w:divBdr>
    </w:div>
    <w:div w:id="1417440785">
      <w:bodyDiv w:val="1"/>
      <w:marLeft w:val="0"/>
      <w:marRight w:val="0"/>
      <w:marTop w:val="0"/>
      <w:marBottom w:val="0"/>
      <w:divBdr>
        <w:top w:val="none" w:sz="0" w:space="0" w:color="auto"/>
        <w:left w:val="none" w:sz="0" w:space="0" w:color="auto"/>
        <w:bottom w:val="none" w:sz="0" w:space="0" w:color="auto"/>
        <w:right w:val="none" w:sz="0" w:space="0" w:color="auto"/>
      </w:divBdr>
    </w:div>
    <w:div w:id="1786271071">
      <w:bodyDiv w:val="1"/>
      <w:marLeft w:val="0"/>
      <w:marRight w:val="0"/>
      <w:marTop w:val="0"/>
      <w:marBottom w:val="0"/>
      <w:divBdr>
        <w:top w:val="none" w:sz="0" w:space="0" w:color="auto"/>
        <w:left w:val="none" w:sz="0" w:space="0" w:color="auto"/>
        <w:bottom w:val="none" w:sz="0" w:space="0" w:color="auto"/>
        <w:right w:val="none" w:sz="0" w:space="0" w:color="auto"/>
      </w:divBdr>
    </w:div>
    <w:div w:id="1833131841">
      <w:bodyDiv w:val="1"/>
      <w:marLeft w:val="0"/>
      <w:marRight w:val="0"/>
      <w:marTop w:val="0"/>
      <w:marBottom w:val="0"/>
      <w:divBdr>
        <w:top w:val="none" w:sz="0" w:space="0" w:color="auto"/>
        <w:left w:val="none" w:sz="0" w:space="0" w:color="auto"/>
        <w:bottom w:val="none" w:sz="0" w:space="0" w:color="auto"/>
        <w:right w:val="none" w:sz="0" w:space="0" w:color="auto"/>
      </w:divBdr>
    </w:div>
    <w:div w:id="1886140112">
      <w:bodyDiv w:val="1"/>
      <w:marLeft w:val="0"/>
      <w:marRight w:val="0"/>
      <w:marTop w:val="0"/>
      <w:marBottom w:val="0"/>
      <w:divBdr>
        <w:top w:val="none" w:sz="0" w:space="0" w:color="auto"/>
        <w:left w:val="none" w:sz="0" w:space="0" w:color="auto"/>
        <w:bottom w:val="none" w:sz="0" w:space="0" w:color="auto"/>
        <w:right w:val="none" w:sz="0" w:space="0" w:color="auto"/>
      </w:divBdr>
    </w:div>
    <w:div w:id="2001732171">
      <w:bodyDiv w:val="1"/>
      <w:marLeft w:val="0"/>
      <w:marRight w:val="0"/>
      <w:marTop w:val="0"/>
      <w:marBottom w:val="0"/>
      <w:divBdr>
        <w:top w:val="none" w:sz="0" w:space="0" w:color="auto"/>
        <w:left w:val="none" w:sz="0" w:space="0" w:color="auto"/>
        <w:bottom w:val="none" w:sz="0" w:space="0" w:color="auto"/>
        <w:right w:val="none" w:sz="0" w:space="0" w:color="auto"/>
      </w:divBdr>
    </w:div>
    <w:div w:id="20902751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earning.gov.wales/docs/learningwales/publications/131104-assessment-for-learning-and-the-nlnf-cy.pdf" TargetMode="External"/><Relationship Id="rId12" Type="http://schemas.openxmlformats.org/officeDocument/2006/relationships/hyperlink" Target="http://learning.gov.wales/docs/learningwales/publications/150803-fp-framework-cy.pdf" TargetMode="External"/><Relationship Id="rId13" Type="http://schemas.openxmlformats.org/officeDocument/2006/relationships/hyperlink" Target="https://www.mckinsey.com/~/media/mckinsey/industries/social%20sector/our%20insights/how%20the%20worlds%20best%20performing%20school%20systems%20come%20out%20on%20top/how_the_world_s_best%20performing_school_systems_come_out_on_top.ashx"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file:///Users/manonjames/Downloads/BERA-Ethical-Guidelines-for-Educational-Research_4thEdn_2018.pdf" TargetMode="External"/><Relationship Id="rId7" Type="http://schemas.openxmlformats.org/officeDocument/2006/relationships/hyperlink" Target="https://www.complantcymru.org.uk/ccuhp-hawliau-plant/ccuhp/" TargetMode="External"/><Relationship Id="rId8" Type="http://schemas.openxmlformats.org/officeDocument/2006/relationships/hyperlink" Target="https://www.suttontrust.com/wp-content/uploads/2014/10/What-Makes-Great-Teaching-REPORT.pdf" TargetMode="External"/><Relationship Id="rId9" Type="http://schemas.openxmlformats.org/officeDocument/2006/relationships/hyperlink" Target="https://whel-primo.hosted.exlibrisgroup.com/primo-explore/search?query=any,contains,An%20empirical%20investigation%20of%20the%20dimensionality%20of%20the%20physical%20literacy%20environment%20in%20early%20childhood&amp;tab=tab1&amp;search_scope=CSCOP_EVERYTHING&amp;vid=44WHELF_UWTSD_VU1&amp;lang=en_US&amp;offset=0" TargetMode="External"/><Relationship Id="rId10" Type="http://schemas.openxmlformats.org/officeDocument/2006/relationships/hyperlink" Target="https://www.estyn.gov.wales/sites/default/files/documents/Ysgol%20Llanhari%2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15</Pages>
  <Words>5182</Words>
  <Characters>29542</Characters>
  <Application>Microsoft Macintosh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cp:lastPrinted>2018-10-07T19:31:00Z</cp:lastPrinted>
  <dcterms:created xsi:type="dcterms:W3CDTF">2018-10-14T18:34:00Z</dcterms:created>
  <dcterms:modified xsi:type="dcterms:W3CDTF">2018-10-15T19:54:00Z</dcterms:modified>
</cp:coreProperties>
</file>