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AB9438F" w14:textId="47AE6E17" w:rsidR="00814FEA" w:rsidRPr="00F432A1" w:rsidRDefault="00852438" w:rsidP="00F432A1">
      <w:pPr>
        <w:rPr>
          <w:rFonts w:asciiTheme="minorHAnsi" w:hAnsiTheme="minorHAnsi" w:cstheme="minorHAnsi"/>
          <w:b/>
        </w:rPr>
      </w:pPr>
      <w:r w:rsidRPr="00F432A1">
        <w:rPr>
          <w:rFonts w:asciiTheme="minorHAnsi" w:hAnsiTheme="minorHAnsi" w:cstheme="minorHAnsi"/>
          <w:b/>
        </w:rPr>
        <w:t>Session</w:t>
      </w:r>
      <w:r w:rsidR="00055DA3" w:rsidRPr="00F432A1">
        <w:rPr>
          <w:rFonts w:asciiTheme="minorHAnsi" w:hAnsiTheme="minorHAnsi" w:cstheme="minorHAnsi"/>
          <w:b/>
        </w:rPr>
        <w:t xml:space="preserve"> 1</w:t>
      </w:r>
      <w:r w:rsidR="00F432A1">
        <w:rPr>
          <w:rFonts w:asciiTheme="minorHAnsi" w:hAnsiTheme="minorHAnsi" w:cstheme="minorHAnsi"/>
          <w:b/>
        </w:rPr>
        <w:t xml:space="preserve"> and 2</w:t>
      </w:r>
    </w:p>
    <w:p w14:paraId="35222D1C" w14:textId="26A483CE" w:rsidR="00814FEA" w:rsidRPr="00F432A1" w:rsidRDefault="00055DA3" w:rsidP="00F432A1">
      <w:pPr>
        <w:rPr>
          <w:rFonts w:asciiTheme="minorHAnsi" w:hAnsiTheme="minorHAnsi" w:cstheme="minorHAnsi"/>
          <w:b/>
        </w:rPr>
      </w:pPr>
      <w:r w:rsidRPr="00F432A1">
        <w:rPr>
          <w:rFonts w:asciiTheme="minorHAnsi" w:hAnsiTheme="minorHAnsi" w:cstheme="minorHAnsi"/>
          <w:b/>
        </w:rPr>
        <w:t>Overview</w:t>
      </w:r>
    </w:p>
    <w:p w14:paraId="7B1B466A" w14:textId="0BFAB4FF" w:rsidR="00814FEA" w:rsidRPr="00F432A1" w:rsidRDefault="00852438" w:rsidP="00F432A1">
      <w:pPr>
        <w:rPr>
          <w:rFonts w:asciiTheme="minorHAnsi" w:eastAsia="Arial" w:hAnsiTheme="minorHAnsi" w:cstheme="minorHAnsi"/>
          <w:highlight w:val="white"/>
        </w:rPr>
      </w:pPr>
      <w:r w:rsidRPr="00F432A1">
        <w:rPr>
          <w:rFonts w:asciiTheme="minorHAnsi" w:eastAsia="Arial" w:hAnsiTheme="minorHAnsi" w:cstheme="minorHAnsi"/>
          <w:highlight w:val="white"/>
        </w:rPr>
        <w:t>Today</w:t>
      </w:r>
      <w:r w:rsidR="00055DA3" w:rsidRPr="00F432A1">
        <w:rPr>
          <w:rFonts w:asciiTheme="minorHAnsi" w:eastAsia="Arial" w:hAnsiTheme="minorHAnsi" w:cstheme="minorHAnsi"/>
          <w:highlight w:val="white"/>
        </w:rPr>
        <w:t xml:space="preserve"> students will encounter the basic principles of theoretical and applied ethical methodologies and approaches, and explore the contributions of a variety of philosophical thinkers.</w:t>
      </w:r>
      <w:r w:rsidR="00F23707" w:rsidRPr="00F432A1">
        <w:rPr>
          <w:rFonts w:asciiTheme="minorHAnsi" w:eastAsia="Arial" w:hAnsiTheme="minorHAnsi" w:cstheme="minorHAnsi"/>
          <w:highlight w:val="white"/>
        </w:rPr>
        <w:t xml:space="preserve"> </w:t>
      </w:r>
      <w:r w:rsidR="00055DA3" w:rsidRPr="00F432A1">
        <w:rPr>
          <w:rFonts w:asciiTheme="minorHAnsi" w:eastAsia="Arial" w:hAnsiTheme="minorHAnsi" w:cstheme="minorHAnsi"/>
          <w:highlight w:val="white"/>
        </w:rPr>
        <w:t>Through reading selections and exposure to specific ethical dilemmas, the learner will begin an investigation into the various elements of ethical reasoning, including the implications of ethical relativism.</w:t>
      </w:r>
      <w:r w:rsidR="00F23707" w:rsidRPr="00F432A1">
        <w:rPr>
          <w:rFonts w:asciiTheme="minorHAnsi" w:eastAsia="Arial" w:hAnsiTheme="minorHAnsi" w:cstheme="minorHAnsi"/>
          <w:highlight w:val="white"/>
        </w:rPr>
        <w:t xml:space="preserve"> </w:t>
      </w:r>
      <w:r w:rsidR="00055DA3" w:rsidRPr="00F432A1">
        <w:rPr>
          <w:rFonts w:asciiTheme="minorHAnsi" w:eastAsia="Arial" w:hAnsiTheme="minorHAnsi" w:cstheme="minorHAnsi"/>
          <w:highlight w:val="white"/>
        </w:rPr>
        <w:t xml:space="preserve">Through these materials and activities, students will embark on a journey of both introspection as well as social analysis, evaluating the various elements of what constitutes </w:t>
      </w:r>
      <w:r w:rsidR="00055DA3" w:rsidRPr="00F432A1">
        <w:rPr>
          <w:rFonts w:asciiTheme="minorHAnsi" w:eastAsia="Arial" w:hAnsiTheme="minorHAnsi" w:cstheme="minorHAnsi"/>
          <w:i/>
          <w:highlight w:val="white"/>
        </w:rPr>
        <w:t>moral choice</w:t>
      </w:r>
      <w:r w:rsidR="00F23707" w:rsidRPr="00F432A1">
        <w:rPr>
          <w:rFonts w:asciiTheme="minorHAnsi" w:eastAsia="Arial" w:hAnsiTheme="minorHAnsi" w:cstheme="minorHAnsi"/>
          <w:highlight w:val="white"/>
        </w:rPr>
        <w:t xml:space="preserve">. </w:t>
      </w:r>
      <w:r w:rsidR="00055DA3" w:rsidRPr="00F432A1">
        <w:rPr>
          <w:rFonts w:asciiTheme="minorHAnsi" w:eastAsia="Arial" w:hAnsiTheme="minorHAnsi" w:cstheme="minorHAnsi"/>
          <w:highlight w:val="white"/>
        </w:rPr>
        <w:t xml:space="preserve">In this introduction to ethical reasoning, learners will begin the process of using the tools of philosophy to determine moral outcomes in the business world. </w:t>
      </w:r>
    </w:p>
    <w:p w14:paraId="64A58C57" w14:textId="745F8D7A" w:rsidR="00E455F3" w:rsidRPr="00E321B9" w:rsidRDefault="00E455F3" w:rsidP="00E321B9">
      <w:pPr>
        <w:spacing w:after="0" w:line="240" w:lineRule="auto"/>
        <w:rPr>
          <w:rFonts w:asciiTheme="minorHAnsi" w:eastAsia="Arial" w:hAnsiTheme="minorHAnsi" w:cstheme="minorHAnsi"/>
          <w:b/>
          <w:bCs/>
        </w:rPr>
      </w:pPr>
      <w:r w:rsidRPr="00E321B9">
        <w:rPr>
          <w:rFonts w:asciiTheme="minorHAnsi" w:eastAsia="Arial" w:hAnsiTheme="minorHAnsi" w:cstheme="minorHAnsi"/>
          <w:b/>
          <w:bCs/>
        </w:rPr>
        <w:t>Merck &amp; Company, Inc.:  Having the Vision to Succeed</w:t>
      </w:r>
      <w:r w:rsidR="00E321B9" w:rsidRPr="00E321B9">
        <w:rPr>
          <w:rFonts w:asciiTheme="minorHAnsi" w:eastAsia="Arial" w:hAnsiTheme="minorHAnsi" w:cstheme="minorHAnsi"/>
          <w:b/>
          <w:bCs/>
        </w:rPr>
        <w:t xml:space="preserve"> </w:t>
      </w:r>
      <w:r w:rsidRPr="00E321B9">
        <w:rPr>
          <w:rFonts w:asciiTheme="minorHAnsi" w:eastAsia="Arial" w:hAnsiTheme="minorHAnsi" w:cstheme="minorHAnsi"/>
          <w:b/>
          <w:bCs/>
        </w:rPr>
        <w:t xml:space="preserve">by Stephanie Weiss and David </w:t>
      </w:r>
      <w:proofErr w:type="spellStart"/>
      <w:r w:rsidRPr="00E321B9">
        <w:rPr>
          <w:rFonts w:asciiTheme="minorHAnsi" w:eastAsia="Arial" w:hAnsiTheme="minorHAnsi" w:cstheme="minorHAnsi"/>
          <w:b/>
          <w:bCs/>
        </w:rPr>
        <w:t>Bollier</w:t>
      </w:r>
      <w:proofErr w:type="spellEnd"/>
    </w:p>
    <w:p w14:paraId="61E9365A" w14:textId="66D5BE4D" w:rsidR="00E455F3" w:rsidRDefault="00E455F3" w:rsidP="00E321B9">
      <w:pPr>
        <w:spacing w:after="0" w:line="240" w:lineRule="auto"/>
        <w:rPr>
          <w:rFonts w:asciiTheme="minorHAnsi" w:eastAsia="Arial" w:hAnsiTheme="minorHAnsi" w:cstheme="minorHAnsi"/>
          <w:b/>
          <w:bCs/>
        </w:rPr>
      </w:pPr>
      <w:r w:rsidRPr="00E321B9">
        <w:rPr>
          <w:rFonts w:asciiTheme="minorHAnsi" w:eastAsia="Arial" w:hAnsiTheme="minorHAnsi" w:cstheme="minorHAnsi"/>
          <w:b/>
          <w:bCs/>
        </w:rPr>
        <w:t>An Expensive Care for a Poor Market</w:t>
      </w:r>
    </w:p>
    <w:p w14:paraId="30F26FA8" w14:textId="77777777" w:rsidR="00E321B9" w:rsidRPr="00E321B9" w:rsidRDefault="00E321B9" w:rsidP="00E321B9">
      <w:pPr>
        <w:spacing w:after="0" w:line="240" w:lineRule="auto"/>
        <w:rPr>
          <w:rFonts w:asciiTheme="minorHAnsi" w:eastAsia="Arial" w:hAnsiTheme="minorHAnsi" w:cstheme="minorHAnsi"/>
          <w:b/>
          <w:bCs/>
        </w:rPr>
      </w:pPr>
    </w:p>
    <w:p w14:paraId="4AD6F908" w14:textId="31D5817F"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In 1978, Dr. P. Roy </w:t>
      </w:r>
      <w:proofErr w:type="spellStart"/>
      <w:r w:rsidRPr="00F432A1">
        <w:rPr>
          <w:rFonts w:asciiTheme="minorHAnsi" w:eastAsia="Arial" w:hAnsiTheme="minorHAnsi" w:cstheme="minorHAnsi"/>
        </w:rPr>
        <w:t>Vagelos</w:t>
      </w:r>
      <w:proofErr w:type="spellEnd"/>
      <w:r w:rsidRPr="00F432A1">
        <w:rPr>
          <w:rFonts w:asciiTheme="minorHAnsi" w:eastAsia="Arial" w:hAnsiTheme="minorHAnsi" w:cstheme="minorHAnsi"/>
        </w:rPr>
        <w:t xml:space="preserve">, then head of the Merck research labs, received a provocative memorandum from a senior researcher in parasitology, Dr. William C. Campbell.  Dr. Campbell had made an intriguing observation while working with </w:t>
      </w:r>
      <w:proofErr w:type="spellStart"/>
      <w:r w:rsidRPr="00F432A1">
        <w:rPr>
          <w:rFonts w:asciiTheme="minorHAnsi" w:eastAsia="Arial" w:hAnsiTheme="minorHAnsi" w:cstheme="minorHAnsi"/>
        </w:rPr>
        <w:t>ivennectin</w:t>
      </w:r>
      <w:proofErr w:type="spellEnd"/>
      <w:r w:rsidRPr="00F432A1">
        <w:rPr>
          <w:rFonts w:asciiTheme="minorHAnsi" w:eastAsia="Arial" w:hAnsiTheme="minorHAnsi" w:cstheme="minorHAnsi"/>
        </w:rPr>
        <w:t xml:space="preserve">, a new antiparasitic compound under investigation for use in animals. </w:t>
      </w:r>
    </w:p>
    <w:p w14:paraId="7A38D670" w14:textId="2C58FEB4"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Campbell thought that </w:t>
      </w:r>
      <w:proofErr w:type="spellStart"/>
      <w:r w:rsidRPr="00F432A1">
        <w:rPr>
          <w:rFonts w:asciiTheme="minorHAnsi" w:eastAsia="Arial" w:hAnsiTheme="minorHAnsi" w:cstheme="minorHAnsi"/>
        </w:rPr>
        <w:t>ivennectin</w:t>
      </w:r>
      <w:proofErr w:type="spellEnd"/>
      <w:r w:rsidRPr="00F432A1">
        <w:rPr>
          <w:rFonts w:asciiTheme="minorHAnsi" w:eastAsia="Arial" w:hAnsiTheme="minorHAnsi" w:cstheme="minorHAnsi"/>
        </w:rPr>
        <w:t xml:space="preserve"> might be the answer to a disease called river blindness that plagued millions in the Third World.  But to find out if Campbell's hypothesis had merit, Merck would have to spend millions of dollars to develop the right formulation for human use and to conduct the field trials in the most remote parts of the world.  Even if these efforts produced an effective and safe drug, virtually none of those afflicted with river blindness could afford to buy it.  </w:t>
      </w:r>
      <w:proofErr w:type="spellStart"/>
      <w:r w:rsidRPr="00F432A1">
        <w:rPr>
          <w:rFonts w:asciiTheme="minorHAnsi" w:eastAsia="Arial" w:hAnsiTheme="minorHAnsi" w:cstheme="minorHAnsi"/>
        </w:rPr>
        <w:t>Vagelos</w:t>
      </w:r>
      <w:proofErr w:type="spellEnd"/>
      <w:r w:rsidRPr="00F432A1">
        <w:rPr>
          <w:rFonts w:asciiTheme="minorHAnsi" w:eastAsia="Arial" w:hAnsiTheme="minorHAnsi" w:cstheme="minorHAnsi"/>
        </w:rPr>
        <w:t>, originally a university researcher but by then a Merck executive, had to decide whether to invest in research for a drug that, even if successful, might never pay for itself.</w:t>
      </w:r>
    </w:p>
    <w:p w14:paraId="318D22D7" w14:textId="21EDB904" w:rsidR="00E455F3" w:rsidRPr="00E321B9" w:rsidRDefault="00E455F3" w:rsidP="00F432A1">
      <w:pPr>
        <w:rPr>
          <w:rFonts w:asciiTheme="minorHAnsi" w:eastAsia="Arial" w:hAnsiTheme="minorHAnsi" w:cstheme="minorHAnsi"/>
          <w:b/>
          <w:bCs/>
        </w:rPr>
      </w:pPr>
      <w:r w:rsidRPr="00E321B9">
        <w:rPr>
          <w:rFonts w:asciiTheme="minorHAnsi" w:eastAsia="Arial" w:hAnsiTheme="minorHAnsi" w:cstheme="minorHAnsi"/>
          <w:b/>
          <w:bCs/>
        </w:rPr>
        <w:t>River Blindness</w:t>
      </w:r>
    </w:p>
    <w:p w14:paraId="0E7E54DF"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River blindness, formally known as onchocerciasis, was a disease labeled by the World Health Organization (WHO) as a public health and socioeconomic problem of considerable magnitude in over 35 developing countries throughout the Third World.  Some 85 million people in thousands of tiny settlements throughout Africa and parts of the Middle East and Latin America were thought to be at risk.  The cause: a parasitic worm carried by a tiny black fly that bred along fast-moving rivers.  When the flies bit humans — a single person could be bitten thousands of times a day — the larvae of a parasitic worm, </w:t>
      </w:r>
      <w:proofErr w:type="spellStart"/>
      <w:r w:rsidRPr="00F432A1">
        <w:rPr>
          <w:rFonts w:asciiTheme="minorHAnsi" w:eastAsia="Arial" w:hAnsiTheme="minorHAnsi" w:cstheme="minorHAnsi"/>
        </w:rPr>
        <w:t>Onchocerca</w:t>
      </w:r>
      <w:proofErr w:type="spellEnd"/>
      <w:r w:rsidRPr="00F432A1">
        <w:rPr>
          <w:rFonts w:asciiTheme="minorHAnsi" w:eastAsia="Arial" w:hAnsiTheme="minorHAnsi" w:cstheme="minorHAnsi"/>
        </w:rPr>
        <w:t xml:space="preserve"> volvulus, entered the body. </w:t>
      </w:r>
    </w:p>
    <w:p w14:paraId="1F8A9C6C"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These worms grew to more than two feet in length, causing grotesque but relatively innocuous nodules in the skin.  The real harm began when the adult worms reproduced, releasing millions of microscopic offspring, known as microfilariae, which swarmed through body tissue.  A terrible itching resulted, so bad that some victims committed suicide.  After several years, the microfilariae caused lesions and depigmentation of the skin.  Eventually they invaded the eyes, often causing blindness. </w:t>
      </w:r>
    </w:p>
    <w:p w14:paraId="239F918F"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The World Health Organization estimated in 1978 that some 340,000 people were blind because of onchocerciasis, and that a million more suffered from varying degrees of visual impairment.  At that time, 18 million or more people were infected with the parasite, though half did not yet have serious </w:t>
      </w:r>
      <w:r w:rsidRPr="00F432A1">
        <w:rPr>
          <w:rFonts w:asciiTheme="minorHAnsi" w:eastAsia="Arial" w:hAnsiTheme="minorHAnsi" w:cstheme="minorHAnsi"/>
        </w:rPr>
        <w:lastRenderedPageBreak/>
        <w:t xml:space="preserve">symptoms.  In some villages close to fly-breeding sites, nearly all residents were infected and a majority of those over age 45 were blind.  In such places, it was said, children believed that severe itching, skin infections, and blindness were simply part of growing up. </w:t>
      </w:r>
    </w:p>
    <w:p w14:paraId="3B9FE8E0"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In desperate efforts to escape the flies, entire villages abandoned fertile areas near rivers, and moved to poorer land.  As a result, food shortages were frequent.  Community life disintegrated as new burdens arose for already impoverished families. </w:t>
      </w:r>
    </w:p>
    <w:p w14:paraId="551F1CDC" w14:textId="68914D3F"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The disease was first identified in 1893 by scientists and in 1926 was found to be related to the black flies.  But by the 1970s, there was still no cure that could safely be used for community-wide treatment.  Two drugs, diethylcarbamazine (DEC) and Suramin, were useful in killing the parasite, but both had severe side effects in infected individuals, needed close monitoring, and had even caused deaths.  In 1974, the Onchocerciasis Control Program was created to be administered by the World Health Organization, in the hope that the flies could be killed through spraying of </w:t>
      </w:r>
      <w:proofErr w:type="spellStart"/>
      <w:r w:rsidRPr="00F432A1">
        <w:rPr>
          <w:rFonts w:asciiTheme="minorHAnsi" w:eastAsia="Arial" w:hAnsiTheme="minorHAnsi" w:cstheme="minorHAnsi"/>
        </w:rPr>
        <w:t>larvacides</w:t>
      </w:r>
      <w:proofErr w:type="spellEnd"/>
      <w:r w:rsidRPr="00F432A1">
        <w:rPr>
          <w:rFonts w:asciiTheme="minorHAnsi" w:eastAsia="Arial" w:hAnsiTheme="minorHAnsi" w:cstheme="minorHAnsi"/>
        </w:rPr>
        <w:t xml:space="preserve"> at breeding sites, but success was slow and uncertain.  The flies in many areas developed resistance to the treatment, and were also known to disappear and then </w:t>
      </w:r>
      <w:proofErr w:type="spellStart"/>
      <w:r w:rsidRPr="00F432A1">
        <w:rPr>
          <w:rFonts w:asciiTheme="minorHAnsi" w:eastAsia="Arial" w:hAnsiTheme="minorHAnsi" w:cstheme="minorHAnsi"/>
        </w:rPr>
        <w:t>reinfest</w:t>
      </w:r>
      <w:proofErr w:type="spellEnd"/>
      <w:r w:rsidRPr="00F432A1">
        <w:rPr>
          <w:rFonts w:asciiTheme="minorHAnsi" w:eastAsia="Arial" w:hAnsiTheme="minorHAnsi" w:cstheme="minorHAnsi"/>
        </w:rPr>
        <w:t xml:space="preserve"> areas.</w:t>
      </w:r>
    </w:p>
    <w:p w14:paraId="79C2B567" w14:textId="038F4731" w:rsidR="00E455F3" w:rsidRPr="00C653CB" w:rsidRDefault="00E455F3" w:rsidP="00F432A1">
      <w:pPr>
        <w:rPr>
          <w:rFonts w:asciiTheme="minorHAnsi" w:eastAsia="Arial" w:hAnsiTheme="minorHAnsi" w:cstheme="minorHAnsi"/>
          <w:b/>
          <w:bCs/>
        </w:rPr>
      </w:pPr>
      <w:r w:rsidRPr="00C653CB">
        <w:rPr>
          <w:rFonts w:asciiTheme="minorHAnsi" w:eastAsia="Arial" w:hAnsiTheme="minorHAnsi" w:cstheme="minorHAnsi"/>
          <w:b/>
          <w:bCs/>
        </w:rPr>
        <w:t>Merck &amp; Co., Inc.—A Summary of Operations</w:t>
      </w:r>
    </w:p>
    <w:p w14:paraId="3DB62A1A"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Merck &amp; Co., Inc. was, in 1978, one of the largest producers of prescription drugs in the world.  Headquartered in Rahway, New Jersey, Merck traced its origins to Germany in 1668 when Friedrich Jacob Merck purchased an apothecary in the city of Darmstadt.  Over three hundred years later, Merck, having become an American firm, employed over 28,000 people and had operations all over the world. </w:t>
      </w:r>
    </w:p>
    <w:p w14:paraId="107A00B0"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In the late 1970s, Merck was coming off a 10-year drought in terms of new products.  For nearly a decade, the company had relied on two prescription drugs for a significant percentage of its approximately $2 billion in annual sales:  Indocin, a treatment for rheumatoid arthritis, and </w:t>
      </w:r>
      <w:proofErr w:type="spellStart"/>
      <w:r w:rsidRPr="00F432A1">
        <w:rPr>
          <w:rFonts w:asciiTheme="minorHAnsi" w:eastAsia="Arial" w:hAnsiTheme="minorHAnsi" w:cstheme="minorHAnsi"/>
        </w:rPr>
        <w:t>Aldomet</w:t>
      </w:r>
      <w:proofErr w:type="spellEnd"/>
      <w:r w:rsidRPr="00F432A1">
        <w:rPr>
          <w:rFonts w:asciiTheme="minorHAnsi" w:eastAsia="Arial" w:hAnsiTheme="minorHAnsi" w:cstheme="minorHAnsi"/>
        </w:rPr>
        <w:t>, a treatment for high blood pressure.  Henry W. Gadsden, Merck's chief executive from 1965 to 1976, along with his successor, John J. Horan, were concerned that the 17-year patent protection on Merck's two big moneymakers would soon expire, and began investing an enormous amount in research.</w:t>
      </w:r>
    </w:p>
    <w:p w14:paraId="3379203A"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Merck management spent a great deal of money on research because it knew that its success ten and twenty years in the future critically depended upon present investments.  The company deliberately fashioned a corporate culture to nurture the most creative, fruitful research.  Merck scientists were among the best-paid in the industry, and were given great latitude to pursue intriguing leads.  Moreover, they were inspired to think of their work as a quest to alleviate human disease and suffering </w:t>
      </w:r>
      <w:proofErr w:type="spellStart"/>
      <w:r w:rsidRPr="00F432A1">
        <w:rPr>
          <w:rFonts w:asciiTheme="minorHAnsi" w:eastAsia="Arial" w:hAnsiTheme="minorHAnsi" w:cstheme="minorHAnsi"/>
        </w:rPr>
        <w:t>worid</w:t>
      </w:r>
      <w:proofErr w:type="spellEnd"/>
      <w:r w:rsidRPr="00F432A1">
        <w:rPr>
          <w:rFonts w:asciiTheme="minorHAnsi" w:eastAsia="Arial" w:hAnsiTheme="minorHAnsi" w:cstheme="minorHAnsi"/>
        </w:rPr>
        <w:t xml:space="preserve">-wide.  Within certain proprietary constraints, researchers were encouraged to publish in academic journals and to share ideas with their scientific peers.  Nearly a billion dollars was spent between 1975 and 1978, and the investment paid off. In that period, under the direction of head of research. Dr. P. Roy </w:t>
      </w:r>
      <w:proofErr w:type="spellStart"/>
      <w:r w:rsidRPr="00F432A1">
        <w:rPr>
          <w:rFonts w:asciiTheme="minorHAnsi" w:eastAsia="Arial" w:hAnsiTheme="minorHAnsi" w:cstheme="minorHAnsi"/>
        </w:rPr>
        <w:t>Vagelos</w:t>
      </w:r>
      <w:proofErr w:type="spellEnd"/>
      <w:r w:rsidRPr="00F432A1">
        <w:rPr>
          <w:rFonts w:asciiTheme="minorHAnsi" w:eastAsia="Arial" w:hAnsiTheme="minorHAnsi" w:cstheme="minorHAnsi"/>
        </w:rPr>
        <w:t xml:space="preserve">, Merck introduced </w:t>
      </w:r>
      <w:proofErr w:type="spellStart"/>
      <w:r w:rsidRPr="00F432A1">
        <w:rPr>
          <w:rFonts w:asciiTheme="minorHAnsi" w:eastAsia="Arial" w:hAnsiTheme="minorHAnsi" w:cstheme="minorHAnsi"/>
        </w:rPr>
        <w:t>Clinoril</w:t>
      </w:r>
      <w:proofErr w:type="spellEnd"/>
      <w:r w:rsidRPr="00F432A1">
        <w:rPr>
          <w:rFonts w:asciiTheme="minorHAnsi" w:eastAsia="Arial" w:hAnsiTheme="minorHAnsi" w:cstheme="minorHAnsi"/>
        </w:rPr>
        <w:t xml:space="preserve">, a painkiller for arthritis; a general antibiotic called </w:t>
      </w:r>
      <w:proofErr w:type="spellStart"/>
      <w:r w:rsidRPr="00F432A1">
        <w:rPr>
          <w:rFonts w:asciiTheme="minorHAnsi" w:eastAsia="Arial" w:hAnsiTheme="minorHAnsi" w:cstheme="minorHAnsi"/>
        </w:rPr>
        <w:t>Mefoxin</w:t>
      </w:r>
      <w:proofErr w:type="spellEnd"/>
      <w:r w:rsidRPr="00F432A1">
        <w:rPr>
          <w:rFonts w:asciiTheme="minorHAnsi" w:eastAsia="Arial" w:hAnsiTheme="minorHAnsi" w:cstheme="minorHAnsi"/>
        </w:rPr>
        <w:t xml:space="preserve">; a drug for glaucoma named </w:t>
      </w:r>
      <w:proofErr w:type="spellStart"/>
      <w:r w:rsidRPr="00F432A1">
        <w:rPr>
          <w:rFonts w:asciiTheme="minorHAnsi" w:eastAsia="Arial" w:hAnsiTheme="minorHAnsi" w:cstheme="minorHAnsi"/>
        </w:rPr>
        <w:t>Timoptic</w:t>
      </w:r>
      <w:proofErr w:type="spellEnd"/>
      <w:r w:rsidRPr="00F432A1">
        <w:rPr>
          <w:rFonts w:asciiTheme="minorHAnsi" w:eastAsia="Arial" w:hAnsiTheme="minorHAnsi" w:cstheme="minorHAnsi"/>
        </w:rPr>
        <w:t xml:space="preserve">; and </w:t>
      </w:r>
      <w:proofErr w:type="spellStart"/>
      <w:r w:rsidRPr="00F432A1">
        <w:rPr>
          <w:rFonts w:asciiTheme="minorHAnsi" w:eastAsia="Arial" w:hAnsiTheme="minorHAnsi" w:cstheme="minorHAnsi"/>
        </w:rPr>
        <w:t>Ivomec</w:t>
      </w:r>
      <w:proofErr w:type="spellEnd"/>
      <w:r w:rsidRPr="00F432A1">
        <w:rPr>
          <w:rFonts w:asciiTheme="minorHAnsi" w:eastAsia="Arial" w:hAnsiTheme="minorHAnsi" w:cstheme="minorHAnsi"/>
        </w:rPr>
        <w:t xml:space="preserve"> (ivermectin, MSD), an antiparasitic for cattle. </w:t>
      </w:r>
    </w:p>
    <w:p w14:paraId="48D62511"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In 1978, Merck had sales of $1.98 billion and net income of $307 million.  Sales had risen steadily between 1969 and 1978 from $691 million to almost $2 billion.  Income during the same period rose from $106 million to over $300 million. </w:t>
      </w:r>
    </w:p>
    <w:p w14:paraId="5A58C867"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At that time, Merck employed 28,700 people, up from 22,200 ten years earlier.  Human and animal </w:t>
      </w:r>
      <w:r w:rsidRPr="00F432A1">
        <w:rPr>
          <w:rFonts w:asciiTheme="minorHAnsi" w:eastAsia="Arial" w:hAnsiTheme="minorHAnsi" w:cstheme="minorHAnsi"/>
        </w:rPr>
        <w:lastRenderedPageBreak/>
        <w:t xml:space="preserve">health products constituted 84% of the company's sales, with environmental health products and services representing an additional 14% of sales.  Merck's foreign sales had grown more rapidly during the 1970s than had domestic sales, and in 1978 represented 47% of total sales.  Much of the company's research operations were organized separately as the Merck Sharp &amp; Dohme Research Laboratories, headed by </w:t>
      </w:r>
      <w:proofErr w:type="spellStart"/>
      <w:r w:rsidRPr="00F432A1">
        <w:rPr>
          <w:rFonts w:asciiTheme="minorHAnsi" w:eastAsia="Arial" w:hAnsiTheme="minorHAnsi" w:cstheme="minorHAnsi"/>
        </w:rPr>
        <w:t>Vagelos</w:t>
      </w:r>
      <w:proofErr w:type="spellEnd"/>
      <w:r w:rsidRPr="00F432A1">
        <w:rPr>
          <w:rFonts w:asciiTheme="minorHAnsi" w:eastAsia="Arial" w:hAnsiTheme="minorHAnsi" w:cstheme="minorHAnsi"/>
        </w:rPr>
        <w:t xml:space="preserve">.  Other Merck operations included the Merck Sharp &amp; Dohme Division, the Merck Sharp &amp; Dohme International Division, </w:t>
      </w:r>
      <w:proofErr w:type="spellStart"/>
      <w:r w:rsidRPr="00F432A1">
        <w:rPr>
          <w:rFonts w:asciiTheme="minorHAnsi" w:eastAsia="Arial" w:hAnsiTheme="minorHAnsi" w:cstheme="minorHAnsi"/>
        </w:rPr>
        <w:t>Keico</w:t>
      </w:r>
      <w:proofErr w:type="spellEnd"/>
      <w:r w:rsidRPr="00F432A1">
        <w:rPr>
          <w:rFonts w:asciiTheme="minorHAnsi" w:eastAsia="Arial" w:hAnsiTheme="minorHAnsi" w:cstheme="minorHAnsi"/>
        </w:rPr>
        <w:t xml:space="preserve"> Division, Merck Chemical Manufacturing Division, Merck Animal Health Division, Calgon Corporation, Baltimore </w:t>
      </w:r>
      <w:proofErr w:type="spellStart"/>
      <w:r w:rsidRPr="00F432A1">
        <w:rPr>
          <w:rFonts w:asciiTheme="minorHAnsi" w:eastAsia="Arial" w:hAnsiTheme="minorHAnsi" w:cstheme="minorHAnsi"/>
        </w:rPr>
        <w:t>Aircoil</w:t>
      </w:r>
      <w:proofErr w:type="spellEnd"/>
      <w:r w:rsidRPr="00F432A1">
        <w:rPr>
          <w:rFonts w:asciiTheme="minorHAnsi" w:eastAsia="Arial" w:hAnsiTheme="minorHAnsi" w:cstheme="minorHAnsi"/>
        </w:rPr>
        <w:t xml:space="preserve"> Company, and Hubbard Farms. </w:t>
      </w:r>
    </w:p>
    <w:p w14:paraId="1B0CFF59"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The company had 24 plants in the United States, including one in Puerto Rico, and 44 in other countries.  Six research laboratories were located in the United States and four abroad. </w:t>
      </w:r>
    </w:p>
    <w:p w14:paraId="5CACAA55"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While Merck executives sometimes squirmed when they quoted the "</w:t>
      </w:r>
      <w:proofErr w:type="spellStart"/>
      <w:r w:rsidRPr="00F432A1">
        <w:rPr>
          <w:rFonts w:asciiTheme="minorHAnsi" w:eastAsia="Arial" w:hAnsiTheme="minorHAnsi" w:cstheme="minorHAnsi"/>
        </w:rPr>
        <w:t>unbusinesslike</w:t>
      </w:r>
      <w:proofErr w:type="spellEnd"/>
      <w:r w:rsidRPr="00F432A1">
        <w:rPr>
          <w:rFonts w:asciiTheme="minorHAnsi" w:eastAsia="Arial" w:hAnsiTheme="minorHAnsi" w:cstheme="minorHAnsi"/>
        </w:rPr>
        <w:t xml:space="preserve"> language" of George W. Merck, son of the company's founder and its former chairman, there could be no doubt that Merck employees found the words inspirational.  "We try never to forget that medicine is for the people," Merck said.  "It is not for the profits.  The profits follow, and if we have remembered that, they have never failed to appear.  The better we have remembered it, the larger they have been."  These words formed the basis of Merck's overall corporate philosophy.</w:t>
      </w:r>
    </w:p>
    <w:p w14:paraId="575A6802" w14:textId="167C5ADF" w:rsidR="00E455F3" w:rsidRPr="00FA318C" w:rsidRDefault="00E455F3" w:rsidP="00F432A1">
      <w:pPr>
        <w:rPr>
          <w:rFonts w:asciiTheme="minorHAnsi" w:eastAsia="Arial" w:hAnsiTheme="minorHAnsi" w:cstheme="minorHAnsi"/>
          <w:b/>
          <w:bCs/>
        </w:rPr>
      </w:pPr>
      <w:r w:rsidRPr="00F432A1">
        <w:rPr>
          <w:rFonts w:asciiTheme="minorHAnsi" w:eastAsia="Arial" w:hAnsiTheme="minorHAnsi" w:cstheme="minorHAnsi"/>
        </w:rPr>
        <w:t xml:space="preserve"> </w:t>
      </w:r>
      <w:r w:rsidRPr="00FA318C">
        <w:rPr>
          <w:rFonts w:asciiTheme="minorHAnsi" w:eastAsia="Arial" w:hAnsiTheme="minorHAnsi" w:cstheme="minorHAnsi"/>
          <w:b/>
          <w:bCs/>
        </w:rPr>
        <w:t>The Drug Investment Decision</w:t>
      </w:r>
    </w:p>
    <w:p w14:paraId="4254FCF4"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Merck invested hundreds of millions of dollars each year in research.  Allocating those funds among various projects, however, was a rather involved and inexact process.  At a company as large as Merck, there was never a single method by which projects were approved or money distributed. </w:t>
      </w:r>
    </w:p>
    <w:p w14:paraId="5178E984"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Studies showed that, on the average, it took 12 years and $200 million to bring a new drug to market.  Thousands of scientists were continually working on new ideas and following new leads.  Drug development was always a matter of trial and error; with each new iteration, scientists would close some doors and open others.  When a Merck researcher came across an apparent breakthrough — either in an unexpected direction, or as a derivative of the original lead — he or she would conduct preliminary research.  If the idea proved promising, it was brought to the attention of the department heads. </w:t>
      </w:r>
    </w:p>
    <w:p w14:paraId="26A354BB"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Every year, Merck's research division held a large review meeting at which all research programs were examined.  Projects were coordinated and consolidated, established programs were reviewed and new possibilities were considered.  Final approval on research was not made, however, until the head of research met later with a committee of scientific advisors.  Each potential program was extensively reviewed, analyzed on the basis of the likelihood of success, the existing market, competition, potential safety problems, manufacturing feasibility, and patent status before the decision was made whether to allocate funds for continued experimentation.</w:t>
      </w:r>
    </w:p>
    <w:p w14:paraId="696F7B47" w14:textId="57B977C5" w:rsidR="00E455F3" w:rsidRPr="00FA318C" w:rsidRDefault="00E455F3" w:rsidP="00F432A1">
      <w:pPr>
        <w:rPr>
          <w:rFonts w:asciiTheme="minorHAnsi" w:eastAsia="Arial" w:hAnsiTheme="minorHAnsi" w:cstheme="minorHAnsi"/>
          <w:b/>
          <w:bCs/>
        </w:rPr>
      </w:pPr>
      <w:r w:rsidRPr="00FA318C">
        <w:rPr>
          <w:rFonts w:asciiTheme="minorHAnsi" w:eastAsia="Arial" w:hAnsiTheme="minorHAnsi" w:cstheme="minorHAnsi"/>
          <w:b/>
          <w:bCs/>
        </w:rPr>
        <w:t>The Problem of Rare Diseases and Poor Customers</w:t>
      </w:r>
    </w:p>
    <w:p w14:paraId="74D9420F"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Many potential drugs offered little chance of financial return.  Some diseases were so rare that treatments developed could never be priced high enough to recoup the investment in research, while other diseases afflicted only the poor in rural and remote areas of the Third World.  These victims had limited ability to pay even a small amount for drugs or treatment. </w:t>
      </w:r>
    </w:p>
    <w:p w14:paraId="4DC82F89"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In the United States, Congress sought to encourage drug companies to conduct research on rare </w:t>
      </w:r>
      <w:r w:rsidRPr="00F432A1">
        <w:rPr>
          <w:rFonts w:asciiTheme="minorHAnsi" w:eastAsia="Arial" w:hAnsiTheme="minorHAnsi" w:cstheme="minorHAnsi"/>
        </w:rPr>
        <w:lastRenderedPageBreak/>
        <w:t xml:space="preserve">diseases.  In 1978, legislation had been proposed that would grant drug companies tax benefits and seven-year exclusive marketing rights if they would manufacture drugs for diseases afflicting fewer than 200,000 Americans.  It was expected that this "orphan drug program" would eventually be passed into law. </w:t>
      </w:r>
    </w:p>
    <w:p w14:paraId="13D47ECD"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There was, however, no U.S. or international program that would create incentives for companies to develop drugs for diseases like river blindness, which afflicted millions of me poor in the Third World.  The only hope was that some Third World government, foundation, or international aid organization might step in and partially fund the distribution of a drug that had already been developed.</w:t>
      </w:r>
    </w:p>
    <w:p w14:paraId="6387887D" w14:textId="4F3D335B" w:rsidR="00E455F3" w:rsidRPr="00FA318C" w:rsidRDefault="00E455F3" w:rsidP="00F432A1">
      <w:pPr>
        <w:rPr>
          <w:rFonts w:asciiTheme="minorHAnsi" w:eastAsia="Arial" w:hAnsiTheme="minorHAnsi" w:cstheme="minorHAnsi"/>
          <w:b/>
          <w:bCs/>
        </w:rPr>
      </w:pPr>
      <w:r w:rsidRPr="00FA318C">
        <w:rPr>
          <w:rFonts w:asciiTheme="minorHAnsi" w:eastAsia="Arial" w:hAnsiTheme="minorHAnsi" w:cstheme="minorHAnsi"/>
          <w:b/>
          <w:bCs/>
        </w:rPr>
        <w:t xml:space="preserve">The Discovery of </w:t>
      </w:r>
      <w:proofErr w:type="spellStart"/>
      <w:r w:rsidRPr="00FA318C">
        <w:rPr>
          <w:rFonts w:asciiTheme="minorHAnsi" w:eastAsia="Arial" w:hAnsiTheme="minorHAnsi" w:cstheme="minorHAnsi"/>
          <w:b/>
          <w:bCs/>
        </w:rPr>
        <w:t>Ivennectin</w:t>
      </w:r>
      <w:proofErr w:type="spellEnd"/>
    </w:p>
    <w:p w14:paraId="618BFE39"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The process of investigating promising drug compounds was always long, laborious and fraught with failure.  For every pharmaceutical compound that became a "product candidate," thousands of others failed to meet the most rudimentary pre-clinical tests for safety and efficacy.  With so much room for failure it became especially important for drug companies to have sophisticated research managers who could identify the most productive research strategies. </w:t>
      </w:r>
    </w:p>
    <w:p w14:paraId="52A4B03D"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Merck had long been a pioneer in developing major new antibiotic compounds, </w:t>
      </w:r>
      <w:proofErr w:type="spellStart"/>
      <w:r w:rsidRPr="00F432A1">
        <w:rPr>
          <w:rFonts w:asciiTheme="minorHAnsi" w:eastAsia="Arial" w:hAnsiTheme="minorHAnsi" w:cstheme="minorHAnsi"/>
        </w:rPr>
        <w:t>beginnng</w:t>
      </w:r>
      <w:proofErr w:type="spellEnd"/>
      <w:r w:rsidRPr="00F432A1">
        <w:rPr>
          <w:rFonts w:asciiTheme="minorHAnsi" w:eastAsia="Arial" w:hAnsiTheme="minorHAnsi" w:cstheme="minorHAnsi"/>
        </w:rPr>
        <w:t xml:space="preserve"> with penicillin and </w:t>
      </w:r>
      <w:proofErr w:type="spellStart"/>
      <w:r w:rsidRPr="00F432A1">
        <w:rPr>
          <w:rFonts w:asciiTheme="minorHAnsi" w:eastAsia="Arial" w:hAnsiTheme="minorHAnsi" w:cstheme="minorHAnsi"/>
        </w:rPr>
        <w:t>streptomypin</w:t>
      </w:r>
      <w:proofErr w:type="spellEnd"/>
      <w:r w:rsidRPr="00F432A1">
        <w:rPr>
          <w:rFonts w:asciiTheme="minorHAnsi" w:eastAsia="Arial" w:hAnsiTheme="minorHAnsi" w:cstheme="minorHAnsi"/>
        </w:rPr>
        <w:t xml:space="preserve"> in the 1940.  In the 1970s Merck Sharp &amp; Dohme Research Laboratories were continuing this tradition.  To help investigate for new microbial agents of potential therapeutic value. Merck researchers obtained 54 soil samples from the </w:t>
      </w:r>
      <w:proofErr w:type="spellStart"/>
      <w:r w:rsidRPr="00F432A1">
        <w:rPr>
          <w:rFonts w:asciiTheme="minorHAnsi" w:eastAsia="Arial" w:hAnsiTheme="minorHAnsi" w:cstheme="minorHAnsi"/>
        </w:rPr>
        <w:t>Kitasato</w:t>
      </w:r>
      <w:proofErr w:type="spellEnd"/>
      <w:r w:rsidRPr="00F432A1">
        <w:rPr>
          <w:rFonts w:asciiTheme="minorHAnsi" w:eastAsia="Arial" w:hAnsiTheme="minorHAnsi" w:cstheme="minorHAnsi"/>
        </w:rPr>
        <w:t xml:space="preserve"> Institute of Japan in 1974.  These samples seemed novel and the researchers hoped they might disclose some naturally occurring antibiotics. </w:t>
      </w:r>
    </w:p>
    <w:p w14:paraId="130A04B5"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As Merck researchers methodically put the soil through hundreds of tests, Merck scientists were pleasantly surprised to detect strong antiparasitic activity in Sample No. OS3153, a scoop of soil dug up at a golf course near Ito, Japan.  The Merck labs quickly brought together an interdisciplinary team to try to isolate a pure active ingredient from the microbial culture.  The compound eventually isolated — </w:t>
      </w:r>
      <w:proofErr w:type="spellStart"/>
      <w:r w:rsidRPr="00F432A1">
        <w:rPr>
          <w:rFonts w:asciiTheme="minorHAnsi" w:eastAsia="Arial" w:hAnsiTheme="minorHAnsi" w:cstheme="minorHAnsi"/>
        </w:rPr>
        <w:t>avermectin</w:t>
      </w:r>
      <w:proofErr w:type="spellEnd"/>
      <w:r w:rsidRPr="00F432A1">
        <w:rPr>
          <w:rFonts w:asciiTheme="minorHAnsi" w:eastAsia="Arial" w:hAnsiTheme="minorHAnsi" w:cstheme="minorHAnsi"/>
        </w:rPr>
        <w:t xml:space="preserve"> — proved to have an astonishing potency and effectiveness against a wide range of parasites in cattle, swine, horses, and other animals.  Within a year, the Merck team also began to suspect that a group of related compounds discovered in the same soil sample could be effective against many other intestinal worms, mites, ticks, and insects.</w:t>
      </w:r>
    </w:p>
    <w:p w14:paraId="0263407D"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After lexicological tests suggested that ivermectin would be safer than related compounds, Merck decided to develop the substance for the animal health market.  In 1978, the first ivermectin-based animal drug, </w:t>
      </w:r>
      <w:proofErr w:type="spellStart"/>
      <w:r w:rsidRPr="00F432A1">
        <w:rPr>
          <w:rFonts w:asciiTheme="minorHAnsi" w:eastAsia="Arial" w:hAnsiTheme="minorHAnsi" w:cstheme="minorHAnsi"/>
        </w:rPr>
        <w:t>Ivomec</w:t>
      </w:r>
      <w:proofErr w:type="spellEnd"/>
      <w:r w:rsidRPr="00F432A1">
        <w:rPr>
          <w:rFonts w:asciiTheme="minorHAnsi" w:eastAsia="Arial" w:hAnsiTheme="minorHAnsi" w:cstheme="minorHAnsi"/>
        </w:rPr>
        <w:t xml:space="preserve">, was </w:t>
      </w:r>
      <w:proofErr w:type="spellStart"/>
      <w:r w:rsidRPr="00F432A1">
        <w:rPr>
          <w:rFonts w:asciiTheme="minorHAnsi" w:eastAsia="Arial" w:hAnsiTheme="minorHAnsi" w:cstheme="minorHAnsi"/>
        </w:rPr>
        <w:t>neanng</w:t>
      </w:r>
      <w:proofErr w:type="spellEnd"/>
      <w:r w:rsidRPr="00F432A1">
        <w:rPr>
          <w:rFonts w:asciiTheme="minorHAnsi" w:eastAsia="Arial" w:hAnsiTheme="minorHAnsi" w:cstheme="minorHAnsi"/>
        </w:rPr>
        <w:t xml:space="preserve"> approval by the U S Department of Agriculture and foreign regulatory bodies.  Many variations would likely follow: drugs for sheep and pigs, horses, dogs, and others.  </w:t>
      </w:r>
      <w:proofErr w:type="spellStart"/>
      <w:r w:rsidRPr="00F432A1">
        <w:rPr>
          <w:rFonts w:asciiTheme="minorHAnsi" w:eastAsia="Arial" w:hAnsiTheme="minorHAnsi" w:cstheme="minorHAnsi"/>
        </w:rPr>
        <w:t>Ivomec</w:t>
      </w:r>
      <w:proofErr w:type="spellEnd"/>
      <w:r w:rsidRPr="00F432A1">
        <w:rPr>
          <w:rFonts w:asciiTheme="minorHAnsi" w:eastAsia="Arial" w:hAnsiTheme="minorHAnsi" w:cstheme="minorHAnsi"/>
        </w:rPr>
        <w:t xml:space="preserve"> had the potential to become a major advance in animal health treatment.</w:t>
      </w:r>
    </w:p>
    <w:p w14:paraId="34ADBFBF"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As clinical testing of ivermectin progressed in the late 1970s, Dr. William Campbell's ongoing research brought him face-to-face with an intriguing </w:t>
      </w:r>
      <w:proofErr w:type="spellStart"/>
      <w:r w:rsidRPr="00F432A1">
        <w:rPr>
          <w:rFonts w:asciiTheme="minorHAnsi" w:eastAsia="Arial" w:hAnsiTheme="minorHAnsi" w:cstheme="minorHAnsi"/>
        </w:rPr>
        <w:t>hypotheisis</w:t>
      </w:r>
      <w:proofErr w:type="spellEnd"/>
      <w:r w:rsidRPr="00F432A1">
        <w:rPr>
          <w:rFonts w:asciiTheme="minorHAnsi" w:eastAsia="Arial" w:hAnsiTheme="minorHAnsi" w:cstheme="minorHAnsi"/>
        </w:rPr>
        <w:t xml:space="preserve">.   Ivermectin, when tested in horses, was effective against the </w:t>
      </w:r>
      <w:proofErr w:type="spellStart"/>
      <w:r w:rsidRPr="00F432A1">
        <w:rPr>
          <w:rFonts w:asciiTheme="minorHAnsi" w:eastAsia="Arial" w:hAnsiTheme="minorHAnsi" w:cstheme="minorHAnsi"/>
        </w:rPr>
        <w:t>microfilanae</w:t>
      </w:r>
      <w:proofErr w:type="spellEnd"/>
      <w:r w:rsidRPr="00F432A1">
        <w:rPr>
          <w:rFonts w:asciiTheme="minorHAnsi" w:eastAsia="Arial" w:hAnsiTheme="minorHAnsi" w:cstheme="minorHAnsi"/>
        </w:rPr>
        <w:t xml:space="preserve"> of an exotic fairly unimportant gastrointestinal parasite, </w:t>
      </w:r>
      <w:proofErr w:type="spellStart"/>
      <w:r w:rsidRPr="00F432A1">
        <w:rPr>
          <w:rFonts w:asciiTheme="minorHAnsi" w:eastAsia="Arial" w:hAnsiTheme="minorHAnsi" w:cstheme="minorHAnsi"/>
        </w:rPr>
        <w:t>Onchocerca</w:t>
      </w:r>
      <w:proofErr w:type="spellEnd"/>
      <w:r w:rsidRPr="00F432A1">
        <w:rPr>
          <w:rFonts w:asciiTheme="minorHAnsi" w:eastAsia="Arial" w:hAnsiTheme="minorHAnsi" w:cstheme="minorHAnsi"/>
        </w:rPr>
        <w:t xml:space="preserve"> </w:t>
      </w:r>
      <w:proofErr w:type="spellStart"/>
      <w:r w:rsidRPr="00F432A1">
        <w:rPr>
          <w:rFonts w:asciiTheme="minorHAnsi" w:eastAsia="Arial" w:hAnsiTheme="minorHAnsi" w:cstheme="minorHAnsi"/>
        </w:rPr>
        <w:t>cervicahs</w:t>
      </w:r>
      <w:proofErr w:type="spellEnd"/>
      <w:r w:rsidRPr="00F432A1">
        <w:rPr>
          <w:rFonts w:asciiTheme="minorHAnsi" w:eastAsia="Arial" w:hAnsiTheme="minorHAnsi" w:cstheme="minorHAnsi"/>
        </w:rPr>
        <w:t xml:space="preserve">.  This particular worm. while harmless in horses, had characteristics similar to the insidious human parasite that causes river blindness, </w:t>
      </w:r>
      <w:proofErr w:type="spellStart"/>
      <w:r w:rsidRPr="00F432A1">
        <w:rPr>
          <w:rFonts w:asciiTheme="minorHAnsi" w:eastAsia="Arial" w:hAnsiTheme="minorHAnsi" w:cstheme="minorHAnsi"/>
        </w:rPr>
        <w:t>Onchocerca</w:t>
      </w:r>
      <w:proofErr w:type="spellEnd"/>
      <w:r w:rsidRPr="00F432A1">
        <w:rPr>
          <w:rFonts w:asciiTheme="minorHAnsi" w:eastAsia="Arial" w:hAnsiTheme="minorHAnsi" w:cstheme="minorHAnsi"/>
        </w:rPr>
        <w:t xml:space="preserve"> volvulus. </w:t>
      </w:r>
    </w:p>
    <w:p w14:paraId="08A1CF0B"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Dr Campbell wondered, could ivermectin be formulated to work against the human parasite?  Could a safe, effective drug suitable for community-wide treatment of river blindness be developed?  Both </w:t>
      </w:r>
      <w:r w:rsidRPr="00F432A1">
        <w:rPr>
          <w:rFonts w:asciiTheme="minorHAnsi" w:eastAsia="Arial" w:hAnsiTheme="minorHAnsi" w:cstheme="minorHAnsi"/>
        </w:rPr>
        <w:lastRenderedPageBreak/>
        <w:t xml:space="preserve">Campbell and </w:t>
      </w:r>
      <w:proofErr w:type="spellStart"/>
      <w:r w:rsidRPr="00F432A1">
        <w:rPr>
          <w:rFonts w:asciiTheme="minorHAnsi" w:eastAsia="Arial" w:hAnsiTheme="minorHAnsi" w:cstheme="minorHAnsi"/>
        </w:rPr>
        <w:t>Vagelos</w:t>
      </w:r>
      <w:proofErr w:type="spellEnd"/>
      <w:r w:rsidRPr="00F432A1">
        <w:rPr>
          <w:rFonts w:asciiTheme="minorHAnsi" w:eastAsia="Arial" w:hAnsiTheme="minorHAnsi" w:cstheme="minorHAnsi"/>
        </w:rPr>
        <w:t xml:space="preserve"> knew that it was very much a gamble that it would succeed.  Furthermore, both knew that even if success were attained, the economic viability of such a project would be nil.  On the other hand, because such a significant amount of money had already been invested m the development of the animal drug, the cost of developing a human formulation would be much less than that for developing a new compound.  It was also widely believed at this point that ivermectin, though still in its final development stages, was likely to be very successful. </w:t>
      </w:r>
    </w:p>
    <w:p w14:paraId="42909C82"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A decision to proceed would not be without risks.  If a new derivative proved to have any adverse health effects when used on humans, its reputation as a veterinary drug could be tainted and sales negatively affected, no matter how irrelevant the experience with humans.  In early tests, ivermectin had had some negative side effects on some specific species of mammals.  Dr. Brian Duke of the Armed Forces Institute of Pathology in Washington, D.C. said the cross-species effectiveness of antiparasitic drugs are unpredictable, and there is "always a worry that some race or sub-section of the human population might be adversely affected." </w:t>
      </w:r>
    </w:p>
    <w:p w14:paraId="40D0F3F4" w14:textId="77777777" w:rsidR="00E455F3" w:rsidRPr="00F432A1" w:rsidRDefault="00E455F3" w:rsidP="00F432A1">
      <w:pPr>
        <w:rPr>
          <w:rFonts w:asciiTheme="minorHAnsi" w:eastAsia="Arial" w:hAnsiTheme="minorHAnsi" w:cstheme="minorHAnsi"/>
        </w:rPr>
      </w:pPr>
      <w:r w:rsidRPr="00F432A1">
        <w:rPr>
          <w:rFonts w:asciiTheme="minorHAnsi" w:eastAsia="Arial" w:hAnsiTheme="minorHAnsi" w:cstheme="minorHAnsi"/>
        </w:rPr>
        <w:t xml:space="preserve">        Isolated instances of harm to humans or improper use in Third World settings might also raise some unsettling questions:  Could drug residues turn up in meat eaten by humans?  Would any human version of ivermectin distributed to the Third World be diverted into the black market, undercutting sales of the veterinary drug?  Could the drug harm certain animals in unknown ways? </w:t>
      </w:r>
    </w:p>
    <w:p w14:paraId="60695D72" w14:textId="1D79C116" w:rsidR="000639CA" w:rsidRDefault="00E455F3" w:rsidP="00F432A1">
      <w:pPr>
        <w:rPr>
          <w:rFonts w:asciiTheme="minorHAnsi" w:eastAsia="Arial" w:hAnsiTheme="minorHAnsi" w:cstheme="minorHAnsi"/>
          <w:highlight w:val="white"/>
        </w:rPr>
      </w:pPr>
      <w:r w:rsidRPr="00F432A1">
        <w:rPr>
          <w:rFonts w:asciiTheme="minorHAnsi" w:eastAsia="Arial" w:hAnsiTheme="minorHAnsi" w:cstheme="minorHAnsi"/>
        </w:rPr>
        <w:t xml:space="preserve">        Despite these risks, </w:t>
      </w:r>
      <w:proofErr w:type="spellStart"/>
      <w:r w:rsidRPr="00F432A1">
        <w:rPr>
          <w:rFonts w:asciiTheme="minorHAnsi" w:eastAsia="Arial" w:hAnsiTheme="minorHAnsi" w:cstheme="minorHAnsi"/>
        </w:rPr>
        <w:t>Vagelos</w:t>
      </w:r>
      <w:proofErr w:type="spellEnd"/>
      <w:r w:rsidRPr="00F432A1">
        <w:rPr>
          <w:rFonts w:asciiTheme="minorHAnsi" w:eastAsia="Arial" w:hAnsiTheme="minorHAnsi" w:cstheme="minorHAnsi"/>
        </w:rPr>
        <w:t xml:space="preserve"> wondered what the impact might be of turning down Campbell's proposal.  Merck had built a research team dedicated to alleviating human suffering.  What would a refusal to pursue a possible treatment for river blindness do to morale?  Ultimately, it was Dr. </w:t>
      </w:r>
      <w:proofErr w:type="spellStart"/>
      <w:r w:rsidRPr="00F432A1">
        <w:rPr>
          <w:rFonts w:asciiTheme="minorHAnsi" w:eastAsia="Arial" w:hAnsiTheme="minorHAnsi" w:cstheme="minorHAnsi"/>
        </w:rPr>
        <w:t>Vagelos</w:t>
      </w:r>
      <w:proofErr w:type="spellEnd"/>
      <w:r w:rsidRPr="00F432A1">
        <w:rPr>
          <w:rFonts w:asciiTheme="minorHAnsi" w:eastAsia="Arial" w:hAnsiTheme="minorHAnsi" w:cstheme="minorHAnsi"/>
        </w:rPr>
        <w:t xml:space="preserve"> who had to make the decision whether or not to fund research toward a treatment for river blindness.      </w:t>
      </w:r>
    </w:p>
    <w:p w14:paraId="56BC0B46" w14:textId="2CE17E9A" w:rsidR="00FA318C" w:rsidRPr="00E75319" w:rsidRDefault="00FA318C" w:rsidP="00F432A1">
      <w:pPr>
        <w:rPr>
          <w:rFonts w:asciiTheme="minorHAnsi" w:eastAsia="Arial" w:hAnsiTheme="minorHAnsi" w:cstheme="minorHAnsi"/>
          <w:b/>
          <w:bCs/>
          <w:highlight w:val="white"/>
        </w:rPr>
      </w:pPr>
      <w:r w:rsidRPr="00E75319">
        <w:rPr>
          <w:rFonts w:asciiTheme="minorHAnsi" w:eastAsia="Arial" w:hAnsiTheme="minorHAnsi" w:cstheme="minorHAnsi"/>
          <w:b/>
          <w:bCs/>
          <w:highlight w:val="white"/>
        </w:rPr>
        <w:t>BFGOOD</w:t>
      </w:r>
      <w:r w:rsidR="00CA68A1">
        <w:rPr>
          <w:rFonts w:asciiTheme="minorHAnsi" w:eastAsia="Arial" w:hAnsiTheme="minorHAnsi" w:cstheme="minorHAnsi"/>
          <w:b/>
          <w:bCs/>
          <w:highlight w:val="white"/>
        </w:rPr>
        <w:t>RICH</w:t>
      </w:r>
    </w:p>
    <w:p w14:paraId="194ED61C" w14:textId="77777777" w:rsidR="00F432A1" w:rsidRPr="00F432A1" w:rsidRDefault="00F432A1" w:rsidP="00F432A1">
      <w:pPr>
        <w:rPr>
          <w:rFonts w:asciiTheme="minorHAnsi" w:eastAsia="Arial" w:hAnsiTheme="minorHAnsi" w:cstheme="minorHAnsi"/>
          <w:b/>
          <w:bCs/>
          <w:highlight w:val="white"/>
          <w:lang w:val="en-GB"/>
        </w:rPr>
      </w:pPr>
      <w:r w:rsidRPr="00F432A1">
        <w:rPr>
          <w:rFonts w:asciiTheme="minorHAnsi" w:eastAsia="Arial" w:hAnsiTheme="minorHAnsi" w:cstheme="minorHAnsi"/>
          <w:b/>
          <w:bCs/>
          <w:highlight w:val="white"/>
          <w:lang w:val="en-GB"/>
        </w:rPr>
        <w:t>What are the relevant facts from the case?</w:t>
      </w:r>
    </w:p>
    <w:p w14:paraId="7613D1A5" w14:textId="1072DB40"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 xml:space="preserve">It is notable that the relevant facts in the case can be </w:t>
      </w:r>
      <w:proofErr w:type="spellStart"/>
      <w:r w:rsidRPr="00F432A1">
        <w:rPr>
          <w:rFonts w:asciiTheme="minorHAnsi" w:eastAsia="Arial" w:hAnsiTheme="minorHAnsi" w:cstheme="minorHAnsi"/>
          <w:highlight w:val="white"/>
          <w:lang w:val="en-GB"/>
        </w:rPr>
        <w:t>analyzed</w:t>
      </w:r>
      <w:proofErr w:type="spellEnd"/>
      <w:r w:rsidRPr="00F432A1">
        <w:rPr>
          <w:rFonts w:asciiTheme="minorHAnsi" w:eastAsia="Arial" w:hAnsiTheme="minorHAnsi" w:cstheme="minorHAnsi"/>
          <w:highlight w:val="white"/>
          <w:lang w:val="en-GB"/>
        </w:rPr>
        <w:t xml:space="preserve"> in a business perspective. It is essential to observe that working under a government contract can be perceived as a good proposition although there are those who argue that it may not be a favo</w:t>
      </w:r>
      <w:r w:rsidR="00E75319">
        <w:rPr>
          <w:rFonts w:asciiTheme="minorHAnsi" w:eastAsia="Arial" w:hAnsiTheme="minorHAnsi" w:cstheme="minorHAnsi"/>
          <w:highlight w:val="white"/>
          <w:lang w:val="en-GB"/>
        </w:rPr>
        <w:t>u</w:t>
      </w:r>
      <w:r w:rsidRPr="00F432A1">
        <w:rPr>
          <w:rFonts w:asciiTheme="minorHAnsi" w:eastAsia="Arial" w:hAnsiTheme="minorHAnsi" w:cstheme="minorHAnsi"/>
          <w:highlight w:val="white"/>
          <w:lang w:val="en-GB"/>
        </w:rPr>
        <w:t>rable undertaking. In addition, there are frequent flows of orders as well as revenue increment.</w:t>
      </w:r>
    </w:p>
    <w:p w14:paraId="715EAFD5"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This leads to improved returns. Nevertheless, there are obvious downfalls which companies face while working in this manner. For instance, extensive research and documentation are required. As a matter of fact, an individual may not qualify for government contracts (Shaw, 2005). Moreover, whenever slight failures occur, serious repercussions might be imposed on companies that are involved.</w:t>
      </w:r>
    </w:p>
    <w:p w14:paraId="588C792F"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The other side of the argument is that there are high quality prospects from the government. A typical example is the brake scandal that befell Goodrich A7D. The fact that Goodrich won a contract due to his competitive bid for air flight products such as wheels and brakes, he had to present a report of certainty for the qualifying tests (Shaw, 2005). Unfortunately, calamity befell him when a brake failure resulted into accusations. Eventually, he lost the contract.</w:t>
      </w:r>
    </w:p>
    <w:p w14:paraId="2011F530"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 xml:space="preserve">This was quite frustrating bearing in mind that too much effort had been put in place prior to the unfortunate ending. This scenario leads to one important conclusion that before signing a contract, a decision must be made based on the possible risks that might occur in case complexities arise (Fielder, </w:t>
      </w:r>
      <w:r w:rsidRPr="00F432A1">
        <w:rPr>
          <w:rFonts w:asciiTheme="minorHAnsi" w:eastAsia="Arial" w:hAnsiTheme="minorHAnsi" w:cstheme="minorHAnsi"/>
          <w:highlight w:val="white"/>
          <w:lang w:val="en-GB"/>
        </w:rPr>
        <w:lastRenderedPageBreak/>
        <w:t>1988). Moreover, whenever a scandal arises, one needs to make a decision on the best moral decision as opposed to Goodrich idea which wholly relied on presenting a false report.</w:t>
      </w:r>
    </w:p>
    <w:p w14:paraId="6BF8089A"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Primary characters in A7D Affair</w:t>
      </w:r>
      <w:r w:rsidRPr="00F432A1">
        <w:rPr>
          <w:rFonts w:asciiTheme="minorHAnsi" w:eastAsia="Arial" w:hAnsiTheme="minorHAnsi" w:cstheme="minorHAnsi"/>
          <w:b/>
          <w:bCs/>
          <w:highlight w:val="white"/>
          <w:lang w:val="en-GB"/>
        </w:rPr>
        <w:t>: </w:t>
      </w:r>
      <w:r w:rsidRPr="00F432A1">
        <w:rPr>
          <w:rFonts w:asciiTheme="minorHAnsi" w:eastAsia="Arial" w:hAnsiTheme="minorHAnsi" w:cstheme="minorHAnsi"/>
          <w:highlight w:val="white"/>
          <w:lang w:val="en-GB"/>
        </w:rPr>
        <w:t>the following were the key characters who were instrumental in the A7D affair.</w:t>
      </w:r>
    </w:p>
    <w:p w14:paraId="256EF7CE"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B.F. Goodrich</w:t>
      </w:r>
    </w:p>
    <w:p w14:paraId="2D25570E"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John Warren</w:t>
      </w:r>
    </w:p>
    <w:p w14:paraId="0C8976ED"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 xml:space="preserve">Kermit </w:t>
      </w:r>
      <w:proofErr w:type="spellStart"/>
      <w:r w:rsidRPr="00F432A1">
        <w:rPr>
          <w:rFonts w:asciiTheme="minorHAnsi" w:eastAsia="Arial" w:hAnsiTheme="minorHAnsi" w:cstheme="minorHAnsi"/>
          <w:highlight w:val="white"/>
          <w:lang w:val="en-GB"/>
        </w:rPr>
        <w:t>Vandivier</w:t>
      </w:r>
      <w:proofErr w:type="spellEnd"/>
    </w:p>
    <w:p w14:paraId="10A4167A"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Robert Sink</w:t>
      </w:r>
    </w:p>
    <w:p w14:paraId="01FEF887"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Russell Van Horn</w:t>
      </w:r>
    </w:p>
    <w:p w14:paraId="2D90FAFB"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 xml:space="preserve">Richard </w:t>
      </w:r>
      <w:proofErr w:type="spellStart"/>
      <w:r w:rsidRPr="00F432A1">
        <w:rPr>
          <w:rFonts w:asciiTheme="minorHAnsi" w:eastAsia="Arial" w:hAnsiTheme="minorHAnsi" w:cstheme="minorHAnsi"/>
          <w:highlight w:val="white"/>
          <w:lang w:val="en-GB"/>
        </w:rPr>
        <w:t>Gloor</w:t>
      </w:r>
      <w:proofErr w:type="spellEnd"/>
    </w:p>
    <w:p w14:paraId="2DF941E8"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Russell Line</w:t>
      </w:r>
    </w:p>
    <w:p w14:paraId="4E624024"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Searle Lawson</w:t>
      </w:r>
    </w:p>
    <w:p w14:paraId="2A437D45"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 xml:space="preserve">Ralph </w:t>
      </w:r>
      <w:proofErr w:type="spellStart"/>
      <w:r w:rsidRPr="00F432A1">
        <w:rPr>
          <w:rFonts w:asciiTheme="minorHAnsi" w:eastAsia="Arial" w:hAnsiTheme="minorHAnsi" w:cstheme="minorHAnsi"/>
          <w:highlight w:val="white"/>
          <w:lang w:val="en-GB"/>
        </w:rPr>
        <w:t>Gretzinger</w:t>
      </w:r>
      <w:proofErr w:type="spellEnd"/>
    </w:p>
    <w:p w14:paraId="7A2991E3" w14:textId="77777777" w:rsidR="00F432A1" w:rsidRPr="00F432A1" w:rsidRDefault="00F432A1" w:rsidP="00F432A1">
      <w:pPr>
        <w:numPr>
          <w:ilvl w:val="0"/>
          <w:numId w:val="2"/>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 xml:space="preserve">H.C. </w:t>
      </w:r>
      <w:proofErr w:type="spellStart"/>
      <w:r w:rsidRPr="00F432A1">
        <w:rPr>
          <w:rFonts w:asciiTheme="minorHAnsi" w:eastAsia="Arial" w:hAnsiTheme="minorHAnsi" w:cstheme="minorHAnsi"/>
          <w:highlight w:val="white"/>
          <w:lang w:val="en-GB"/>
        </w:rPr>
        <w:t>Sunderman</w:t>
      </w:r>
      <w:proofErr w:type="spellEnd"/>
    </w:p>
    <w:p w14:paraId="27CE98CB" w14:textId="138E1E68" w:rsidR="00F432A1" w:rsidRPr="00F432A1" w:rsidRDefault="00091DF8" w:rsidP="00F432A1">
      <w:pPr>
        <w:rPr>
          <w:rFonts w:asciiTheme="minorHAnsi" w:eastAsia="Arial" w:hAnsiTheme="minorHAnsi" w:cstheme="minorHAnsi"/>
          <w:highlight w:val="white"/>
          <w:lang w:val="en-GB"/>
        </w:rPr>
      </w:pPr>
      <w:r>
        <w:rPr>
          <w:rFonts w:asciiTheme="minorHAnsi" w:eastAsia="Arial" w:hAnsiTheme="minorHAnsi" w:cstheme="minorHAnsi"/>
          <w:highlight w:val="white"/>
          <w:lang w:val="en-GB"/>
        </w:rPr>
        <w:t>Recommendations</w:t>
      </w:r>
      <w:r w:rsidR="00F432A1" w:rsidRPr="00F432A1">
        <w:rPr>
          <w:rFonts w:asciiTheme="minorHAnsi" w:eastAsia="Arial" w:hAnsiTheme="minorHAnsi" w:cstheme="minorHAnsi"/>
          <w:highlight w:val="white"/>
          <w:lang w:val="en-GB"/>
        </w:rPr>
        <w:t>:</w:t>
      </w:r>
    </w:p>
    <w:p w14:paraId="3BC869CE" w14:textId="77777777" w:rsidR="00F432A1" w:rsidRPr="00F432A1" w:rsidRDefault="00F432A1" w:rsidP="00F432A1">
      <w:pPr>
        <w:numPr>
          <w:ilvl w:val="0"/>
          <w:numId w:val="3"/>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Rediscovering and restoring individual responsibility and accountability,</w:t>
      </w:r>
    </w:p>
    <w:p w14:paraId="128FD74F" w14:textId="77777777" w:rsidR="00F432A1" w:rsidRPr="00F432A1" w:rsidRDefault="00F432A1" w:rsidP="00F432A1">
      <w:pPr>
        <w:numPr>
          <w:ilvl w:val="0"/>
          <w:numId w:val="3"/>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Reinstitute decision making tool in cooperate strata in order to eliminate impersonal rule and</w:t>
      </w:r>
    </w:p>
    <w:p w14:paraId="3343B283" w14:textId="77777777" w:rsidR="00F432A1" w:rsidRPr="00F432A1" w:rsidRDefault="00F432A1" w:rsidP="00F432A1">
      <w:pPr>
        <w:numPr>
          <w:ilvl w:val="0"/>
          <w:numId w:val="3"/>
        </w:num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Embrace democratic models of decision making, responsibility and accountability</w:t>
      </w:r>
    </w:p>
    <w:p w14:paraId="47242A00"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 xml:space="preserve">What would three philosophers advice (which alternative would they suggest)? Give theorist and refer to their ideas. The most promising utilitarian, Aristotle, Kant (Ross), </w:t>
      </w:r>
      <w:proofErr w:type="spellStart"/>
      <w:r w:rsidRPr="00F432A1">
        <w:rPr>
          <w:rFonts w:asciiTheme="minorHAnsi" w:eastAsia="Arial" w:hAnsiTheme="minorHAnsi" w:cstheme="minorHAnsi"/>
          <w:highlight w:val="white"/>
          <w:lang w:val="en-GB"/>
        </w:rPr>
        <w:t>Norzik</w:t>
      </w:r>
      <w:proofErr w:type="spellEnd"/>
      <w:r w:rsidRPr="00F432A1">
        <w:rPr>
          <w:rFonts w:asciiTheme="minorHAnsi" w:eastAsia="Arial" w:hAnsiTheme="minorHAnsi" w:cstheme="minorHAnsi"/>
          <w:highlight w:val="white"/>
          <w:lang w:val="en-GB"/>
        </w:rPr>
        <w:t>(Locke) or Rawls</w:t>
      </w:r>
    </w:p>
    <w:p w14:paraId="64715522"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Utilitarianism can be used as the most appropriate tool since it combines the views and advises of philosophers such as Aristotle, Ross and Locke in reference to the case. Opinions and views of such philosophers appear attractive and quite appealing to majority of the audience since they address cases related to government policies and public affairs (Ross, 1969).</w:t>
      </w:r>
    </w:p>
    <w:p w14:paraId="6ADBD968"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According to Aristotle’s view, moral responsibility in this case should be judged on the basis of whether one knows what he or she is doing (Shaw, 2005). In other words, if an individual ha the full understanding of his or her action, then the person should be fully responsible for the outcome.</w:t>
      </w:r>
    </w:p>
    <w:p w14:paraId="0F3065BE"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This implies that even if Goodrich made it through in making unsecure proposal, he could have still put extra effort to eradicate or minimize cases related to bureaucratic shortcomings. The philosopher argues that this can be made by putting more emphasis on the professional, individual and moral responsibility. By so doing, this would help to decimate any tendency of bureaucratization that tends to interrupt the flow of ideas and information as it is evident in the case (Shaw, 2005).</w:t>
      </w:r>
    </w:p>
    <w:p w14:paraId="4EBBE059"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 xml:space="preserve">Using his classical formula, Aristotle argues that whenever an individual makes a decision without full </w:t>
      </w:r>
      <w:r w:rsidRPr="00F432A1">
        <w:rPr>
          <w:rFonts w:asciiTheme="minorHAnsi" w:eastAsia="Arial" w:hAnsiTheme="minorHAnsi" w:cstheme="minorHAnsi"/>
          <w:highlight w:val="white"/>
          <w:lang w:val="en-GB"/>
        </w:rPr>
        <w:lastRenderedPageBreak/>
        <w:t xml:space="preserve">understanding of its tentative impact, then his act may not be judged as voluntary. His argument is relevant to the A7D Affair where one should not consider Goodrich and the subject to be blamed. According to Locke, whenever individuals attempt to offer their </w:t>
      </w:r>
      <w:proofErr w:type="spellStart"/>
      <w:r w:rsidRPr="00F432A1">
        <w:rPr>
          <w:rFonts w:asciiTheme="minorHAnsi" w:eastAsia="Arial" w:hAnsiTheme="minorHAnsi" w:cstheme="minorHAnsi"/>
          <w:highlight w:val="white"/>
          <w:lang w:val="en-GB"/>
        </w:rPr>
        <w:t>labor</w:t>
      </w:r>
      <w:proofErr w:type="spellEnd"/>
      <w:r w:rsidRPr="00F432A1">
        <w:rPr>
          <w:rFonts w:asciiTheme="minorHAnsi" w:eastAsia="Arial" w:hAnsiTheme="minorHAnsi" w:cstheme="minorHAnsi"/>
          <w:highlight w:val="white"/>
          <w:lang w:val="en-GB"/>
        </w:rPr>
        <w:t xml:space="preserve"> to the natural world, they should definitely be responsible for the outcome (Shaw, 2005).</w:t>
      </w:r>
    </w:p>
    <w:p w14:paraId="189A8443"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For instance, one can deduce that since Goodrich made the contract to produce goods for the government, then he is responsible for the scandal. If one examine the case basing it on Immanuel Kant opinion on moral ethics, there is need to conduct a scientific analysis before a thorough and sound conclusion is drawn on the most appropriate measure to take against the scandal (Fielder, 1988). This philosopher assumes that moral responsibility should not be judged by observation but through reasoning.</w:t>
      </w:r>
    </w:p>
    <w:p w14:paraId="7AD0AE37"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 xml:space="preserve">He confirms that an action should be sought and </w:t>
      </w:r>
      <w:proofErr w:type="spellStart"/>
      <w:r w:rsidRPr="00F432A1">
        <w:rPr>
          <w:rFonts w:asciiTheme="minorHAnsi" w:eastAsia="Arial" w:hAnsiTheme="minorHAnsi" w:cstheme="minorHAnsi"/>
          <w:highlight w:val="white"/>
          <w:lang w:val="en-GB"/>
        </w:rPr>
        <w:t>analyzed</w:t>
      </w:r>
      <w:proofErr w:type="spellEnd"/>
      <w:r w:rsidRPr="00F432A1">
        <w:rPr>
          <w:rFonts w:asciiTheme="minorHAnsi" w:eastAsia="Arial" w:hAnsiTheme="minorHAnsi" w:cstheme="minorHAnsi"/>
          <w:highlight w:val="white"/>
          <w:lang w:val="en-GB"/>
        </w:rPr>
        <w:t xml:space="preserve"> in a </w:t>
      </w:r>
      <w:proofErr w:type="spellStart"/>
      <w:r w:rsidRPr="00F432A1">
        <w:rPr>
          <w:rFonts w:asciiTheme="minorHAnsi" w:eastAsia="Arial" w:hAnsiTheme="minorHAnsi" w:cstheme="minorHAnsi"/>
          <w:highlight w:val="white"/>
          <w:lang w:val="en-GB"/>
        </w:rPr>
        <w:t>humane nature</w:t>
      </w:r>
      <w:proofErr w:type="spellEnd"/>
      <w:r w:rsidRPr="00F432A1">
        <w:rPr>
          <w:rFonts w:asciiTheme="minorHAnsi" w:eastAsia="Arial" w:hAnsiTheme="minorHAnsi" w:cstheme="minorHAnsi"/>
          <w:highlight w:val="white"/>
          <w:lang w:val="en-GB"/>
        </w:rPr>
        <w:t xml:space="preserve"> and not on the basis of any given world situation (Shaw, 2005). In this case, his piece of advice seems to rhyme with that of Aristotle. Therefore, from the philosophical analysis and point of view, Goodrich should not be blamed for his action. On the contrary, one should assume that he never knew anything about the likely impacts.</w:t>
      </w:r>
    </w:p>
    <w:p w14:paraId="5B9A2C5C" w14:textId="71D7EC45" w:rsidR="00CA68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Moreover, the fact that Goodrich presented false report can be justified by his moral reasoning rather than just the factual evidences piled against him (Shaw, 2005). When this case is argued on the aforementioned perspective, the only alternative to eliminate any scandal is to monitor the inhuman resources such as technology, institutional order and decision making models.</w:t>
      </w:r>
    </w:p>
    <w:p w14:paraId="21A0DCFB" w14:textId="77777777" w:rsidR="00F432A1" w:rsidRPr="00F432A1" w:rsidRDefault="00F432A1" w:rsidP="00F432A1">
      <w:pPr>
        <w:rPr>
          <w:rFonts w:asciiTheme="minorHAnsi" w:eastAsia="Arial" w:hAnsiTheme="minorHAnsi" w:cstheme="minorHAnsi"/>
          <w:b/>
          <w:bCs/>
          <w:highlight w:val="white"/>
          <w:lang w:val="en-GB"/>
        </w:rPr>
      </w:pPr>
      <w:r w:rsidRPr="00F432A1">
        <w:rPr>
          <w:rFonts w:asciiTheme="minorHAnsi" w:eastAsia="Arial" w:hAnsiTheme="minorHAnsi" w:cstheme="minorHAnsi"/>
          <w:b/>
          <w:bCs/>
          <w:highlight w:val="white"/>
          <w:lang w:val="en-GB"/>
        </w:rPr>
        <w:t>Practical constraints</w:t>
      </w:r>
    </w:p>
    <w:p w14:paraId="334A5C0E"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In the case of A7D Affair, there is a practical constraint in reasoning. For instance, the corporate decision makers could have communicated with the other stakeholders on how to respond to the problems facing the company at the time the scandal occurred (Shaw, 2005). Moreover, the other practical constrain was on ethics. Goodrich lacked moral ethics since he confidently presented a false report for the quality test on the brakes and wheels.</w:t>
      </w:r>
    </w:p>
    <w:p w14:paraId="46BA5AE1"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From the case, it is evident that even the copy of the test logs was drastically tampered with. Hence, moral reasoning was definitely not applied in the A7D Affair.</w:t>
      </w:r>
    </w:p>
    <w:p w14:paraId="763D42C0" w14:textId="77777777" w:rsidR="00F432A1" w:rsidRPr="00F432A1" w:rsidRDefault="00F432A1" w:rsidP="00F432A1">
      <w:pPr>
        <w:rPr>
          <w:rFonts w:asciiTheme="minorHAnsi" w:eastAsia="Arial" w:hAnsiTheme="minorHAnsi" w:cstheme="minorHAnsi"/>
          <w:b/>
          <w:bCs/>
          <w:highlight w:val="white"/>
          <w:lang w:val="en-GB"/>
        </w:rPr>
      </w:pPr>
      <w:r w:rsidRPr="00F432A1">
        <w:rPr>
          <w:rFonts w:asciiTheme="minorHAnsi" w:eastAsia="Arial" w:hAnsiTheme="minorHAnsi" w:cstheme="minorHAnsi"/>
          <w:b/>
          <w:bCs/>
          <w:highlight w:val="white"/>
          <w:lang w:val="en-GB"/>
        </w:rPr>
        <w:t>What actions should be taken? Base this action on the theorist.-Aristotle</w:t>
      </w:r>
    </w:p>
    <w:p w14:paraId="2736B7DD"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From the classical formula applied by Aristotle, there should be no harsh measures that should be taken against Goodrich. As already mentioned and also according to the theorist, Goodrich was not morally responsible for the scandal and therefore, he should be excused in the first place.</w:t>
      </w:r>
    </w:p>
    <w:p w14:paraId="7938535A"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However, measures that should be taken need to be based on organizational structure and technology used. It is against this backdrop that there should be an attempt to uplift individual responsibility among corporation with close supervision by the government (Hicks, 2012). In addition to this, the government should also monitor and enhance accountability of professionals in all bureaucracies to prevent future scandals.</w:t>
      </w:r>
    </w:p>
    <w:p w14:paraId="00E29B23" w14:textId="77777777" w:rsidR="00F432A1" w:rsidRPr="00F432A1" w:rsidRDefault="00F432A1" w:rsidP="00F432A1">
      <w:pPr>
        <w:rPr>
          <w:rFonts w:asciiTheme="minorHAnsi" w:eastAsia="Arial" w:hAnsiTheme="minorHAnsi" w:cstheme="minorHAnsi"/>
          <w:b/>
          <w:bCs/>
          <w:highlight w:val="white"/>
          <w:lang w:val="en-GB"/>
        </w:rPr>
      </w:pPr>
      <w:r w:rsidRPr="00F432A1">
        <w:rPr>
          <w:rFonts w:asciiTheme="minorHAnsi" w:eastAsia="Arial" w:hAnsiTheme="minorHAnsi" w:cstheme="minorHAnsi"/>
          <w:b/>
          <w:bCs/>
          <w:highlight w:val="white"/>
          <w:lang w:val="en-GB"/>
        </w:rPr>
        <w:t>References</w:t>
      </w:r>
    </w:p>
    <w:p w14:paraId="10662F83"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Fielder, H. (1988). Give Goodrich a break, </w:t>
      </w:r>
      <w:r w:rsidRPr="00F432A1">
        <w:rPr>
          <w:rFonts w:asciiTheme="minorHAnsi" w:eastAsia="Arial" w:hAnsiTheme="minorHAnsi" w:cstheme="minorHAnsi"/>
          <w:i/>
          <w:iCs/>
          <w:highlight w:val="white"/>
          <w:lang w:val="en-GB"/>
        </w:rPr>
        <w:t>Business and Professional Ethics Journal</w:t>
      </w:r>
      <w:r w:rsidRPr="00F432A1">
        <w:rPr>
          <w:rFonts w:asciiTheme="minorHAnsi" w:eastAsia="Arial" w:hAnsiTheme="minorHAnsi" w:cstheme="minorHAnsi"/>
          <w:highlight w:val="white"/>
          <w:lang w:val="en-GB"/>
        </w:rPr>
        <w:t>, 7 (1).12-18.</w:t>
      </w:r>
    </w:p>
    <w:p w14:paraId="3B3964FF"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lastRenderedPageBreak/>
        <w:t>Hicks, S. (2012). America’s Economic Moralists: A History of Rival Ethics and Economics, </w:t>
      </w:r>
      <w:r w:rsidRPr="00F432A1">
        <w:rPr>
          <w:rFonts w:asciiTheme="minorHAnsi" w:eastAsia="Arial" w:hAnsiTheme="minorHAnsi" w:cstheme="minorHAnsi"/>
          <w:i/>
          <w:iCs/>
          <w:highlight w:val="white"/>
          <w:lang w:val="en-GB"/>
        </w:rPr>
        <w:t>Business Ethics Quarterly</w:t>
      </w:r>
      <w:r w:rsidRPr="00F432A1">
        <w:rPr>
          <w:rFonts w:asciiTheme="minorHAnsi" w:eastAsia="Arial" w:hAnsiTheme="minorHAnsi" w:cstheme="minorHAnsi"/>
          <w:highlight w:val="white"/>
          <w:lang w:val="en-GB"/>
        </w:rPr>
        <w:t>, 22(1), 186</w:t>
      </w:r>
      <w:r w:rsidRPr="00F432A1">
        <w:rPr>
          <w:rFonts w:asciiTheme="minorHAnsi" w:eastAsia="Arial" w:hAnsiTheme="minorHAnsi" w:cstheme="minorHAnsi"/>
          <w:b/>
          <w:bCs/>
          <w:highlight w:val="white"/>
          <w:lang w:val="en-GB"/>
        </w:rPr>
        <w:t>.</w:t>
      </w:r>
    </w:p>
    <w:p w14:paraId="23E456A7"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Ross, D. (1969). </w:t>
      </w:r>
      <w:r w:rsidRPr="00F432A1">
        <w:rPr>
          <w:rFonts w:asciiTheme="minorHAnsi" w:eastAsia="Arial" w:hAnsiTheme="minorHAnsi" w:cstheme="minorHAnsi"/>
          <w:i/>
          <w:iCs/>
          <w:highlight w:val="white"/>
          <w:lang w:val="en-GB"/>
        </w:rPr>
        <w:t>Aristotle: Nicomachean Ethics</w:t>
      </w:r>
      <w:r w:rsidRPr="00F432A1">
        <w:rPr>
          <w:rFonts w:asciiTheme="minorHAnsi" w:eastAsia="Arial" w:hAnsiTheme="minorHAnsi" w:cstheme="minorHAnsi"/>
          <w:highlight w:val="white"/>
          <w:lang w:val="en-GB"/>
        </w:rPr>
        <w:t>. Oxford, NY: Oxford University Press.</w:t>
      </w:r>
    </w:p>
    <w:p w14:paraId="09DD15E5" w14:textId="77777777" w:rsidR="00F432A1" w:rsidRPr="00F432A1" w:rsidRDefault="00F432A1" w:rsidP="00F432A1">
      <w:pPr>
        <w:rPr>
          <w:rFonts w:asciiTheme="minorHAnsi" w:eastAsia="Arial" w:hAnsiTheme="minorHAnsi" w:cstheme="minorHAnsi"/>
          <w:highlight w:val="white"/>
          <w:lang w:val="en-GB"/>
        </w:rPr>
      </w:pPr>
      <w:r w:rsidRPr="00F432A1">
        <w:rPr>
          <w:rFonts w:asciiTheme="minorHAnsi" w:eastAsia="Arial" w:hAnsiTheme="minorHAnsi" w:cstheme="minorHAnsi"/>
          <w:highlight w:val="white"/>
          <w:lang w:val="en-GB"/>
        </w:rPr>
        <w:t>Shaw, W. (2005). </w:t>
      </w:r>
      <w:r w:rsidRPr="00F432A1">
        <w:rPr>
          <w:rFonts w:asciiTheme="minorHAnsi" w:eastAsia="Arial" w:hAnsiTheme="minorHAnsi" w:cstheme="minorHAnsi"/>
          <w:i/>
          <w:iCs/>
          <w:highlight w:val="white"/>
          <w:lang w:val="en-GB"/>
        </w:rPr>
        <w:t>Business Ethics</w:t>
      </w:r>
      <w:r w:rsidRPr="00F432A1">
        <w:rPr>
          <w:rFonts w:asciiTheme="minorHAnsi" w:eastAsia="Arial" w:hAnsiTheme="minorHAnsi" w:cstheme="minorHAnsi"/>
          <w:highlight w:val="white"/>
          <w:lang w:val="en-GB"/>
        </w:rPr>
        <w:t>. Boston: Cengage Learning.</w:t>
      </w:r>
    </w:p>
    <w:p w14:paraId="526C706A" w14:textId="77777777" w:rsidR="007A5772" w:rsidRPr="00F432A1" w:rsidRDefault="007A5772" w:rsidP="00F432A1">
      <w:pPr>
        <w:rPr>
          <w:rFonts w:asciiTheme="minorHAnsi" w:eastAsia="Arial" w:hAnsiTheme="minorHAnsi" w:cstheme="minorHAnsi"/>
          <w:highlight w:val="white"/>
          <w:lang w:val="en-GB"/>
        </w:rPr>
      </w:pPr>
    </w:p>
    <w:p w14:paraId="4532D1E1" w14:textId="77777777" w:rsidR="00814FEA" w:rsidRPr="00F432A1" w:rsidRDefault="00055DA3" w:rsidP="00F432A1">
      <w:pPr>
        <w:rPr>
          <w:rFonts w:asciiTheme="minorHAnsi" w:hAnsiTheme="minorHAnsi" w:cstheme="minorHAnsi"/>
          <w:b/>
        </w:rPr>
      </w:pPr>
      <w:r w:rsidRPr="00F432A1">
        <w:rPr>
          <w:rFonts w:asciiTheme="minorHAnsi" w:hAnsiTheme="minorHAnsi" w:cstheme="minorHAnsi"/>
          <w:b/>
        </w:rPr>
        <w:t xml:space="preserve">In-and-Out of Class Activities </w:t>
      </w:r>
    </w:p>
    <w:p w14:paraId="49AA7B0E" w14:textId="77777777" w:rsidR="00814FEA" w:rsidRPr="00F432A1" w:rsidRDefault="00814FEA" w:rsidP="00F432A1">
      <w:pPr>
        <w:rPr>
          <w:rFonts w:asciiTheme="minorHAnsi" w:hAnsiTheme="minorHAnsi" w:cstheme="minorHAnsi"/>
          <w:b/>
        </w:rPr>
      </w:pPr>
    </w:p>
    <w:p w14:paraId="2C3FAB84" w14:textId="77777777" w:rsidR="00814FEA" w:rsidRPr="00F432A1" w:rsidRDefault="00055DA3" w:rsidP="00F432A1">
      <w:pPr>
        <w:rPr>
          <w:rFonts w:asciiTheme="minorHAnsi" w:hAnsiTheme="minorHAnsi" w:cstheme="minorHAnsi"/>
          <w:b/>
        </w:rPr>
      </w:pPr>
      <w:r w:rsidRPr="00F432A1">
        <w:rPr>
          <w:rFonts w:asciiTheme="minorHAnsi" w:hAnsiTheme="minorHAnsi" w:cstheme="minorHAnsi"/>
          <w:b/>
        </w:rPr>
        <w:t>Reflective Response</w:t>
      </w:r>
    </w:p>
    <w:p w14:paraId="21A3C238" w14:textId="77777777" w:rsidR="00814FEA" w:rsidRPr="00F432A1" w:rsidRDefault="00055DA3" w:rsidP="00F432A1">
      <w:pPr>
        <w:rPr>
          <w:rFonts w:asciiTheme="minorHAnsi" w:hAnsiTheme="minorHAnsi" w:cstheme="minorHAnsi"/>
        </w:rPr>
      </w:pPr>
      <w:r w:rsidRPr="00F432A1">
        <w:rPr>
          <w:rFonts w:asciiTheme="minorHAnsi" w:hAnsiTheme="minorHAnsi" w:cstheme="minorHAnsi"/>
        </w:rPr>
        <w:t xml:space="preserve">1. Some theorists contend that the phrase </w:t>
      </w:r>
      <w:r w:rsidRPr="00F432A1">
        <w:rPr>
          <w:rFonts w:asciiTheme="minorHAnsi" w:hAnsiTheme="minorHAnsi" w:cstheme="minorHAnsi"/>
          <w:i/>
        </w:rPr>
        <w:t>business ethics</w:t>
      </w:r>
      <w:r w:rsidRPr="00F432A1">
        <w:rPr>
          <w:rFonts w:asciiTheme="minorHAnsi" w:hAnsiTheme="minorHAnsi" w:cstheme="minorHAnsi"/>
        </w:rPr>
        <w:t xml:space="preserve"> creates an inherent contradiction.</w:t>
      </w:r>
      <w:r w:rsidR="00F23707" w:rsidRPr="00F432A1">
        <w:rPr>
          <w:rFonts w:asciiTheme="minorHAnsi" w:hAnsiTheme="minorHAnsi" w:cstheme="minorHAnsi"/>
        </w:rPr>
        <w:t xml:space="preserve"> </w:t>
      </w:r>
      <w:r w:rsidRPr="00F432A1">
        <w:rPr>
          <w:rFonts w:asciiTheme="minorHAnsi" w:hAnsiTheme="minorHAnsi" w:cstheme="minorHAnsi"/>
        </w:rPr>
        <w:t xml:space="preserve">How would you explain the importance of adhering to ethical standards in the professional world while still maintaining the corporate and profit interests necessary to sustain businesses? </w:t>
      </w:r>
    </w:p>
    <w:p w14:paraId="225E9AF6" w14:textId="77777777" w:rsidR="00814FEA" w:rsidRPr="00F432A1" w:rsidRDefault="00814FEA" w:rsidP="00F432A1">
      <w:pPr>
        <w:rPr>
          <w:rFonts w:asciiTheme="minorHAnsi" w:hAnsiTheme="minorHAnsi" w:cstheme="minorHAnsi"/>
        </w:rPr>
      </w:pPr>
    </w:p>
    <w:p w14:paraId="226BA72F" w14:textId="77777777" w:rsidR="00814FEA" w:rsidRPr="00F432A1" w:rsidRDefault="00055DA3" w:rsidP="00F432A1">
      <w:pPr>
        <w:rPr>
          <w:rFonts w:asciiTheme="minorHAnsi" w:hAnsiTheme="minorHAnsi" w:cstheme="minorHAnsi"/>
        </w:rPr>
      </w:pPr>
      <w:r w:rsidRPr="00F432A1">
        <w:rPr>
          <w:rFonts w:asciiTheme="minorHAnsi" w:hAnsiTheme="minorHAnsi" w:cstheme="minorHAnsi"/>
        </w:rPr>
        <w:t>2. According to theorists such as Kant and Brandt, certain ideas of moral standards are universal and exist independently of authority or law.</w:t>
      </w:r>
      <w:r w:rsidR="00F23707" w:rsidRPr="00F432A1">
        <w:rPr>
          <w:rFonts w:asciiTheme="minorHAnsi" w:hAnsiTheme="minorHAnsi" w:cstheme="minorHAnsi"/>
        </w:rPr>
        <w:t xml:space="preserve"> </w:t>
      </w:r>
      <w:r w:rsidRPr="00F432A1">
        <w:rPr>
          <w:rFonts w:asciiTheme="minorHAnsi" w:hAnsiTheme="minorHAnsi" w:cstheme="minorHAnsi"/>
        </w:rPr>
        <w:t>To what extent do you feel these transcendent ideas of morality should apply to the corporate world? Use specific examples to support your perspectives.</w:t>
      </w:r>
    </w:p>
    <w:p w14:paraId="16F98B6C" w14:textId="77777777" w:rsidR="00814FEA" w:rsidRPr="00F432A1" w:rsidRDefault="00814FEA" w:rsidP="00F432A1">
      <w:pPr>
        <w:rPr>
          <w:rFonts w:asciiTheme="minorHAnsi" w:hAnsiTheme="minorHAnsi" w:cstheme="minorHAnsi"/>
        </w:rPr>
      </w:pPr>
    </w:p>
    <w:p w14:paraId="7E665D70" w14:textId="77777777" w:rsidR="00814FEA" w:rsidRPr="00F432A1" w:rsidRDefault="00055DA3" w:rsidP="00F432A1">
      <w:pPr>
        <w:rPr>
          <w:rFonts w:asciiTheme="minorHAnsi" w:hAnsiTheme="minorHAnsi" w:cstheme="minorHAnsi"/>
        </w:rPr>
      </w:pPr>
      <w:r w:rsidRPr="00F432A1">
        <w:rPr>
          <w:rFonts w:asciiTheme="minorHAnsi" w:hAnsiTheme="minorHAnsi" w:cstheme="minorHAnsi"/>
        </w:rPr>
        <w:t xml:space="preserve">3. Summarize the main ideas of Kohlberg’s three levels of moral development. After evaluating the praise and criticisms of Kohlberg’s ideas, discuss your perspectives regarding the relevance, as well as potential shortcomings, of Kohlberg’s hierarchy of stages. </w:t>
      </w:r>
    </w:p>
    <w:p w14:paraId="381B7C29" w14:textId="77777777" w:rsidR="00814FEA" w:rsidRPr="00F432A1" w:rsidRDefault="00814FEA" w:rsidP="00F432A1">
      <w:pPr>
        <w:rPr>
          <w:rFonts w:asciiTheme="minorHAnsi" w:hAnsiTheme="minorHAnsi" w:cstheme="minorHAnsi"/>
          <w:b/>
        </w:rPr>
      </w:pPr>
    </w:p>
    <w:p w14:paraId="11770F15" w14:textId="77777777" w:rsidR="00814FEA" w:rsidRPr="00F432A1" w:rsidRDefault="00055DA3" w:rsidP="00F432A1">
      <w:pPr>
        <w:rPr>
          <w:rFonts w:asciiTheme="minorHAnsi" w:hAnsiTheme="minorHAnsi" w:cstheme="minorHAnsi"/>
          <w:b/>
        </w:rPr>
      </w:pPr>
      <w:r w:rsidRPr="00F432A1">
        <w:rPr>
          <w:rFonts w:asciiTheme="minorHAnsi" w:hAnsiTheme="minorHAnsi" w:cstheme="minorHAnsi"/>
          <w:b/>
        </w:rPr>
        <w:t>Group &amp; Team Collaboration</w:t>
      </w:r>
    </w:p>
    <w:p w14:paraId="1F8A5878" w14:textId="77777777" w:rsidR="00814FEA" w:rsidRPr="00F432A1" w:rsidRDefault="00055DA3" w:rsidP="00F432A1">
      <w:pPr>
        <w:rPr>
          <w:rFonts w:asciiTheme="minorHAnsi" w:hAnsiTheme="minorHAnsi" w:cstheme="minorHAnsi"/>
        </w:rPr>
      </w:pPr>
      <w:r w:rsidRPr="00F432A1">
        <w:rPr>
          <w:rFonts w:asciiTheme="minorHAnsi" w:hAnsiTheme="minorHAnsi" w:cstheme="minorHAnsi"/>
        </w:rPr>
        <w:t>1. Social psychology research contends that humans display anger in situations of perceived moral injustice.</w:t>
      </w:r>
      <w:r w:rsidR="00F23707" w:rsidRPr="00F432A1">
        <w:rPr>
          <w:rFonts w:asciiTheme="minorHAnsi" w:hAnsiTheme="minorHAnsi" w:cstheme="minorHAnsi"/>
        </w:rPr>
        <w:t xml:space="preserve"> </w:t>
      </w:r>
      <w:r w:rsidRPr="00F432A1">
        <w:rPr>
          <w:rFonts w:asciiTheme="minorHAnsi" w:hAnsiTheme="minorHAnsi" w:cstheme="minorHAnsi"/>
        </w:rPr>
        <w:t>In the workplace, statistics reveal correlations between perceived inequity and lower productivity or morale.</w:t>
      </w:r>
      <w:r w:rsidR="00F23707" w:rsidRPr="00F432A1">
        <w:rPr>
          <w:rFonts w:asciiTheme="minorHAnsi" w:hAnsiTheme="minorHAnsi" w:cstheme="minorHAnsi"/>
        </w:rPr>
        <w:t xml:space="preserve"> </w:t>
      </w:r>
      <w:r w:rsidRPr="00F432A1">
        <w:rPr>
          <w:rFonts w:asciiTheme="minorHAnsi" w:hAnsiTheme="minorHAnsi" w:cstheme="minorHAnsi"/>
        </w:rPr>
        <w:t>With your team, locate a specific example of a business whose practices negatively impacted employees.</w:t>
      </w:r>
      <w:r w:rsidR="00F23707" w:rsidRPr="00F432A1">
        <w:rPr>
          <w:rFonts w:asciiTheme="minorHAnsi" w:hAnsiTheme="minorHAnsi" w:cstheme="minorHAnsi"/>
        </w:rPr>
        <w:t xml:space="preserve"> </w:t>
      </w:r>
      <w:r w:rsidRPr="00F432A1">
        <w:rPr>
          <w:rFonts w:asciiTheme="minorHAnsi" w:hAnsiTheme="minorHAnsi" w:cstheme="minorHAnsi"/>
        </w:rPr>
        <w:t>Each person in the team chooses a “job” in the company.</w:t>
      </w:r>
      <w:r w:rsidR="00F23707" w:rsidRPr="00F432A1">
        <w:rPr>
          <w:rFonts w:asciiTheme="minorHAnsi" w:hAnsiTheme="minorHAnsi" w:cstheme="minorHAnsi"/>
        </w:rPr>
        <w:t xml:space="preserve"> </w:t>
      </w:r>
      <w:r w:rsidRPr="00F432A1">
        <w:rPr>
          <w:rFonts w:asciiTheme="minorHAnsi" w:hAnsiTheme="minorHAnsi" w:cstheme="minorHAnsi"/>
        </w:rPr>
        <w:t xml:space="preserve">Take turns discussing the specific ways the perceived injustice influenced each “employee’s” actions or opinions in the workplace. </w:t>
      </w:r>
    </w:p>
    <w:p w14:paraId="1970C425" w14:textId="77777777" w:rsidR="00814FEA" w:rsidRPr="00F432A1" w:rsidRDefault="00814FEA" w:rsidP="00F432A1">
      <w:pPr>
        <w:rPr>
          <w:rFonts w:asciiTheme="minorHAnsi" w:hAnsiTheme="minorHAnsi" w:cstheme="minorHAnsi"/>
        </w:rPr>
      </w:pPr>
    </w:p>
    <w:p w14:paraId="16217D09" w14:textId="77777777" w:rsidR="00814FEA" w:rsidRPr="00F432A1" w:rsidRDefault="00055DA3" w:rsidP="00F432A1">
      <w:pPr>
        <w:rPr>
          <w:rFonts w:asciiTheme="minorHAnsi" w:hAnsiTheme="minorHAnsi" w:cstheme="minorHAnsi"/>
        </w:rPr>
      </w:pPr>
      <w:r w:rsidRPr="00F432A1">
        <w:rPr>
          <w:rFonts w:asciiTheme="minorHAnsi" w:hAnsiTheme="minorHAnsi" w:cstheme="minorHAnsi"/>
        </w:rPr>
        <w:t>2. Imagine your team has been asked to develop a business ethics training session for employees at a major corporation.</w:t>
      </w:r>
      <w:r w:rsidR="00F23707" w:rsidRPr="00F432A1">
        <w:rPr>
          <w:rFonts w:asciiTheme="minorHAnsi" w:hAnsiTheme="minorHAnsi" w:cstheme="minorHAnsi"/>
        </w:rPr>
        <w:t xml:space="preserve"> </w:t>
      </w:r>
      <w:r w:rsidRPr="00F432A1">
        <w:rPr>
          <w:rFonts w:asciiTheme="minorHAnsi" w:hAnsiTheme="minorHAnsi" w:cstheme="minorHAnsi"/>
        </w:rPr>
        <w:t xml:space="preserve">Put together a presentation </w:t>
      </w:r>
      <w:r w:rsidR="00E94F4B" w:rsidRPr="00F432A1">
        <w:rPr>
          <w:rFonts w:asciiTheme="minorHAnsi" w:hAnsiTheme="minorHAnsi" w:cstheme="minorHAnsi"/>
        </w:rPr>
        <w:t xml:space="preserve">that </w:t>
      </w:r>
      <w:r w:rsidRPr="00F432A1">
        <w:rPr>
          <w:rFonts w:asciiTheme="minorHAnsi" w:hAnsiTheme="minorHAnsi" w:cstheme="minorHAnsi"/>
        </w:rPr>
        <w:t>covers the major elements of workplace morality your team feels would be most important for workers to understand.</w:t>
      </w:r>
      <w:r w:rsidR="00F23707" w:rsidRPr="00F432A1">
        <w:rPr>
          <w:rFonts w:asciiTheme="minorHAnsi" w:hAnsiTheme="minorHAnsi" w:cstheme="minorHAnsi"/>
        </w:rPr>
        <w:t xml:space="preserve"> </w:t>
      </w:r>
    </w:p>
    <w:p w14:paraId="1DC68196" w14:textId="77777777" w:rsidR="00814FEA" w:rsidRPr="00F432A1" w:rsidRDefault="00814FEA" w:rsidP="00F432A1">
      <w:pPr>
        <w:rPr>
          <w:rFonts w:asciiTheme="minorHAnsi" w:hAnsiTheme="minorHAnsi" w:cstheme="minorHAnsi"/>
        </w:rPr>
      </w:pPr>
    </w:p>
    <w:p w14:paraId="63661DA0" w14:textId="77777777" w:rsidR="00814FEA" w:rsidRPr="00F432A1" w:rsidRDefault="00055DA3" w:rsidP="00F432A1">
      <w:pPr>
        <w:rPr>
          <w:rFonts w:asciiTheme="minorHAnsi" w:hAnsiTheme="minorHAnsi" w:cstheme="minorHAnsi"/>
        </w:rPr>
      </w:pPr>
      <w:r w:rsidRPr="00F432A1">
        <w:rPr>
          <w:rFonts w:asciiTheme="minorHAnsi" w:hAnsiTheme="minorHAnsi" w:cstheme="minorHAnsi"/>
        </w:rPr>
        <w:t>3. In your teams, create a mock court case in which the principles of moral reasoning and responsibility you have read</w:t>
      </w:r>
      <w:r w:rsidR="00E94F4B" w:rsidRPr="00F432A1">
        <w:rPr>
          <w:rFonts w:asciiTheme="minorHAnsi" w:hAnsiTheme="minorHAnsi" w:cstheme="minorHAnsi"/>
        </w:rPr>
        <w:t xml:space="preserve"> about</w:t>
      </w:r>
      <w:r w:rsidRPr="00F432A1">
        <w:rPr>
          <w:rFonts w:asciiTheme="minorHAnsi" w:hAnsiTheme="minorHAnsi" w:cstheme="minorHAnsi"/>
        </w:rPr>
        <w:t xml:space="preserve"> in chapter one are your tools for defense and prosecution.</w:t>
      </w:r>
      <w:r w:rsidR="00F23707" w:rsidRPr="00F432A1">
        <w:rPr>
          <w:rFonts w:asciiTheme="minorHAnsi" w:hAnsiTheme="minorHAnsi" w:cstheme="minorHAnsi"/>
        </w:rPr>
        <w:t xml:space="preserve"> </w:t>
      </w:r>
      <w:r w:rsidRPr="00F432A1">
        <w:rPr>
          <w:rFonts w:asciiTheme="minorHAnsi" w:hAnsiTheme="minorHAnsi" w:cstheme="minorHAnsi"/>
        </w:rPr>
        <w:t xml:space="preserve">Craft a specific scenario </w:t>
      </w:r>
      <w:r w:rsidRPr="00F432A1">
        <w:rPr>
          <w:rFonts w:asciiTheme="minorHAnsi" w:hAnsiTheme="minorHAnsi" w:cstheme="minorHAnsi"/>
        </w:rPr>
        <w:lastRenderedPageBreak/>
        <w:t>to put on trial</w:t>
      </w:r>
      <w:r w:rsidR="00E94F4B" w:rsidRPr="00F432A1">
        <w:rPr>
          <w:rFonts w:asciiTheme="minorHAnsi" w:hAnsiTheme="minorHAnsi" w:cstheme="minorHAnsi"/>
        </w:rPr>
        <w:t>.</w:t>
      </w:r>
      <w:r w:rsidR="00F23707" w:rsidRPr="00F432A1">
        <w:rPr>
          <w:rFonts w:asciiTheme="minorHAnsi" w:hAnsiTheme="minorHAnsi" w:cstheme="minorHAnsi"/>
        </w:rPr>
        <w:t xml:space="preserve"> </w:t>
      </w:r>
      <w:r w:rsidRPr="00F432A1">
        <w:rPr>
          <w:rFonts w:asciiTheme="minorHAnsi" w:hAnsiTheme="minorHAnsi" w:cstheme="minorHAnsi"/>
        </w:rPr>
        <w:t>Divide teams into three, with near-equal participants for defense, prosecution, and jury.</w:t>
      </w:r>
      <w:r w:rsidR="00F23707" w:rsidRPr="00F432A1">
        <w:rPr>
          <w:rFonts w:asciiTheme="minorHAnsi" w:hAnsiTheme="minorHAnsi" w:cstheme="minorHAnsi"/>
        </w:rPr>
        <w:t xml:space="preserve"> </w:t>
      </w:r>
      <w:r w:rsidRPr="00F432A1">
        <w:rPr>
          <w:rFonts w:asciiTheme="minorHAnsi" w:hAnsiTheme="minorHAnsi" w:cstheme="minorHAnsi"/>
        </w:rPr>
        <w:t>Your instructor will act as the judge in this case, awarding victory to the most convincing side.</w:t>
      </w:r>
      <w:r w:rsidR="00F23707" w:rsidRPr="00F432A1">
        <w:rPr>
          <w:rFonts w:asciiTheme="minorHAnsi" w:hAnsiTheme="minorHAnsi" w:cstheme="minorHAnsi"/>
        </w:rPr>
        <w:t xml:space="preserve"> </w:t>
      </w:r>
    </w:p>
    <w:p w14:paraId="5F8B5D90" w14:textId="77777777" w:rsidR="00814FEA" w:rsidRPr="00F432A1" w:rsidRDefault="00814FEA" w:rsidP="00F432A1">
      <w:pPr>
        <w:rPr>
          <w:rFonts w:asciiTheme="minorHAnsi" w:hAnsiTheme="minorHAnsi" w:cstheme="minorHAnsi"/>
          <w:b/>
        </w:rPr>
      </w:pPr>
    </w:p>
    <w:p w14:paraId="0091405F" w14:textId="77777777" w:rsidR="00814FEA" w:rsidRPr="00F432A1" w:rsidRDefault="00055DA3" w:rsidP="00F432A1">
      <w:pPr>
        <w:rPr>
          <w:rFonts w:asciiTheme="minorHAnsi" w:hAnsiTheme="minorHAnsi" w:cstheme="minorHAnsi"/>
          <w:b/>
        </w:rPr>
      </w:pPr>
      <w:r w:rsidRPr="00F432A1">
        <w:rPr>
          <w:rFonts w:asciiTheme="minorHAnsi" w:hAnsiTheme="minorHAnsi" w:cstheme="minorHAnsi"/>
          <w:b/>
        </w:rPr>
        <w:t>Intellectual Discussion</w:t>
      </w:r>
    </w:p>
    <w:p w14:paraId="5F5F34EE" w14:textId="77777777" w:rsidR="00814FEA" w:rsidRPr="00F432A1" w:rsidRDefault="00055DA3" w:rsidP="00F432A1">
      <w:pPr>
        <w:numPr>
          <w:ilvl w:val="0"/>
          <w:numId w:val="1"/>
        </w:numPr>
        <w:spacing w:after="0"/>
        <w:ind w:hanging="360"/>
        <w:contextualSpacing/>
        <w:rPr>
          <w:rFonts w:asciiTheme="minorHAnsi" w:hAnsiTheme="minorHAnsi" w:cstheme="minorHAnsi"/>
          <w:b/>
        </w:rPr>
      </w:pPr>
      <w:r w:rsidRPr="00F432A1">
        <w:rPr>
          <w:rFonts w:asciiTheme="minorHAnsi" w:hAnsiTheme="minorHAnsi" w:cstheme="minorHAnsi"/>
          <w:b/>
        </w:rPr>
        <w:t xml:space="preserve">Lecture Point: Explicit vs. </w:t>
      </w:r>
      <w:r w:rsidR="000E3D88" w:rsidRPr="00F432A1">
        <w:rPr>
          <w:rFonts w:asciiTheme="minorHAnsi" w:hAnsiTheme="minorHAnsi" w:cstheme="minorHAnsi"/>
          <w:b/>
        </w:rPr>
        <w:t>non</w:t>
      </w:r>
      <w:r w:rsidRPr="00F432A1">
        <w:rPr>
          <w:rFonts w:asciiTheme="minorHAnsi" w:hAnsiTheme="minorHAnsi" w:cstheme="minorHAnsi"/>
          <w:b/>
        </w:rPr>
        <w:t>explicit statements of moral reasoning</w:t>
      </w:r>
    </w:p>
    <w:p w14:paraId="627E860C" w14:textId="77777777" w:rsidR="00814FEA" w:rsidRPr="00F432A1" w:rsidRDefault="00814FEA" w:rsidP="00F432A1">
      <w:pPr>
        <w:spacing w:after="0"/>
        <w:ind w:left="720"/>
        <w:rPr>
          <w:rFonts w:asciiTheme="minorHAnsi" w:hAnsiTheme="minorHAnsi" w:cstheme="minorHAnsi"/>
          <w:b/>
        </w:rPr>
      </w:pPr>
    </w:p>
    <w:p w14:paraId="2AE95BC5" w14:textId="77777777" w:rsidR="00814FEA" w:rsidRPr="00F432A1" w:rsidRDefault="00055DA3" w:rsidP="00F432A1">
      <w:pPr>
        <w:spacing w:after="0"/>
        <w:ind w:left="720"/>
        <w:rPr>
          <w:rFonts w:asciiTheme="minorHAnsi" w:hAnsiTheme="minorHAnsi" w:cstheme="minorHAnsi"/>
          <w:b/>
        </w:rPr>
      </w:pPr>
      <w:r w:rsidRPr="00F432A1">
        <w:rPr>
          <w:rFonts w:asciiTheme="minorHAnsi" w:hAnsiTheme="minorHAnsi" w:cstheme="minorHAnsi"/>
          <w:b/>
        </w:rPr>
        <w:t>Questions to Ask Students: Describe the difference between explicit and nonexplicit statements of moral reasoning.</w:t>
      </w:r>
      <w:r w:rsidR="00F23707" w:rsidRPr="00F432A1">
        <w:rPr>
          <w:rFonts w:asciiTheme="minorHAnsi" w:hAnsiTheme="minorHAnsi" w:cstheme="minorHAnsi"/>
          <w:b/>
        </w:rPr>
        <w:t xml:space="preserve"> </w:t>
      </w:r>
      <w:r w:rsidRPr="00F432A1">
        <w:rPr>
          <w:rFonts w:asciiTheme="minorHAnsi" w:hAnsiTheme="minorHAnsi" w:cstheme="minorHAnsi"/>
          <w:b/>
        </w:rPr>
        <w:t>What types of explicit and nonexplicit statements do we make about morality in the workplace?</w:t>
      </w:r>
      <w:r w:rsidR="00F23707" w:rsidRPr="00F432A1">
        <w:rPr>
          <w:rFonts w:asciiTheme="minorHAnsi" w:hAnsiTheme="minorHAnsi" w:cstheme="minorHAnsi"/>
          <w:b/>
        </w:rPr>
        <w:t xml:space="preserve"> </w:t>
      </w:r>
    </w:p>
    <w:p w14:paraId="55724D23" w14:textId="77777777" w:rsidR="00814FEA" w:rsidRPr="00F432A1" w:rsidRDefault="00814FEA" w:rsidP="00F432A1">
      <w:pPr>
        <w:spacing w:after="0"/>
        <w:ind w:left="720"/>
        <w:rPr>
          <w:rFonts w:asciiTheme="minorHAnsi" w:hAnsiTheme="minorHAnsi" w:cstheme="minorHAnsi"/>
          <w:i/>
        </w:rPr>
      </w:pPr>
    </w:p>
    <w:p w14:paraId="1D0616E0" w14:textId="77777777" w:rsidR="00814FEA" w:rsidRPr="00F432A1" w:rsidRDefault="00055DA3" w:rsidP="00F432A1">
      <w:pPr>
        <w:ind w:left="720"/>
        <w:rPr>
          <w:rFonts w:asciiTheme="minorHAnsi" w:hAnsiTheme="minorHAnsi" w:cstheme="minorHAnsi"/>
          <w:i/>
        </w:rPr>
      </w:pPr>
      <w:r w:rsidRPr="00F432A1">
        <w:rPr>
          <w:rFonts w:asciiTheme="minorHAnsi" w:hAnsiTheme="minorHAnsi" w:cstheme="minorHAnsi"/>
          <w:i/>
        </w:rPr>
        <w:t>Online Alternative Describe the difference between explicit and nonexplicit statements of moral reasoning.</w:t>
      </w:r>
      <w:r w:rsidR="00F23707" w:rsidRPr="00F432A1">
        <w:rPr>
          <w:rFonts w:asciiTheme="minorHAnsi" w:hAnsiTheme="minorHAnsi" w:cstheme="minorHAnsi"/>
          <w:i/>
        </w:rPr>
        <w:t xml:space="preserve"> </w:t>
      </w:r>
      <w:r w:rsidRPr="00F432A1">
        <w:rPr>
          <w:rFonts w:asciiTheme="minorHAnsi" w:hAnsiTheme="minorHAnsi" w:cstheme="minorHAnsi"/>
          <w:i/>
        </w:rPr>
        <w:t xml:space="preserve">Locate an example of an explicit as well as a nonexplicit expression related to workplace ethics. </w:t>
      </w:r>
    </w:p>
    <w:p w14:paraId="0DA85D14" w14:textId="77777777" w:rsidR="00814FEA" w:rsidRPr="00F432A1" w:rsidRDefault="00814FEA" w:rsidP="00F432A1">
      <w:pPr>
        <w:rPr>
          <w:rFonts w:asciiTheme="minorHAnsi" w:hAnsiTheme="minorHAnsi" w:cstheme="minorHAnsi"/>
        </w:rPr>
      </w:pPr>
    </w:p>
    <w:p w14:paraId="0F07899B" w14:textId="77777777" w:rsidR="00814FEA" w:rsidRPr="00F432A1" w:rsidRDefault="00055DA3" w:rsidP="00F432A1">
      <w:pPr>
        <w:numPr>
          <w:ilvl w:val="0"/>
          <w:numId w:val="1"/>
        </w:numPr>
        <w:spacing w:after="0"/>
        <w:ind w:hanging="360"/>
        <w:contextualSpacing/>
        <w:rPr>
          <w:rFonts w:asciiTheme="minorHAnsi" w:hAnsiTheme="minorHAnsi" w:cstheme="minorHAnsi"/>
          <w:b/>
        </w:rPr>
      </w:pPr>
      <w:r w:rsidRPr="00F432A1">
        <w:rPr>
          <w:rFonts w:asciiTheme="minorHAnsi" w:hAnsiTheme="minorHAnsi" w:cstheme="minorHAnsi"/>
          <w:b/>
        </w:rPr>
        <w:t>Lecture Point: The efficacy of business ethics</w:t>
      </w:r>
    </w:p>
    <w:p w14:paraId="2F36C1C5" w14:textId="77777777" w:rsidR="00814FEA" w:rsidRPr="00F432A1" w:rsidRDefault="00814FEA" w:rsidP="00F432A1">
      <w:pPr>
        <w:spacing w:after="0"/>
        <w:ind w:left="720"/>
        <w:rPr>
          <w:rFonts w:asciiTheme="minorHAnsi" w:hAnsiTheme="minorHAnsi" w:cstheme="minorHAnsi"/>
          <w:b/>
        </w:rPr>
      </w:pPr>
    </w:p>
    <w:p w14:paraId="62B480D3" w14:textId="77777777" w:rsidR="00814FEA" w:rsidRPr="00F432A1" w:rsidRDefault="00055DA3" w:rsidP="00F432A1">
      <w:pPr>
        <w:spacing w:after="0"/>
        <w:ind w:left="720"/>
        <w:rPr>
          <w:rFonts w:asciiTheme="minorHAnsi" w:hAnsiTheme="minorHAnsi" w:cstheme="minorHAnsi"/>
          <w:b/>
        </w:rPr>
      </w:pPr>
      <w:r w:rsidRPr="00F432A1">
        <w:rPr>
          <w:rFonts w:asciiTheme="minorHAnsi" w:hAnsiTheme="minorHAnsi" w:cstheme="minorHAnsi"/>
          <w:b/>
        </w:rPr>
        <w:t xml:space="preserve">Questions to Ask Students: Should ethics or a sense of moral reasoning be a component of business operations? Discuss the support and criticisms of connecting morality with the business world. </w:t>
      </w:r>
    </w:p>
    <w:p w14:paraId="41BF0BD3" w14:textId="77777777" w:rsidR="00814FEA" w:rsidRPr="00F432A1" w:rsidRDefault="00814FEA" w:rsidP="00F432A1">
      <w:pPr>
        <w:spacing w:after="0"/>
        <w:ind w:left="720"/>
        <w:rPr>
          <w:rFonts w:asciiTheme="minorHAnsi" w:hAnsiTheme="minorHAnsi" w:cstheme="minorHAnsi"/>
          <w:i/>
        </w:rPr>
      </w:pPr>
    </w:p>
    <w:p w14:paraId="59356A14" w14:textId="77777777" w:rsidR="00814FEA" w:rsidRPr="00F432A1" w:rsidRDefault="00055DA3" w:rsidP="00F432A1">
      <w:pPr>
        <w:spacing w:after="0"/>
        <w:ind w:left="720"/>
        <w:rPr>
          <w:rFonts w:asciiTheme="minorHAnsi" w:hAnsiTheme="minorHAnsi" w:cstheme="minorHAnsi"/>
          <w:i/>
        </w:rPr>
      </w:pPr>
      <w:r w:rsidRPr="00F432A1">
        <w:rPr>
          <w:rFonts w:asciiTheme="minorHAnsi" w:hAnsiTheme="minorHAnsi" w:cstheme="minorHAnsi"/>
          <w:i/>
        </w:rPr>
        <w:t>Online Alternative:</w:t>
      </w:r>
      <w:r w:rsidR="00F23707" w:rsidRPr="00F432A1">
        <w:rPr>
          <w:rFonts w:asciiTheme="minorHAnsi" w:hAnsiTheme="minorHAnsi" w:cstheme="minorHAnsi"/>
          <w:i/>
        </w:rPr>
        <w:t xml:space="preserve"> </w:t>
      </w:r>
      <w:r w:rsidRPr="00F432A1">
        <w:rPr>
          <w:rFonts w:asciiTheme="minorHAnsi" w:hAnsiTheme="minorHAnsi" w:cstheme="minorHAnsi"/>
          <w:i/>
        </w:rPr>
        <w:t>Should ethics or a sense of moral reasoning be a component of business operations?</w:t>
      </w:r>
      <w:r w:rsidR="00F23707" w:rsidRPr="00F432A1">
        <w:rPr>
          <w:rFonts w:asciiTheme="minorHAnsi" w:hAnsiTheme="minorHAnsi" w:cstheme="minorHAnsi"/>
          <w:i/>
        </w:rPr>
        <w:t xml:space="preserve"> </w:t>
      </w:r>
      <w:r w:rsidRPr="00F432A1">
        <w:rPr>
          <w:rFonts w:asciiTheme="minorHAnsi" w:hAnsiTheme="minorHAnsi" w:cstheme="minorHAnsi"/>
          <w:i/>
        </w:rPr>
        <w:t>Locate an article or op-ed piece either in support of or opposition to mixing business with morality.</w:t>
      </w:r>
      <w:r w:rsidR="00F23707" w:rsidRPr="00F432A1">
        <w:rPr>
          <w:rFonts w:asciiTheme="minorHAnsi" w:hAnsiTheme="minorHAnsi" w:cstheme="minorHAnsi"/>
          <w:i/>
        </w:rPr>
        <w:t xml:space="preserve"> </w:t>
      </w:r>
    </w:p>
    <w:p w14:paraId="71336598" w14:textId="77777777" w:rsidR="00814FEA" w:rsidRPr="00F432A1" w:rsidRDefault="00814FEA" w:rsidP="00F432A1">
      <w:pPr>
        <w:spacing w:after="0"/>
        <w:ind w:left="720"/>
        <w:rPr>
          <w:rFonts w:asciiTheme="minorHAnsi" w:hAnsiTheme="minorHAnsi" w:cstheme="minorHAnsi"/>
          <w:i/>
        </w:rPr>
      </w:pPr>
    </w:p>
    <w:p w14:paraId="5BCD5A60" w14:textId="77777777" w:rsidR="00814FEA" w:rsidRPr="00F432A1" w:rsidRDefault="00055DA3" w:rsidP="00F432A1">
      <w:pPr>
        <w:numPr>
          <w:ilvl w:val="0"/>
          <w:numId w:val="1"/>
        </w:numPr>
        <w:spacing w:after="0"/>
        <w:ind w:hanging="360"/>
        <w:contextualSpacing/>
        <w:rPr>
          <w:rFonts w:asciiTheme="minorHAnsi" w:hAnsiTheme="minorHAnsi" w:cstheme="minorHAnsi"/>
          <w:b/>
        </w:rPr>
      </w:pPr>
      <w:r w:rsidRPr="00F432A1">
        <w:rPr>
          <w:rFonts w:asciiTheme="minorHAnsi" w:hAnsiTheme="minorHAnsi" w:cstheme="minorHAnsi"/>
          <w:b/>
        </w:rPr>
        <w:t>Lecture Point:</w:t>
      </w:r>
      <w:r w:rsidR="00F23707" w:rsidRPr="00F432A1">
        <w:rPr>
          <w:rFonts w:asciiTheme="minorHAnsi" w:hAnsiTheme="minorHAnsi" w:cstheme="minorHAnsi"/>
          <w:b/>
        </w:rPr>
        <w:t xml:space="preserve"> </w:t>
      </w:r>
      <w:r w:rsidRPr="00F432A1">
        <w:rPr>
          <w:rFonts w:asciiTheme="minorHAnsi" w:hAnsiTheme="minorHAnsi" w:cstheme="minorHAnsi"/>
          <w:b/>
        </w:rPr>
        <w:t>Moral responsibility for wrongful actions</w:t>
      </w:r>
    </w:p>
    <w:p w14:paraId="7010ECEA" w14:textId="77777777" w:rsidR="00814FEA" w:rsidRPr="00F432A1" w:rsidRDefault="00814FEA" w:rsidP="00F432A1">
      <w:pPr>
        <w:spacing w:after="0"/>
        <w:ind w:left="720"/>
        <w:rPr>
          <w:rFonts w:asciiTheme="minorHAnsi" w:hAnsiTheme="minorHAnsi" w:cstheme="minorHAnsi"/>
          <w:b/>
        </w:rPr>
      </w:pPr>
    </w:p>
    <w:p w14:paraId="545DB741" w14:textId="77777777" w:rsidR="00814FEA" w:rsidRPr="00F432A1" w:rsidRDefault="00055DA3" w:rsidP="00F432A1">
      <w:pPr>
        <w:spacing w:after="0"/>
        <w:ind w:left="720"/>
        <w:rPr>
          <w:rFonts w:asciiTheme="minorHAnsi" w:hAnsiTheme="minorHAnsi" w:cstheme="minorHAnsi"/>
          <w:b/>
        </w:rPr>
      </w:pPr>
      <w:r w:rsidRPr="00F432A1">
        <w:rPr>
          <w:rFonts w:asciiTheme="minorHAnsi" w:hAnsiTheme="minorHAnsi" w:cstheme="minorHAnsi"/>
          <w:b/>
        </w:rPr>
        <w:t>Questions to Ask Students:</w:t>
      </w:r>
      <w:r w:rsidR="00F23707" w:rsidRPr="00F432A1">
        <w:rPr>
          <w:rFonts w:asciiTheme="minorHAnsi" w:hAnsiTheme="minorHAnsi" w:cstheme="minorHAnsi"/>
          <w:b/>
        </w:rPr>
        <w:t xml:space="preserve"> </w:t>
      </w:r>
      <w:r w:rsidRPr="00F432A1">
        <w:rPr>
          <w:rFonts w:asciiTheme="minorHAnsi" w:hAnsiTheme="minorHAnsi" w:cstheme="minorHAnsi"/>
          <w:b/>
        </w:rPr>
        <w:t>The moral responsibility an individual bears for harmful or injurious actions depends primarily upon three factors.</w:t>
      </w:r>
      <w:r w:rsidR="00F23707" w:rsidRPr="00F432A1">
        <w:rPr>
          <w:rFonts w:asciiTheme="minorHAnsi" w:hAnsiTheme="minorHAnsi" w:cstheme="minorHAnsi"/>
          <w:b/>
        </w:rPr>
        <w:t xml:space="preserve"> </w:t>
      </w:r>
      <w:r w:rsidRPr="00F432A1">
        <w:rPr>
          <w:rFonts w:asciiTheme="minorHAnsi" w:hAnsiTheme="minorHAnsi" w:cstheme="minorHAnsi"/>
          <w:b/>
        </w:rPr>
        <w:t xml:space="preserve">Describe a time in which your actions negatively impacted someone else, and apply these three factors to determine whether or not your actions would result in moral responsibility. </w:t>
      </w:r>
    </w:p>
    <w:p w14:paraId="2A4C2855" w14:textId="77777777" w:rsidR="00814FEA" w:rsidRPr="00F432A1" w:rsidRDefault="00814FEA" w:rsidP="00F432A1">
      <w:pPr>
        <w:spacing w:after="0"/>
        <w:ind w:left="720"/>
        <w:rPr>
          <w:rFonts w:asciiTheme="minorHAnsi" w:hAnsiTheme="minorHAnsi" w:cstheme="minorHAnsi"/>
          <w:i/>
        </w:rPr>
      </w:pPr>
    </w:p>
    <w:p w14:paraId="46B4180D" w14:textId="77777777" w:rsidR="00814FEA" w:rsidRPr="00F432A1" w:rsidRDefault="00055DA3" w:rsidP="00F432A1">
      <w:pPr>
        <w:spacing w:after="0"/>
        <w:ind w:left="720"/>
        <w:rPr>
          <w:rFonts w:asciiTheme="minorHAnsi" w:hAnsiTheme="minorHAnsi" w:cstheme="minorHAnsi"/>
        </w:rPr>
      </w:pPr>
      <w:r w:rsidRPr="00F432A1">
        <w:rPr>
          <w:rFonts w:asciiTheme="minorHAnsi" w:hAnsiTheme="minorHAnsi" w:cstheme="minorHAnsi"/>
          <w:i/>
        </w:rPr>
        <w:t>Online Alternative The moral responsibility an individual bears for harmful or injurious actions depends primarily upon three factors.</w:t>
      </w:r>
      <w:r w:rsidR="00F23707" w:rsidRPr="00F432A1">
        <w:rPr>
          <w:rFonts w:asciiTheme="minorHAnsi" w:hAnsiTheme="minorHAnsi" w:cstheme="minorHAnsi"/>
          <w:i/>
        </w:rPr>
        <w:t xml:space="preserve"> </w:t>
      </w:r>
      <w:r w:rsidRPr="00F432A1">
        <w:rPr>
          <w:rFonts w:asciiTheme="minorHAnsi" w:hAnsiTheme="minorHAnsi" w:cstheme="minorHAnsi"/>
          <w:i/>
        </w:rPr>
        <w:t xml:space="preserve">Use </w:t>
      </w:r>
      <w:r w:rsidR="00C8761A" w:rsidRPr="00F432A1">
        <w:rPr>
          <w:rFonts w:asciiTheme="minorHAnsi" w:hAnsiTheme="minorHAnsi" w:cstheme="minorHAnsi"/>
          <w:i/>
        </w:rPr>
        <w:t xml:space="preserve">Internet </w:t>
      </w:r>
      <w:r w:rsidRPr="00F432A1">
        <w:rPr>
          <w:rFonts w:asciiTheme="minorHAnsi" w:hAnsiTheme="minorHAnsi" w:cstheme="minorHAnsi"/>
          <w:i/>
        </w:rPr>
        <w:t xml:space="preserve">research to locate </w:t>
      </w:r>
      <w:r w:rsidR="00C8761A" w:rsidRPr="00F432A1">
        <w:rPr>
          <w:rFonts w:asciiTheme="minorHAnsi" w:hAnsiTheme="minorHAnsi" w:cstheme="minorHAnsi"/>
          <w:i/>
        </w:rPr>
        <w:t xml:space="preserve">two </w:t>
      </w:r>
      <w:r w:rsidRPr="00F432A1">
        <w:rPr>
          <w:rFonts w:asciiTheme="minorHAnsi" w:hAnsiTheme="minorHAnsi" w:cstheme="minorHAnsi"/>
          <w:i/>
        </w:rPr>
        <w:t>specific examples of an individual’s actions causing harm to another person.</w:t>
      </w:r>
      <w:r w:rsidR="00F23707" w:rsidRPr="00F432A1">
        <w:rPr>
          <w:rFonts w:asciiTheme="minorHAnsi" w:hAnsiTheme="minorHAnsi" w:cstheme="minorHAnsi"/>
          <w:i/>
        </w:rPr>
        <w:t xml:space="preserve"> </w:t>
      </w:r>
      <w:r w:rsidRPr="00F432A1">
        <w:rPr>
          <w:rFonts w:asciiTheme="minorHAnsi" w:hAnsiTheme="minorHAnsi" w:cstheme="minorHAnsi"/>
          <w:i/>
        </w:rPr>
        <w:t xml:space="preserve">In example one, source a scenario in which the individual is </w:t>
      </w:r>
      <w:r w:rsidR="00C8761A" w:rsidRPr="00F432A1">
        <w:rPr>
          <w:rFonts w:asciiTheme="minorHAnsi" w:hAnsiTheme="minorHAnsi" w:cstheme="minorHAnsi"/>
          <w:i/>
        </w:rPr>
        <w:t xml:space="preserve">not </w:t>
      </w:r>
      <w:r w:rsidRPr="00F432A1">
        <w:rPr>
          <w:rFonts w:asciiTheme="minorHAnsi" w:hAnsiTheme="minorHAnsi" w:cstheme="minorHAnsi"/>
          <w:i/>
        </w:rPr>
        <w:t>found morally responsible for the harm or injury he</w:t>
      </w:r>
      <w:r w:rsidR="00C8761A" w:rsidRPr="00F432A1">
        <w:rPr>
          <w:rFonts w:asciiTheme="minorHAnsi" w:hAnsiTheme="minorHAnsi" w:cstheme="minorHAnsi"/>
          <w:i/>
        </w:rPr>
        <w:t xml:space="preserve"> or </w:t>
      </w:r>
      <w:r w:rsidRPr="00F432A1">
        <w:rPr>
          <w:rFonts w:asciiTheme="minorHAnsi" w:hAnsiTheme="minorHAnsi" w:cstheme="minorHAnsi"/>
          <w:i/>
        </w:rPr>
        <w:t>she causes.</w:t>
      </w:r>
      <w:r w:rsidR="00F23707" w:rsidRPr="00F432A1">
        <w:rPr>
          <w:rFonts w:asciiTheme="minorHAnsi" w:hAnsiTheme="minorHAnsi" w:cstheme="minorHAnsi"/>
          <w:i/>
        </w:rPr>
        <w:t xml:space="preserve"> </w:t>
      </w:r>
      <w:r w:rsidRPr="00F432A1">
        <w:rPr>
          <w:rFonts w:asciiTheme="minorHAnsi" w:hAnsiTheme="minorHAnsi" w:cstheme="minorHAnsi"/>
          <w:i/>
        </w:rPr>
        <w:t xml:space="preserve">In example two, source a scenario in which the individual </w:t>
      </w:r>
      <w:r w:rsidR="00C8761A" w:rsidRPr="00F432A1">
        <w:rPr>
          <w:rFonts w:asciiTheme="minorHAnsi" w:hAnsiTheme="minorHAnsi" w:cstheme="minorHAnsi"/>
          <w:i/>
        </w:rPr>
        <w:t xml:space="preserve">is </w:t>
      </w:r>
      <w:r w:rsidRPr="00F432A1">
        <w:rPr>
          <w:rFonts w:asciiTheme="minorHAnsi" w:hAnsiTheme="minorHAnsi" w:cstheme="minorHAnsi"/>
          <w:i/>
        </w:rPr>
        <w:t>found morally responsible for causing harm or injury.</w:t>
      </w:r>
      <w:r w:rsidR="00F23707" w:rsidRPr="00F432A1">
        <w:rPr>
          <w:rFonts w:asciiTheme="minorHAnsi" w:hAnsiTheme="minorHAnsi" w:cstheme="minorHAnsi"/>
          <w:i/>
        </w:rPr>
        <w:t xml:space="preserve"> </w:t>
      </w:r>
      <w:bookmarkStart w:id="0" w:name="_gjdgxs" w:colFirst="0" w:colLast="0"/>
      <w:bookmarkEnd w:id="0"/>
    </w:p>
    <w:sectPr w:rsidR="00814FEA" w:rsidRPr="00F432A1" w:rsidSect="00A445B6">
      <w:headerReference w:type="default" r:id="rId10"/>
      <w:footerReference w:type="default" r:id="rId1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F8DA6C" w14:textId="77777777" w:rsidR="00E82D0F" w:rsidRDefault="00E82D0F" w:rsidP="00DC63DD">
      <w:pPr>
        <w:spacing w:after="0" w:line="240" w:lineRule="auto"/>
      </w:pPr>
      <w:r>
        <w:separator/>
      </w:r>
    </w:p>
  </w:endnote>
  <w:endnote w:type="continuationSeparator" w:id="0">
    <w:p w14:paraId="47C4BA55" w14:textId="77777777" w:rsidR="00E82D0F" w:rsidRDefault="00E82D0F" w:rsidP="00DC6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4512556"/>
      <w:docPartObj>
        <w:docPartGallery w:val="Page Numbers (Bottom of Page)"/>
        <w:docPartUnique/>
      </w:docPartObj>
    </w:sdtPr>
    <w:sdtEndPr>
      <w:rPr>
        <w:noProof/>
      </w:rPr>
    </w:sdtEndPr>
    <w:sdtContent>
      <w:p w14:paraId="4112A62A" w14:textId="7FAF6C80" w:rsidR="00035F36" w:rsidRDefault="00035F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85D611" w14:textId="4EFFA967" w:rsidR="00DC63DD" w:rsidRDefault="00DC63DD" w:rsidP="002B350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34A54A" w14:textId="77777777" w:rsidR="00E82D0F" w:rsidRDefault="00E82D0F" w:rsidP="00DC63DD">
      <w:pPr>
        <w:spacing w:after="0" w:line="240" w:lineRule="auto"/>
      </w:pPr>
      <w:r>
        <w:separator/>
      </w:r>
    </w:p>
  </w:footnote>
  <w:footnote w:type="continuationSeparator" w:id="0">
    <w:p w14:paraId="064D949D" w14:textId="77777777" w:rsidR="00E82D0F" w:rsidRDefault="00E82D0F" w:rsidP="00DC6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BC377" w14:textId="173A55C0" w:rsidR="00F432A1" w:rsidRDefault="00F432A1">
    <w:pPr>
      <w:pStyle w:val="Header"/>
    </w:pPr>
    <w:r>
      <w:t>Dr Caroline Jawad</w:t>
    </w:r>
  </w:p>
  <w:p w14:paraId="33F87666" w14:textId="697BC5AA" w:rsidR="00F432A1" w:rsidRDefault="00F432A1">
    <w:pPr>
      <w:pStyle w:val="Header"/>
    </w:pPr>
    <w:r>
      <w:t>BMDB7007 21</w:t>
    </w:r>
    <w:r w:rsidRPr="00F432A1">
      <w:rPr>
        <w:vertAlign w:val="superscript"/>
      </w:rPr>
      <w:t>st</w:t>
    </w:r>
    <w:r>
      <w:t xml:space="preserve"> Century Business and Societal Ethics</w:t>
    </w:r>
  </w:p>
  <w:p w14:paraId="6B0DB698" w14:textId="77777777" w:rsidR="00F432A1" w:rsidRDefault="00F432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60C6C"/>
    <w:multiLevelType w:val="multilevel"/>
    <w:tmpl w:val="7C5EA8C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4D9E730C"/>
    <w:multiLevelType w:val="multilevel"/>
    <w:tmpl w:val="B3847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AB1C02"/>
    <w:multiLevelType w:val="multilevel"/>
    <w:tmpl w:val="7B20207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14FEA"/>
    <w:rsid w:val="00035F36"/>
    <w:rsid w:val="00055DA3"/>
    <w:rsid w:val="000639CA"/>
    <w:rsid w:val="00091DF8"/>
    <w:rsid w:val="00093189"/>
    <w:rsid w:val="000E3D88"/>
    <w:rsid w:val="00255991"/>
    <w:rsid w:val="002B3504"/>
    <w:rsid w:val="004679A5"/>
    <w:rsid w:val="00491329"/>
    <w:rsid w:val="00551463"/>
    <w:rsid w:val="006A0DF0"/>
    <w:rsid w:val="006F7CAB"/>
    <w:rsid w:val="007A5772"/>
    <w:rsid w:val="00814FEA"/>
    <w:rsid w:val="00852438"/>
    <w:rsid w:val="009725F7"/>
    <w:rsid w:val="00997C45"/>
    <w:rsid w:val="00A0633F"/>
    <w:rsid w:val="00A445B6"/>
    <w:rsid w:val="00B421F3"/>
    <w:rsid w:val="00BD2B05"/>
    <w:rsid w:val="00C04257"/>
    <w:rsid w:val="00C653CB"/>
    <w:rsid w:val="00C8761A"/>
    <w:rsid w:val="00CA68A1"/>
    <w:rsid w:val="00CB3E0F"/>
    <w:rsid w:val="00DC63DD"/>
    <w:rsid w:val="00E22BF9"/>
    <w:rsid w:val="00E321B9"/>
    <w:rsid w:val="00E455F3"/>
    <w:rsid w:val="00E75319"/>
    <w:rsid w:val="00E82D0F"/>
    <w:rsid w:val="00E94F4B"/>
    <w:rsid w:val="00ED0539"/>
    <w:rsid w:val="00F049F4"/>
    <w:rsid w:val="00F23707"/>
    <w:rsid w:val="00F432A1"/>
    <w:rsid w:val="00F50BD6"/>
    <w:rsid w:val="00FA31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0C5608"/>
  <w15:docId w15:val="{DA3AA58D-109D-4E77-8293-C841166BC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color w:val="000000"/>
        <w:sz w:val="22"/>
        <w:szCs w:val="22"/>
        <w:lang w:val="en-US" w:eastAsia="en-US" w:bidi="ar-SA"/>
      </w:rPr>
    </w:rPrDefault>
    <w:pPrDefault>
      <w:pPr>
        <w:widowControl w:val="0"/>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445B6"/>
  </w:style>
  <w:style w:type="paragraph" w:styleId="Heading1">
    <w:name w:val="heading 1"/>
    <w:basedOn w:val="Normal"/>
    <w:next w:val="Normal"/>
    <w:rsid w:val="00A445B6"/>
    <w:pPr>
      <w:keepNext/>
      <w:keepLines/>
      <w:spacing w:before="480" w:after="120"/>
      <w:contextualSpacing/>
      <w:outlineLvl w:val="0"/>
    </w:pPr>
    <w:rPr>
      <w:b/>
      <w:sz w:val="48"/>
      <w:szCs w:val="48"/>
    </w:rPr>
  </w:style>
  <w:style w:type="paragraph" w:styleId="Heading2">
    <w:name w:val="heading 2"/>
    <w:basedOn w:val="Normal"/>
    <w:next w:val="Normal"/>
    <w:rsid w:val="00A445B6"/>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rsid w:val="00A445B6"/>
    <w:pPr>
      <w:keepNext/>
      <w:keepLines/>
      <w:spacing w:before="280" w:after="80"/>
      <w:contextualSpacing/>
      <w:outlineLvl w:val="2"/>
    </w:pPr>
    <w:rPr>
      <w:b/>
      <w:sz w:val="28"/>
      <w:szCs w:val="28"/>
    </w:rPr>
  </w:style>
  <w:style w:type="paragraph" w:styleId="Heading4">
    <w:name w:val="heading 4"/>
    <w:basedOn w:val="Normal"/>
    <w:next w:val="Normal"/>
    <w:rsid w:val="00A445B6"/>
    <w:pPr>
      <w:keepNext/>
      <w:keepLines/>
      <w:spacing w:before="240" w:after="40"/>
      <w:contextualSpacing/>
      <w:outlineLvl w:val="3"/>
    </w:pPr>
    <w:rPr>
      <w:b/>
      <w:sz w:val="24"/>
      <w:szCs w:val="24"/>
    </w:rPr>
  </w:style>
  <w:style w:type="paragraph" w:styleId="Heading5">
    <w:name w:val="heading 5"/>
    <w:basedOn w:val="Normal"/>
    <w:next w:val="Normal"/>
    <w:rsid w:val="00A445B6"/>
    <w:pPr>
      <w:keepNext/>
      <w:keepLines/>
      <w:spacing w:before="220" w:after="40"/>
      <w:contextualSpacing/>
      <w:outlineLvl w:val="4"/>
    </w:pPr>
    <w:rPr>
      <w:b/>
    </w:rPr>
  </w:style>
  <w:style w:type="paragraph" w:styleId="Heading6">
    <w:name w:val="heading 6"/>
    <w:basedOn w:val="Normal"/>
    <w:next w:val="Normal"/>
    <w:rsid w:val="00A445B6"/>
    <w:pPr>
      <w:keepNext/>
      <w:keepLines/>
      <w:spacing w:before="200" w:after="40"/>
      <w:contextualSpacing/>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445B6"/>
    <w:pPr>
      <w:keepNext/>
      <w:keepLines/>
      <w:spacing w:before="480" w:after="120"/>
      <w:contextualSpacing/>
    </w:pPr>
    <w:rPr>
      <w:b/>
      <w:sz w:val="72"/>
      <w:szCs w:val="72"/>
    </w:rPr>
  </w:style>
  <w:style w:type="paragraph" w:styleId="Subtitle">
    <w:name w:val="Subtitle"/>
    <w:basedOn w:val="Normal"/>
    <w:next w:val="Normal"/>
    <w:rsid w:val="00A445B6"/>
    <w:pPr>
      <w:keepNext/>
      <w:keepLines/>
      <w:spacing w:before="360" w:after="80"/>
      <w:contextualSpacing/>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F04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9F4"/>
    <w:rPr>
      <w:rFonts w:ascii="Segoe UI" w:hAnsi="Segoe UI" w:cs="Segoe UI"/>
      <w:sz w:val="18"/>
      <w:szCs w:val="18"/>
    </w:rPr>
  </w:style>
  <w:style w:type="paragraph" w:styleId="Header">
    <w:name w:val="header"/>
    <w:basedOn w:val="Normal"/>
    <w:link w:val="HeaderChar"/>
    <w:uiPriority w:val="99"/>
    <w:unhideWhenUsed/>
    <w:rsid w:val="00DC63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3DD"/>
  </w:style>
  <w:style w:type="paragraph" w:styleId="Footer">
    <w:name w:val="footer"/>
    <w:basedOn w:val="Normal"/>
    <w:link w:val="FooterChar"/>
    <w:uiPriority w:val="99"/>
    <w:unhideWhenUsed/>
    <w:rsid w:val="00DC63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3DD"/>
  </w:style>
  <w:style w:type="character" w:styleId="Hyperlink">
    <w:name w:val="Hyperlink"/>
    <w:basedOn w:val="DefaultParagraphFont"/>
    <w:uiPriority w:val="99"/>
    <w:unhideWhenUsed/>
    <w:rsid w:val="00F432A1"/>
    <w:rPr>
      <w:color w:val="0563C1" w:themeColor="hyperlink"/>
      <w:u w:val="single"/>
    </w:rPr>
  </w:style>
  <w:style w:type="character" w:styleId="UnresolvedMention">
    <w:name w:val="Unresolved Mention"/>
    <w:basedOn w:val="DefaultParagraphFont"/>
    <w:uiPriority w:val="99"/>
    <w:semiHidden/>
    <w:unhideWhenUsed/>
    <w:rsid w:val="00F43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822985">
      <w:bodyDiv w:val="1"/>
      <w:marLeft w:val="0"/>
      <w:marRight w:val="0"/>
      <w:marTop w:val="0"/>
      <w:marBottom w:val="0"/>
      <w:divBdr>
        <w:top w:val="none" w:sz="0" w:space="0" w:color="auto"/>
        <w:left w:val="none" w:sz="0" w:space="0" w:color="auto"/>
        <w:bottom w:val="none" w:sz="0" w:space="0" w:color="auto"/>
        <w:right w:val="none" w:sz="0" w:space="0" w:color="auto"/>
      </w:divBdr>
    </w:div>
    <w:div w:id="1389383360">
      <w:bodyDiv w:val="1"/>
      <w:marLeft w:val="0"/>
      <w:marRight w:val="0"/>
      <w:marTop w:val="0"/>
      <w:marBottom w:val="0"/>
      <w:divBdr>
        <w:top w:val="none" w:sz="0" w:space="0" w:color="auto"/>
        <w:left w:val="none" w:sz="0" w:space="0" w:color="auto"/>
        <w:bottom w:val="none" w:sz="0" w:space="0" w:color="auto"/>
        <w:right w:val="none" w:sz="0" w:space="0" w:color="auto"/>
      </w:divBdr>
      <w:divsChild>
        <w:div w:id="488712195">
          <w:marLeft w:val="0"/>
          <w:marRight w:val="0"/>
          <w:marTop w:val="0"/>
          <w:marBottom w:val="0"/>
          <w:divBdr>
            <w:top w:val="none" w:sz="0" w:space="0" w:color="auto"/>
            <w:left w:val="none" w:sz="0" w:space="0" w:color="auto"/>
            <w:bottom w:val="none" w:sz="0" w:space="0" w:color="auto"/>
            <w:right w:val="none" w:sz="0" w:space="0" w:color="auto"/>
          </w:divBdr>
        </w:div>
        <w:div w:id="887306280">
          <w:marLeft w:val="0"/>
          <w:marRight w:val="0"/>
          <w:marTop w:val="0"/>
          <w:marBottom w:val="0"/>
          <w:divBdr>
            <w:top w:val="none" w:sz="0" w:space="0" w:color="auto"/>
            <w:left w:val="none" w:sz="0" w:space="0" w:color="auto"/>
            <w:bottom w:val="none" w:sz="0" w:space="0" w:color="auto"/>
            <w:right w:val="none" w:sz="0" w:space="0" w:color="auto"/>
          </w:divBdr>
        </w:div>
        <w:div w:id="1883906758">
          <w:marLeft w:val="0"/>
          <w:marRight w:val="0"/>
          <w:marTop w:val="0"/>
          <w:marBottom w:val="240"/>
          <w:divBdr>
            <w:top w:val="none" w:sz="0" w:space="0" w:color="auto"/>
            <w:left w:val="none" w:sz="0" w:space="0" w:color="auto"/>
            <w:bottom w:val="none" w:sz="0" w:space="0" w:color="auto"/>
            <w:right w:val="none" w:sz="0" w:space="0" w:color="auto"/>
          </w:divBdr>
        </w:div>
        <w:div w:id="1041514779">
          <w:marLeft w:val="0"/>
          <w:marRight w:val="0"/>
          <w:marTop w:val="0"/>
          <w:marBottom w:val="0"/>
          <w:divBdr>
            <w:top w:val="none" w:sz="0" w:space="0" w:color="auto"/>
            <w:left w:val="none" w:sz="0" w:space="0" w:color="auto"/>
            <w:bottom w:val="none" w:sz="0" w:space="0" w:color="auto"/>
            <w:right w:val="none" w:sz="0" w:space="0" w:color="auto"/>
          </w:divBdr>
        </w:div>
        <w:div w:id="682702264">
          <w:marLeft w:val="0"/>
          <w:marRight w:val="0"/>
          <w:marTop w:val="0"/>
          <w:marBottom w:val="240"/>
          <w:divBdr>
            <w:top w:val="none" w:sz="0" w:space="0" w:color="auto"/>
            <w:left w:val="none" w:sz="0" w:space="0" w:color="auto"/>
            <w:bottom w:val="none" w:sz="0" w:space="0" w:color="auto"/>
            <w:right w:val="none" w:sz="0" w:space="0" w:color="auto"/>
          </w:divBdr>
        </w:div>
        <w:div w:id="172690613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B692D1-9111-400F-890A-E6C89CBC44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5C4F2C-63D8-4A85-80A9-38A8060A6DE1}">
  <ds:schemaRefs>
    <ds:schemaRef ds:uri="http://schemas.microsoft.com/sharepoint/v3/contenttype/forms"/>
  </ds:schemaRefs>
</ds:datastoreItem>
</file>

<file path=customXml/itemProps3.xml><?xml version="1.0" encoding="utf-8"?>
<ds:datastoreItem xmlns:ds="http://schemas.openxmlformats.org/officeDocument/2006/customXml" ds:itemID="{28422716-6D2A-4B44-8B27-2A9EB1FC6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9</Pages>
  <Words>4102</Words>
  <Characters>23387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Kimi</dc:creator>
  <cp:lastModifiedBy>Caroline Jawad</cp:lastModifiedBy>
  <cp:revision>13</cp:revision>
  <dcterms:created xsi:type="dcterms:W3CDTF">2020-11-23T18:48:00Z</dcterms:created>
  <dcterms:modified xsi:type="dcterms:W3CDTF">2020-11-24T18:05:00Z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