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4E4D37" w14:textId="77777777" w:rsidR="0014776B" w:rsidRDefault="0014776B" w:rsidP="0014776B">
      <w:pPr>
        <w:pStyle w:val="Normal1"/>
        <w:spacing w:before="240" w:line="360" w:lineRule="auto"/>
        <w:jc w:val="center"/>
        <w:rPr>
          <w:rFonts w:ascii="Times New Roman" w:eastAsia="Times New Roman" w:hAnsi="Times New Roman"/>
          <w:b/>
          <w:color w:val="000000" w:themeColor="text1"/>
          <w:sz w:val="32"/>
          <w:szCs w:val="32"/>
        </w:rPr>
      </w:pPr>
    </w:p>
    <w:p w14:paraId="527FFFED" w14:textId="77777777" w:rsidR="0014776B" w:rsidRDefault="0014776B" w:rsidP="0014776B">
      <w:pPr>
        <w:pStyle w:val="Normal1"/>
        <w:spacing w:before="240" w:line="360" w:lineRule="auto"/>
        <w:jc w:val="center"/>
        <w:rPr>
          <w:rFonts w:ascii="Times New Roman" w:eastAsia="Times New Roman" w:hAnsi="Times New Roman"/>
          <w:b/>
          <w:color w:val="000000" w:themeColor="text1"/>
          <w:sz w:val="32"/>
          <w:szCs w:val="32"/>
        </w:rPr>
      </w:pPr>
    </w:p>
    <w:p w14:paraId="30EB2202" w14:textId="77777777" w:rsidR="0014776B" w:rsidRDefault="0014776B" w:rsidP="0014776B">
      <w:pPr>
        <w:pStyle w:val="Normal1"/>
        <w:spacing w:before="240" w:line="360" w:lineRule="auto"/>
        <w:jc w:val="center"/>
        <w:rPr>
          <w:rFonts w:ascii="Times New Roman" w:eastAsia="Times New Roman" w:hAnsi="Times New Roman"/>
          <w:b/>
          <w:color w:val="000000" w:themeColor="text1"/>
          <w:sz w:val="32"/>
          <w:szCs w:val="32"/>
        </w:rPr>
      </w:pPr>
    </w:p>
    <w:p w14:paraId="561E2E3A" w14:textId="77777777" w:rsidR="00136AB7" w:rsidRDefault="00136AB7" w:rsidP="00136AB7">
      <w:pPr>
        <w:pStyle w:val="Normal1"/>
        <w:spacing w:before="240" w:line="360" w:lineRule="auto"/>
        <w:rPr>
          <w:rFonts w:ascii="Times New Roman" w:eastAsia="Times New Roman" w:hAnsi="Times New Roman"/>
          <w:b/>
          <w:color w:val="000000" w:themeColor="text1"/>
          <w:sz w:val="32"/>
          <w:szCs w:val="32"/>
        </w:rPr>
      </w:pPr>
      <w:r>
        <w:rPr>
          <w:rFonts w:ascii="Times New Roman" w:eastAsia="Times New Roman" w:hAnsi="Times New Roman"/>
          <w:b/>
          <w:color w:val="000000" w:themeColor="text1"/>
          <w:sz w:val="32"/>
          <w:szCs w:val="32"/>
        </w:rPr>
        <w:t xml:space="preserve">  </w:t>
      </w:r>
    </w:p>
    <w:p w14:paraId="651DEAB7" w14:textId="56A86EE0" w:rsidR="0014776B" w:rsidRDefault="00136AB7" w:rsidP="00136AB7">
      <w:pPr>
        <w:pStyle w:val="Normal1"/>
        <w:spacing w:before="240" w:line="360" w:lineRule="auto"/>
        <w:rPr>
          <w:rFonts w:ascii="Times New Roman" w:eastAsia="Times New Roman" w:hAnsi="Times New Roman"/>
          <w:b/>
          <w:color w:val="000000" w:themeColor="text1"/>
          <w:sz w:val="32"/>
          <w:szCs w:val="32"/>
        </w:rPr>
      </w:pPr>
      <w:r>
        <w:rPr>
          <w:rFonts w:ascii="Times New Roman" w:eastAsia="Times New Roman" w:hAnsi="Times New Roman"/>
          <w:b/>
          <w:color w:val="000000" w:themeColor="text1"/>
          <w:sz w:val="32"/>
          <w:szCs w:val="32"/>
        </w:rPr>
        <w:t xml:space="preserve">                   </w:t>
      </w:r>
      <w:r w:rsidR="00CF6EF4">
        <w:rPr>
          <w:rFonts w:ascii="Times New Roman" w:eastAsia="Times New Roman" w:hAnsi="Times New Roman"/>
          <w:b/>
          <w:color w:val="000000" w:themeColor="text1"/>
          <w:sz w:val="32"/>
          <w:szCs w:val="32"/>
        </w:rPr>
        <w:t xml:space="preserve">    </w:t>
      </w:r>
      <w:r w:rsidR="00862782" w:rsidRPr="0014776B">
        <w:rPr>
          <w:rFonts w:ascii="Times New Roman" w:eastAsia="Times New Roman" w:hAnsi="Times New Roman"/>
          <w:b/>
          <w:color w:val="000000" w:themeColor="text1"/>
          <w:sz w:val="32"/>
          <w:szCs w:val="32"/>
        </w:rPr>
        <w:t>ACCOUNTING FUNDAMENTALS</w:t>
      </w:r>
    </w:p>
    <w:p w14:paraId="07407850" w14:textId="34577AFA" w:rsidR="001171FF" w:rsidRDefault="001171FF" w:rsidP="001171FF">
      <w:pPr>
        <w:pStyle w:val="Normal1"/>
        <w:spacing w:before="240" w:line="360" w:lineRule="auto"/>
        <w:rPr>
          <w:rFonts w:ascii="Times New Roman" w:eastAsia="Times New Roman" w:hAnsi="Times New Roman"/>
          <w:b/>
          <w:color w:val="000000" w:themeColor="text1"/>
          <w:sz w:val="32"/>
          <w:szCs w:val="32"/>
        </w:rPr>
      </w:pPr>
      <w:r>
        <w:rPr>
          <w:rFonts w:ascii="Times New Roman" w:eastAsia="Times New Roman" w:hAnsi="Times New Roman"/>
          <w:b/>
          <w:color w:val="000000" w:themeColor="text1"/>
          <w:sz w:val="32"/>
          <w:szCs w:val="32"/>
        </w:rPr>
        <w:t xml:space="preserve">                </w:t>
      </w:r>
      <w:r w:rsidR="00551D87">
        <w:rPr>
          <w:rFonts w:ascii="Times New Roman" w:eastAsia="Times New Roman" w:hAnsi="Times New Roman"/>
          <w:b/>
          <w:color w:val="000000" w:themeColor="text1"/>
          <w:sz w:val="32"/>
          <w:szCs w:val="32"/>
        </w:rPr>
        <w:t xml:space="preserve">               </w:t>
      </w:r>
      <w:r>
        <w:rPr>
          <w:rFonts w:ascii="Times New Roman" w:eastAsia="Times New Roman" w:hAnsi="Times New Roman"/>
          <w:b/>
          <w:color w:val="000000" w:themeColor="text1"/>
          <w:sz w:val="32"/>
          <w:szCs w:val="32"/>
        </w:rPr>
        <w:t xml:space="preserve">    Assignment 1</w:t>
      </w:r>
    </w:p>
    <w:p w14:paraId="36B1FA19" w14:textId="1F690E3E" w:rsidR="001171FF" w:rsidRDefault="00551D87" w:rsidP="001171FF">
      <w:pPr>
        <w:pStyle w:val="Normal1"/>
        <w:spacing w:before="240" w:line="360" w:lineRule="auto"/>
        <w:rPr>
          <w:rFonts w:ascii="Times New Roman" w:eastAsia="Times New Roman" w:hAnsi="Times New Roman"/>
          <w:b/>
          <w:color w:val="000000" w:themeColor="text1"/>
          <w:sz w:val="32"/>
          <w:szCs w:val="32"/>
        </w:rPr>
      </w:pPr>
      <w:r>
        <w:rPr>
          <w:rFonts w:ascii="Times New Roman" w:eastAsia="Times New Roman" w:hAnsi="Times New Roman"/>
          <w:b/>
          <w:color w:val="000000" w:themeColor="text1"/>
          <w:sz w:val="32"/>
          <w:szCs w:val="32"/>
        </w:rPr>
        <w:t xml:space="preserve">                             </w:t>
      </w:r>
      <w:r w:rsidR="001F1C2F">
        <w:rPr>
          <w:rFonts w:ascii="Times New Roman" w:eastAsia="Times New Roman" w:hAnsi="Times New Roman"/>
          <w:b/>
          <w:color w:val="000000" w:themeColor="text1"/>
          <w:sz w:val="32"/>
          <w:szCs w:val="32"/>
        </w:rPr>
        <w:t xml:space="preserve"> </w:t>
      </w:r>
      <w:r>
        <w:rPr>
          <w:rFonts w:ascii="Times New Roman" w:eastAsia="Times New Roman" w:hAnsi="Times New Roman"/>
          <w:b/>
          <w:color w:val="000000" w:themeColor="text1"/>
          <w:sz w:val="32"/>
          <w:szCs w:val="32"/>
        </w:rPr>
        <w:t xml:space="preserve"> </w:t>
      </w:r>
      <w:r w:rsidR="001171FF">
        <w:rPr>
          <w:rFonts w:ascii="Times New Roman" w:eastAsia="Times New Roman" w:hAnsi="Times New Roman"/>
          <w:b/>
          <w:color w:val="000000" w:themeColor="text1"/>
          <w:sz w:val="32"/>
          <w:szCs w:val="32"/>
        </w:rPr>
        <w:t xml:space="preserve">Student: Marin </w:t>
      </w:r>
      <w:proofErr w:type="spellStart"/>
      <w:r w:rsidR="001171FF">
        <w:rPr>
          <w:rFonts w:ascii="Times New Roman" w:eastAsia="Times New Roman" w:hAnsi="Times New Roman"/>
          <w:b/>
          <w:color w:val="000000" w:themeColor="text1"/>
          <w:sz w:val="32"/>
          <w:szCs w:val="32"/>
        </w:rPr>
        <w:t>Casu</w:t>
      </w:r>
      <w:proofErr w:type="spellEnd"/>
    </w:p>
    <w:p w14:paraId="3EEE77A3" w14:textId="1FB28A1C" w:rsidR="00551D87" w:rsidRDefault="00551D87" w:rsidP="001171FF">
      <w:pPr>
        <w:pStyle w:val="Normal1"/>
        <w:spacing w:before="240" w:line="360" w:lineRule="auto"/>
        <w:rPr>
          <w:rFonts w:ascii="Times New Roman" w:eastAsia="Times New Roman" w:hAnsi="Times New Roman"/>
          <w:b/>
          <w:color w:val="000000" w:themeColor="text1"/>
          <w:sz w:val="32"/>
          <w:szCs w:val="32"/>
        </w:rPr>
      </w:pPr>
      <w:r>
        <w:rPr>
          <w:rFonts w:ascii="Times New Roman" w:eastAsia="Times New Roman" w:hAnsi="Times New Roman"/>
          <w:b/>
          <w:color w:val="000000" w:themeColor="text1"/>
          <w:sz w:val="32"/>
          <w:szCs w:val="32"/>
        </w:rPr>
        <w:t xml:space="preserve">                         </w:t>
      </w:r>
      <w:r w:rsidR="001F1C2F">
        <w:rPr>
          <w:rFonts w:ascii="Times New Roman" w:eastAsia="Times New Roman" w:hAnsi="Times New Roman"/>
          <w:b/>
          <w:color w:val="000000" w:themeColor="text1"/>
          <w:sz w:val="32"/>
          <w:szCs w:val="32"/>
        </w:rPr>
        <w:t xml:space="preserve">   </w:t>
      </w:r>
      <w:r w:rsidR="00136AB7">
        <w:rPr>
          <w:rFonts w:ascii="Times New Roman" w:eastAsia="Times New Roman" w:hAnsi="Times New Roman"/>
          <w:b/>
          <w:color w:val="000000" w:themeColor="text1"/>
          <w:sz w:val="32"/>
          <w:szCs w:val="32"/>
        </w:rPr>
        <w:t>Student number: 1922137</w:t>
      </w:r>
    </w:p>
    <w:p w14:paraId="31A25D32" w14:textId="016B9E8B" w:rsidR="00136AB7" w:rsidRDefault="00136AB7" w:rsidP="001171FF">
      <w:pPr>
        <w:pStyle w:val="Normal1"/>
        <w:spacing w:before="240" w:line="360" w:lineRule="auto"/>
        <w:rPr>
          <w:rFonts w:ascii="Times New Roman" w:eastAsia="Times New Roman" w:hAnsi="Times New Roman"/>
          <w:b/>
          <w:color w:val="000000" w:themeColor="text1"/>
          <w:sz w:val="32"/>
          <w:szCs w:val="32"/>
        </w:rPr>
      </w:pPr>
      <w:r>
        <w:rPr>
          <w:rFonts w:ascii="Times New Roman" w:eastAsia="Times New Roman" w:hAnsi="Times New Roman"/>
          <w:b/>
          <w:color w:val="000000" w:themeColor="text1"/>
          <w:sz w:val="32"/>
          <w:szCs w:val="32"/>
        </w:rPr>
        <w:t xml:space="preserve">           </w:t>
      </w:r>
      <w:r w:rsidR="001F1C2F">
        <w:rPr>
          <w:rFonts w:ascii="Times New Roman" w:eastAsia="Times New Roman" w:hAnsi="Times New Roman"/>
          <w:b/>
          <w:color w:val="000000" w:themeColor="text1"/>
          <w:sz w:val="32"/>
          <w:szCs w:val="32"/>
        </w:rPr>
        <w:t xml:space="preserve">        </w:t>
      </w:r>
      <w:r>
        <w:rPr>
          <w:rFonts w:ascii="Times New Roman" w:eastAsia="Times New Roman" w:hAnsi="Times New Roman"/>
          <w:b/>
          <w:color w:val="000000" w:themeColor="text1"/>
          <w:sz w:val="32"/>
          <w:szCs w:val="32"/>
        </w:rPr>
        <w:t xml:space="preserve">   </w:t>
      </w:r>
      <w:r w:rsidR="001F1C2F">
        <w:rPr>
          <w:rFonts w:ascii="Times New Roman" w:eastAsia="Times New Roman" w:hAnsi="Times New Roman"/>
          <w:b/>
          <w:color w:val="000000" w:themeColor="text1"/>
          <w:sz w:val="32"/>
          <w:szCs w:val="32"/>
        </w:rPr>
        <w:t xml:space="preserve">Lecturer: </w:t>
      </w:r>
      <w:r w:rsidR="00AA62C6">
        <w:rPr>
          <w:rFonts w:ascii="Times New Roman" w:eastAsia="Times New Roman" w:hAnsi="Times New Roman"/>
          <w:b/>
          <w:color w:val="000000" w:themeColor="text1"/>
          <w:sz w:val="32"/>
          <w:szCs w:val="32"/>
        </w:rPr>
        <w:t xml:space="preserve"> </w:t>
      </w:r>
      <w:r w:rsidR="00AA62C6" w:rsidRPr="00AA62C6">
        <w:rPr>
          <w:rFonts w:ascii="Times New Roman" w:eastAsia="Times New Roman" w:hAnsi="Times New Roman"/>
          <w:b/>
          <w:color w:val="000000" w:themeColor="text1"/>
          <w:sz w:val="32"/>
          <w:szCs w:val="32"/>
          <w:lang w:val="en"/>
        </w:rPr>
        <w:t xml:space="preserve">Dr. </w:t>
      </w:r>
      <w:proofErr w:type="spellStart"/>
      <w:r w:rsidR="00AA62C6" w:rsidRPr="00AA62C6">
        <w:rPr>
          <w:rFonts w:ascii="Times New Roman" w:eastAsia="Times New Roman" w:hAnsi="Times New Roman"/>
          <w:b/>
          <w:color w:val="000000" w:themeColor="text1"/>
          <w:sz w:val="32"/>
          <w:szCs w:val="32"/>
          <w:lang w:val="en"/>
        </w:rPr>
        <w:t>Widin</w:t>
      </w:r>
      <w:proofErr w:type="spellEnd"/>
      <w:r w:rsidR="00AA62C6" w:rsidRPr="00AA62C6">
        <w:rPr>
          <w:rFonts w:ascii="Times New Roman" w:eastAsia="Times New Roman" w:hAnsi="Times New Roman"/>
          <w:b/>
          <w:color w:val="000000" w:themeColor="text1"/>
          <w:sz w:val="32"/>
          <w:szCs w:val="32"/>
          <w:lang w:val="en"/>
        </w:rPr>
        <w:t xml:space="preserve"> </w:t>
      </w:r>
      <w:proofErr w:type="spellStart"/>
      <w:r w:rsidR="00AA62C6" w:rsidRPr="00AA62C6">
        <w:rPr>
          <w:rFonts w:ascii="Times New Roman" w:eastAsia="Times New Roman" w:hAnsi="Times New Roman"/>
          <w:b/>
          <w:color w:val="000000" w:themeColor="text1"/>
          <w:sz w:val="32"/>
          <w:szCs w:val="32"/>
          <w:lang w:val="en"/>
        </w:rPr>
        <w:t>Bongasu</w:t>
      </w:r>
      <w:proofErr w:type="spellEnd"/>
      <w:r w:rsidR="00AA62C6" w:rsidRPr="00AA62C6">
        <w:rPr>
          <w:rFonts w:ascii="Times New Roman" w:eastAsia="Times New Roman" w:hAnsi="Times New Roman"/>
          <w:b/>
          <w:color w:val="000000" w:themeColor="text1"/>
          <w:sz w:val="32"/>
          <w:szCs w:val="32"/>
          <w:lang w:val="en"/>
        </w:rPr>
        <w:t xml:space="preserve"> </w:t>
      </w:r>
      <w:proofErr w:type="spellStart"/>
      <w:r w:rsidR="00AA62C6" w:rsidRPr="00AA62C6">
        <w:rPr>
          <w:rFonts w:ascii="Times New Roman" w:eastAsia="Times New Roman" w:hAnsi="Times New Roman"/>
          <w:b/>
          <w:color w:val="000000" w:themeColor="text1"/>
          <w:sz w:val="32"/>
          <w:szCs w:val="32"/>
          <w:lang w:val="en"/>
        </w:rPr>
        <w:t>Sha'ven</w:t>
      </w:r>
      <w:proofErr w:type="spellEnd"/>
    </w:p>
    <w:p w14:paraId="7CCB1E04" w14:textId="77777777" w:rsidR="0014776B" w:rsidRPr="0014776B" w:rsidRDefault="00862782" w:rsidP="0014776B">
      <w:pPr>
        <w:spacing w:line="360" w:lineRule="auto"/>
        <w:jc w:val="center"/>
        <w:rPr>
          <w:rFonts w:ascii="Times New Roman" w:eastAsia="Times New Roman" w:hAnsi="Times New Roman"/>
          <w:b/>
          <w:color w:val="000000" w:themeColor="text1"/>
          <w:lang w:val="en-IN" w:eastAsia="en-US"/>
        </w:rPr>
      </w:pPr>
      <w:r w:rsidRPr="0014776B">
        <w:rPr>
          <w:rFonts w:ascii="Times New Roman" w:eastAsia="Times New Roman" w:hAnsi="Times New Roman"/>
          <w:b/>
          <w:color w:val="000000" w:themeColor="text1"/>
        </w:rPr>
        <w:br w:type="page"/>
      </w:r>
    </w:p>
    <w:sdt>
      <w:sdtPr>
        <w:rPr>
          <w:rFonts w:ascii="Times New Roman" w:eastAsia="Arial" w:hAnsi="Times New Roman" w:cs="Times New Roman"/>
          <w:sz w:val="24"/>
          <w:szCs w:val="24"/>
        </w:rPr>
        <w:id w:val="-621530184"/>
        <w:docPartObj>
          <w:docPartGallery w:val="Table of Contents"/>
          <w:docPartUnique/>
        </w:docPartObj>
      </w:sdtPr>
      <w:sdtEndPr>
        <w:rPr>
          <w:rFonts w:asciiTheme="minorHAnsi" w:eastAsiaTheme="minorEastAsia" w:hAnsiTheme="minorHAnsi"/>
          <w:noProof/>
          <w:kern w:val="0"/>
        </w:rPr>
      </w:sdtEndPr>
      <w:sdtContent>
        <w:p w14:paraId="6D5FCED8" w14:textId="282D50A0" w:rsidR="0014776B" w:rsidRPr="0014776B" w:rsidRDefault="00862782" w:rsidP="0014776B">
          <w:pPr>
            <w:pStyle w:val="TOCHeading"/>
            <w:spacing w:line="360" w:lineRule="auto"/>
            <w:jc w:val="center"/>
            <w:rPr>
              <w:rFonts w:ascii="Times New Roman" w:hAnsi="Times New Roman" w:cs="Times New Roman"/>
              <w:b w:val="0"/>
              <w:bCs w:val="0"/>
              <w:color w:val="000000" w:themeColor="text1"/>
              <w:sz w:val="24"/>
              <w:szCs w:val="24"/>
            </w:rPr>
          </w:pPr>
          <w:r w:rsidRPr="0014776B">
            <w:rPr>
              <w:rFonts w:ascii="Times New Roman" w:hAnsi="Times New Roman" w:cs="Times New Roman"/>
              <w:color w:val="000000" w:themeColor="text1"/>
              <w:sz w:val="24"/>
              <w:szCs w:val="24"/>
            </w:rPr>
            <w:t>Table of Contents</w:t>
          </w:r>
        </w:p>
        <w:p w14:paraId="22B694BA" w14:textId="5092387A" w:rsidR="0014776B" w:rsidRPr="0014776B" w:rsidRDefault="00862782" w:rsidP="0014776B">
          <w:pPr>
            <w:pStyle w:val="TOC1"/>
            <w:tabs>
              <w:tab w:val="right" w:leader="dot" w:pos="9350"/>
            </w:tabs>
            <w:spacing w:line="360" w:lineRule="auto"/>
            <w:jc w:val="center"/>
            <w:rPr>
              <w:rFonts w:ascii="Times New Roman" w:hAnsi="Times New Roman"/>
              <w:noProof/>
            </w:rPr>
          </w:pPr>
          <w:r w:rsidRPr="0014776B">
            <w:rPr>
              <w:rFonts w:ascii="Times New Roman" w:hAnsi="Times New Roman"/>
            </w:rPr>
            <w:fldChar w:fldCharType="begin"/>
          </w:r>
          <w:r w:rsidRPr="0014776B">
            <w:rPr>
              <w:rFonts w:ascii="Times New Roman" w:hAnsi="Times New Roman"/>
            </w:rPr>
            <w:instrText xml:space="preserve"> TOC \o "1-3" \h \z \u </w:instrText>
          </w:r>
          <w:r w:rsidRPr="0014776B">
            <w:rPr>
              <w:rFonts w:ascii="Times New Roman" w:hAnsi="Times New Roman"/>
            </w:rPr>
            <w:fldChar w:fldCharType="separate"/>
          </w:r>
          <w:hyperlink w:anchor="_Toc56197199" w:history="1">
            <w:r w:rsidRPr="0014776B">
              <w:rPr>
                <w:rStyle w:val="Hyperlink"/>
                <w:rFonts w:ascii="Times New Roman" w:hAnsi="Times New Roman"/>
                <w:noProof/>
              </w:rPr>
              <w:t>Question 1</w:t>
            </w:r>
            <w:r w:rsidRPr="0014776B">
              <w:rPr>
                <w:rFonts w:ascii="Times New Roman" w:hAnsi="Times New Roman"/>
                <w:noProof/>
                <w:webHidden/>
              </w:rPr>
              <w:tab/>
            </w:r>
            <w:r w:rsidRPr="0014776B">
              <w:rPr>
                <w:rFonts w:ascii="Times New Roman" w:hAnsi="Times New Roman"/>
                <w:noProof/>
                <w:webHidden/>
              </w:rPr>
              <w:fldChar w:fldCharType="begin"/>
            </w:r>
            <w:r w:rsidRPr="0014776B">
              <w:rPr>
                <w:rFonts w:ascii="Times New Roman" w:hAnsi="Times New Roman"/>
                <w:noProof/>
                <w:webHidden/>
              </w:rPr>
              <w:instrText xml:space="preserve"> PAGEREF _Toc56197199 \h </w:instrText>
            </w:r>
            <w:r w:rsidRPr="0014776B">
              <w:rPr>
                <w:rFonts w:ascii="Times New Roman" w:hAnsi="Times New Roman"/>
                <w:noProof/>
                <w:webHidden/>
              </w:rPr>
            </w:r>
            <w:r w:rsidRPr="0014776B">
              <w:rPr>
                <w:rFonts w:ascii="Times New Roman" w:hAnsi="Times New Roman"/>
                <w:noProof/>
                <w:webHidden/>
              </w:rPr>
              <w:fldChar w:fldCharType="separate"/>
            </w:r>
            <w:r w:rsidRPr="0014776B">
              <w:rPr>
                <w:rFonts w:ascii="Times New Roman" w:hAnsi="Times New Roman"/>
                <w:noProof/>
                <w:webHidden/>
              </w:rPr>
              <w:t>3</w:t>
            </w:r>
            <w:r w:rsidRPr="0014776B">
              <w:rPr>
                <w:rFonts w:ascii="Times New Roman" w:hAnsi="Times New Roman"/>
                <w:noProof/>
                <w:webHidden/>
              </w:rPr>
              <w:fldChar w:fldCharType="end"/>
            </w:r>
          </w:hyperlink>
        </w:p>
        <w:p w14:paraId="5174723F" w14:textId="0A2C5C8E" w:rsidR="0014776B" w:rsidRPr="0014776B" w:rsidRDefault="00C871D3" w:rsidP="0014776B">
          <w:pPr>
            <w:pStyle w:val="TOC1"/>
            <w:tabs>
              <w:tab w:val="right" w:leader="dot" w:pos="9350"/>
            </w:tabs>
            <w:spacing w:line="360" w:lineRule="auto"/>
            <w:jc w:val="center"/>
            <w:rPr>
              <w:rFonts w:ascii="Times New Roman" w:hAnsi="Times New Roman"/>
              <w:noProof/>
            </w:rPr>
          </w:pPr>
          <w:hyperlink w:anchor="_Toc56197200" w:history="1">
            <w:r w:rsidR="00862782" w:rsidRPr="0014776B">
              <w:rPr>
                <w:rStyle w:val="Hyperlink"/>
                <w:rFonts w:ascii="Times New Roman" w:hAnsi="Times New Roman"/>
                <w:noProof/>
              </w:rPr>
              <w:t>Question 2</w:t>
            </w:r>
            <w:r w:rsidR="00862782" w:rsidRPr="0014776B">
              <w:rPr>
                <w:rFonts w:ascii="Times New Roman" w:hAnsi="Times New Roman"/>
                <w:noProof/>
                <w:webHidden/>
              </w:rPr>
              <w:tab/>
            </w:r>
            <w:r w:rsidR="00862782" w:rsidRPr="0014776B">
              <w:rPr>
                <w:rFonts w:ascii="Times New Roman" w:hAnsi="Times New Roman"/>
                <w:noProof/>
                <w:webHidden/>
              </w:rPr>
              <w:fldChar w:fldCharType="begin"/>
            </w:r>
            <w:r w:rsidR="00862782" w:rsidRPr="0014776B">
              <w:rPr>
                <w:rFonts w:ascii="Times New Roman" w:hAnsi="Times New Roman"/>
                <w:noProof/>
                <w:webHidden/>
              </w:rPr>
              <w:instrText xml:space="preserve"> PAGEREF _Toc56197200 \h </w:instrText>
            </w:r>
            <w:r w:rsidR="00862782" w:rsidRPr="0014776B">
              <w:rPr>
                <w:rFonts w:ascii="Times New Roman" w:hAnsi="Times New Roman"/>
                <w:noProof/>
                <w:webHidden/>
              </w:rPr>
            </w:r>
            <w:r w:rsidR="00862782" w:rsidRPr="0014776B">
              <w:rPr>
                <w:rFonts w:ascii="Times New Roman" w:hAnsi="Times New Roman"/>
                <w:noProof/>
                <w:webHidden/>
              </w:rPr>
              <w:fldChar w:fldCharType="separate"/>
            </w:r>
            <w:r w:rsidR="00862782" w:rsidRPr="0014776B">
              <w:rPr>
                <w:rFonts w:ascii="Times New Roman" w:hAnsi="Times New Roman"/>
                <w:noProof/>
                <w:webHidden/>
              </w:rPr>
              <w:t>5</w:t>
            </w:r>
            <w:r w:rsidR="00862782" w:rsidRPr="0014776B">
              <w:rPr>
                <w:rFonts w:ascii="Times New Roman" w:hAnsi="Times New Roman"/>
                <w:noProof/>
                <w:webHidden/>
              </w:rPr>
              <w:fldChar w:fldCharType="end"/>
            </w:r>
          </w:hyperlink>
        </w:p>
        <w:p w14:paraId="7B4FAA15" w14:textId="046A4C35" w:rsidR="0014776B" w:rsidRPr="0014776B" w:rsidRDefault="00C871D3" w:rsidP="0014776B">
          <w:pPr>
            <w:pStyle w:val="TOC1"/>
            <w:tabs>
              <w:tab w:val="right" w:leader="dot" w:pos="9350"/>
            </w:tabs>
            <w:spacing w:line="360" w:lineRule="auto"/>
            <w:jc w:val="center"/>
            <w:rPr>
              <w:rFonts w:ascii="Times New Roman" w:hAnsi="Times New Roman"/>
              <w:noProof/>
            </w:rPr>
          </w:pPr>
          <w:hyperlink w:anchor="_Toc56197201" w:history="1">
            <w:r w:rsidR="00862782" w:rsidRPr="0014776B">
              <w:rPr>
                <w:rStyle w:val="Hyperlink"/>
                <w:rFonts w:ascii="Times New Roman" w:hAnsi="Times New Roman"/>
                <w:noProof/>
              </w:rPr>
              <w:t>Reference List</w:t>
            </w:r>
            <w:r w:rsidR="00862782" w:rsidRPr="0014776B">
              <w:rPr>
                <w:rFonts w:ascii="Times New Roman" w:hAnsi="Times New Roman"/>
                <w:noProof/>
                <w:webHidden/>
              </w:rPr>
              <w:tab/>
            </w:r>
            <w:r w:rsidR="00862782" w:rsidRPr="0014776B">
              <w:rPr>
                <w:rFonts w:ascii="Times New Roman" w:hAnsi="Times New Roman"/>
                <w:noProof/>
                <w:webHidden/>
              </w:rPr>
              <w:fldChar w:fldCharType="begin"/>
            </w:r>
            <w:r w:rsidR="00862782" w:rsidRPr="0014776B">
              <w:rPr>
                <w:rFonts w:ascii="Times New Roman" w:hAnsi="Times New Roman"/>
                <w:noProof/>
                <w:webHidden/>
              </w:rPr>
              <w:instrText xml:space="preserve"> PAGEREF _Toc56197201 \h </w:instrText>
            </w:r>
            <w:r w:rsidR="00862782" w:rsidRPr="0014776B">
              <w:rPr>
                <w:rFonts w:ascii="Times New Roman" w:hAnsi="Times New Roman"/>
                <w:noProof/>
                <w:webHidden/>
              </w:rPr>
            </w:r>
            <w:r w:rsidR="00862782" w:rsidRPr="0014776B">
              <w:rPr>
                <w:rFonts w:ascii="Times New Roman" w:hAnsi="Times New Roman"/>
                <w:noProof/>
                <w:webHidden/>
              </w:rPr>
              <w:fldChar w:fldCharType="separate"/>
            </w:r>
            <w:r w:rsidR="00862782" w:rsidRPr="0014776B">
              <w:rPr>
                <w:rFonts w:ascii="Times New Roman" w:hAnsi="Times New Roman"/>
                <w:noProof/>
                <w:webHidden/>
              </w:rPr>
              <w:t>9</w:t>
            </w:r>
            <w:r w:rsidR="00862782" w:rsidRPr="0014776B">
              <w:rPr>
                <w:rFonts w:ascii="Times New Roman" w:hAnsi="Times New Roman"/>
                <w:noProof/>
                <w:webHidden/>
              </w:rPr>
              <w:fldChar w:fldCharType="end"/>
            </w:r>
          </w:hyperlink>
        </w:p>
        <w:p w14:paraId="0F8F2337" w14:textId="7CFA44C6" w:rsidR="0014776B" w:rsidRDefault="00862782" w:rsidP="0014776B">
          <w:pPr>
            <w:spacing w:line="360" w:lineRule="auto"/>
            <w:jc w:val="center"/>
          </w:pPr>
          <w:r w:rsidRPr="0014776B">
            <w:rPr>
              <w:rFonts w:ascii="Times New Roman" w:hAnsi="Times New Roman"/>
              <w:b/>
              <w:bCs/>
              <w:noProof/>
            </w:rPr>
            <w:fldChar w:fldCharType="end"/>
          </w:r>
        </w:p>
      </w:sdtContent>
    </w:sdt>
    <w:p w14:paraId="5D1AED3B" w14:textId="77777777" w:rsidR="00573963" w:rsidRPr="0014776B" w:rsidRDefault="00573963" w:rsidP="0014776B">
      <w:pPr>
        <w:pStyle w:val="Normal1"/>
        <w:spacing w:before="240" w:line="360" w:lineRule="auto"/>
        <w:rPr>
          <w:rFonts w:ascii="Times New Roman" w:eastAsia="Times New Roman" w:hAnsi="Times New Roman"/>
          <w:b/>
          <w:color w:val="000000" w:themeColor="text1"/>
          <w:sz w:val="24"/>
          <w:szCs w:val="24"/>
        </w:rPr>
      </w:pPr>
    </w:p>
    <w:p w14:paraId="17A10718" w14:textId="77777777" w:rsidR="00573963"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br w:type="page"/>
      </w:r>
    </w:p>
    <w:p w14:paraId="1DFD5186" w14:textId="287E7D7E" w:rsidR="00CD1F7E" w:rsidRPr="00573963" w:rsidRDefault="00862782" w:rsidP="00573963">
      <w:pPr>
        <w:pStyle w:val="Heading1"/>
        <w:rPr>
          <w:rFonts w:cs="Times New Roman"/>
          <w:color w:val="000000" w:themeColor="text1"/>
          <w:szCs w:val="24"/>
        </w:rPr>
      </w:pPr>
      <w:bookmarkStart w:id="0" w:name="_Toc56197199"/>
      <w:r w:rsidRPr="00573963">
        <w:rPr>
          <w:rFonts w:cs="Times New Roman"/>
          <w:color w:val="000000" w:themeColor="text1"/>
          <w:szCs w:val="24"/>
        </w:rPr>
        <w:lastRenderedPageBreak/>
        <w:t>Question 1</w:t>
      </w:r>
      <w:bookmarkEnd w:id="0"/>
    </w:p>
    <w:p w14:paraId="1A2D4019"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a)</w:t>
      </w:r>
    </w:p>
    <w:p w14:paraId="5500BE52" w14:textId="77777777" w:rsidR="00CD1F7E" w:rsidRPr="00A528C7" w:rsidRDefault="00862782" w:rsidP="00573963">
      <w:pPr>
        <w:spacing w:line="360" w:lineRule="auto"/>
        <w:jc w:val="both"/>
        <w:rPr>
          <w:rFonts w:ascii="Times New Roman" w:eastAsia="Times New Roman" w:hAnsi="Times New Roman"/>
          <w:b/>
          <w:bCs/>
          <w:color w:val="000000" w:themeColor="text1"/>
        </w:rPr>
      </w:pPr>
      <w:r w:rsidRPr="00A528C7">
        <w:rPr>
          <w:rFonts w:ascii="Times New Roman" w:eastAsia="Times New Roman" w:hAnsi="Times New Roman"/>
          <w:b/>
          <w:bCs/>
          <w:color w:val="000000" w:themeColor="text1"/>
        </w:rPr>
        <w:t xml:space="preserve">Below is the income statement for the year ended 31st </w:t>
      </w:r>
      <w:proofErr w:type="gramStart"/>
      <w:r w:rsidRPr="00A528C7">
        <w:rPr>
          <w:rFonts w:ascii="Times New Roman" w:eastAsia="Times New Roman" w:hAnsi="Times New Roman"/>
          <w:b/>
          <w:bCs/>
          <w:color w:val="000000" w:themeColor="text1"/>
        </w:rPr>
        <w:t>December,</w:t>
      </w:r>
      <w:proofErr w:type="gramEnd"/>
      <w:r w:rsidRPr="00A528C7">
        <w:rPr>
          <w:rFonts w:ascii="Times New Roman" w:eastAsia="Times New Roman" w:hAnsi="Times New Roman"/>
          <w:b/>
          <w:bCs/>
          <w:color w:val="000000" w:themeColor="text1"/>
        </w:rPr>
        <w:t xml:space="preserve"> 2018.</w:t>
      </w:r>
    </w:p>
    <w:tbl>
      <w:tblPr>
        <w:tblStyle w:val="a"/>
        <w:tblpPr w:leftFromText="180" w:rightFromText="180" w:vertAnchor="text" w:horzAnchor="margin" w:tblpY="15"/>
        <w:tblW w:w="65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260"/>
        <w:gridCol w:w="1595"/>
        <w:gridCol w:w="1655"/>
      </w:tblGrid>
      <w:tr w:rsidR="008361F2" w14:paraId="6B1A3A1E"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87A19A7"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 xml:space="preserve">Particulars </w:t>
            </w:r>
          </w:p>
        </w:tc>
        <w:tc>
          <w:tcPr>
            <w:tcW w:w="1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F370889"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D4F6D1F"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r>
      <w:tr w:rsidR="008361F2" w14:paraId="43651D8B" w14:textId="77777777" w:rsidTr="008361F2">
        <w:trPr>
          <w:trHeight w:val="74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834747A"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Retained profit as on 01/01/2018</w:t>
            </w:r>
          </w:p>
        </w:tc>
        <w:tc>
          <w:tcPr>
            <w:tcW w:w="1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F655598"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1,32,000</w:t>
            </w:r>
          </w:p>
        </w:tc>
        <w:tc>
          <w:tcPr>
            <w:tcW w:w="1655" w:type="dxa"/>
            <w:tcMar>
              <w:top w:w="100" w:type="dxa"/>
              <w:left w:w="100" w:type="dxa"/>
              <w:bottom w:w="100" w:type="dxa"/>
              <w:right w:w="100" w:type="dxa"/>
            </w:tcMar>
          </w:tcPr>
          <w:p w14:paraId="2D9189ED"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8361F2" w14:paraId="4FB7D211"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92B2C2C"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Sales revenue</w:t>
            </w:r>
          </w:p>
        </w:tc>
        <w:tc>
          <w:tcPr>
            <w:tcW w:w="1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84A632F"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8,26,650</w:t>
            </w:r>
          </w:p>
        </w:tc>
        <w:tc>
          <w:tcPr>
            <w:tcW w:w="1655" w:type="dxa"/>
            <w:tcMar>
              <w:top w:w="100" w:type="dxa"/>
              <w:left w:w="100" w:type="dxa"/>
              <w:bottom w:w="100" w:type="dxa"/>
              <w:right w:w="100" w:type="dxa"/>
            </w:tcMar>
          </w:tcPr>
          <w:p w14:paraId="48CBDBB0"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8361F2" w14:paraId="016F9BEC"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A02BBED"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Total revenue </w:t>
            </w:r>
          </w:p>
        </w:tc>
        <w:tc>
          <w:tcPr>
            <w:tcW w:w="1595" w:type="dxa"/>
            <w:tcMar>
              <w:top w:w="100" w:type="dxa"/>
              <w:left w:w="100" w:type="dxa"/>
              <w:bottom w:w="100" w:type="dxa"/>
              <w:right w:w="100" w:type="dxa"/>
            </w:tcMar>
          </w:tcPr>
          <w:p w14:paraId="35F06690"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655" w:type="dxa"/>
            <w:tcMar>
              <w:top w:w="100" w:type="dxa"/>
              <w:left w:w="100" w:type="dxa"/>
              <w:bottom w:w="100" w:type="dxa"/>
              <w:right w:w="100" w:type="dxa"/>
            </w:tcMar>
          </w:tcPr>
          <w:p w14:paraId="629B78A1"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9,58,650</w:t>
            </w:r>
          </w:p>
        </w:tc>
      </w:tr>
      <w:tr w:rsidR="008361F2" w14:paraId="56EF7C9E"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BD61A3"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Less: Cost of sales</w:t>
            </w:r>
          </w:p>
        </w:tc>
        <w:tc>
          <w:tcPr>
            <w:tcW w:w="1595" w:type="dxa"/>
            <w:tcMar>
              <w:top w:w="100" w:type="dxa"/>
              <w:left w:w="100" w:type="dxa"/>
              <w:bottom w:w="100" w:type="dxa"/>
              <w:right w:w="100" w:type="dxa"/>
            </w:tcMar>
          </w:tcPr>
          <w:p w14:paraId="495766D5"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578650</w:t>
            </w:r>
          </w:p>
        </w:tc>
        <w:tc>
          <w:tcPr>
            <w:tcW w:w="1655" w:type="dxa"/>
            <w:tcMar>
              <w:top w:w="100" w:type="dxa"/>
              <w:left w:w="100" w:type="dxa"/>
              <w:bottom w:w="100" w:type="dxa"/>
              <w:right w:w="100" w:type="dxa"/>
            </w:tcMar>
          </w:tcPr>
          <w:p w14:paraId="3910DCB2"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8361F2" w14:paraId="185443E8"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C8C9F14"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Gross profit </w:t>
            </w:r>
          </w:p>
        </w:tc>
        <w:tc>
          <w:tcPr>
            <w:tcW w:w="1595" w:type="dxa"/>
            <w:tcMar>
              <w:top w:w="100" w:type="dxa"/>
              <w:left w:w="100" w:type="dxa"/>
              <w:bottom w:w="100" w:type="dxa"/>
              <w:right w:w="100" w:type="dxa"/>
            </w:tcMar>
          </w:tcPr>
          <w:p w14:paraId="79BF8865"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655" w:type="dxa"/>
            <w:tcMar>
              <w:top w:w="100" w:type="dxa"/>
              <w:left w:w="100" w:type="dxa"/>
              <w:bottom w:w="100" w:type="dxa"/>
              <w:right w:w="100" w:type="dxa"/>
            </w:tcMar>
          </w:tcPr>
          <w:p w14:paraId="43E08B7E"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3,80,000</w:t>
            </w:r>
          </w:p>
        </w:tc>
      </w:tr>
      <w:tr w:rsidR="008361F2" w14:paraId="70B8857F"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BDDAAB"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Less: Overhead</w:t>
            </w:r>
          </w:p>
        </w:tc>
        <w:tc>
          <w:tcPr>
            <w:tcW w:w="1595" w:type="dxa"/>
            <w:tcMar>
              <w:top w:w="100" w:type="dxa"/>
              <w:left w:w="100" w:type="dxa"/>
              <w:bottom w:w="100" w:type="dxa"/>
              <w:right w:w="100" w:type="dxa"/>
            </w:tcMar>
          </w:tcPr>
          <w:p w14:paraId="557AC596"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655" w:type="dxa"/>
            <w:tcMar>
              <w:top w:w="100" w:type="dxa"/>
              <w:left w:w="100" w:type="dxa"/>
              <w:bottom w:w="100" w:type="dxa"/>
              <w:right w:w="100" w:type="dxa"/>
            </w:tcMar>
          </w:tcPr>
          <w:p w14:paraId="61FAE1E2"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8361F2" w14:paraId="33BBF4C3"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1E656A4"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Distribution overhead</w:t>
            </w:r>
          </w:p>
        </w:tc>
        <w:tc>
          <w:tcPr>
            <w:tcW w:w="1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C96B502"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28,000</w:t>
            </w:r>
          </w:p>
        </w:tc>
        <w:tc>
          <w:tcPr>
            <w:tcW w:w="1655" w:type="dxa"/>
            <w:tcMar>
              <w:top w:w="100" w:type="dxa"/>
              <w:left w:w="100" w:type="dxa"/>
              <w:bottom w:w="100" w:type="dxa"/>
              <w:right w:w="100" w:type="dxa"/>
            </w:tcMar>
          </w:tcPr>
          <w:p w14:paraId="2CAAE911"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8361F2" w14:paraId="172E0C60"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CA9B089"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Administrative overhead</w:t>
            </w:r>
          </w:p>
        </w:tc>
        <w:tc>
          <w:tcPr>
            <w:tcW w:w="159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E64D7D"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30,000</w:t>
            </w:r>
          </w:p>
        </w:tc>
        <w:tc>
          <w:tcPr>
            <w:tcW w:w="165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2378675"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58,000</w:t>
            </w:r>
          </w:p>
        </w:tc>
      </w:tr>
      <w:tr w:rsidR="008361F2" w14:paraId="2D3677FC"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C9D787E"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Profit before interest and tax (</w:t>
            </w:r>
            <w:r w:rsidRPr="00573963">
              <w:rPr>
                <w:rFonts w:ascii="Times New Roman" w:hAnsi="Times New Roman"/>
                <w:color w:val="000000" w:themeColor="text1"/>
                <w:highlight w:val="white"/>
              </w:rPr>
              <w:t>Afif and Nawirah, 2020</w:t>
            </w:r>
            <w:r w:rsidRPr="00573963">
              <w:rPr>
                <w:rFonts w:ascii="Times New Roman" w:eastAsia="Times New Roman" w:hAnsi="Times New Roman"/>
                <w:color w:val="000000" w:themeColor="text1"/>
              </w:rPr>
              <w:t>)</w:t>
            </w:r>
          </w:p>
        </w:tc>
        <w:tc>
          <w:tcPr>
            <w:tcW w:w="1595" w:type="dxa"/>
            <w:tcMar>
              <w:top w:w="100" w:type="dxa"/>
              <w:left w:w="100" w:type="dxa"/>
              <w:bottom w:w="100" w:type="dxa"/>
              <w:right w:w="100" w:type="dxa"/>
            </w:tcMar>
          </w:tcPr>
          <w:p w14:paraId="20246DC4"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655" w:type="dxa"/>
            <w:tcMar>
              <w:top w:w="100" w:type="dxa"/>
              <w:left w:w="100" w:type="dxa"/>
              <w:bottom w:w="100" w:type="dxa"/>
              <w:right w:w="100" w:type="dxa"/>
            </w:tcMar>
          </w:tcPr>
          <w:p w14:paraId="3093B293"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3,22,000</w:t>
            </w:r>
          </w:p>
        </w:tc>
      </w:tr>
      <w:tr w:rsidR="008361F2" w14:paraId="2B29B88F"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DA5DC6F"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Less: Interest</w:t>
            </w:r>
          </w:p>
        </w:tc>
        <w:tc>
          <w:tcPr>
            <w:tcW w:w="1595" w:type="dxa"/>
            <w:tcMar>
              <w:top w:w="100" w:type="dxa"/>
              <w:left w:w="100" w:type="dxa"/>
              <w:bottom w:w="100" w:type="dxa"/>
              <w:right w:w="100" w:type="dxa"/>
            </w:tcMar>
          </w:tcPr>
          <w:p w14:paraId="7F0658A6"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2,000</w:t>
            </w:r>
          </w:p>
        </w:tc>
        <w:tc>
          <w:tcPr>
            <w:tcW w:w="1655" w:type="dxa"/>
            <w:tcMar>
              <w:top w:w="100" w:type="dxa"/>
              <w:left w:w="100" w:type="dxa"/>
              <w:bottom w:w="100" w:type="dxa"/>
              <w:right w:w="100" w:type="dxa"/>
            </w:tcMar>
          </w:tcPr>
          <w:p w14:paraId="3183DFB4"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8361F2" w14:paraId="5EC3AB9D"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9A1A51"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Tax</w:t>
            </w:r>
          </w:p>
        </w:tc>
        <w:tc>
          <w:tcPr>
            <w:tcW w:w="1595" w:type="dxa"/>
            <w:tcMar>
              <w:top w:w="100" w:type="dxa"/>
              <w:left w:w="100" w:type="dxa"/>
              <w:bottom w:w="100" w:type="dxa"/>
              <w:right w:w="100" w:type="dxa"/>
            </w:tcMar>
          </w:tcPr>
          <w:p w14:paraId="04F08380"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68,000</w:t>
            </w:r>
          </w:p>
        </w:tc>
        <w:tc>
          <w:tcPr>
            <w:tcW w:w="1655" w:type="dxa"/>
            <w:tcMar>
              <w:top w:w="100" w:type="dxa"/>
              <w:left w:w="100" w:type="dxa"/>
              <w:bottom w:w="100" w:type="dxa"/>
              <w:right w:w="100" w:type="dxa"/>
            </w:tcMar>
          </w:tcPr>
          <w:p w14:paraId="19F17289"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70,000</w:t>
            </w:r>
          </w:p>
        </w:tc>
      </w:tr>
      <w:tr w:rsidR="008361F2" w14:paraId="18521280" w14:textId="77777777" w:rsidTr="008361F2">
        <w:trPr>
          <w:trHeight w:val="500"/>
        </w:trPr>
        <w:tc>
          <w:tcPr>
            <w:tcW w:w="32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39B8892"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Net profit</w:t>
            </w:r>
          </w:p>
        </w:tc>
        <w:tc>
          <w:tcPr>
            <w:tcW w:w="1595" w:type="dxa"/>
            <w:tcMar>
              <w:top w:w="100" w:type="dxa"/>
              <w:left w:w="100" w:type="dxa"/>
              <w:bottom w:w="100" w:type="dxa"/>
              <w:right w:w="100" w:type="dxa"/>
            </w:tcMar>
          </w:tcPr>
          <w:p w14:paraId="50D2F70B"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655" w:type="dxa"/>
            <w:tcMar>
              <w:top w:w="100" w:type="dxa"/>
              <w:left w:w="100" w:type="dxa"/>
              <w:bottom w:w="100" w:type="dxa"/>
              <w:right w:w="100" w:type="dxa"/>
            </w:tcMar>
          </w:tcPr>
          <w:p w14:paraId="485C4F11" w14:textId="77777777" w:rsidR="008361F2" w:rsidRPr="00573963" w:rsidRDefault="008361F2" w:rsidP="008361F2">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2,52,000</w:t>
            </w:r>
          </w:p>
        </w:tc>
      </w:tr>
    </w:tbl>
    <w:p w14:paraId="18923552"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7DCFBB37"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4ED02887" w14:textId="77777777" w:rsidR="008361F2" w:rsidRDefault="008361F2" w:rsidP="00573963">
      <w:pPr>
        <w:spacing w:line="360" w:lineRule="auto"/>
        <w:rPr>
          <w:rFonts w:ascii="Times New Roman" w:eastAsia="Times New Roman" w:hAnsi="Times New Roman"/>
          <w:b/>
          <w:bCs/>
          <w:color w:val="000000" w:themeColor="text1"/>
        </w:rPr>
      </w:pPr>
    </w:p>
    <w:p w14:paraId="454225DC" w14:textId="77777777" w:rsidR="008361F2" w:rsidRDefault="008361F2" w:rsidP="00573963">
      <w:pPr>
        <w:spacing w:line="360" w:lineRule="auto"/>
        <w:rPr>
          <w:rFonts w:ascii="Times New Roman" w:eastAsia="Times New Roman" w:hAnsi="Times New Roman"/>
          <w:b/>
          <w:bCs/>
          <w:color w:val="000000" w:themeColor="text1"/>
        </w:rPr>
      </w:pPr>
    </w:p>
    <w:p w14:paraId="1B316C33" w14:textId="77777777" w:rsidR="008361F2" w:rsidRDefault="008361F2" w:rsidP="00573963">
      <w:pPr>
        <w:spacing w:line="360" w:lineRule="auto"/>
        <w:rPr>
          <w:rFonts w:ascii="Times New Roman" w:eastAsia="Times New Roman" w:hAnsi="Times New Roman"/>
          <w:b/>
          <w:bCs/>
          <w:color w:val="000000" w:themeColor="text1"/>
        </w:rPr>
      </w:pPr>
    </w:p>
    <w:p w14:paraId="6599C787" w14:textId="77777777" w:rsidR="008361F2" w:rsidRDefault="008361F2" w:rsidP="00573963">
      <w:pPr>
        <w:spacing w:line="360" w:lineRule="auto"/>
        <w:rPr>
          <w:rFonts w:ascii="Times New Roman" w:eastAsia="Times New Roman" w:hAnsi="Times New Roman"/>
          <w:b/>
          <w:bCs/>
          <w:color w:val="000000" w:themeColor="text1"/>
        </w:rPr>
      </w:pPr>
    </w:p>
    <w:p w14:paraId="27FB19F2" w14:textId="77777777" w:rsidR="008361F2" w:rsidRDefault="008361F2" w:rsidP="00573963">
      <w:pPr>
        <w:spacing w:line="360" w:lineRule="auto"/>
        <w:rPr>
          <w:rFonts w:ascii="Times New Roman" w:eastAsia="Times New Roman" w:hAnsi="Times New Roman"/>
          <w:b/>
          <w:bCs/>
          <w:color w:val="000000" w:themeColor="text1"/>
        </w:rPr>
      </w:pPr>
    </w:p>
    <w:p w14:paraId="2F41D1F2" w14:textId="77777777" w:rsidR="008361F2" w:rsidRDefault="008361F2" w:rsidP="00573963">
      <w:pPr>
        <w:spacing w:line="360" w:lineRule="auto"/>
        <w:rPr>
          <w:rFonts w:ascii="Times New Roman" w:eastAsia="Times New Roman" w:hAnsi="Times New Roman"/>
          <w:b/>
          <w:bCs/>
          <w:color w:val="000000" w:themeColor="text1"/>
        </w:rPr>
      </w:pPr>
    </w:p>
    <w:p w14:paraId="6754DF44" w14:textId="77777777" w:rsidR="008361F2" w:rsidRDefault="008361F2" w:rsidP="00573963">
      <w:pPr>
        <w:spacing w:line="360" w:lineRule="auto"/>
        <w:rPr>
          <w:rFonts w:ascii="Times New Roman" w:eastAsia="Times New Roman" w:hAnsi="Times New Roman"/>
          <w:b/>
          <w:bCs/>
          <w:color w:val="000000" w:themeColor="text1"/>
        </w:rPr>
      </w:pPr>
    </w:p>
    <w:p w14:paraId="0C787A2F" w14:textId="77777777" w:rsidR="008361F2" w:rsidRDefault="008361F2" w:rsidP="00573963">
      <w:pPr>
        <w:spacing w:line="360" w:lineRule="auto"/>
        <w:rPr>
          <w:rFonts w:ascii="Times New Roman" w:eastAsia="Times New Roman" w:hAnsi="Times New Roman"/>
          <w:b/>
          <w:bCs/>
          <w:color w:val="000000" w:themeColor="text1"/>
        </w:rPr>
      </w:pPr>
    </w:p>
    <w:p w14:paraId="23B2B14F" w14:textId="77777777" w:rsidR="008361F2" w:rsidRDefault="008361F2" w:rsidP="00573963">
      <w:pPr>
        <w:spacing w:line="360" w:lineRule="auto"/>
        <w:rPr>
          <w:rFonts w:ascii="Times New Roman" w:eastAsia="Times New Roman" w:hAnsi="Times New Roman"/>
          <w:b/>
          <w:bCs/>
          <w:color w:val="000000" w:themeColor="text1"/>
        </w:rPr>
      </w:pPr>
    </w:p>
    <w:p w14:paraId="1CA151EF" w14:textId="77777777" w:rsidR="008361F2" w:rsidRDefault="008361F2" w:rsidP="00573963">
      <w:pPr>
        <w:spacing w:line="360" w:lineRule="auto"/>
        <w:rPr>
          <w:rFonts w:ascii="Times New Roman" w:eastAsia="Times New Roman" w:hAnsi="Times New Roman"/>
          <w:b/>
          <w:bCs/>
          <w:color w:val="000000" w:themeColor="text1"/>
        </w:rPr>
      </w:pPr>
    </w:p>
    <w:p w14:paraId="32A05ED1" w14:textId="77777777" w:rsidR="008361F2" w:rsidRDefault="008361F2" w:rsidP="00573963">
      <w:pPr>
        <w:spacing w:line="360" w:lineRule="auto"/>
        <w:rPr>
          <w:rFonts w:ascii="Times New Roman" w:eastAsia="Times New Roman" w:hAnsi="Times New Roman"/>
          <w:b/>
          <w:bCs/>
          <w:color w:val="000000" w:themeColor="text1"/>
        </w:rPr>
      </w:pPr>
    </w:p>
    <w:p w14:paraId="4EEAA941" w14:textId="77777777" w:rsidR="008361F2" w:rsidRDefault="008361F2" w:rsidP="00573963">
      <w:pPr>
        <w:spacing w:line="360" w:lineRule="auto"/>
        <w:rPr>
          <w:rFonts w:ascii="Times New Roman" w:eastAsia="Times New Roman" w:hAnsi="Times New Roman"/>
          <w:b/>
          <w:bCs/>
          <w:color w:val="000000" w:themeColor="text1"/>
        </w:rPr>
      </w:pPr>
    </w:p>
    <w:p w14:paraId="1B4A6296" w14:textId="77777777" w:rsidR="008361F2" w:rsidRDefault="008361F2" w:rsidP="00573963">
      <w:pPr>
        <w:spacing w:line="360" w:lineRule="auto"/>
        <w:rPr>
          <w:rFonts w:ascii="Times New Roman" w:eastAsia="Times New Roman" w:hAnsi="Times New Roman"/>
          <w:b/>
          <w:bCs/>
          <w:color w:val="000000" w:themeColor="text1"/>
        </w:rPr>
      </w:pPr>
    </w:p>
    <w:p w14:paraId="297E97B1" w14:textId="77777777" w:rsidR="008361F2" w:rsidRDefault="008361F2" w:rsidP="00573963">
      <w:pPr>
        <w:spacing w:line="360" w:lineRule="auto"/>
        <w:rPr>
          <w:rFonts w:ascii="Times New Roman" w:eastAsia="Times New Roman" w:hAnsi="Times New Roman"/>
          <w:b/>
          <w:bCs/>
          <w:color w:val="000000" w:themeColor="text1"/>
        </w:rPr>
      </w:pPr>
    </w:p>
    <w:p w14:paraId="02D8ED41" w14:textId="77777777" w:rsidR="008361F2" w:rsidRDefault="008361F2" w:rsidP="00573963">
      <w:pPr>
        <w:spacing w:line="360" w:lineRule="auto"/>
        <w:rPr>
          <w:rFonts w:ascii="Times New Roman" w:eastAsia="Times New Roman" w:hAnsi="Times New Roman"/>
          <w:b/>
          <w:bCs/>
          <w:color w:val="000000" w:themeColor="text1"/>
        </w:rPr>
      </w:pPr>
    </w:p>
    <w:p w14:paraId="7E8A578B" w14:textId="77777777" w:rsidR="008361F2" w:rsidRDefault="008361F2" w:rsidP="00573963">
      <w:pPr>
        <w:spacing w:line="360" w:lineRule="auto"/>
        <w:rPr>
          <w:rFonts w:ascii="Times New Roman" w:eastAsia="Times New Roman" w:hAnsi="Times New Roman"/>
          <w:b/>
          <w:bCs/>
          <w:color w:val="000000" w:themeColor="text1"/>
        </w:rPr>
      </w:pPr>
    </w:p>
    <w:p w14:paraId="4AE44766" w14:textId="77777777" w:rsidR="0062688B" w:rsidRDefault="0062688B" w:rsidP="00573963">
      <w:pPr>
        <w:spacing w:line="360" w:lineRule="auto"/>
        <w:jc w:val="both"/>
        <w:rPr>
          <w:rFonts w:ascii="Times New Roman" w:eastAsia="Times New Roman" w:hAnsi="Times New Roman"/>
          <w:b/>
          <w:bCs/>
          <w:color w:val="000000" w:themeColor="text1"/>
        </w:rPr>
      </w:pPr>
    </w:p>
    <w:p w14:paraId="6F036868" w14:textId="77777777" w:rsidR="0062688B" w:rsidRDefault="0062688B" w:rsidP="00573963">
      <w:pPr>
        <w:spacing w:line="360" w:lineRule="auto"/>
        <w:jc w:val="both"/>
        <w:rPr>
          <w:rFonts w:ascii="Times New Roman" w:eastAsia="Times New Roman" w:hAnsi="Times New Roman"/>
          <w:b/>
          <w:bCs/>
          <w:color w:val="000000" w:themeColor="text1"/>
        </w:rPr>
      </w:pPr>
    </w:p>
    <w:p w14:paraId="74C06567" w14:textId="77777777" w:rsidR="0062688B" w:rsidRDefault="0062688B" w:rsidP="00573963">
      <w:pPr>
        <w:spacing w:line="360" w:lineRule="auto"/>
        <w:jc w:val="both"/>
        <w:rPr>
          <w:rFonts w:ascii="Times New Roman" w:eastAsia="Times New Roman" w:hAnsi="Times New Roman"/>
          <w:b/>
          <w:bCs/>
          <w:color w:val="000000" w:themeColor="text1"/>
        </w:rPr>
      </w:pPr>
    </w:p>
    <w:p w14:paraId="3AECE408" w14:textId="77777777" w:rsidR="0062688B" w:rsidRDefault="0062688B" w:rsidP="00573963">
      <w:pPr>
        <w:spacing w:line="360" w:lineRule="auto"/>
        <w:jc w:val="both"/>
        <w:rPr>
          <w:rFonts w:ascii="Times New Roman" w:eastAsia="Times New Roman" w:hAnsi="Times New Roman"/>
          <w:b/>
          <w:bCs/>
          <w:color w:val="000000" w:themeColor="text1"/>
        </w:rPr>
      </w:pPr>
    </w:p>
    <w:p w14:paraId="469E90BE" w14:textId="77777777" w:rsidR="0062688B" w:rsidRDefault="0062688B" w:rsidP="00573963">
      <w:pPr>
        <w:spacing w:line="360" w:lineRule="auto"/>
        <w:jc w:val="both"/>
        <w:rPr>
          <w:rFonts w:ascii="Times New Roman" w:eastAsia="Times New Roman" w:hAnsi="Times New Roman"/>
          <w:b/>
          <w:bCs/>
          <w:color w:val="000000" w:themeColor="text1"/>
        </w:rPr>
      </w:pPr>
    </w:p>
    <w:p w14:paraId="0FEF15A8" w14:textId="77777777" w:rsidR="0062688B" w:rsidRDefault="0062688B" w:rsidP="00573963">
      <w:pPr>
        <w:spacing w:line="360" w:lineRule="auto"/>
        <w:jc w:val="both"/>
        <w:rPr>
          <w:rFonts w:ascii="Times New Roman" w:eastAsia="Times New Roman" w:hAnsi="Times New Roman"/>
          <w:b/>
          <w:bCs/>
          <w:color w:val="000000" w:themeColor="text1"/>
        </w:rPr>
      </w:pPr>
    </w:p>
    <w:p w14:paraId="481041C0" w14:textId="77777777" w:rsidR="0062688B" w:rsidRDefault="0062688B" w:rsidP="00573963">
      <w:pPr>
        <w:spacing w:line="360" w:lineRule="auto"/>
        <w:jc w:val="both"/>
        <w:rPr>
          <w:rFonts w:ascii="Times New Roman" w:eastAsia="Times New Roman" w:hAnsi="Times New Roman"/>
          <w:b/>
          <w:bCs/>
          <w:color w:val="000000" w:themeColor="text1"/>
        </w:rPr>
      </w:pPr>
    </w:p>
    <w:p w14:paraId="3BE10FEA" w14:textId="77777777" w:rsidR="0062688B" w:rsidRDefault="0062688B" w:rsidP="00573963">
      <w:pPr>
        <w:spacing w:line="360" w:lineRule="auto"/>
        <w:jc w:val="both"/>
        <w:rPr>
          <w:rFonts w:ascii="Times New Roman" w:eastAsia="Times New Roman" w:hAnsi="Times New Roman"/>
          <w:b/>
          <w:bCs/>
          <w:color w:val="000000" w:themeColor="text1"/>
        </w:rPr>
      </w:pPr>
    </w:p>
    <w:p w14:paraId="743BC976" w14:textId="77777777" w:rsidR="0062688B" w:rsidRDefault="0062688B" w:rsidP="00573963">
      <w:pPr>
        <w:spacing w:line="360" w:lineRule="auto"/>
        <w:jc w:val="both"/>
        <w:rPr>
          <w:rFonts w:ascii="Times New Roman" w:eastAsia="Times New Roman" w:hAnsi="Times New Roman"/>
          <w:b/>
          <w:bCs/>
          <w:color w:val="000000" w:themeColor="text1"/>
        </w:rPr>
      </w:pPr>
    </w:p>
    <w:p w14:paraId="5C437939" w14:textId="77777777" w:rsidR="0062688B" w:rsidRDefault="0062688B" w:rsidP="00573963">
      <w:pPr>
        <w:spacing w:line="360" w:lineRule="auto"/>
        <w:jc w:val="both"/>
        <w:rPr>
          <w:rFonts w:ascii="Times New Roman" w:eastAsia="Times New Roman" w:hAnsi="Times New Roman"/>
          <w:b/>
          <w:bCs/>
          <w:color w:val="000000" w:themeColor="text1"/>
        </w:rPr>
      </w:pPr>
    </w:p>
    <w:p w14:paraId="254E3A86" w14:textId="34AC97AC" w:rsidR="00CD1F7E" w:rsidRPr="00B80139" w:rsidRDefault="00862782" w:rsidP="00573963">
      <w:pPr>
        <w:spacing w:line="360" w:lineRule="auto"/>
        <w:jc w:val="both"/>
        <w:rPr>
          <w:rFonts w:ascii="Times New Roman" w:eastAsia="Times New Roman" w:hAnsi="Times New Roman"/>
          <w:b/>
          <w:bCs/>
          <w:color w:val="000000" w:themeColor="text1"/>
        </w:rPr>
      </w:pPr>
      <w:r w:rsidRPr="00B80139">
        <w:rPr>
          <w:rFonts w:ascii="Times New Roman" w:eastAsia="Times New Roman" w:hAnsi="Times New Roman"/>
          <w:b/>
          <w:bCs/>
          <w:color w:val="000000" w:themeColor="text1"/>
        </w:rPr>
        <w:lastRenderedPageBreak/>
        <w:t xml:space="preserve">Below is the financial position of Eccles Plc as on 31st </w:t>
      </w:r>
      <w:proofErr w:type="gramStart"/>
      <w:r w:rsidRPr="00B80139">
        <w:rPr>
          <w:rFonts w:ascii="Times New Roman" w:eastAsia="Times New Roman" w:hAnsi="Times New Roman"/>
          <w:b/>
          <w:bCs/>
          <w:color w:val="000000" w:themeColor="text1"/>
        </w:rPr>
        <w:t>December,</w:t>
      </w:r>
      <w:proofErr w:type="gramEnd"/>
      <w:r w:rsidRPr="00B80139">
        <w:rPr>
          <w:rFonts w:ascii="Times New Roman" w:eastAsia="Times New Roman" w:hAnsi="Times New Roman"/>
          <w:b/>
          <w:bCs/>
          <w:color w:val="000000" w:themeColor="text1"/>
        </w:rPr>
        <w:t xml:space="preserve"> 2018 (</w:t>
      </w:r>
      <w:r w:rsidRPr="00B80139">
        <w:rPr>
          <w:rFonts w:ascii="Times New Roman" w:hAnsi="Times New Roman"/>
          <w:b/>
          <w:bCs/>
          <w:color w:val="000000" w:themeColor="text1"/>
          <w:highlight w:val="white"/>
        </w:rPr>
        <w:t>Naseem et al., 2017</w:t>
      </w:r>
      <w:r w:rsidRPr="00B80139">
        <w:rPr>
          <w:rFonts w:ascii="Times New Roman" w:eastAsia="Times New Roman" w:hAnsi="Times New Roman"/>
          <w:b/>
          <w:bCs/>
          <w:color w:val="000000" w:themeColor="text1"/>
        </w:rPr>
        <w:t>).</w:t>
      </w:r>
    </w:p>
    <w:p w14:paraId="4527DECD" w14:textId="77777777" w:rsidR="00CD1F7E" w:rsidRPr="00573963" w:rsidRDefault="00CD1F7E" w:rsidP="00573963">
      <w:pPr>
        <w:spacing w:line="360" w:lineRule="auto"/>
        <w:jc w:val="both"/>
        <w:rPr>
          <w:rFonts w:ascii="Times New Roman" w:eastAsia="Times New Roman" w:hAnsi="Times New Roman"/>
          <w:color w:val="000000" w:themeColor="text1"/>
        </w:rPr>
      </w:pPr>
    </w:p>
    <w:tbl>
      <w:tblPr>
        <w:tblStyle w:val="a0"/>
        <w:tblW w:w="98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920"/>
        <w:gridCol w:w="1181"/>
        <w:gridCol w:w="1181"/>
        <w:gridCol w:w="2228"/>
        <w:gridCol w:w="1181"/>
        <w:gridCol w:w="1184"/>
      </w:tblGrid>
      <w:tr w:rsidR="00BC7AD6" w14:paraId="4DD72AF4" w14:textId="77777777" w:rsidTr="00904C51">
        <w:trPr>
          <w:trHeight w:val="815"/>
        </w:trPr>
        <w:tc>
          <w:tcPr>
            <w:tcW w:w="9875" w:type="dxa"/>
            <w:gridSpan w:val="6"/>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59B3A30" w14:textId="77777777" w:rsidR="00CD1F7E" w:rsidRPr="00573963" w:rsidRDefault="00862782" w:rsidP="00573963">
            <w:pPr>
              <w:widowControl w:val="0"/>
              <w:pBdr>
                <w:top w:val="nil"/>
                <w:left w:val="nil"/>
                <w:bottom w:val="nil"/>
                <w:right w:val="nil"/>
                <w:between w:val="nil"/>
              </w:pBdr>
              <w:spacing w:line="360" w:lineRule="auto"/>
              <w:jc w:val="center"/>
              <w:rPr>
                <w:rFonts w:ascii="Times New Roman" w:eastAsia="Times New Roman" w:hAnsi="Times New Roman"/>
                <w:b/>
                <w:color w:val="000000" w:themeColor="text1"/>
              </w:rPr>
            </w:pPr>
            <w:r w:rsidRPr="00573963">
              <w:rPr>
                <w:rFonts w:ascii="Times New Roman" w:eastAsia="Times New Roman" w:hAnsi="Times New Roman"/>
                <w:b/>
                <w:color w:val="000000" w:themeColor="text1"/>
              </w:rPr>
              <w:t>Balance Sheet of Eccles plc</w:t>
            </w:r>
          </w:p>
          <w:p w14:paraId="4F140380" w14:textId="77777777" w:rsidR="00CD1F7E" w:rsidRPr="00573963" w:rsidRDefault="00862782" w:rsidP="00573963">
            <w:pPr>
              <w:widowControl w:val="0"/>
              <w:pBdr>
                <w:top w:val="nil"/>
                <w:left w:val="nil"/>
                <w:bottom w:val="nil"/>
                <w:right w:val="nil"/>
                <w:between w:val="nil"/>
              </w:pBdr>
              <w:spacing w:line="360" w:lineRule="auto"/>
              <w:jc w:val="center"/>
              <w:rPr>
                <w:rFonts w:ascii="Times New Roman" w:eastAsia="Times New Roman" w:hAnsi="Times New Roman"/>
                <w:b/>
                <w:color w:val="000000" w:themeColor="text1"/>
              </w:rPr>
            </w:pPr>
            <w:r w:rsidRPr="00573963">
              <w:rPr>
                <w:rFonts w:ascii="Times New Roman" w:eastAsia="Times New Roman" w:hAnsi="Times New Roman"/>
                <w:b/>
                <w:color w:val="000000" w:themeColor="text1"/>
              </w:rPr>
              <w:t>as per 31st December 2018</w:t>
            </w:r>
          </w:p>
        </w:tc>
      </w:tr>
      <w:tr w:rsidR="00BC7AD6" w14:paraId="2C422B7F"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297AA3B" w14:textId="66AAA45B"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Equities &amp;</w:t>
            </w:r>
            <w:r w:rsidR="00D0557C" w:rsidRPr="00573963">
              <w:rPr>
                <w:rFonts w:ascii="Times New Roman" w:eastAsia="Times New Roman" w:hAnsi="Times New Roman"/>
                <w:b/>
                <w:color w:val="000000" w:themeColor="text1"/>
              </w:rPr>
              <w:t xml:space="preserve"> Liabilities</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F6A803D"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3C65FBA"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c>
          <w:tcPr>
            <w:tcW w:w="222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C534BE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Assets</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2945F0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0F1FC2"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r>
      <w:tr w:rsidR="00BC7AD6" w14:paraId="0DF48A00"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18B6EB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LIABILITIES</w:t>
            </w:r>
          </w:p>
        </w:tc>
        <w:tc>
          <w:tcPr>
            <w:tcW w:w="1181" w:type="dxa"/>
            <w:shd w:val="clear" w:color="auto" w:fill="auto"/>
            <w:tcMar>
              <w:top w:w="100" w:type="dxa"/>
              <w:left w:w="100" w:type="dxa"/>
              <w:bottom w:w="100" w:type="dxa"/>
              <w:right w:w="100" w:type="dxa"/>
            </w:tcMar>
          </w:tcPr>
          <w:p w14:paraId="5D22680C"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0BFE75D9"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shd w:val="clear" w:color="auto" w:fill="auto"/>
            <w:tcMar>
              <w:top w:w="100" w:type="dxa"/>
              <w:left w:w="100" w:type="dxa"/>
              <w:bottom w:w="100" w:type="dxa"/>
              <w:right w:w="100" w:type="dxa"/>
            </w:tcMar>
          </w:tcPr>
          <w:p w14:paraId="3BFBAA79"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CURRENT ASSETS</w:t>
            </w:r>
          </w:p>
        </w:tc>
        <w:tc>
          <w:tcPr>
            <w:tcW w:w="1181" w:type="dxa"/>
            <w:shd w:val="clear" w:color="auto" w:fill="auto"/>
            <w:tcMar>
              <w:top w:w="100" w:type="dxa"/>
              <w:left w:w="100" w:type="dxa"/>
              <w:bottom w:w="100" w:type="dxa"/>
              <w:right w:w="100" w:type="dxa"/>
            </w:tcMar>
          </w:tcPr>
          <w:p w14:paraId="40C7B6FA"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48C3788D"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15F97207"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95ECE21"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Non-current liabilities</w:t>
            </w:r>
          </w:p>
        </w:tc>
        <w:tc>
          <w:tcPr>
            <w:tcW w:w="1181" w:type="dxa"/>
            <w:shd w:val="clear" w:color="auto" w:fill="auto"/>
            <w:tcMar>
              <w:top w:w="100" w:type="dxa"/>
              <w:left w:w="100" w:type="dxa"/>
              <w:bottom w:w="100" w:type="dxa"/>
              <w:right w:w="100" w:type="dxa"/>
            </w:tcMar>
          </w:tcPr>
          <w:p w14:paraId="4516C7AB"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15F6B261"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shd w:val="clear" w:color="auto" w:fill="auto"/>
            <w:tcMar>
              <w:top w:w="100" w:type="dxa"/>
              <w:left w:w="100" w:type="dxa"/>
              <w:bottom w:w="100" w:type="dxa"/>
              <w:right w:w="100" w:type="dxa"/>
            </w:tcMar>
          </w:tcPr>
          <w:p w14:paraId="3426031D"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Receivable amounts </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1523B24"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1,70,125</w:t>
            </w:r>
          </w:p>
        </w:tc>
        <w:tc>
          <w:tcPr>
            <w:tcW w:w="1181" w:type="dxa"/>
            <w:shd w:val="clear" w:color="auto" w:fill="auto"/>
            <w:tcMar>
              <w:top w:w="100" w:type="dxa"/>
              <w:left w:w="100" w:type="dxa"/>
              <w:bottom w:w="100" w:type="dxa"/>
              <w:right w:w="100" w:type="dxa"/>
            </w:tcMar>
          </w:tcPr>
          <w:p w14:paraId="3AB3921F"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7F21D01C"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D9823F4"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Debentures</w:t>
            </w:r>
          </w:p>
        </w:tc>
        <w:tc>
          <w:tcPr>
            <w:tcW w:w="1181" w:type="dxa"/>
            <w:shd w:val="clear" w:color="auto" w:fill="auto"/>
            <w:tcMar>
              <w:top w:w="100" w:type="dxa"/>
              <w:left w:w="100" w:type="dxa"/>
              <w:bottom w:w="100" w:type="dxa"/>
              <w:right w:w="100" w:type="dxa"/>
            </w:tcMar>
          </w:tcPr>
          <w:p w14:paraId="70A7FDF6"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100000</w:t>
            </w:r>
          </w:p>
        </w:tc>
        <w:tc>
          <w:tcPr>
            <w:tcW w:w="1181" w:type="dxa"/>
            <w:shd w:val="clear" w:color="auto" w:fill="auto"/>
            <w:tcMar>
              <w:top w:w="100" w:type="dxa"/>
              <w:left w:w="100" w:type="dxa"/>
              <w:bottom w:w="100" w:type="dxa"/>
              <w:right w:w="100" w:type="dxa"/>
            </w:tcMar>
          </w:tcPr>
          <w:p w14:paraId="77C6BAA7"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DF3954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Stocks </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4B27AF8"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330600</w:t>
            </w:r>
          </w:p>
        </w:tc>
        <w:tc>
          <w:tcPr>
            <w:tcW w:w="1181" w:type="dxa"/>
            <w:shd w:val="clear" w:color="auto" w:fill="auto"/>
            <w:tcMar>
              <w:top w:w="100" w:type="dxa"/>
              <w:left w:w="100" w:type="dxa"/>
              <w:bottom w:w="100" w:type="dxa"/>
              <w:right w:w="100" w:type="dxa"/>
            </w:tcMar>
          </w:tcPr>
          <w:p w14:paraId="6E243C14"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1ACC8A49"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39C452"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Current Liabilities</w:t>
            </w:r>
          </w:p>
        </w:tc>
        <w:tc>
          <w:tcPr>
            <w:tcW w:w="1181" w:type="dxa"/>
            <w:shd w:val="clear" w:color="auto" w:fill="auto"/>
            <w:tcMar>
              <w:top w:w="100" w:type="dxa"/>
              <w:left w:w="100" w:type="dxa"/>
              <w:bottom w:w="100" w:type="dxa"/>
              <w:right w:w="100" w:type="dxa"/>
            </w:tcMar>
          </w:tcPr>
          <w:p w14:paraId="762D6B42"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4778AB47"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B4F96A2"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Cash </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752CEDF"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12,900</w:t>
            </w:r>
          </w:p>
        </w:tc>
        <w:tc>
          <w:tcPr>
            <w:tcW w:w="1181" w:type="dxa"/>
            <w:shd w:val="clear" w:color="auto" w:fill="auto"/>
            <w:tcMar>
              <w:top w:w="100" w:type="dxa"/>
              <w:left w:w="100" w:type="dxa"/>
              <w:bottom w:w="100" w:type="dxa"/>
              <w:right w:w="100" w:type="dxa"/>
            </w:tcMar>
          </w:tcPr>
          <w:p w14:paraId="7ED70AF6"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5,13,625</w:t>
            </w:r>
          </w:p>
        </w:tc>
      </w:tr>
      <w:tr w:rsidR="00BC7AD6" w14:paraId="3A4C1AE6"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3E1E35E"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tax payables</w:t>
            </w:r>
          </w:p>
        </w:tc>
        <w:tc>
          <w:tcPr>
            <w:tcW w:w="1181" w:type="dxa"/>
            <w:shd w:val="clear" w:color="auto" w:fill="auto"/>
            <w:tcMar>
              <w:top w:w="100" w:type="dxa"/>
              <w:left w:w="100" w:type="dxa"/>
              <w:bottom w:w="100" w:type="dxa"/>
              <w:right w:w="100" w:type="dxa"/>
            </w:tcMar>
          </w:tcPr>
          <w:p w14:paraId="7BDC669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68000</w:t>
            </w:r>
          </w:p>
        </w:tc>
        <w:tc>
          <w:tcPr>
            <w:tcW w:w="1181" w:type="dxa"/>
            <w:shd w:val="clear" w:color="auto" w:fill="auto"/>
            <w:tcMar>
              <w:top w:w="100" w:type="dxa"/>
              <w:left w:w="100" w:type="dxa"/>
              <w:bottom w:w="100" w:type="dxa"/>
              <w:right w:w="100" w:type="dxa"/>
            </w:tcMar>
          </w:tcPr>
          <w:p w14:paraId="51596A3A"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shd w:val="clear" w:color="auto" w:fill="auto"/>
            <w:tcMar>
              <w:top w:w="100" w:type="dxa"/>
              <w:left w:w="100" w:type="dxa"/>
              <w:bottom w:w="100" w:type="dxa"/>
              <w:right w:w="100" w:type="dxa"/>
            </w:tcMar>
          </w:tcPr>
          <w:p w14:paraId="6E4D212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FIXED ASSETS</w:t>
            </w:r>
          </w:p>
        </w:tc>
        <w:tc>
          <w:tcPr>
            <w:tcW w:w="1181" w:type="dxa"/>
            <w:shd w:val="clear" w:color="auto" w:fill="auto"/>
            <w:tcMar>
              <w:top w:w="100" w:type="dxa"/>
              <w:left w:w="100" w:type="dxa"/>
              <w:bottom w:w="100" w:type="dxa"/>
              <w:right w:w="100" w:type="dxa"/>
            </w:tcMar>
          </w:tcPr>
          <w:p w14:paraId="1FFD3567"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4FF6634B"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4EFEA110"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B0BD8D"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Payable amount to creditors</w:t>
            </w:r>
          </w:p>
        </w:tc>
        <w:tc>
          <w:tcPr>
            <w:tcW w:w="1181" w:type="dxa"/>
            <w:shd w:val="clear" w:color="auto" w:fill="auto"/>
            <w:tcMar>
              <w:top w:w="100" w:type="dxa"/>
              <w:left w:w="100" w:type="dxa"/>
              <w:bottom w:w="100" w:type="dxa"/>
              <w:right w:w="100" w:type="dxa"/>
            </w:tcMar>
          </w:tcPr>
          <w:p w14:paraId="5B64957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171355</w:t>
            </w:r>
          </w:p>
        </w:tc>
        <w:tc>
          <w:tcPr>
            <w:tcW w:w="1181" w:type="dxa"/>
            <w:shd w:val="clear" w:color="auto" w:fill="auto"/>
            <w:tcMar>
              <w:top w:w="100" w:type="dxa"/>
              <w:left w:w="100" w:type="dxa"/>
              <w:bottom w:w="100" w:type="dxa"/>
              <w:right w:w="100" w:type="dxa"/>
            </w:tcMar>
          </w:tcPr>
          <w:p w14:paraId="3CC644B4"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339355</w:t>
            </w:r>
          </w:p>
        </w:tc>
        <w:tc>
          <w:tcPr>
            <w:tcW w:w="2228" w:type="dxa"/>
            <w:shd w:val="clear" w:color="auto" w:fill="auto"/>
            <w:tcMar>
              <w:top w:w="100" w:type="dxa"/>
              <w:left w:w="100" w:type="dxa"/>
              <w:bottom w:w="100" w:type="dxa"/>
              <w:right w:w="100" w:type="dxa"/>
            </w:tcMar>
          </w:tcPr>
          <w:p w14:paraId="1D4684C2"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Plants and Equipment </w:t>
            </w:r>
          </w:p>
        </w:tc>
        <w:tc>
          <w:tcPr>
            <w:tcW w:w="1181"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55FD860"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6,32,730</w:t>
            </w:r>
          </w:p>
        </w:tc>
        <w:tc>
          <w:tcPr>
            <w:tcW w:w="1181" w:type="dxa"/>
            <w:shd w:val="clear" w:color="auto" w:fill="auto"/>
            <w:tcMar>
              <w:top w:w="100" w:type="dxa"/>
              <w:left w:w="100" w:type="dxa"/>
              <w:bottom w:w="100" w:type="dxa"/>
              <w:right w:w="100" w:type="dxa"/>
            </w:tcMar>
          </w:tcPr>
          <w:p w14:paraId="38FCA2CF"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632730</w:t>
            </w:r>
          </w:p>
        </w:tc>
      </w:tr>
      <w:tr w:rsidR="00BC7AD6" w14:paraId="3B5749D5"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975AFB1"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52E1DAB6"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3D9067E9"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shd w:val="clear" w:color="auto" w:fill="auto"/>
            <w:tcMar>
              <w:top w:w="100" w:type="dxa"/>
              <w:left w:w="100" w:type="dxa"/>
              <w:bottom w:w="100" w:type="dxa"/>
              <w:right w:w="100" w:type="dxa"/>
            </w:tcMar>
          </w:tcPr>
          <w:p w14:paraId="67EF2FC8"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5E08F933"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194D08CC"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7A40BC97"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EB85469"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EQUITY</w:t>
            </w:r>
          </w:p>
        </w:tc>
        <w:tc>
          <w:tcPr>
            <w:tcW w:w="1181" w:type="dxa"/>
            <w:shd w:val="clear" w:color="auto" w:fill="auto"/>
            <w:tcMar>
              <w:top w:w="100" w:type="dxa"/>
              <w:left w:w="100" w:type="dxa"/>
              <w:bottom w:w="100" w:type="dxa"/>
              <w:right w:w="100" w:type="dxa"/>
            </w:tcMar>
          </w:tcPr>
          <w:p w14:paraId="208B066E"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10826BFA"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shd w:val="clear" w:color="auto" w:fill="auto"/>
            <w:tcMar>
              <w:top w:w="100" w:type="dxa"/>
              <w:left w:w="100" w:type="dxa"/>
              <w:bottom w:w="100" w:type="dxa"/>
              <w:right w:w="100" w:type="dxa"/>
            </w:tcMar>
          </w:tcPr>
          <w:p w14:paraId="76750A44"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0317D89B"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44DD5633"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1372194F"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08FEA70"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Retained earnings</w:t>
            </w:r>
          </w:p>
        </w:tc>
        <w:tc>
          <w:tcPr>
            <w:tcW w:w="1181" w:type="dxa"/>
            <w:shd w:val="clear" w:color="auto" w:fill="auto"/>
            <w:tcMar>
              <w:top w:w="100" w:type="dxa"/>
              <w:left w:w="100" w:type="dxa"/>
              <w:bottom w:w="100" w:type="dxa"/>
              <w:right w:w="100" w:type="dxa"/>
            </w:tcMar>
          </w:tcPr>
          <w:p w14:paraId="4C218EA6"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132000</w:t>
            </w:r>
          </w:p>
        </w:tc>
        <w:tc>
          <w:tcPr>
            <w:tcW w:w="1181" w:type="dxa"/>
            <w:shd w:val="clear" w:color="auto" w:fill="auto"/>
            <w:tcMar>
              <w:top w:w="100" w:type="dxa"/>
              <w:left w:w="100" w:type="dxa"/>
              <w:bottom w:w="100" w:type="dxa"/>
              <w:right w:w="100" w:type="dxa"/>
            </w:tcMar>
          </w:tcPr>
          <w:p w14:paraId="3E6A467A"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2228" w:type="dxa"/>
            <w:shd w:val="clear" w:color="auto" w:fill="auto"/>
            <w:tcMar>
              <w:top w:w="100" w:type="dxa"/>
              <w:left w:w="100" w:type="dxa"/>
              <w:bottom w:w="100" w:type="dxa"/>
              <w:right w:w="100" w:type="dxa"/>
            </w:tcMar>
          </w:tcPr>
          <w:p w14:paraId="0E1E9DCD"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47986F07"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3DE84A2B"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4C6C516C"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419C55"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Share capital</w:t>
            </w:r>
          </w:p>
        </w:tc>
        <w:tc>
          <w:tcPr>
            <w:tcW w:w="1181" w:type="dxa"/>
            <w:shd w:val="clear" w:color="auto" w:fill="auto"/>
            <w:tcMar>
              <w:top w:w="100" w:type="dxa"/>
              <w:left w:w="100" w:type="dxa"/>
              <w:bottom w:w="100" w:type="dxa"/>
              <w:right w:w="100" w:type="dxa"/>
            </w:tcMar>
          </w:tcPr>
          <w:p w14:paraId="3F1717EF"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610000</w:t>
            </w:r>
          </w:p>
        </w:tc>
        <w:tc>
          <w:tcPr>
            <w:tcW w:w="1181" w:type="dxa"/>
            <w:shd w:val="clear" w:color="auto" w:fill="auto"/>
            <w:tcMar>
              <w:top w:w="100" w:type="dxa"/>
              <w:left w:w="100" w:type="dxa"/>
              <w:bottom w:w="100" w:type="dxa"/>
              <w:right w:w="100" w:type="dxa"/>
            </w:tcMar>
          </w:tcPr>
          <w:p w14:paraId="73FE085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742000</w:t>
            </w:r>
          </w:p>
        </w:tc>
        <w:tc>
          <w:tcPr>
            <w:tcW w:w="2228" w:type="dxa"/>
            <w:shd w:val="clear" w:color="auto" w:fill="auto"/>
            <w:tcMar>
              <w:top w:w="100" w:type="dxa"/>
              <w:left w:w="100" w:type="dxa"/>
              <w:bottom w:w="100" w:type="dxa"/>
              <w:right w:w="100" w:type="dxa"/>
            </w:tcMar>
          </w:tcPr>
          <w:p w14:paraId="739397C5"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00326591"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286F2F0A"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2843AEC0"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27C8CB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Suspense account</w:t>
            </w:r>
          </w:p>
        </w:tc>
        <w:tc>
          <w:tcPr>
            <w:tcW w:w="1181" w:type="dxa"/>
            <w:shd w:val="clear" w:color="auto" w:fill="auto"/>
            <w:tcMar>
              <w:top w:w="100" w:type="dxa"/>
              <w:left w:w="100" w:type="dxa"/>
              <w:bottom w:w="100" w:type="dxa"/>
              <w:right w:w="100" w:type="dxa"/>
            </w:tcMar>
          </w:tcPr>
          <w:p w14:paraId="2F2EA185"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2AF733C6"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65,000</w:t>
            </w:r>
          </w:p>
        </w:tc>
        <w:tc>
          <w:tcPr>
            <w:tcW w:w="2228" w:type="dxa"/>
            <w:shd w:val="clear" w:color="auto" w:fill="auto"/>
            <w:tcMar>
              <w:top w:w="100" w:type="dxa"/>
              <w:left w:w="100" w:type="dxa"/>
              <w:bottom w:w="100" w:type="dxa"/>
              <w:right w:w="100" w:type="dxa"/>
            </w:tcMar>
          </w:tcPr>
          <w:p w14:paraId="6889FF34"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11106AA6"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181" w:type="dxa"/>
            <w:shd w:val="clear" w:color="auto" w:fill="auto"/>
            <w:tcMar>
              <w:top w:w="100" w:type="dxa"/>
              <w:left w:w="100" w:type="dxa"/>
              <w:bottom w:w="100" w:type="dxa"/>
              <w:right w:w="100" w:type="dxa"/>
            </w:tcMar>
          </w:tcPr>
          <w:p w14:paraId="3DD82657"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r>
      <w:tr w:rsidR="00BC7AD6" w14:paraId="780B9886" w14:textId="77777777" w:rsidTr="00904C51">
        <w:trPr>
          <w:trHeight w:val="509"/>
        </w:trPr>
        <w:tc>
          <w:tcPr>
            <w:tcW w:w="292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93B8BE"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Total Equities &amp; Liabilities</w:t>
            </w:r>
          </w:p>
        </w:tc>
        <w:tc>
          <w:tcPr>
            <w:tcW w:w="1181" w:type="dxa"/>
            <w:shd w:val="clear" w:color="auto" w:fill="auto"/>
            <w:tcMar>
              <w:top w:w="100" w:type="dxa"/>
              <w:left w:w="100" w:type="dxa"/>
              <w:bottom w:w="100" w:type="dxa"/>
              <w:right w:w="100" w:type="dxa"/>
            </w:tcMar>
          </w:tcPr>
          <w:p w14:paraId="09232552"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p>
        </w:tc>
        <w:tc>
          <w:tcPr>
            <w:tcW w:w="1181" w:type="dxa"/>
            <w:shd w:val="clear" w:color="auto" w:fill="auto"/>
            <w:tcMar>
              <w:top w:w="100" w:type="dxa"/>
              <w:left w:w="100" w:type="dxa"/>
              <w:bottom w:w="100" w:type="dxa"/>
              <w:right w:w="100" w:type="dxa"/>
            </w:tcMar>
          </w:tcPr>
          <w:p w14:paraId="245B7B8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1146355</w:t>
            </w:r>
          </w:p>
        </w:tc>
        <w:tc>
          <w:tcPr>
            <w:tcW w:w="2228" w:type="dxa"/>
            <w:shd w:val="clear" w:color="auto" w:fill="auto"/>
            <w:tcMar>
              <w:top w:w="100" w:type="dxa"/>
              <w:left w:w="100" w:type="dxa"/>
              <w:bottom w:w="100" w:type="dxa"/>
              <w:right w:w="100" w:type="dxa"/>
            </w:tcMar>
          </w:tcPr>
          <w:p w14:paraId="649EC17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Total Assets</w:t>
            </w:r>
          </w:p>
        </w:tc>
        <w:tc>
          <w:tcPr>
            <w:tcW w:w="1181" w:type="dxa"/>
            <w:shd w:val="clear" w:color="auto" w:fill="auto"/>
            <w:tcMar>
              <w:top w:w="100" w:type="dxa"/>
              <w:left w:w="100" w:type="dxa"/>
              <w:bottom w:w="100" w:type="dxa"/>
              <w:right w:w="100" w:type="dxa"/>
            </w:tcMar>
          </w:tcPr>
          <w:p w14:paraId="39718AEA"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p>
        </w:tc>
        <w:tc>
          <w:tcPr>
            <w:tcW w:w="1181" w:type="dxa"/>
            <w:shd w:val="clear" w:color="auto" w:fill="auto"/>
            <w:tcMar>
              <w:top w:w="100" w:type="dxa"/>
              <w:left w:w="100" w:type="dxa"/>
              <w:bottom w:w="100" w:type="dxa"/>
              <w:right w:w="100" w:type="dxa"/>
            </w:tcMar>
          </w:tcPr>
          <w:p w14:paraId="53EAF6D1"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11,46,355</w:t>
            </w:r>
          </w:p>
        </w:tc>
      </w:tr>
    </w:tbl>
    <w:p w14:paraId="6FE73C65"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1504E84E"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7850A451"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b)</w:t>
      </w:r>
    </w:p>
    <w:p w14:paraId="48BCA92B"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The structure of the balance sheet is maintained in a manner so that the enterprise's total assets equal to the aggregate of equity and liability. Balance sheets always follow the below accounting equation. Assets = Equity + Liability. Assets of the organization required to be financed through various internal sources which are profits and share capital. External sources can also be utilized which are trade creditors, bank loans and so on. The owner's capital investment, borrowing, retained earnings and profits are required to be equal to the total assets of the business. Due to this reason, the total value of liabilities and equities must be equal to the business's total assets. In the double-entry accounting system, financial information is recorded in two segmented ways to maintain the authenticity and reliability of data. Each and every debit transaction should have a contra credit translation in the organisational record-keeping system. This structure of the balance sheet is highly effective in identifying investment prospects, risk factors, the scope of capital investment and so on. This two-way structure also helps the organisation to maintain transparency in the financial data monitoring process. Differences in the amount of assets side and liability and equity side can effectively determine the variances and inaccuracy in the financial data maintenance. Evaluating the balance sheet in a regular manner can help the organisation to take necessary preventive actions if required.</w:t>
      </w:r>
    </w:p>
    <w:p w14:paraId="08B2A646" w14:textId="5EE3420B" w:rsidR="00CD1F7E" w:rsidRPr="00573963" w:rsidRDefault="00862782" w:rsidP="00573963">
      <w:pPr>
        <w:pStyle w:val="Heading1"/>
      </w:pPr>
      <w:bookmarkStart w:id="1" w:name="_Toc56197200"/>
      <w:r w:rsidRPr="00573963">
        <w:t>Question 2</w:t>
      </w:r>
      <w:bookmarkEnd w:id="1"/>
    </w:p>
    <w:p w14:paraId="48A18221"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a)</w:t>
      </w:r>
    </w:p>
    <w:p w14:paraId="7709F664" w14:textId="2747F4F1" w:rsidR="00CD1F7E" w:rsidRPr="00B80139" w:rsidRDefault="00862782" w:rsidP="00573963">
      <w:pPr>
        <w:spacing w:line="360" w:lineRule="auto"/>
        <w:jc w:val="both"/>
        <w:rPr>
          <w:rFonts w:ascii="Times New Roman" w:eastAsia="Times New Roman" w:hAnsi="Times New Roman"/>
          <w:b/>
          <w:bCs/>
          <w:color w:val="000000" w:themeColor="text1"/>
        </w:rPr>
      </w:pPr>
      <w:r w:rsidRPr="00B80139">
        <w:rPr>
          <w:rFonts w:ascii="Times New Roman" w:eastAsia="Times New Roman" w:hAnsi="Times New Roman"/>
          <w:b/>
          <w:bCs/>
          <w:color w:val="000000" w:themeColor="text1"/>
        </w:rPr>
        <w:t>Below is the preparation of the ratio schedule of Chocco Plc for the financial year 2018 and 2019.</w:t>
      </w:r>
    </w:p>
    <w:p w14:paraId="543E4254" w14:textId="77777777" w:rsidR="00CD1F7E" w:rsidRPr="00573963" w:rsidRDefault="00CD1F7E" w:rsidP="00573963">
      <w:pPr>
        <w:spacing w:line="360" w:lineRule="auto"/>
        <w:jc w:val="both"/>
        <w:rPr>
          <w:rFonts w:ascii="Times New Roman" w:eastAsia="Times New Roman" w:hAnsi="Times New Roman"/>
          <w:color w:val="000000" w:themeColor="text1"/>
        </w:rPr>
      </w:pPr>
    </w:p>
    <w:tbl>
      <w:tblPr>
        <w:tblStyle w:val="a1"/>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071"/>
        <w:gridCol w:w="4136"/>
        <w:gridCol w:w="1583"/>
        <w:gridCol w:w="1570"/>
      </w:tblGrid>
      <w:tr w:rsidR="00BC7AD6" w14:paraId="39880DEA" w14:textId="77777777">
        <w:trPr>
          <w:trHeight w:val="500"/>
        </w:trPr>
        <w:tc>
          <w:tcPr>
            <w:tcW w:w="2070" w:type="dxa"/>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3836ED9"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 xml:space="preserve">Ratio </w:t>
            </w:r>
          </w:p>
        </w:tc>
        <w:tc>
          <w:tcPr>
            <w:tcW w:w="4136" w:type="dxa"/>
            <w:vMerge w:val="restart"/>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4406EF9"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Formula</w:t>
            </w:r>
          </w:p>
        </w:tc>
        <w:tc>
          <w:tcPr>
            <w:tcW w:w="1583"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6EE0EE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c>
          <w:tcPr>
            <w:tcW w:w="157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5BEF348"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Amount (£)</w:t>
            </w:r>
          </w:p>
        </w:tc>
      </w:tr>
      <w:tr w:rsidR="00BC7AD6" w14:paraId="39DC68DA" w14:textId="77777777">
        <w:trPr>
          <w:trHeight w:val="500"/>
        </w:trPr>
        <w:tc>
          <w:tcPr>
            <w:tcW w:w="2070" w:type="dxa"/>
            <w:vMerge/>
            <w:tcBorders>
              <w:bottom w:val="single" w:sz="6" w:space="0" w:color="000000"/>
              <w:right w:val="single" w:sz="6" w:space="0" w:color="000000"/>
            </w:tcBorders>
            <w:shd w:val="clear" w:color="auto" w:fill="auto"/>
            <w:tcMar>
              <w:top w:w="100" w:type="dxa"/>
              <w:left w:w="100" w:type="dxa"/>
              <w:bottom w:w="100" w:type="dxa"/>
              <w:right w:w="100" w:type="dxa"/>
            </w:tcMar>
          </w:tcPr>
          <w:p w14:paraId="338A8E1E"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4136" w:type="dxa"/>
            <w:vMerge/>
            <w:tcBorders>
              <w:bottom w:val="single" w:sz="6" w:space="0" w:color="000000"/>
              <w:right w:val="single" w:sz="6" w:space="0" w:color="000000"/>
            </w:tcBorders>
            <w:shd w:val="clear" w:color="auto" w:fill="auto"/>
            <w:tcMar>
              <w:top w:w="100" w:type="dxa"/>
              <w:left w:w="100" w:type="dxa"/>
              <w:bottom w:w="100" w:type="dxa"/>
              <w:right w:w="100" w:type="dxa"/>
            </w:tcMar>
          </w:tcPr>
          <w:p w14:paraId="657AF302"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8C972F6"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2018</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34C1C0A"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2019</w:t>
            </w:r>
          </w:p>
        </w:tc>
      </w:tr>
      <w:tr w:rsidR="00BC7AD6" w14:paraId="49344B82"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7AF3608"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lastRenderedPageBreak/>
              <w:t xml:space="preserve">Current ratio </w:t>
            </w:r>
          </w:p>
        </w:tc>
        <w:tc>
          <w:tcPr>
            <w:tcW w:w="4136" w:type="dxa"/>
            <w:shd w:val="clear" w:color="auto" w:fill="auto"/>
            <w:tcMar>
              <w:top w:w="100" w:type="dxa"/>
              <w:left w:w="100" w:type="dxa"/>
              <w:bottom w:w="100" w:type="dxa"/>
              <w:right w:w="100" w:type="dxa"/>
            </w:tcMar>
          </w:tcPr>
          <w:p w14:paraId="77B8ABA4"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Current assets / Current Liabilities</w:t>
            </w:r>
          </w:p>
        </w:tc>
        <w:tc>
          <w:tcPr>
            <w:tcW w:w="1583" w:type="dxa"/>
            <w:shd w:val="clear" w:color="auto" w:fill="auto"/>
            <w:tcMar>
              <w:top w:w="100" w:type="dxa"/>
              <w:left w:w="100" w:type="dxa"/>
              <w:bottom w:w="100" w:type="dxa"/>
              <w:right w:w="100" w:type="dxa"/>
            </w:tcMar>
          </w:tcPr>
          <w:p w14:paraId="029DB18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0.773145108</w:t>
            </w:r>
          </w:p>
        </w:tc>
        <w:tc>
          <w:tcPr>
            <w:tcW w:w="1570" w:type="dxa"/>
            <w:shd w:val="clear" w:color="auto" w:fill="auto"/>
            <w:tcMar>
              <w:top w:w="100" w:type="dxa"/>
              <w:left w:w="100" w:type="dxa"/>
              <w:bottom w:w="100" w:type="dxa"/>
              <w:right w:w="100" w:type="dxa"/>
            </w:tcMar>
          </w:tcPr>
          <w:p w14:paraId="76AF96A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0.917164476</w:t>
            </w:r>
          </w:p>
        </w:tc>
      </w:tr>
      <w:tr w:rsidR="00BC7AD6" w14:paraId="1AADB215"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4190EA"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Current liabilities</w:t>
            </w:r>
          </w:p>
        </w:tc>
        <w:tc>
          <w:tcPr>
            <w:tcW w:w="413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C61674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 </w:t>
            </w:r>
          </w:p>
        </w:tc>
        <w:tc>
          <w:tcPr>
            <w:tcW w:w="158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FC3FBD0"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3,046</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CA03F6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2,511</w:t>
            </w:r>
          </w:p>
        </w:tc>
      </w:tr>
      <w:tr w:rsidR="00BC7AD6" w14:paraId="2C792D03"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4958AAD"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Current assets</w:t>
            </w:r>
          </w:p>
        </w:tc>
        <w:tc>
          <w:tcPr>
            <w:tcW w:w="4136"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7F5C76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 </w:t>
            </w:r>
          </w:p>
        </w:tc>
        <w:tc>
          <w:tcPr>
            <w:tcW w:w="158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AF03308"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2,355</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BE2879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2,303</w:t>
            </w:r>
          </w:p>
        </w:tc>
      </w:tr>
      <w:tr w:rsidR="00BC7AD6" w14:paraId="20180CE1"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FC08E8D"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Debt to equity ratio</w:t>
            </w:r>
          </w:p>
        </w:tc>
        <w:tc>
          <w:tcPr>
            <w:tcW w:w="4136" w:type="dxa"/>
            <w:shd w:val="clear" w:color="auto" w:fill="auto"/>
            <w:tcMar>
              <w:top w:w="100" w:type="dxa"/>
              <w:left w:w="100" w:type="dxa"/>
              <w:bottom w:w="100" w:type="dxa"/>
              <w:right w:w="100" w:type="dxa"/>
            </w:tcMar>
          </w:tcPr>
          <w:p w14:paraId="5929957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Total liabilities / Equity</w:t>
            </w:r>
          </w:p>
        </w:tc>
        <w:tc>
          <w:tcPr>
            <w:tcW w:w="1583" w:type="dxa"/>
            <w:shd w:val="clear" w:color="auto" w:fill="auto"/>
            <w:tcMar>
              <w:top w:w="100" w:type="dxa"/>
              <w:left w:w="100" w:type="dxa"/>
              <w:bottom w:w="100" w:type="dxa"/>
              <w:right w:w="100" w:type="dxa"/>
            </w:tcMar>
          </w:tcPr>
          <w:p w14:paraId="2B587CD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2.463942308</w:t>
            </w:r>
          </w:p>
        </w:tc>
        <w:tc>
          <w:tcPr>
            <w:tcW w:w="1570" w:type="dxa"/>
            <w:shd w:val="clear" w:color="auto" w:fill="auto"/>
            <w:tcMar>
              <w:top w:w="100" w:type="dxa"/>
              <w:left w:w="100" w:type="dxa"/>
              <w:bottom w:w="100" w:type="dxa"/>
              <w:right w:w="100" w:type="dxa"/>
            </w:tcMar>
          </w:tcPr>
          <w:p w14:paraId="7CBAA9F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2.152849741</w:t>
            </w:r>
          </w:p>
        </w:tc>
      </w:tr>
      <w:tr w:rsidR="00BC7AD6" w14:paraId="162E4CEE"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5B2CF9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Equity</w:t>
            </w:r>
          </w:p>
        </w:tc>
        <w:tc>
          <w:tcPr>
            <w:tcW w:w="4136" w:type="dxa"/>
            <w:shd w:val="clear" w:color="auto" w:fill="auto"/>
            <w:tcMar>
              <w:top w:w="100" w:type="dxa"/>
              <w:left w:w="100" w:type="dxa"/>
              <w:bottom w:w="100" w:type="dxa"/>
              <w:right w:w="100" w:type="dxa"/>
            </w:tcMar>
          </w:tcPr>
          <w:p w14:paraId="47D34C2B"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shd w:val="clear" w:color="auto" w:fill="auto"/>
            <w:tcMar>
              <w:top w:w="100" w:type="dxa"/>
              <w:left w:w="100" w:type="dxa"/>
              <w:bottom w:w="100" w:type="dxa"/>
              <w:right w:w="100" w:type="dxa"/>
            </w:tcMar>
          </w:tcPr>
          <w:p w14:paraId="101DE5D1"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2,912</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6062E62"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3,088</w:t>
            </w:r>
          </w:p>
        </w:tc>
      </w:tr>
      <w:tr w:rsidR="00BC7AD6" w14:paraId="1478B7C8"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094A0C7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Non-current liabilities</w:t>
            </w:r>
          </w:p>
        </w:tc>
        <w:tc>
          <w:tcPr>
            <w:tcW w:w="4136" w:type="dxa"/>
            <w:shd w:val="clear" w:color="auto" w:fill="auto"/>
            <w:tcMar>
              <w:top w:w="100" w:type="dxa"/>
              <w:left w:w="100" w:type="dxa"/>
              <w:bottom w:w="100" w:type="dxa"/>
              <w:right w:w="100" w:type="dxa"/>
            </w:tcMar>
          </w:tcPr>
          <w:p w14:paraId="78CC3DEA"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E70254E"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4,129</w:t>
            </w:r>
          </w:p>
        </w:tc>
        <w:tc>
          <w:tcPr>
            <w:tcW w:w="1570" w:type="dxa"/>
            <w:shd w:val="clear" w:color="auto" w:fill="auto"/>
            <w:tcMar>
              <w:top w:w="100" w:type="dxa"/>
              <w:left w:w="100" w:type="dxa"/>
              <w:bottom w:w="100" w:type="dxa"/>
              <w:right w:w="100" w:type="dxa"/>
            </w:tcMar>
          </w:tcPr>
          <w:p w14:paraId="3F53FF5F"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4,137</w:t>
            </w:r>
          </w:p>
        </w:tc>
      </w:tr>
      <w:tr w:rsidR="00BC7AD6" w14:paraId="5E06284A"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62F2614"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Current liabilities</w:t>
            </w:r>
          </w:p>
        </w:tc>
        <w:tc>
          <w:tcPr>
            <w:tcW w:w="4136" w:type="dxa"/>
            <w:shd w:val="clear" w:color="auto" w:fill="auto"/>
            <w:tcMar>
              <w:top w:w="100" w:type="dxa"/>
              <w:left w:w="100" w:type="dxa"/>
              <w:bottom w:w="100" w:type="dxa"/>
              <w:right w:w="100" w:type="dxa"/>
            </w:tcMar>
          </w:tcPr>
          <w:p w14:paraId="09D4D6D6"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shd w:val="clear" w:color="auto" w:fill="auto"/>
            <w:tcMar>
              <w:top w:w="100" w:type="dxa"/>
              <w:left w:w="100" w:type="dxa"/>
              <w:bottom w:w="100" w:type="dxa"/>
              <w:right w:w="100" w:type="dxa"/>
            </w:tcMar>
          </w:tcPr>
          <w:p w14:paraId="4542961A"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3,046</w:t>
            </w:r>
          </w:p>
        </w:tc>
        <w:tc>
          <w:tcPr>
            <w:tcW w:w="1570" w:type="dxa"/>
            <w:shd w:val="clear" w:color="auto" w:fill="auto"/>
            <w:tcMar>
              <w:top w:w="100" w:type="dxa"/>
              <w:left w:w="100" w:type="dxa"/>
              <w:bottom w:w="100" w:type="dxa"/>
              <w:right w:w="100" w:type="dxa"/>
            </w:tcMar>
          </w:tcPr>
          <w:p w14:paraId="26852C6D"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2,511</w:t>
            </w:r>
          </w:p>
        </w:tc>
      </w:tr>
      <w:tr w:rsidR="00BC7AD6" w14:paraId="065171A0"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D447EC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Total liabilities</w:t>
            </w:r>
          </w:p>
        </w:tc>
        <w:tc>
          <w:tcPr>
            <w:tcW w:w="4136" w:type="dxa"/>
            <w:shd w:val="clear" w:color="auto" w:fill="auto"/>
            <w:tcMar>
              <w:top w:w="100" w:type="dxa"/>
              <w:left w:w="100" w:type="dxa"/>
              <w:bottom w:w="100" w:type="dxa"/>
              <w:right w:w="100" w:type="dxa"/>
            </w:tcMar>
          </w:tcPr>
          <w:p w14:paraId="37C0F868"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shd w:val="clear" w:color="auto" w:fill="auto"/>
            <w:tcMar>
              <w:top w:w="100" w:type="dxa"/>
              <w:left w:w="100" w:type="dxa"/>
              <w:bottom w:w="100" w:type="dxa"/>
              <w:right w:w="100" w:type="dxa"/>
            </w:tcMar>
          </w:tcPr>
          <w:p w14:paraId="01066C4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7,175</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E747FA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6,648</w:t>
            </w:r>
          </w:p>
        </w:tc>
      </w:tr>
      <w:tr w:rsidR="00BC7AD6" w14:paraId="313B6058"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7D80CB3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 xml:space="preserve">Asset turnover ratio </w:t>
            </w:r>
          </w:p>
        </w:tc>
        <w:tc>
          <w:tcPr>
            <w:tcW w:w="4136" w:type="dxa"/>
            <w:shd w:val="clear" w:color="auto" w:fill="auto"/>
            <w:tcMar>
              <w:top w:w="100" w:type="dxa"/>
              <w:left w:w="100" w:type="dxa"/>
              <w:bottom w:w="100" w:type="dxa"/>
              <w:right w:w="100" w:type="dxa"/>
            </w:tcMar>
          </w:tcPr>
          <w:p w14:paraId="51019AE8"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Net sales/total asset</w:t>
            </w:r>
          </w:p>
        </w:tc>
        <w:tc>
          <w:tcPr>
            <w:tcW w:w="1583" w:type="dxa"/>
            <w:shd w:val="clear" w:color="auto" w:fill="auto"/>
            <w:tcMar>
              <w:top w:w="100" w:type="dxa"/>
              <w:left w:w="100" w:type="dxa"/>
              <w:bottom w:w="100" w:type="dxa"/>
              <w:right w:w="100" w:type="dxa"/>
            </w:tcMar>
          </w:tcPr>
          <w:p w14:paraId="45A09584"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0.638544661</w:t>
            </w:r>
          </w:p>
        </w:tc>
        <w:tc>
          <w:tcPr>
            <w:tcW w:w="1570" w:type="dxa"/>
            <w:shd w:val="clear" w:color="auto" w:fill="auto"/>
            <w:tcMar>
              <w:top w:w="100" w:type="dxa"/>
              <w:left w:w="100" w:type="dxa"/>
              <w:bottom w:w="100" w:type="dxa"/>
              <w:right w:w="100" w:type="dxa"/>
            </w:tcMar>
          </w:tcPr>
          <w:p w14:paraId="3C94BD9F"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0.692070666</w:t>
            </w:r>
          </w:p>
        </w:tc>
      </w:tr>
      <w:tr w:rsidR="00BC7AD6" w14:paraId="3F83F33B"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DEBD2CE"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Total assets </w:t>
            </w:r>
          </w:p>
        </w:tc>
        <w:tc>
          <w:tcPr>
            <w:tcW w:w="4136" w:type="dxa"/>
            <w:shd w:val="clear" w:color="auto" w:fill="auto"/>
            <w:tcMar>
              <w:top w:w="100" w:type="dxa"/>
              <w:left w:w="100" w:type="dxa"/>
              <w:bottom w:w="100" w:type="dxa"/>
              <w:right w:w="100" w:type="dxa"/>
            </w:tcMar>
          </w:tcPr>
          <w:p w14:paraId="6B030392"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shd w:val="clear" w:color="auto" w:fill="auto"/>
            <w:tcMar>
              <w:top w:w="100" w:type="dxa"/>
              <w:left w:w="100" w:type="dxa"/>
              <w:bottom w:w="100" w:type="dxa"/>
              <w:right w:w="100" w:type="dxa"/>
            </w:tcMar>
          </w:tcPr>
          <w:p w14:paraId="6DACF6F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10,087</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F8B568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9,736</w:t>
            </w:r>
          </w:p>
        </w:tc>
      </w:tr>
      <w:tr w:rsidR="00BC7AD6" w14:paraId="0940F405"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416E504"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Net sales </w:t>
            </w:r>
          </w:p>
        </w:tc>
        <w:tc>
          <w:tcPr>
            <w:tcW w:w="4136" w:type="dxa"/>
            <w:shd w:val="clear" w:color="auto" w:fill="auto"/>
            <w:tcMar>
              <w:top w:w="100" w:type="dxa"/>
              <w:left w:w="100" w:type="dxa"/>
              <w:bottom w:w="100" w:type="dxa"/>
              <w:right w:w="100" w:type="dxa"/>
            </w:tcMar>
          </w:tcPr>
          <w:p w14:paraId="3D5CA857"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6B2DBF0"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6,441</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6AC40D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6,738</w:t>
            </w:r>
          </w:p>
        </w:tc>
      </w:tr>
      <w:tr w:rsidR="00BC7AD6" w14:paraId="0698D8AE" w14:textId="77777777">
        <w:trPr>
          <w:trHeight w:val="74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1BDE0AD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 xml:space="preserve">Quick ratio </w:t>
            </w:r>
          </w:p>
        </w:tc>
        <w:tc>
          <w:tcPr>
            <w:tcW w:w="4136" w:type="dxa"/>
            <w:shd w:val="clear" w:color="auto" w:fill="auto"/>
            <w:tcMar>
              <w:top w:w="100" w:type="dxa"/>
              <w:left w:w="100" w:type="dxa"/>
              <w:bottom w:w="100" w:type="dxa"/>
              <w:right w:w="100" w:type="dxa"/>
            </w:tcMar>
          </w:tcPr>
          <w:p w14:paraId="30533F6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(Current assets - Inventory)/Current Liabilities (</w:t>
            </w:r>
            <w:r w:rsidRPr="00573963">
              <w:rPr>
                <w:rFonts w:ascii="Times New Roman" w:hAnsi="Times New Roman"/>
                <w:color w:val="000000" w:themeColor="text1"/>
                <w:highlight w:val="white"/>
              </w:rPr>
              <w:t>Chalu and Lubawa, 2018</w:t>
            </w:r>
            <w:r w:rsidRPr="00573963">
              <w:rPr>
                <w:rFonts w:ascii="Times New Roman" w:eastAsia="Times New Roman" w:hAnsi="Times New Roman"/>
                <w:b/>
                <w:color w:val="000000" w:themeColor="text1"/>
              </w:rPr>
              <w:t>)</w:t>
            </w:r>
          </w:p>
        </w:tc>
        <w:tc>
          <w:tcPr>
            <w:tcW w:w="1583" w:type="dxa"/>
            <w:shd w:val="clear" w:color="auto" w:fill="auto"/>
            <w:tcMar>
              <w:top w:w="100" w:type="dxa"/>
              <w:left w:w="100" w:type="dxa"/>
              <w:bottom w:w="100" w:type="dxa"/>
              <w:right w:w="100" w:type="dxa"/>
            </w:tcMar>
          </w:tcPr>
          <w:p w14:paraId="04B38BEA"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0.556795798</w:t>
            </w:r>
          </w:p>
        </w:tc>
        <w:tc>
          <w:tcPr>
            <w:tcW w:w="1570" w:type="dxa"/>
            <w:shd w:val="clear" w:color="auto" w:fill="auto"/>
            <w:tcMar>
              <w:top w:w="100" w:type="dxa"/>
              <w:left w:w="100" w:type="dxa"/>
              <w:bottom w:w="100" w:type="dxa"/>
              <w:right w:w="100" w:type="dxa"/>
            </w:tcMar>
          </w:tcPr>
          <w:p w14:paraId="770B466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b/>
                <w:color w:val="000000" w:themeColor="text1"/>
              </w:rPr>
            </w:pPr>
            <w:r w:rsidRPr="00573963">
              <w:rPr>
                <w:rFonts w:ascii="Times New Roman" w:eastAsia="Times New Roman" w:hAnsi="Times New Roman"/>
                <w:b/>
                <w:color w:val="000000" w:themeColor="text1"/>
              </w:rPr>
              <w:t>0.635205098</w:t>
            </w:r>
          </w:p>
        </w:tc>
      </w:tr>
      <w:tr w:rsidR="00BC7AD6" w14:paraId="18F77CC0"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0BD370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Inventory </w:t>
            </w:r>
          </w:p>
        </w:tc>
        <w:tc>
          <w:tcPr>
            <w:tcW w:w="4136" w:type="dxa"/>
            <w:shd w:val="clear" w:color="auto" w:fill="auto"/>
            <w:tcMar>
              <w:top w:w="100" w:type="dxa"/>
              <w:left w:w="100" w:type="dxa"/>
              <w:bottom w:w="100" w:type="dxa"/>
              <w:right w:w="100" w:type="dxa"/>
            </w:tcMar>
          </w:tcPr>
          <w:p w14:paraId="65F584CC"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shd w:val="clear" w:color="auto" w:fill="auto"/>
            <w:tcMar>
              <w:top w:w="100" w:type="dxa"/>
              <w:left w:w="100" w:type="dxa"/>
              <w:bottom w:w="100" w:type="dxa"/>
              <w:right w:w="100" w:type="dxa"/>
            </w:tcMar>
          </w:tcPr>
          <w:p w14:paraId="16F4843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659</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3D81005B"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708</w:t>
            </w:r>
          </w:p>
        </w:tc>
      </w:tr>
      <w:tr w:rsidR="00BC7AD6" w14:paraId="73C0B7DC"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6979957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Current assets</w:t>
            </w:r>
          </w:p>
        </w:tc>
        <w:tc>
          <w:tcPr>
            <w:tcW w:w="4136" w:type="dxa"/>
            <w:shd w:val="clear" w:color="auto" w:fill="auto"/>
            <w:tcMar>
              <w:top w:w="100" w:type="dxa"/>
              <w:left w:w="100" w:type="dxa"/>
              <w:bottom w:w="100" w:type="dxa"/>
              <w:right w:w="100" w:type="dxa"/>
            </w:tcMar>
          </w:tcPr>
          <w:p w14:paraId="786897AD"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5F8FBBAF"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2,355</w:t>
            </w:r>
          </w:p>
        </w:tc>
        <w:tc>
          <w:tcPr>
            <w:tcW w:w="15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282021E3"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2,303</w:t>
            </w:r>
          </w:p>
        </w:tc>
      </w:tr>
      <w:tr w:rsidR="00BC7AD6" w14:paraId="4352F5AC" w14:textId="77777777">
        <w:trPr>
          <w:trHeight w:val="500"/>
        </w:trPr>
        <w:tc>
          <w:tcPr>
            <w:tcW w:w="2070" w:type="dxa"/>
            <w:tcBorders>
              <w:top w:val="single" w:sz="6" w:space="0" w:color="000000"/>
              <w:left w:val="single" w:sz="6" w:space="0" w:color="000000"/>
              <w:bottom w:val="single" w:sz="6" w:space="0" w:color="000000"/>
              <w:right w:val="single" w:sz="6" w:space="0" w:color="000000"/>
            </w:tcBorders>
            <w:shd w:val="clear" w:color="auto" w:fill="auto"/>
            <w:tcMar>
              <w:top w:w="100" w:type="dxa"/>
              <w:left w:w="100" w:type="dxa"/>
              <w:bottom w:w="100" w:type="dxa"/>
              <w:right w:w="100" w:type="dxa"/>
            </w:tcMar>
          </w:tcPr>
          <w:p w14:paraId="435A6E2E"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Current liabilities</w:t>
            </w:r>
          </w:p>
        </w:tc>
        <w:tc>
          <w:tcPr>
            <w:tcW w:w="4136" w:type="dxa"/>
            <w:shd w:val="clear" w:color="auto" w:fill="auto"/>
            <w:tcMar>
              <w:top w:w="100" w:type="dxa"/>
              <w:left w:w="100" w:type="dxa"/>
              <w:bottom w:w="100" w:type="dxa"/>
              <w:right w:w="100" w:type="dxa"/>
            </w:tcMar>
          </w:tcPr>
          <w:p w14:paraId="7F41ACE7" w14:textId="77777777" w:rsidR="00CD1F7E" w:rsidRPr="00573963" w:rsidRDefault="00CD1F7E"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p>
        </w:tc>
        <w:tc>
          <w:tcPr>
            <w:tcW w:w="1583" w:type="dxa"/>
            <w:shd w:val="clear" w:color="auto" w:fill="auto"/>
            <w:tcMar>
              <w:top w:w="100" w:type="dxa"/>
              <w:left w:w="100" w:type="dxa"/>
              <w:bottom w:w="100" w:type="dxa"/>
              <w:right w:w="100" w:type="dxa"/>
            </w:tcMar>
          </w:tcPr>
          <w:p w14:paraId="15932417"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3,046</w:t>
            </w:r>
          </w:p>
        </w:tc>
        <w:tc>
          <w:tcPr>
            <w:tcW w:w="1570" w:type="dxa"/>
            <w:shd w:val="clear" w:color="auto" w:fill="auto"/>
            <w:tcMar>
              <w:top w:w="100" w:type="dxa"/>
              <w:left w:w="100" w:type="dxa"/>
              <w:bottom w:w="100" w:type="dxa"/>
              <w:right w:w="100" w:type="dxa"/>
            </w:tcMar>
          </w:tcPr>
          <w:p w14:paraId="48DC37BC" w14:textId="77777777" w:rsidR="00CD1F7E" w:rsidRPr="00573963" w:rsidRDefault="00862782" w:rsidP="00573963">
            <w:pPr>
              <w:widowControl w:val="0"/>
              <w:pBdr>
                <w:top w:val="nil"/>
                <w:left w:val="nil"/>
                <w:bottom w:val="nil"/>
                <w:right w:val="nil"/>
                <w:between w:val="nil"/>
              </w:pBd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2,511</w:t>
            </w:r>
          </w:p>
        </w:tc>
      </w:tr>
    </w:tbl>
    <w:p w14:paraId="60A7A12C"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1758D8DD" w14:textId="77777777" w:rsidR="00A26DCA" w:rsidRDefault="00A26DCA" w:rsidP="00573963">
      <w:pPr>
        <w:spacing w:line="360" w:lineRule="auto"/>
        <w:jc w:val="both"/>
        <w:rPr>
          <w:rFonts w:ascii="Times New Roman" w:eastAsia="Times New Roman" w:hAnsi="Times New Roman"/>
          <w:color w:val="000000" w:themeColor="text1"/>
        </w:rPr>
      </w:pPr>
    </w:p>
    <w:p w14:paraId="5BE09194" w14:textId="77777777" w:rsidR="00A26DCA" w:rsidRDefault="00A26DCA" w:rsidP="00573963">
      <w:pPr>
        <w:spacing w:line="360" w:lineRule="auto"/>
        <w:jc w:val="both"/>
        <w:rPr>
          <w:rFonts w:ascii="Times New Roman" w:eastAsia="Times New Roman" w:hAnsi="Times New Roman"/>
          <w:color w:val="000000" w:themeColor="text1"/>
        </w:rPr>
      </w:pPr>
    </w:p>
    <w:p w14:paraId="4B57012A" w14:textId="77777777" w:rsidR="00A26DCA" w:rsidRDefault="00A26DCA" w:rsidP="00573963">
      <w:pPr>
        <w:spacing w:line="360" w:lineRule="auto"/>
        <w:jc w:val="both"/>
        <w:rPr>
          <w:rFonts w:ascii="Times New Roman" w:eastAsia="Times New Roman" w:hAnsi="Times New Roman"/>
          <w:color w:val="000000" w:themeColor="text1"/>
        </w:rPr>
      </w:pPr>
    </w:p>
    <w:p w14:paraId="6B254407" w14:textId="77777777" w:rsidR="00A26DCA" w:rsidRDefault="00A26DCA" w:rsidP="00573963">
      <w:pPr>
        <w:spacing w:line="360" w:lineRule="auto"/>
        <w:jc w:val="both"/>
        <w:rPr>
          <w:rFonts w:ascii="Times New Roman" w:eastAsia="Times New Roman" w:hAnsi="Times New Roman"/>
          <w:color w:val="000000" w:themeColor="text1"/>
        </w:rPr>
      </w:pPr>
    </w:p>
    <w:p w14:paraId="19DEFF16" w14:textId="63D485FE"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b)</w:t>
      </w:r>
    </w:p>
    <w:p w14:paraId="1AECAA43"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lastRenderedPageBreak/>
        <w:t xml:space="preserve">The current ratio demonstrated the capability of the company to pay off the current liabilities with the help of current assets. This ratio is highly significant for investors as this because, with the help of this ratio, investors can determine the capability of the company regarding expanding the asset and satisfy the short term liabilities through the current assets. The standard value of the current ratio should remain between 1.2 to 2. Organisation required current assets at least 2 times more than the current liabilities. In this context, it can be said that the current ratio scenario of Chocco Plc is not good enough. For both of the financial years, it is lower than the standard value. However, an increasing trend is visible in the current ratio. It has increased from 0.77 (2018) to 0.92 (2019). </w:t>
      </w:r>
    </w:p>
    <w:p w14:paraId="044C99D2"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The debt to equity ratio reveals the relative proportions of the ability of shareholders to asset financing of the organisation. It is also known as leveraging or gearing ratio. The ideal debt to equity ratio is considered as 2.00. Companies with hefty amounts of non-current assets, generally have debt-equity ratios of more than 2. It can be said that the debt-equity ratio of the company is in a controlled manner as the debt to equity ratio of both the financial year is more than 2.00. It is 2.46 in 2018 and 2.15 in 2019. The total liabilities of Chocco plc have been compared with the total equity of the organisation in order to determine the value of this ratio. These values depict that the company has high valued shareholders who can suitably finance the total assets of the company. However, a reduction in the ratio in 2019 indicates that shareholder's capability has decreased. This depicts that company management is inefficient in retaining all the shareholders of the company.</w:t>
      </w:r>
    </w:p>
    <w:p w14:paraId="09B5B9BA"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The quick ratio also determines the ability of the company to pay off its liabilities with the help of quick assets. Quick assets do not include inventory. It identifies whether a company is able to satisfy the current liabilities without any additional financing or sale of existing inventory. There is no specific standard value of this ratio. A higher ratio depicts better financial health of a company. The lower quick ratio indicates that the company is unable to pay its current liabilities in a timely manner. Considering the above discussion it can be said that the liquidity scenario of Chocco Plc is highly disappointing. The quick ratio of 2018 is 0.56 and it has increased to 0.64 in 2019. Total current assets have been considered except the inventory while calculating the ratio. These values clearly show that the company is battling to pay off the current liabilities in a timely manner (</w:t>
      </w:r>
      <w:r w:rsidRPr="00573963">
        <w:rPr>
          <w:rFonts w:ascii="Times New Roman" w:hAnsi="Times New Roman"/>
          <w:color w:val="000000" w:themeColor="text1"/>
          <w:highlight w:val="white"/>
        </w:rPr>
        <w:t>Arkan, 2016</w:t>
      </w:r>
      <w:r w:rsidRPr="00573963">
        <w:rPr>
          <w:rFonts w:ascii="Times New Roman" w:eastAsia="Times New Roman" w:hAnsi="Times New Roman"/>
          <w:color w:val="000000" w:themeColor="text1"/>
        </w:rPr>
        <w:t>). Investors should focus on this point while considering Chocco Plc as an investment option.</w:t>
      </w:r>
    </w:p>
    <w:p w14:paraId="1BA2BD09"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lastRenderedPageBreak/>
        <w:t>The asset turnover ratio determines the efficiency of the management in utilizing the total assets in high amounts of revenue earning from sales. 2.5 is the ideal value of asset turnover ratio but in general, the company aims to achieve an asset turnover ratio from 0.25 to 0.50. The asset turnover ratio of the company is 0.64 in 2018 and it has increased to 0.69 in 2019. This indicates that the company management is highly efficient in utilizing the assets to increase the revenue from sales.</w:t>
      </w:r>
    </w:p>
    <w:p w14:paraId="4D3AB90B" w14:textId="77777777" w:rsidR="00CD1F7E" w:rsidRPr="00573963" w:rsidRDefault="00862782" w:rsidP="00573963">
      <w:pPr>
        <w:spacing w:line="360" w:lineRule="auto"/>
        <w:jc w:val="both"/>
        <w:rPr>
          <w:rFonts w:ascii="Times New Roman" w:eastAsia="Times New Roman" w:hAnsi="Times New Roman"/>
          <w:color w:val="000000" w:themeColor="text1"/>
        </w:rPr>
      </w:pPr>
      <w:r w:rsidRPr="00573963">
        <w:rPr>
          <w:rFonts w:ascii="Times New Roman" w:eastAsia="Times New Roman" w:hAnsi="Times New Roman"/>
          <w:color w:val="000000" w:themeColor="text1"/>
        </w:rPr>
        <w:t xml:space="preserve">It is evident from the overall ratio analysis that the financial position of the company is not stable. The company was inefficient to increase the debt-equity ratio in 2019 and lost a few shareholders. This may demotivate potential shareholders to invest in this company. Due to this reason, the company’s equity position has deteriorated. Management is also required to focus on the liquidity position of the company in order to timely pay off the debt. However, an increasing trend can be observed in the quick ratio and current ratio. Management is also efficient in managing the assets of the company. </w:t>
      </w:r>
      <w:r w:rsidRPr="00573963">
        <w:rPr>
          <w:rFonts w:ascii="Times New Roman" w:hAnsi="Times New Roman"/>
          <w:color w:val="000000" w:themeColor="text1"/>
        </w:rPr>
        <w:br w:type="page"/>
      </w:r>
    </w:p>
    <w:p w14:paraId="60D9AC5E" w14:textId="77777777" w:rsidR="00CD1F7E" w:rsidRPr="00573963" w:rsidRDefault="00862782" w:rsidP="00573963">
      <w:pPr>
        <w:pStyle w:val="Heading1"/>
      </w:pPr>
      <w:bookmarkStart w:id="2" w:name="_Toc56197201"/>
      <w:r w:rsidRPr="00573963">
        <w:lastRenderedPageBreak/>
        <w:t>Reference List</w:t>
      </w:r>
      <w:bookmarkEnd w:id="2"/>
    </w:p>
    <w:p w14:paraId="262DCAB7" w14:textId="77777777" w:rsidR="00573963" w:rsidRPr="00573963" w:rsidRDefault="00862782" w:rsidP="00573963">
      <w:pPr>
        <w:spacing w:line="360" w:lineRule="auto"/>
        <w:jc w:val="both"/>
        <w:rPr>
          <w:rFonts w:ascii="Times New Roman" w:hAnsi="Times New Roman"/>
          <w:color w:val="000000" w:themeColor="text1"/>
          <w:highlight w:val="white"/>
        </w:rPr>
      </w:pPr>
      <w:r w:rsidRPr="00573963">
        <w:rPr>
          <w:rFonts w:ascii="Times New Roman" w:hAnsi="Times New Roman"/>
          <w:color w:val="000000" w:themeColor="text1"/>
          <w:highlight w:val="white"/>
        </w:rPr>
        <w:t xml:space="preserve">Afif, I.R. and Nawirah, N., 2020. Design of financial statement preparation based on SAK EMKM using microsoft excel. </w:t>
      </w:r>
      <w:r w:rsidRPr="00573963">
        <w:rPr>
          <w:rFonts w:ascii="Times New Roman" w:hAnsi="Times New Roman"/>
          <w:i/>
          <w:color w:val="000000" w:themeColor="text1"/>
          <w:highlight w:val="white"/>
        </w:rPr>
        <w:t>Journal of Islamic Accounting and Finance Research</w:t>
      </w:r>
      <w:r w:rsidRPr="00573963">
        <w:rPr>
          <w:rFonts w:ascii="Times New Roman" w:hAnsi="Times New Roman"/>
          <w:color w:val="000000" w:themeColor="text1"/>
          <w:highlight w:val="white"/>
        </w:rPr>
        <w:t xml:space="preserve">, </w:t>
      </w:r>
      <w:r w:rsidRPr="00573963">
        <w:rPr>
          <w:rFonts w:ascii="Times New Roman" w:hAnsi="Times New Roman"/>
          <w:i/>
          <w:color w:val="000000" w:themeColor="text1"/>
          <w:highlight w:val="white"/>
        </w:rPr>
        <w:t>2</w:t>
      </w:r>
      <w:r w:rsidRPr="00573963">
        <w:rPr>
          <w:rFonts w:ascii="Times New Roman" w:hAnsi="Times New Roman"/>
          <w:color w:val="000000" w:themeColor="text1"/>
          <w:highlight w:val="white"/>
        </w:rPr>
        <w:t>(1), pp.141-152.</w:t>
      </w:r>
    </w:p>
    <w:p w14:paraId="45C6A71F" w14:textId="77777777" w:rsidR="00573963" w:rsidRPr="00573963" w:rsidRDefault="00862782" w:rsidP="00573963">
      <w:pPr>
        <w:spacing w:line="360" w:lineRule="auto"/>
        <w:jc w:val="both"/>
        <w:rPr>
          <w:rFonts w:ascii="Times New Roman" w:hAnsi="Times New Roman"/>
          <w:color w:val="000000" w:themeColor="text1"/>
          <w:highlight w:val="white"/>
        </w:rPr>
      </w:pPr>
      <w:r w:rsidRPr="00573963">
        <w:rPr>
          <w:rFonts w:ascii="Times New Roman" w:hAnsi="Times New Roman"/>
          <w:color w:val="000000" w:themeColor="text1"/>
          <w:highlight w:val="white"/>
        </w:rPr>
        <w:t xml:space="preserve">Arkan, T., 2016. The importance of financial ratios in predicting stock price trends: A case study in emerging markets. </w:t>
      </w:r>
      <w:r w:rsidRPr="00573963">
        <w:rPr>
          <w:rFonts w:ascii="Times New Roman" w:hAnsi="Times New Roman"/>
          <w:i/>
          <w:color w:val="000000" w:themeColor="text1"/>
          <w:highlight w:val="white"/>
        </w:rPr>
        <w:t>Finanse, Rynki Finansowe, Ubezpieczenia</w:t>
      </w:r>
      <w:r w:rsidRPr="00573963">
        <w:rPr>
          <w:rFonts w:ascii="Times New Roman" w:hAnsi="Times New Roman"/>
          <w:color w:val="000000" w:themeColor="text1"/>
          <w:highlight w:val="white"/>
        </w:rPr>
        <w:t>, (79), pp.13-26.</w:t>
      </w:r>
    </w:p>
    <w:p w14:paraId="71062587" w14:textId="77777777" w:rsidR="00573963" w:rsidRPr="00573963" w:rsidRDefault="00862782" w:rsidP="00573963">
      <w:pPr>
        <w:spacing w:line="360" w:lineRule="auto"/>
        <w:jc w:val="both"/>
        <w:rPr>
          <w:rFonts w:ascii="Times New Roman" w:hAnsi="Times New Roman"/>
          <w:color w:val="000000" w:themeColor="text1"/>
          <w:highlight w:val="white"/>
        </w:rPr>
      </w:pPr>
      <w:r w:rsidRPr="00573963">
        <w:rPr>
          <w:rFonts w:ascii="Times New Roman" w:hAnsi="Times New Roman"/>
          <w:color w:val="000000" w:themeColor="text1"/>
          <w:highlight w:val="white"/>
        </w:rPr>
        <w:t xml:space="preserve">Chalu, H. and Lubawa, G., 2018. Using financial statements to analyze the effects of multiple Borrowings on SMEs financial performance in Tanzania. </w:t>
      </w:r>
      <w:r w:rsidRPr="00573963">
        <w:rPr>
          <w:rFonts w:ascii="Times New Roman" w:hAnsi="Times New Roman"/>
          <w:i/>
          <w:color w:val="000000" w:themeColor="text1"/>
          <w:highlight w:val="white"/>
        </w:rPr>
        <w:t>Inter. J. Res. Methodol. Soc. Sci</w:t>
      </w:r>
      <w:r w:rsidRPr="00573963">
        <w:rPr>
          <w:rFonts w:ascii="Times New Roman" w:hAnsi="Times New Roman"/>
          <w:color w:val="000000" w:themeColor="text1"/>
          <w:highlight w:val="white"/>
        </w:rPr>
        <w:t xml:space="preserve">, </w:t>
      </w:r>
      <w:r w:rsidRPr="00573963">
        <w:rPr>
          <w:rFonts w:ascii="Times New Roman" w:hAnsi="Times New Roman"/>
          <w:i/>
          <w:color w:val="000000" w:themeColor="text1"/>
          <w:highlight w:val="white"/>
        </w:rPr>
        <w:t>1</w:t>
      </w:r>
      <w:r w:rsidRPr="00573963">
        <w:rPr>
          <w:rFonts w:ascii="Times New Roman" w:hAnsi="Times New Roman"/>
          <w:color w:val="000000" w:themeColor="text1"/>
          <w:highlight w:val="white"/>
        </w:rPr>
        <w:t>(4), pp.87-107.</w:t>
      </w:r>
    </w:p>
    <w:p w14:paraId="13DAA102" w14:textId="77777777" w:rsidR="00573963" w:rsidRPr="00573963" w:rsidRDefault="00862782" w:rsidP="00573963">
      <w:pPr>
        <w:spacing w:line="360" w:lineRule="auto"/>
        <w:jc w:val="both"/>
        <w:rPr>
          <w:rFonts w:ascii="Times New Roman" w:hAnsi="Times New Roman"/>
          <w:color w:val="000000" w:themeColor="text1"/>
          <w:highlight w:val="white"/>
        </w:rPr>
      </w:pPr>
      <w:r w:rsidRPr="00573963">
        <w:rPr>
          <w:rFonts w:ascii="Times New Roman" w:hAnsi="Times New Roman"/>
          <w:color w:val="000000" w:themeColor="text1"/>
          <w:highlight w:val="white"/>
        </w:rPr>
        <w:t xml:space="preserve">Naseem, M.A., Xiaoming, S., Riaz, S. and Rehman, R.U., 2017. Board attributes and financial performance: the evidence from an emerging economy. </w:t>
      </w:r>
      <w:r w:rsidRPr="00573963">
        <w:rPr>
          <w:rFonts w:ascii="Times New Roman" w:hAnsi="Times New Roman"/>
          <w:i/>
          <w:color w:val="000000" w:themeColor="text1"/>
          <w:highlight w:val="white"/>
        </w:rPr>
        <w:t>The journal of developing areas</w:t>
      </w:r>
      <w:r w:rsidRPr="00573963">
        <w:rPr>
          <w:rFonts w:ascii="Times New Roman" w:hAnsi="Times New Roman"/>
          <w:color w:val="000000" w:themeColor="text1"/>
          <w:highlight w:val="white"/>
        </w:rPr>
        <w:t xml:space="preserve">, </w:t>
      </w:r>
      <w:r w:rsidRPr="00573963">
        <w:rPr>
          <w:rFonts w:ascii="Times New Roman" w:hAnsi="Times New Roman"/>
          <w:i/>
          <w:color w:val="000000" w:themeColor="text1"/>
          <w:highlight w:val="white"/>
        </w:rPr>
        <w:t>51</w:t>
      </w:r>
      <w:r w:rsidRPr="00573963">
        <w:rPr>
          <w:rFonts w:ascii="Times New Roman" w:hAnsi="Times New Roman"/>
          <w:color w:val="000000" w:themeColor="text1"/>
          <w:highlight w:val="white"/>
        </w:rPr>
        <w:t>(3), pp.281-297.</w:t>
      </w:r>
    </w:p>
    <w:p w14:paraId="3205FED8"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2B0E7F82"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663E6C4D"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03CDAA28"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04056E64"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5F68AC19"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4D9F16A5"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6B34906E"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5A95B9A8"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3D0038E0" w14:textId="77777777" w:rsidR="00CD1F7E" w:rsidRPr="00573963" w:rsidRDefault="00CD1F7E" w:rsidP="00573963">
      <w:pPr>
        <w:spacing w:line="360" w:lineRule="auto"/>
        <w:jc w:val="both"/>
        <w:rPr>
          <w:rFonts w:ascii="Times New Roman" w:eastAsia="Times New Roman" w:hAnsi="Times New Roman"/>
          <w:color w:val="000000" w:themeColor="text1"/>
        </w:rPr>
      </w:pPr>
    </w:p>
    <w:p w14:paraId="4C92B0DB" w14:textId="77777777" w:rsidR="00CD1F7E" w:rsidRPr="00573963" w:rsidRDefault="00CD1F7E" w:rsidP="00573963">
      <w:pPr>
        <w:spacing w:line="360" w:lineRule="auto"/>
        <w:jc w:val="both"/>
        <w:rPr>
          <w:rFonts w:ascii="Times New Roman" w:eastAsia="Times New Roman" w:hAnsi="Times New Roman"/>
          <w:color w:val="000000" w:themeColor="text1"/>
        </w:rPr>
      </w:pPr>
    </w:p>
    <w:sectPr w:rsidR="00CD1F7E" w:rsidRPr="00573963" w:rsidSect="00573963">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0440E" w14:textId="77777777" w:rsidR="00862782" w:rsidRDefault="00862782">
      <w:r>
        <w:separator/>
      </w:r>
    </w:p>
  </w:endnote>
  <w:endnote w:type="continuationSeparator" w:id="0">
    <w:p w14:paraId="2B8E5602" w14:textId="77777777" w:rsidR="00862782" w:rsidRDefault="00862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48098412"/>
      <w:docPartObj>
        <w:docPartGallery w:val="Page Numbers (Bottom of Page)"/>
        <w:docPartUnique/>
      </w:docPartObj>
    </w:sdtPr>
    <w:sdtEndPr/>
    <w:sdtContent>
      <w:sdt>
        <w:sdtPr>
          <w:id w:val="-1769616900"/>
          <w:docPartObj>
            <w:docPartGallery w:val="Page Numbers (Top of Page)"/>
            <w:docPartUnique/>
          </w:docPartObj>
        </w:sdtPr>
        <w:sdtEndPr/>
        <w:sdtContent>
          <w:p w14:paraId="08C79CA0" w14:textId="132676CC" w:rsidR="00EE3CC4" w:rsidRDefault="00EE3CC4">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81DC662" w14:textId="77777777" w:rsidR="00573963" w:rsidRDefault="00573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391975" w14:textId="77777777" w:rsidR="00862782" w:rsidRDefault="00862782">
      <w:r>
        <w:separator/>
      </w:r>
    </w:p>
  </w:footnote>
  <w:footnote w:type="continuationSeparator" w:id="0">
    <w:p w14:paraId="0DD5B936" w14:textId="77777777" w:rsidR="00862782" w:rsidRDefault="008627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3tbA0sDC0MDY0NLdQ0lEKTi0uzszPAykwrAUAK7bgTywAAAA="/>
  </w:docVars>
  <w:rsids>
    <w:rsidRoot w:val="00CD1F7E"/>
    <w:rsid w:val="001171FF"/>
    <w:rsid w:val="00136AB7"/>
    <w:rsid w:val="0014776B"/>
    <w:rsid w:val="001F1C2F"/>
    <w:rsid w:val="00306F8B"/>
    <w:rsid w:val="00551D87"/>
    <w:rsid w:val="00573963"/>
    <w:rsid w:val="0062688B"/>
    <w:rsid w:val="007D776F"/>
    <w:rsid w:val="008361F2"/>
    <w:rsid w:val="00862782"/>
    <w:rsid w:val="00904C51"/>
    <w:rsid w:val="00A26DCA"/>
    <w:rsid w:val="00A528C7"/>
    <w:rsid w:val="00AA62C6"/>
    <w:rsid w:val="00B80139"/>
    <w:rsid w:val="00BC7AD6"/>
    <w:rsid w:val="00C871D3"/>
    <w:rsid w:val="00CD1F7E"/>
    <w:rsid w:val="00CF6EF4"/>
    <w:rsid w:val="00D0557C"/>
    <w:rsid w:val="00E03CBA"/>
    <w:rsid w:val="00EE3C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5C9D0"/>
  <w15:docId w15:val="{61148310-86F1-48D8-9B0C-25326A567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88B"/>
    <w:rPr>
      <w:sz w:val="24"/>
      <w:szCs w:val="24"/>
    </w:rPr>
  </w:style>
  <w:style w:type="paragraph" w:styleId="Heading1">
    <w:name w:val="heading 1"/>
    <w:basedOn w:val="Normal"/>
    <w:next w:val="Normal"/>
    <w:link w:val="Heading1Char"/>
    <w:uiPriority w:val="9"/>
    <w:qFormat/>
    <w:rsid w:val="0062688B"/>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62688B"/>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62688B"/>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62688B"/>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62688B"/>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62688B"/>
    <w:pPr>
      <w:spacing w:before="240" w:after="60"/>
      <w:outlineLvl w:val="5"/>
    </w:pPr>
    <w:rPr>
      <w:rFonts w:cstheme="majorBidi"/>
      <w:b/>
      <w:bCs/>
      <w:sz w:val="22"/>
      <w:szCs w:val="22"/>
    </w:rPr>
  </w:style>
  <w:style w:type="paragraph" w:styleId="Heading7">
    <w:name w:val="heading 7"/>
    <w:basedOn w:val="Normal"/>
    <w:next w:val="Normal"/>
    <w:link w:val="Heading7Char"/>
    <w:uiPriority w:val="9"/>
    <w:semiHidden/>
    <w:unhideWhenUsed/>
    <w:qFormat/>
    <w:rsid w:val="0062688B"/>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62688B"/>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62688B"/>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2688B"/>
    <w:pPr>
      <w:spacing w:before="240" w:after="60"/>
      <w:jc w:val="center"/>
      <w:outlineLvl w:val="0"/>
    </w:pPr>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62688B"/>
    <w:pPr>
      <w:spacing w:after="60"/>
      <w:jc w:val="center"/>
      <w:outlineLvl w:val="1"/>
    </w:pPr>
    <w:rPr>
      <w:rFonts w:asciiTheme="majorHAnsi" w:eastAsiaTheme="majorEastAsia" w:hAnsiTheme="majorHAnsi" w:cstheme="majorBidi"/>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customStyle="1" w:styleId="Normal1">
    <w:name w:val="Normal1"/>
    <w:rsid w:val="00573963"/>
    <w:rPr>
      <w:lang w:val="en-IN" w:eastAsia="en-US"/>
    </w:rPr>
  </w:style>
  <w:style w:type="paragraph" w:styleId="Header">
    <w:name w:val="header"/>
    <w:basedOn w:val="Normal"/>
    <w:link w:val="HeaderChar"/>
    <w:uiPriority w:val="99"/>
    <w:unhideWhenUsed/>
    <w:rsid w:val="00573963"/>
    <w:pPr>
      <w:tabs>
        <w:tab w:val="center" w:pos="4513"/>
        <w:tab w:val="right" w:pos="9026"/>
      </w:tabs>
    </w:pPr>
  </w:style>
  <w:style w:type="character" w:customStyle="1" w:styleId="HeaderChar">
    <w:name w:val="Header Char"/>
    <w:basedOn w:val="DefaultParagraphFont"/>
    <w:link w:val="Header"/>
    <w:uiPriority w:val="99"/>
    <w:rsid w:val="00573963"/>
  </w:style>
  <w:style w:type="paragraph" w:styleId="Footer">
    <w:name w:val="footer"/>
    <w:basedOn w:val="Normal"/>
    <w:link w:val="FooterChar"/>
    <w:uiPriority w:val="99"/>
    <w:unhideWhenUsed/>
    <w:rsid w:val="00573963"/>
    <w:pPr>
      <w:tabs>
        <w:tab w:val="center" w:pos="4513"/>
        <w:tab w:val="right" w:pos="9026"/>
      </w:tabs>
    </w:pPr>
  </w:style>
  <w:style w:type="character" w:customStyle="1" w:styleId="FooterChar">
    <w:name w:val="Footer Char"/>
    <w:basedOn w:val="DefaultParagraphFont"/>
    <w:link w:val="Footer"/>
    <w:uiPriority w:val="99"/>
    <w:rsid w:val="00573963"/>
  </w:style>
  <w:style w:type="paragraph" w:styleId="TOCHeading">
    <w:name w:val="TOC Heading"/>
    <w:basedOn w:val="Heading1"/>
    <w:next w:val="Normal"/>
    <w:uiPriority w:val="39"/>
    <w:unhideWhenUsed/>
    <w:qFormat/>
    <w:rsid w:val="0062688B"/>
    <w:pPr>
      <w:outlineLvl w:val="9"/>
    </w:pPr>
  </w:style>
  <w:style w:type="paragraph" w:styleId="TOC1">
    <w:name w:val="toc 1"/>
    <w:basedOn w:val="Normal"/>
    <w:next w:val="Normal"/>
    <w:autoRedefine/>
    <w:uiPriority w:val="39"/>
    <w:unhideWhenUsed/>
    <w:rsid w:val="0014776B"/>
    <w:pPr>
      <w:spacing w:after="100"/>
    </w:pPr>
  </w:style>
  <w:style w:type="character" w:styleId="Hyperlink">
    <w:name w:val="Hyperlink"/>
    <w:basedOn w:val="DefaultParagraphFont"/>
    <w:uiPriority w:val="99"/>
    <w:unhideWhenUsed/>
    <w:rsid w:val="0014776B"/>
    <w:rPr>
      <w:color w:val="0000FF" w:themeColor="hyperlink"/>
      <w:u w:val="single"/>
    </w:rPr>
  </w:style>
  <w:style w:type="character" w:customStyle="1" w:styleId="Heading1Char">
    <w:name w:val="Heading 1 Char"/>
    <w:basedOn w:val="DefaultParagraphFont"/>
    <w:link w:val="Heading1"/>
    <w:uiPriority w:val="9"/>
    <w:rsid w:val="0062688B"/>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62688B"/>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62688B"/>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62688B"/>
    <w:rPr>
      <w:rFonts w:cstheme="majorBidi"/>
      <w:b/>
      <w:bCs/>
      <w:sz w:val="28"/>
      <w:szCs w:val="28"/>
    </w:rPr>
  </w:style>
  <w:style w:type="character" w:customStyle="1" w:styleId="Heading5Char">
    <w:name w:val="Heading 5 Char"/>
    <w:basedOn w:val="DefaultParagraphFont"/>
    <w:link w:val="Heading5"/>
    <w:uiPriority w:val="9"/>
    <w:semiHidden/>
    <w:rsid w:val="0062688B"/>
    <w:rPr>
      <w:rFonts w:cstheme="majorBidi"/>
      <w:b/>
      <w:bCs/>
      <w:i/>
      <w:iCs/>
      <w:sz w:val="26"/>
      <w:szCs w:val="26"/>
    </w:rPr>
  </w:style>
  <w:style w:type="character" w:customStyle="1" w:styleId="Heading6Char">
    <w:name w:val="Heading 6 Char"/>
    <w:basedOn w:val="DefaultParagraphFont"/>
    <w:link w:val="Heading6"/>
    <w:uiPriority w:val="9"/>
    <w:semiHidden/>
    <w:rsid w:val="0062688B"/>
    <w:rPr>
      <w:rFonts w:cstheme="majorBidi"/>
      <w:b/>
      <w:bCs/>
    </w:rPr>
  </w:style>
  <w:style w:type="character" w:customStyle="1" w:styleId="Heading7Char">
    <w:name w:val="Heading 7 Char"/>
    <w:basedOn w:val="DefaultParagraphFont"/>
    <w:link w:val="Heading7"/>
    <w:uiPriority w:val="9"/>
    <w:semiHidden/>
    <w:rsid w:val="0062688B"/>
    <w:rPr>
      <w:rFonts w:cstheme="majorBidi"/>
      <w:sz w:val="24"/>
      <w:szCs w:val="24"/>
    </w:rPr>
  </w:style>
  <w:style w:type="character" w:customStyle="1" w:styleId="Heading8Char">
    <w:name w:val="Heading 8 Char"/>
    <w:basedOn w:val="DefaultParagraphFont"/>
    <w:link w:val="Heading8"/>
    <w:uiPriority w:val="9"/>
    <w:semiHidden/>
    <w:rsid w:val="0062688B"/>
    <w:rPr>
      <w:rFonts w:cstheme="majorBidi"/>
      <w:i/>
      <w:iCs/>
      <w:sz w:val="24"/>
      <w:szCs w:val="24"/>
    </w:rPr>
  </w:style>
  <w:style w:type="character" w:customStyle="1" w:styleId="Heading9Char">
    <w:name w:val="Heading 9 Char"/>
    <w:basedOn w:val="DefaultParagraphFont"/>
    <w:link w:val="Heading9"/>
    <w:uiPriority w:val="9"/>
    <w:semiHidden/>
    <w:rsid w:val="0062688B"/>
    <w:rPr>
      <w:rFonts w:asciiTheme="majorHAnsi" w:eastAsiaTheme="majorEastAsia" w:hAnsiTheme="majorHAnsi" w:cstheme="majorBidi"/>
    </w:rPr>
  </w:style>
  <w:style w:type="paragraph" w:styleId="Caption">
    <w:name w:val="caption"/>
    <w:basedOn w:val="Normal"/>
    <w:next w:val="Normal"/>
    <w:uiPriority w:val="35"/>
    <w:semiHidden/>
    <w:unhideWhenUsed/>
    <w:rsid w:val="0062688B"/>
    <w:rPr>
      <w:b/>
      <w:bCs/>
      <w:color w:val="4F81BD" w:themeColor="accent1"/>
      <w:sz w:val="18"/>
      <w:szCs w:val="18"/>
    </w:rPr>
  </w:style>
  <w:style w:type="character" w:customStyle="1" w:styleId="TitleChar">
    <w:name w:val="Title Char"/>
    <w:basedOn w:val="DefaultParagraphFont"/>
    <w:link w:val="Title"/>
    <w:uiPriority w:val="10"/>
    <w:rsid w:val="0062688B"/>
    <w:rPr>
      <w:rFonts w:asciiTheme="majorHAnsi" w:eastAsiaTheme="majorEastAsia" w:hAnsiTheme="majorHAnsi" w:cstheme="majorBidi"/>
      <w:b/>
      <w:bCs/>
      <w:kern w:val="28"/>
      <w:sz w:val="32"/>
      <w:szCs w:val="32"/>
    </w:rPr>
  </w:style>
  <w:style w:type="character" w:customStyle="1" w:styleId="SubtitleChar">
    <w:name w:val="Subtitle Char"/>
    <w:basedOn w:val="DefaultParagraphFont"/>
    <w:link w:val="Subtitle"/>
    <w:uiPriority w:val="11"/>
    <w:rsid w:val="0062688B"/>
    <w:rPr>
      <w:rFonts w:asciiTheme="majorHAnsi" w:eastAsiaTheme="majorEastAsia" w:hAnsiTheme="majorHAnsi" w:cstheme="majorBidi"/>
      <w:sz w:val="24"/>
      <w:szCs w:val="24"/>
    </w:rPr>
  </w:style>
  <w:style w:type="character" w:styleId="Strong">
    <w:name w:val="Strong"/>
    <w:basedOn w:val="DefaultParagraphFont"/>
    <w:uiPriority w:val="22"/>
    <w:qFormat/>
    <w:rsid w:val="0062688B"/>
    <w:rPr>
      <w:b/>
      <w:bCs/>
    </w:rPr>
  </w:style>
  <w:style w:type="character" w:styleId="Emphasis">
    <w:name w:val="Emphasis"/>
    <w:basedOn w:val="DefaultParagraphFont"/>
    <w:uiPriority w:val="20"/>
    <w:qFormat/>
    <w:rsid w:val="0062688B"/>
    <w:rPr>
      <w:rFonts w:asciiTheme="minorHAnsi" w:hAnsiTheme="minorHAnsi"/>
      <w:b/>
      <w:i/>
      <w:iCs/>
    </w:rPr>
  </w:style>
  <w:style w:type="paragraph" w:styleId="NoSpacing">
    <w:name w:val="No Spacing"/>
    <w:basedOn w:val="Normal"/>
    <w:uiPriority w:val="1"/>
    <w:qFormat/>
    <w:rsid w:val="0062688B"/>
    <w:rPr>
      <w:szCs w:val="32"/>
    </w:rPr>
  </w:style>
  <w:style w:type="paragraph" w:styleId="Quote">
    <w:name w:val="Quote"/>
    <w:basedOn w:val="Normal"/>
    <w:next w:val="Normal"/>
    <w:link w:val="QuoteChar"/>
    <w:uiPriority w:val="29"/>
    <w:qFormat/>
    <w:rsid w:val="0062688B"/>
    <w:rPr>
      <w:i/>
    </w:rPr>
  </w:style>
  <w:style w:type="character" w:customStyle="1" w:styleId="QuoteChar">
    <w:name w:val="Quote Char"/>
    <w:basedOn w:val="DefaultParagraphFont"/>
    <w:link w:val="Quote"/>
    <w:uiPriority w:val="29"/>
    <w:rsid w:val="0062688B"/>
    <w:rPr>
      <w:i/>
      <w:sz w:val="24"/>
      <w:szCs w:val="24"/>
    </w:rPr>
  </w:style>
  <w:style w:type="paragraph" w:styleId="IntenseQuote">
    <w:name w:val="Intense Quote"/>
    <w:basedOn w:val="Normal"/>
    <w:next w:val="Normal"/>
    <w:link w:val="IntenseQuoteChar"/>
    <w:uiPriority w:val="30"/>
    <w:qFormat/>
    <w:rsid w:val="0062688B"/>
    <w:pPr>
      <w:ind w:left="720" w:right="720"/>
    </w:pPr>
    <w:rPr>
      <w:b/>
      <w:i/>
      <w:szCs w:val="22"/>
    </w:rPr>
  </w:style>
  <w:style w:type="character" w:customStyle="1" w:styleId="IntenseQuoteChar">
    <w:name w:val="Intense Quote Char"/>
    <w:basedOn w:val="DefaultParagraphFont"/>
    <w:link w:val="IntenseQuote"/>
    <w:uiPriority w:val="30"/>
    <w:rsid w:val="0062688B"/>
    <w:rPr>
      <w:b/>
      <w:i/>
      <w:sz w:val="24"/>
    </w:rPr>
  </w:style>
  <w:style w:type="character" w:styleId="SubtleEmphasis">
    <w:name w:val="Subtle Emphasis"/>
    <w:uiPriority w:val="19"/>
    <w:qFormat/>
    <w:rsid w:val="0062688B"/>
    <w:rPr>
      <w:i/>
      <w:color w:val="5A5A5A" w:themeColor="text1" w:themeTint="A5"/>
    </w:rPr>
  </w:style>
  <w:style w:type="character" w:styleId="IntenseEmphasis">
    <w:name w:val="Intense Emphasis"/>
    <w:basedOn w:val="DefaultParagraphFont"/>
    <w:uiPriority w:val="21"/>
    <w:qFormat/>
    <w:rsid w:val="0062688B"/>
    <w:rPr>
      <w:b/>
      <w:i/>
      <w:sz w:val="24"/>
      <w:szCs w:val="24"/>
      <w:u w:val="single"/>
    </w:rPr>
  </w:style>
  <w:style w:type="character" w:styleId="SubtleReference">
    <w:name w:val="Subtle Reference"/>
    <w:basedOn w:val="DefaultParagraphFont"/>
    <w:uiPriority w:val="31"/>
    <w:qFormat/>
    <w:rsid w:val="0062688B"/>
    <w:rPr>
      <w:sz w:val="24"/>
      <w:szCs w:val="24"/>
      <w:u w:val="single"/>
    </w:rPr>
  </w:style>
  <w:style w:type="character" w:styleId="IntenseReference">
    <w:name w:val="Intense Reference"/>
    <w:basedOn w:val="DefaultParagraphFont"/>
    <w:uiPriority w:val="32"/>
    <w:qFormat/>
    <w:rsid w:val="0062688B"/>
    <w:rPr>
      <w:b/>
      <w:sz w:val="24"/>
      <w:u w:val="single"/>
    </w:rPr>
  </w:style>
  <w:style w:type="character" w:styleId="BookTitle">
    <w:name w:val="Book Title"/>
    <w:basedOn w:val="DefaultParagraphFont"/>
    <w:uiPriority w:val="33"/>
    <w:qFormat/>
    <w:rsid w:val="0062688B"/>
    <w:rPr>
      <w:rFonts w:asciiTheme="majorHAnsi" w:eastAsiaTheme="majorEastAsia" w:hAnsiTheme="majorHAnsi"/>
      <w:b/>
      <w:i/>
      <w:sz w:val="24"/>
      <w:szCs w:val="24"/>
    </w:rPr>
  </w:style>
  <w:style w:type="paragraph" w:styleId="ListParagraph">
    <w:name w:val="List Paragraph"/>
    <w:basedOn w:val="Normal"/>
    <w:uiPriority w:val="34"/>
    <w:qFormat/>
    <w:rsid w:val="006268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C4029-A433-4F2E-8A24-3CAE1EB4A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1313</Words>
  <Characters>7489</Characters>
  <Application>Microsoft Office Word</Application>
  <DocSecurity>0</DocSecurity>
  <Lines>62</Lines>
  <Paragraphs>17</Paragraphs>
  <ScaleCrop>false</ScaleCrop>
  <Company/>
  <LinksUpToDate>false</LinksUpToDate>
  <CharactersWithSpaces>8785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 Cașu</dc:creator>
  <cp:lastModifiedBy>Marin Cașu</cp:lastModifiedBy>
  <cp:revision>17</cp:revision>
  <dcterms:created xsi:type="dcterms:W3CDTF">2020-11-13T17:22:00Z</dcterms:created>
  <dcterms:modified xsi:type="dcterms:W3CDTF">2020-11-13T17:54:00Z</dcterms:modified>
</cp:coreProperties>
</file>