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5A898" w14:textId="77777777" w:rsidR="0063339B" w:rsidRDefault="0063339B" w:rsidP="0063339B">
      <w:pPr>
        <w:pStyle w:val="NormalWeb"/>
        <w:jc w:val="center"/>
        <w:rPr>
          <w:rStyle w:val="Strong"/>
          <w:sz w:val="28"/>
        </w:rPr>
      </w:pPr>
      <w:r w:rsidRPr="0063339B">
        <w:rPr>
          <w:rStyle w:val="Strong"/>
          <w:sz w:val="28"/>
        </w:rPr>
        <w:t>Understanding the Importance of Stakeholder Engagement in the Successful Design and Implementation of the StaySmart+ Project at Marriott International</w:t>
      </w:r>
    </w:p>
    <w:p w14:paraId="3C81A5E9" w14:textId="77777777" w:rsidR="0063339B" w:rsidRDefault="0063339B" w:rsidP="0063339B">
      <w:pPr>
        <w:pStyle w:val="NormalWeb"/>
        <w:jc w:val="center"/>
        <w:rPr>
          <w:rStyle w:val="Strong"/>
          <w:sz w:val="28"/>
        </w:rPr>
      </w:pPr>
    </w:p>
    <w:p w14:paraId="54C6BB8D" w14:textId="77777777" w:rsidR="0063339B" w:rsidRDefault="0063339B" w:rsidP="0063339B">
      <w:pPr>
        <w:pStyle w:val="NormalWeb"/>
        <w:jc w:val="center"/>
        <w:rPr>
          <w:rStyle w:val="Strong"/>
          <w:sz w:val="28"/>
        </w:rPr>
      </w:pPr>
    </w:p>
    <w:p w14:paraId="6715FD3E" w14:textId="77777777" w:rsidR="0063339B" w:rsidRDefault="0063339B" w:rsidP="0063339B">
      <w:pPr>
        <w:pStyle w:val="NormalWeb"/>
        <w:jc w:val="center"/>
        <w:rPr>
          <w:rStyle w:val="Strong"/>
          <w:sz w:val="28"/>
        </w:rPr>
      </w:pPr>
    </w:p>
    <w:p w14:paraId="51A11860" w14:textId="77777777" w:rsidR="0063339B" w:rsidRDefault="0063339B" w:rsidP="0063339B">
      <w:pPr>
        <w:pStyle w:val="NormalWeb"/>
        <w:jc w:val="center"/>
        <w:rPr>
          <w:rStyle w:val="Strong"/>
          <w:sz w:val="28"/>
        </w:rPr>
      </w:pPr>
    </w:p>
    <w:p w14:paraId="2C310773" w14:textId="77777777" w:rsidR="0063339B" w:rsidRDefault="0063339B" w:rsidP="0063339B">
      <w:pPr>
        <w:pStyle w:val="NormalWeb"/>
        <w:jc w:val="center"/>
        <w:rPr>
          <w:rStyle w:val="Strong"/>
          <w:sz w:val="28"/>
        </w:rPr>
      </w:pPr>
    </w:p>
    <w:p w14:paraId="6FF781D1" w14:textId="77777777" w:rsidR="009E4FCA" w:rsidRDefault="009E4FCA" w:rsidP="009E4FCA"/>
    <w:p w14:paraId="053C343A" w14:textId="77777777" w:rsidR="009E4FCA" w:rsidRPr="00947CDA" w:rsidRDefault="009E4FCA" w:rsidP="009E4FCA">
      <w:pPr>
        <w:ind w:left="360"/>
        <w:rPr>
          <w:rFonts w:ascii="Times New Roman" w:hAnsi="Times New Roman" w:cs="Times New Roman"/>
          <w:sz w:val="28"/>
        </w:rPr>
      </w:pPr>
      <w:r w:rsidRPr="00947CDA">
        <w:rPr>
          <w:rFonts w:ascii="Times New Roman" w:hAnsi="Times New Roman" w:cs="Times New Roman"/>
          <w:b/>
          <w:sz w:val="28"/>
        </w:rPr>
        <w:t xml:space="preserve">Student Name: </w:t>
      </w:r>
      <w:r w:rsidRPr="00947CDA">
        <w:rPr>
          <w:rFonts w:ascii="Times New Roman" w:hAnsi="Times New Roman" w:cs="Times New Roman"/>
          <w:sz w:val="28"/>
        </w:rPr>
        <w:t>Mohammed shahnawaz afzal</w:t>
      </w:r>
    </w:p>
    <w:p w14:paraId="71AC4DF0" w14:textId="77777777" w:rsidR="009E4FCA" w:rsidRPr="00947CDA" w:rsidRDefault="009E4FCA" w:rsidP="009E4FCA">
      <w:pPr>
        <w:ind w:left="360"/>
        <w:rPr>
          <w:rFonts w:ascii="Times New Roman" w:hAnsi="Times New Roman" w:cs="Times New Roman"/>
          <w:b/>
          <w:sz w:val="28"/>
        </w:rPr>
      </w:pPr>
      <w:r w:rsidRPr="00947CDA">
        <w:rPr>
          <w:rFonts w:ascii="Times New Roman" w:hAnsi="Times New Roman" w:cs="Times New Roman"/>
          <w:b/>
          <w:sz w:val="28"/>
        </w:rPr>
        <w:t xml:space="preserve">Student Number: </w:t>
      </w:r>
      <w:r w:rsidRPr="00947CDA">
        <w:rPr>
          <w:rFonts w:ascii="Times New Roman" w:hAnsi="Times New Roman" w:cs="Times New Roman"/>
          <w:sz w:val="28"/>
        </w:rPr>
        <w:t xml:space="preserve">2424009 </w:t>
      </w:r>
    </w:p>
    <w:p w14:paraId="7A36EB37" w14:textId="77777777" w:rsidR="0063339B" w:rsidRDefault="0063339B" w:rsidP="0063339B">
      <w:pPr>
        <w:pStyle w:val="NormalWeb"/>
        <w:jc w:val="center"/>
        <w:rPr>
          <w:rStyle w:val="Strong"/>
          <w:sz w:val="28"/>
        </w:rPr>
      </w:pPr>
    </w:p>
    <w:p w14:paraId="27EAA6ED" w14:textId="77777777" w:rsidR="0063339B" w:rsidRDefault="0063339B" w:rsidP="0063339B">
      <w:pPr>
        <w:pStyle w:val="NormalWeb"/>
        <w:jc w:val="center"/>
        <w:rPr>
          <w:rStyle w:val="Strong"/>
          <w:sz w:val="28"/>
        </w:rPr>
      </w:pPr>
    </w:p>
    <w:p w14:paraId="70129502" w14:textId="77777777" w:rsidR="0063339B" w:rsidRDefault="0063339B" w:rsidP="0063339B">
      <w:pPr>
        <w:pStyle w:val="NormalWeb"/>
        <w:jc w:val="center"/>
        <w:rPr>
          <w:rStyle w:val="Strong"/>
          <w:sz w:val="28"/>
        </w:rPr>
      </w:pPr>
    </w:p>
    <w:p w14:paraId="13EB4F70" w14:textId="77777777" w:rsidR="0063339B" w:rsidRDefault="0063339B" w:rsidP="0063339B">
      <w:pPr>
        <w:pStyle w:val="NormalWeb"/>
        <w:jc w:val="center"/>
        <w:rPr>
          <w:rStyle w:val="Strong"/>
          <w:sz w:val="28"/>
        </w:rPr>
      </w:pPr>
    </w:p>
    <w:p w14:paraId="455329C5" w14:textId="77777777" w:rsidR="0063339B" w:rsidRDefault="0063339B" w:rsidP="0063339B">
      <w:pPr>
        <w:pStyle w:val="NormalWeb"/>
        <w:jc w:val="center"/>
        <w:rPr>
          <w:rStyle w:val="Strong"/>
          <w:sz w:val="28"/>
        </w:rPr>
      </w:pPr>
    </w:p>
    <w:p w14:paraId="2276393E" w14:textId="77777777" w:rsidR="0063339B" w:rsidRDefault="0063339B" w:rsidP="0063339B">
      <w:pPr>
        <w:pStyle w:val="NormalWeb"/>
        <w:jc w:val="center"/>
        <w:rPr>
          <w:rStyle w:val="Strong"/>
          <w:sz w:val="28"/>
        </w:rPr>
      </w:pPr>
    </w:p>
    <w:p w14:paraId="2C7ECEB9" w14:textId="77777777" w:rsidR="0063339B" w:rsidRDefault="0063339B" w:rsidP="0063339B">
      <w:pPr>
        <w:pStyle w:val="NormalWeb"/>
        <w:jc w:val="center"/>
        <w:rPr>
          <w:rStyle w:val="Strong"/>
          <w:sz w:val="28"/>
        </w:rPr>
      </w:pPr>
    </w:p>
    <w:p w14:paraId="17CD68D3" w14:textId="77777777" w:rsidR="0063339B" w:rsidRDefault="0063339B" w:rsidP="0063339B">
      <w:pPr>
        <w:pStyle w:val="NormalWeb"/>
        <w:jc w:val="center"/>
        <w:rPr>
          <w:rStyle w:val="Strong"/>
          <w:sz w:val="28"/>
        </w:rPr>
      </w:pPr>
    </w:p>
    <w:p w14:paraId="3E3B236B" w14:textId="77777777" w:rsidR="0063339B" w:rsidRDefault="0063339B" w:rsidP="0063339B">
      <w:pPr>
        <w:pStyle w:val="NormalWeb"/>
        <w:jc w:val="center"/>
        <w:rPr>
          <w:rStyle w:val="Strong"/>
          <w:sz w:val="28"/>
        </w:rPr>
      </w:pPr>
    </w:p>
    <w:p w14:paraId="7DCAA59F" w14:textId="77777777" w:rsidR="0063339B" w:rsidRDefault="0063339B" w:rsidP="0063339B">
      <w:pPr>
        <w:pStyle w:val="NormalWeb"/>
        <w:jc w:val="center"/>
        <w:rPr>
          <w:rStyle w:val="Strong"/>
          <w:sz w:val="28"/>
        </w:rPr>
      </w:pPr>
    </w:p>
    <w:p w14:paraId="6240B839" w14:textId="77777777" w:rsidR="0063339B" w:rsidRDefault="0063339B" w:rsidP="0063339B">
      <w:pPr>
        <w:pStyle w:val="NormalWeb"/>
        <w:jc w:val="center"/>
        <w:rPr>
          <w:rStyle w:val="Strong"/>
          <w:sz w:val="28"/>
        </w:rPr>
      </w:pPr>
    </w:p>
    <w:p w14:paraId="67E85F76" w14:textId="77777777" w:rsidR="0063339B" w:rsidRDefault="0063339B" w:rsidP="0063339B">
      <w:pPr>
        <w:pStyle w:val="NormalWeb"/>
        <w:jc w:val="center"/>
        <w:rPr>
          <w:rStyle w:val="Strong"/>
          <w:sz w:val="28"/>
        </w:rPr>
      </w:pPr>
    </w:p>
    <w:p w14:paraId="58A31C44" w14:textId="77777777" w:rsidR="0063339B" w:rsidRPr="0063339B" w:rsidRDefault="0063339B" w:rsidP="0063339B">
      <w:pPr>
        <w:pStyle w:val="NormalWeb"/>
        <w:jc w:val="center"/>
        <w:rPr>
          <w:sz w:val="28"/>
        </w:rPr>
      </w:pPr>
    </w:p>
    <w:p w14:paraId="048033D9" w14:textId="77777777" w:rsidR="0063339B" w:rsidRDefault="0063339B" w:rsidP="009C1EC1">
      <w:pPr>
        <w:spacing w:before="100" w:beforeAutospacing="1" w:after="100" w:afterAutospacing="1" w:line="276" w:lineRule="auto"/>
        <w:jc w:val="both"/>
        <w:outlineLvl w:val="1"/>
        <w:rPr>
          <w:rFonts w:ascii="Times New Roman" w:eastAsia="Times New Roman" w:hAnsi="Times New Roman" w:cs="Times New Roman"/>
          <w:b/>
          <w:bCs/>
          <w:sz w:val="32"/>
          <w:szCs w:val="24"/>
        </w:rPr>
      </w:pPr>
    </w:p>
    <w:p w14:paraId="4551C8D3" w14:textId="77777777" w:rsidR="009C1EC1" w:rsidRPr="009C1EC1" w:rsidRDefault="009C1EC1" w:rsidP="009C1EC1">
      <w:pPr>
        <w:spacing w:before="100" w:beforeAutospacing="1" w:after="100" w:afterAutospacing="1" w:line="276" w:lineRule="auto"/>
        <w:jc w:val="both"/>
        <w:outlineLvl w:val="1"/>
        <w:rPr>
          <w:rFonts w:ascii="Times New Roman" w:eastAsia="Times New Roman" w:hAnsi="Times New Roman" w:cs="Times New Roman"/>
          <w:b/>
          <w:bCs/>
          <w:sz w:val="32"/>
          <w:szCs w:val="24"/>
        </w:rPr>
      </w:pPr>
      <w:bookmarkStart w:id="0" w:name="_Toc220623799"/>
      <w:r w:rsidRPr="009C1EC1">
        <w:rPr>
          <w:rFonts w:ascii="Times New Roman" w:eastAsia="Times New Roman" w:hAnsi="Times New Roman" w:cs="Times New Roman"/>
          <w:b/>
          <w:bCs/>
          <w:sz w:val="32"/>
          <w:szCs w:val="24"/>
        </w:rPr>
        <w:t>Executive Summary</w:t>
      </w:r>
      <w:bookmarkEnd w:id="0"/>
      <w:r w:rsidRPr="009C1EC1">
        <w:rPr>
          <w:rFonts w:ascii="Times New Roman" w:eastAsia="Times New Roman" w:hAnsi="Times New Roman" w:cs="Times New Roman"/>
          <w:b/>
          <w:bCs/>
          <w:sz w:val="32"/>
          <w:szCs w:val="24"/>
        </w:rPr>
        <w:t xml:space="preserve"> </w:t>
      </w:r>
    </w:p>
    <w:p w14:paraId="6D921AF2" w14:textId="77777777" w:rsidR="009C1EC1" w:rsidRPr="009C1EC1" w:rsidRDefault="009C1EC1" w:rsidP="009C1EC1">
      <w:pPr>
        <w:spacing w:before="100" w:beforeAutospacing="1" w:after="100" w:afterAutospacing="1" w:line="276" w:lineRule="auto"/>
        <w:jc w:val="both"/>
        <w:rPr>
          <w:rFonts w:ascii="Times New Roman" w:eastAsia="Times New Roman" w:hAnsi="Times New Roman" w:cs="Times New Roman"/>
          <w:sz w:val="24"/>
          <w:szCs w:val="24"/>
        </w:rPr>
      </w:pPr>
      <w:r w:rsidRPr="009C1EC1">
        <w:rPr>
          <w:rFonts w:ascii="Times New Roman" w:eastAsia="Times New Roman" w:hAnsi="Times New Roman" w:cs="Times New Roman"/>
          <w:sz w:val="24"/>
          <w:szCs w:val="24"/>
        </w:rPr>
        <w:t>The significance of proper stakeholder participation regarding successful design, launch and adoption of the StaySmart+ service in Marriott International is explored in this report. This report is based on the role of structured and strategic stakeholder engagement in assisting the innovations, lessening of risk and advancement of the organisational performance within global hospitality industry. StaySmart+ is a high-end customer experience project to include artificial intelligence-enhanced guest interaction tools, personalised travel planning and amenities focused on sustainability to enhance brand differentiation and operational efficiency.</w:t>
      </w:r>
    </w:p>
    <w:p w14:paraId="19209D05" w14:textId="77777777" w:rsidR="009C1EC1" w:rsidRPr="009C1EC1" w:rsidRDefault="009C1EC1" w:rsidP="009C1EC1">
      <w:pPr>
        <w:spacing w:before="100" w:beforeAutospacing="1" w:after="100" w:afterAutospacing="1" w:line="276" w:lineRule="auto"/>
        <w:jc w:val="both"/>
        <w:rPr>
          <w:rFonts w:ascii="Times New Roman" w:eastAsia="Times New Roman" w:hAnsi="Times New Roman" w:cs="Times New Roman"/>
          <w:sz w:val="24"/>
          <w:szCs w:val="24"/>
        </w:rPr>
      </w:pPr>
      <w:r w:rsidRPr="009C1EC1">
        <w:rPr>
          <w:rFonts w:ascii="Times New Roman" w:eastAsia="Times New Roman" w:hAnsi="Times New Roman" w:cs="Times New Roman"/>
          <w:sz w:val="24"/>
          <w:szCs w:val="24"/>
        </w:rPr>
        <w:t>The report lists the critical internal stakeholders, such as the top leadership, the project management, the IT teams, the operations staff and the marketing and human resources functions, and the external stakeholders, including the customers, AI technology suppliers, the regulators and the local communities. These stakeholders are very different concerning their power, interest and influence and therefore particular engagement strategies are very important. To deal with this complexity, the report uses developed stakeholder engagement models, which are the stakeholder theory by Freeman, the stakeholder power-interest matrix, communication planning systems and responsibility allocation strategies (Freeman, 2010; Mitchell, Agle and Wood, 1997).</w:t>
      </w:r>
    </w:p>
    <w:p w14:paraId="133479E6" w14:textId="77777777" w:rsidR="009C1EC1" w:rsidRPr="009C1EC1" w:rsidRDefault="009C1EC1" w:rsidP="009C1EC1">
      <w:pPr>
        <w:spacing w:before="100" w:beforeAutospacing="1" w:after="100" w:afterAutospacing="1" w:line="276" w:lineRule="auto"/>
        <w:jc w:val="both"/>
        <w:rPr>
          <w:rFonts w:ascii="Times New Roman" w:eastAsia="Times New Roman" w:hAnsi="Times New Roman" w:cs="Times New Roman"/>
          <w:sz w:val="24"/>
          <w:szCs w:val="24"/>
        </w:rPr>
      </w:pPr>
      <w:r w:rsidRPr="009C1EC1">
        <w:rPr>
          <w:rFonts w:ascii="Times New Roman" w:eastAsia="Times New Roman" w:hAnsi="Times New Roman" w:cs="Times New Roman"/>
          <w:sz w:val="24"/>
          <w:szCs w:val="24"/>
        </w:rPr>
        <w:t>The results suggest that the successful stakeholder interaction results in better collaboration, positive customer experience outcomes, and ethical, cultural, data privacy risks reduction involved in adopting AI in the hospitality sector. The report would also extend with strategic suggestions on how the company could enhance communication, entrench ethical AI governance, and maintain long-term stakeholder relationships that would reinforce Marriott International global innovation goals (Law et al., 2025; Bulchand-Gidumal et al., 2024).</w:t>
      </w:r>
    </w:p>
    <w:p w14:paraId="5F351F0E" w14:textId="77777777" w:rsidR="009C1EC1" w:rsidRDefault="009C1EC1" w:rsidP="009C1EC1">
      <w:pPr>
        <w:spacing w:after="0" w:line="276" w:lineRule="auto"/>
        <w:jc w:val="both"/>
        <w:rPr>
          <w:rFonts w:ascii="Times New Roman" w:eastAsia="Times New Roman" w:hAnsi="Times New Roman" w:cs="Times New Roman"/>
          <w:sz w:val="24"/>
          <w:szCs w:val="24"/>
        </w:rPr>
      </w:pPr>
    </w:p>
    <w:p w14:paraId="13F54643" w14:textId="77777777" w:rsidR="0063339B" w:rsidRDefault="0063339B" w:rsidP="009C1EC1">
      <w:pPr>
        <w:spacing w:after="0" w:line="276" w:lineRule="auto"/>
        <w:jc w:val="both"/>
        <w:rPr>
          <w:rFonts w:ascii="Times New Roman" w:eastAsia="Times New Roman" w:hAnsi="Times New Roman" w:cs="Times New Roman"/>
          <w:sz w:val="24"/>
          <w:szCs w:val="24"/>
        </w:rPr>
      </w:pPr>
    </w:p>
    <w:p w14:paraId="43953A94" w14:textId="77777777" w:rsidR="0063339B" w:rsidRDefault="0063339B" w:rsidP="009C1EC1">
      <w:pPr>
        <w:spacing w:after="0" w:line="276" w:lineRule="auto"/>
        <w:jc w:val="both"/>
        <w:rPr>
          <w:rFonts w:ascii="Times New Roman" w:eastAsia="Times New Roman" w:hAnsi="Times New Roman" w:cs="Times New Roman"/>
          <w:sz w:val="24"/>
          <w:szCs w:val="24"/>
        </w:rPr>
      </w:pPr>
    </w:p>
    <w:p w14:paraId="4EF5091F" w14:textId="77777777" w:rsidR="0063339B" w:rsidRDefault="0063339B" w:rsidP="009C1EC1">
      <w:pPr>
        <w:spacing w:after="0" w:line="276" w:lineRule="auto"/>
        <w:jc w:val="both"/>
        <w:rPr>
          <w:rFonts w:ascii="Times New Roman" w:eastAsia="Times New Roman" w:hAnsi="Times New Roman" w:cs="Times New Roman"/>
          <w:sz w:val="24"/>
          <w:szCs w:val="24"/>
        </w:rPr>
      </w:pPr>
    </w:p>
    <w:p w14:paraId="296BBD6F" w14:textId="77777777" w:rsidR="0063339B" w:rsidRDefault="0063339B" w:rsidP="009C1EC1">
      <w:pPr>
        <w:spacing w:after="0" w:line="276" w:lineRule="auto"/>
        <w:jc w:val="both"/>
        <w:rPr>
          <w:rFonts w:ascii="Times New Roman" w:eastAsia="Times New Roman" w:hAnsi="Times New Roman" w:cs="Times New Roman"/>
          <w:sz w:val="24"/>
          <w:szCs w:val="24"/>
        </w:rPr>
      </w:pPr>
    </w:p>
    <w:p w14:paraId="254F16A1" w14:textId="77777777" w:rsidR="0063339B" w:rsidRDefault="0063339B" w:rsidP="009C1EC1">
      <w:pPr>
        <w:spacing w:after="0" w:line="276" w:lineRule="auto"/>
        <w:jc w:val="both"/>
        <w:rPr>
          <w:rFonts w:ascii="Times New Roman" w:eastAsia="Times New Roman" w:hAnsi="Times New Roman" w:cs="Times New Roman"/>
          <w:sz w:val="24"/>
          <w:szCs w:val="24"/>
        </w:rPr>
      </w:pPr>
    </w:p>
    <w:p w14:paraId="6623E704" w14:textId="77777777" w:rsidR="0063339B" w:rsidRDefault="0063339B" w:rsidP="009C1EC1">
      <w:pPr>
        <w:spacing w:after="0" w:line="276" w:lineRule="auto"/>
        <w:jc w:val="both"/>
        <w:rPr>
          <w:rFonts w:ascii="Times New Roman" w:eastAsia="Times New Roman" w:hAnsi="Times New Roman" w:cs="Times New Roman"/>
          <w:sz w:val="24"/>
          <w:szCs w:val="24"/>
        </w:rPr>
      </w:pPr>
    </w:p>
    <w:p w14:paraId="0A627E11"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F8AFE15" w14:textId="77777777" w:rsidR="0063339B" w:rsidRDefault="0063339B" w:rsidP="009C1EC1">
      <w:pPr>
        <w:spacing w:after="0" w:line="276" w:lineRule="auto"/>
        <w:jc w:val="both"/>
        <w:rPr>
          <w:rFonts w:ascii="Times New Roman" w:eastAsia="Times New Roman" w:hAnsi="Times New Roman" w:cs="Times New Roman"/>
          <w:sz w:val="24"/>
          <w:szCs w:val="24"/>
        </w:rPr>
      </w:pPr>
    </w:p>
    <w:p w14:paraId="12425668" w14:textId="77777777" w:rsidR="0063339B" w:rsidRDefault="0063339B" w:rsidP="009C1EC1">
      <w:pPr>
        <w:spacing w:after="0" w:line="276" w:lineRule="auto"/>
        <w:jc w:val="both"/>
        <w:rPr>
          <w:rFonts w:ascii="Times New Roman" w:eastAsia="Times New Roman" w:hAnsi="Times New Roman" w:cs="Times New Roman"/>
          <w:sz w:val="24"/>
          <w:szCs w:val="24"/>
        </w:rPr>
      </w:pPr>
    </w:p>
    <w:p w14:paraId="15F9811E" w14:textId="77777777" w:rsidR="0063339B" w:rsidRDefault="0063339B" w:rsidP="009C1EC1">
      <w:pPr>
        <w:spacing w:after="0" w:line="276" w:lineRule="auto"/>
        <w:jc w:val="both"/>
        <w:rPr>
          <w:rFonts w:ascii="Times New Roman" w:eastAsia="Times New Roman" w:hAnsi="Times New Roman" w:cs="Times New Roman"/>
          <w:sz w:val="24"/>
          <w:szCs w:val="24"/>
        </w:rPr>
      </w:pPr>
    </w:p>
    <w:p w14:paraId="1FDB0B41" w14:textId="77777777" w:rsidR="0063339B" w:rsidRDefault="0063339B" w:rsidP="009C1EC1">
      <w:pPr>
        <w:spacing w:after="0" w:line="276" w:lineRule="auto"/>
        <w:jc w:val="both"/>
        <w:rPr>
          <w:rFonts w:ascii="Times New Roman" w:eastAsia="Times New Roman" w:hAnsi="Times New Roman" w:cs="Times New Roman"/>
          <w:sz w:val="24"/>
          <w:szCs w:val="24"/>
        </w:rPr>
      </w:pPr>
    </w:p>
    <w:p w14:paraId="314B8EA9" w14:textId="77777777" w:rsidR="0063339B" w:rsidRDefault="0063339B" w:rsidP="009C1EC1">
      <w:pPr>
        <w:spacing w:after="0" w:line="276" w:lineRule="auto"/>
        <w:jc w:val="both"/>
        <w:rPr>
          <w:rFonts w:ascii="Times New Roman" w:eastAsia="Times New Roman" w:hAnsi="Times New Roman" w:cs="Times New Roman"/>
          <w:sz w:val="24"/>
          <w:szCs w:val="24"/>
        </w:rPr>
      </w:pPr>
    </w:p>
    <w:p w14:paraId="3AACBF43" w14:textId="77777777" w:rsidR="0063339B" w:rsidRDefault="0063339B" w:rsidP="009C1EC1">
      <w:pPr>
        <w:spacing w:after="0" w:line="276" w:lineRule="auto"/>
        <w:jc w:val="both"/>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rPr>
        <w:id w:val="279384176"/>
        <w:docPartObj>
          <w:docPartGallery w:val="Table of Contents"/>
          <w:docPartUnique/>
        </w:docPartObj>
      </w:sdtPr>
      <w:sdtEndPr>
        <w:rPr>
          <w:b/>
          <w:bCs/>
          <w:noProof/>
        </w:rPr>
      </w:sdtEndPr>
      <w:sdtContent>
        <w:p w14:paraId="10324D54" w14:textId="77777777" w:rsidR="0063339B" w:rsidRDefault="0063339B">
          <w:pPr>
            <w:pStyle w:val="TOCHeading"/>
          </w:pPr>
          <w:r>
            <w:t>Contents</w:t>
          </w:r>
        </w:p>
        <w:p w14:paraId="74CD36C6" w14:textId="77777777" w:rsidR="0063339B" w:rsidRPr="0063339B" w:rsidRDefault="0063339B" w:rsidP="0063339B">
          <w:pPr>
            <w:pStyle w:val="TOC2"/>
            <w:tabs>
              <w:tab w:val="right" w:leader="dot" w:pos="9350"/>
            </w:tabs>
            <w:spacing w:line="276" w:lineRule="auto"/>
            <w:ind w:left="0"/>
            <w:rPr>
              <w:rFonts w:ascii="Times New Roman" w:hAnsi="Times New Roman" w:cs="Times New Roman"/>
              <w:noProof/>
              <w:sz w:val="24"/>
            </w:rPr>
          </w:pPr>
          <w:r>
            <w:fldChar w:fldCharType="begin"/>
          </w:r>
          <w:r>
            <w:instrText xml:space="preserve"> TOC \o "1-3" \h \z \u </w:instrText>
          </w:r>
          <w:r>
            <w:fldChar w:fldCharType="separate"/>
          </w:r>
        </w:p>
        <w:p w14:paraId="7FBB5106"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0" w:history="1">
            <w:r w:rsidRPr="0063339B">
              <w:rPr>
                <w:rStyle w:val="Hyperlink"/>
                <w:rFonts w:ascii="Times New Roman" w:eastAsia="Times New Roman" w:hAnsi="Times New Roman" w:cs="Times New Roman"/>
                <w:noProof/>
                <w:sz w:val="24"/>
              </w:rPr>
              <w:t>1. Introduction to the Company and Project</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_Toc220623800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3</w:t>
            </w:r>
            <w:r w:rsidRPr="0063339B">
              <w:rPr>
                <w:rFonts w:ascii="Times New Roman" w:hAnsi="Times New Roman" w:cs="Times New Roman"/>
                <w:noProof/>
                <w:webHidden/>
                <w:sz w:val="24"/>
              </w:rPr>
              <w:fldChar w:fldCharType="end"/>
            </w:r>
          </w:hyperlink>
        </w:p>
        <w:p w14:paraId="50204033"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1" w:history="1">
            <w:r w:rsidRPr="0063339B">
              <w:rPr>
                <w:rStyle w:val="Hyperlink"/>
                <w:rFonts w:ascii="Times New Roman" w:eastAsia="Times New Roman" w:hAnsi="Times New Roman" w:cs="Times New Roman"/>
                <w:noProof/>
                <w:sz w:val="24"/>
              </w:rPr>
              <w:t>2. Organizational Appraisal (SWOT &amp; PESTLE Analysis)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_Toc220623801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3</w:t>
            </w:r>
            <w:r w:rsidRPr="0063339B">
              <w:rPr>
                <w:rFonts w:ascii="Times New Roman" w:hAnsi="Times New Roman" w:cs="Times New Roman"/>
                <w:noProof/>
                <w:webHidden/>
                <w:sz w:val="24"/>
              </w:rPr>
              <w:fldChar w:fldCharType="end"/>
            </w:r>
          </w:hyperlink>
        </w:p>
        <w:p w14:paraId="004BC976" w14:textId="77777777" w:rsidR="0063339B" w:rsidRPr="0063339B" w:rsidRDefault="0063339B" w:rsidP="0063339B">
          <w:pPr>
            <w:pStyle w:val="TOC2"/>
            <w:tabs>
              <w:tab w:val="right" w:leader="dot" w:pos="9350"/>
            </w:tabs>
            <w:spacing w:line="276" w:lineRule="auto"/>
            <w:rPr>
              <w:rFonts w:ascii="Times New Roman" w:hAnsi="Times New Roman" w:cs="Times New Roman"/>
              <w:noProof/>
              <w:sz w:val="24"/>
            </w:rPr>
          </w:pPr>
          <w:hyperlink w:anchor="_Toc220623802" w:history="1">
            <w:r w:rsidRPr="0063339B">
              <w:rPr>
                <w:rStyle w:val="Hyperlink"/>
                <w:rFonts w:ascii="Times New Roman" w:hAnsi="Times New Roman" w:cs="Times New Roman"/>
                <w:noProof/>
                <w:sz w:val="24"/>
              </w:rPr>
              <w:t>2.1 SWOT Analysis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_Toc220623802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3</w:t>
            </w:r>
            <w:r w:rsidRPr="0063339B">
              <w:rPr>
                <w:rFonts w:ascii="Times New Roman" w:hAnsi="Times New Roman" w:cs="Times New Roman"/>
                <w:noProof/>
                <w:webHidden/>
                <w:sz w:val="24"/>
              </w:rPr>
              <w:fldChar w:fldCharType="end"/>
            </w:r>
          </w:hyperlink>
        </w:p>
        <w:p w14:paraId="767C5AAD" w14:textId="77777777" w:rsidR="0063339B" w:rsidRPr="0063339B" w:rsidRDefault="0063339B" w:rsidP="0063339B">
          <w:pPr>
            <w:pStyle w:val="TOC2"/>
            <w:tabs>
              <w:tab w:val="right" w:leader="dot" w:pos="9350"/>
            </w:tabs>
            <w:spacing w:line="276" w:lineRule="auto"/>
            <w:rPr>
              <w:rFonts w:ascii="Times New Roman" w:hAnsi="Times New Roman" w:cs="Times New Roman"/>
              <w:noProof/>
              <w:sz w:val="24"/>
            </w:rPr>
          </w:pPr>
          <w:hyperlink w:anchor="_Toc220623804" w:history="1">
            <w:r w:rsidRPr="0063339B">
              <w:rPr>
                <w:rStyle w:val="Hyperlink"/>
                <w:rFonts w:ascii="Times New Roman" w:hAnsi="Times New Roman" w:cs="Times New Roman"/>
                <w:noProof/>
                <w:sz w:val="24"/>
              </w:rPr>
              <w:t>2.2 PESTLE Analysis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_Toc220623804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4</w:t>
            </w:r>
            <w:r w:rsidRPr="0063339B">
              <w:rPr>
                <w:rFonts w:ascii="Times New Roman" w:hAnsi="Times New Roman" w:cs="Times New Roman"/>
                <w:noProof/>
                <w:webHidden/>
                <w:sz w:val="24"/>
              </w:rPr>
              <w:fldChar w:fldCharType="end"/>
            </w:r>
          </w:hyperlink>
        </w:p>
        <w:p w14:paraId="1BAFA280"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6" w:history="1">
            <w:r w:rsidRPr="0063339B">
              <w:rPr>
                <w:rStyle w:val="Hyperlink"/>
                <w:rFonts w:ascii="Times New Roman" w:eastAsia="Times New Roman" w:hAnsi="Times New Roman" w:cs="Times New Roman"/>
                <w:noProof/>
                <w:sz w:val="24"/>
              </w:rPr>
              <w:t>3. Identification and Categorization of Stakeholders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_Toc220623806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5</w:t>
            </w:r>
            <w:r w:rsidRPr="0063339B">
              <w:rPr>
                <w:rFonts w:ascii="Times New Roman" w:hAnsi="Times New Roman" w:cs="Times New Roman"/>
                <w:noProof/>
                <w:webHidden/>
                <w:sz w:val="24"/>
              </w:rPr>
              <w:fldChar w:fldCharType="end"/>
            </w:r>
          </w:hyperlink>
        </w:p>
        <w:p w14:paraId="3BF9CFC2"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7" w:history="1">
            <w:r w:rsidRPr="0063339B">
              <w:rPr>
                <w:rStyle w:val="Hyperlink"/>
                <w:rFonts w:ascii="Times New Roman" w:eastAsia="Times New Roman" w:hAnsi="Times New Roman" w:cs="Times New Roman"/>
                <w:noProof/>
                <w:sz w:val="24"/>
              </w:rPr>
              <w:t>4. Roles, Responsibilities, Benefits and Challenges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_Toc220623807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6</w:t>
            </w:r>
            <w:r w:rsidRPr="0063339B">
              <w:rPr>
                <w:rFonts w:ascii="Times New Roman" w:hAnsi="Times New Roman" w:cs="Times New Roman"/>
                <w:noProof/>
                <w:webHidden/>
                <w:sz w:val="24"/>
              </w:rPr>
              <w:fldChar w:fldCharType="end"/>
            </w:r>
          </w:hyperlink>
        </w:p>
        <w:p w14:paraId="79A41559"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8" w:history="1">
            <w:r w:rsidRPr="0063339B">
              <w:rPr>
                <w:rStyle w:val="Hyperlink"/>
                <w:rFonts w:ascii="Times New Roman" w:eastAsia="Times New Roman" w:hAnsi="Times New Roman" w:cs="Times New Roman"/>
                <w:noProof/>
                <w:sz w:val="24"/>
              </w:rPr>
              <w:t>5. Stakeholder Engagement Frameworks and Tools</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_Toc220623808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7</w:t>
            </w:r>
            <w:r w:rsidRPr="0063339B">
              <w:rPr>
                <w:rFonts w:ascii="Times New Roman" w:hAnsi="Times New Roman" w:cs="Times New Roman"/>
                <w:noProof/>
                <w:webHidden/>
                <w:sz w:val="24"/>
              </w:rPr>
              <w:fldChar w:fldCharType="end"/>
            </w:r>
          </w:hyperlink>
        </w:p>
        <w:p w14:paraId="26D3E94D"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09" w:history="1">
            <w:r w:rsidRPr="0063339B">
              <w:rPr>
                <w:rStyle w:val="Hyperlink"/>
                <w:rFonts w:ascii="Times New Roman" w:hAnsi="Times New Roman" w:cs="Times New Roman"/>
                <w:noProof/>
                <w:sz w:val="24"/>
              </w:rPr>
              <w:t>6. Stakeholder Engagement Process and Conflict Management (4C’s Model)</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_Toc220623809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8</w:t>
            </w:r>
            <w:r w:rsidRPr="0063339B">
              <w:rPr>
                <w:rFonts w:ascii="Times New Roman" w:hAnsi="Times New Roman" w:cs="Times New Roman"/>
                <w:noProof/>
                <w:webHidden/>
                <w:sz w:val="24"/>
              </w:rPr>
              <w:fldChar w:fldCharType="end"/>
            </w:r>
          </w:hyperlink>
        </w:p>
        <w:p w14:paraId="2AA9ED17"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10" w:history="1">
            <w:r w:rsidRPr="0063339B">
              <w:rPr>
                <w:rStyle w:val="Hyperlink"/>
                <w:rFonts w:ascii="Times New Roman" w:hAnsi="Times New Roman" w:cs="Times New Roman"/>
                <w:noProof/>
                <w:sz w:val="24"/>
              </w:rPr>
              <w:t>7. Impact of Stakeholder Engagement on Business Performance</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_Toc220623810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10</w:t>
            </w:r>
            <w:r w:rsidRPr="0063339B">
              <w:rPr>
                <w:rFonts w:ascii="Times New Roman" w:hAnsi="Times New Roman" w:cs="Times New Roman"/>
                <w:noProof/>
                <w:webHidden/>
                <w:sz w:val="24"/>
              </w:rPr>
              <w:fldChar w:fldCharType="end"/>
            </w:r>
          </w:hyperlink>
        </w:p>
        <w:p w14:paraId="53F95516"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11" w:history="1">
            <w:r w:rsidRPr="0063339B">
              <w:rPr>
                <w:rStyle w:val="Hyperlink"/>
                <w:rFonts w:ascii="Times New Roman" w:eastAsia="Times New Roman" w:hAnsi="Times New Roman" w:cs="Times New Roman"/>
                <w:noProof/>
                <w:sz w:val="24"/>
              </w:rPr>
              <w:t>8. Recommendations for Future Stakeholder Engagement</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_Toc220623811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12</w:t>
            </w:r>
            <w:r w:rsidRPr="0063339B">
              <w:rPr>
                <w:rFonts w:ascii="Times New Roman" w:hAnsi="Times New Roman" w:cs="Times New Roman"/>
                <w:noProof/>
                <w:webHidden/>
                <w:sz w:val="24"/>
              </w:rPr>
              <w:fldChar w:fldCharType="end"/>
            </w:r>
          </w:hyperlink>
        </w:p>
        <w:p w14:paraId="1F41FCA5"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12" w:history="1">
            <w:r w:rsidRPr="0063339B">
              <w:rPr>
                <w:rStyle w:val="Hyperlink"/>
                <w:rFonts w:ascii="Times New Roman" w:eastAsia="Times New Roman" w:hAnsi="Times New Roman" w:cs="Times New Roman"/>
                <w:noProof/>
                <w:sz w:val="24"/>
              </w:rPr>
              <w:t>9. Conclusion</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_Toc220623812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13</w:t>
            </w:r>
            <w:r w:rsidRPr="0063339B">
              <w:rPr>
                <w:rFonts w:ascii="Times New Roman" w:hAnsi="Times New Roman" w:cs="Times New Roman"/>
                <w:noProof/>
                <w:webHidden/>
                <w:sz w:val="24"/>
              </w:rPr>
              <w:fldChar w:fldCharType="end"/>
            </w:r>
          </w:hyperlink>
        </w:p>
        <w:p w14:paraId="4185FCA4" w14:textId="77777777" w:rsidR="0063339B" w:rsidRPr="0063339B" w:rsidRDefault="0063339B" w:rsidP="0063339B">
          <w:pPr>
            <w:pStyle w:val="TOC1"/>
            <w:tabs>
              <w:tab w:val="right" w:leader="dot" w:pos="9350"/>
            </w:tabs>
            <w:spacing w:line="276" w:lineRule="auto"/>
            <w:rPr>
              <w:rFonts w:ascii="Times New Roman" w:hAnsi="Times New Roman" w:cs="Times New Roman"/>
              <w:noProof/>
              <w:sz w:val="24"/>
            </w:rPr>
          </w:pPr>
          <w:hyperlink w:anchor="_Toc220623813" w:history="1">
            <w:r w:rsidRPr="0063339B">
              <w:rPr>
                <w:rStyle w:val="Hyperlink"/>
                <w:rFonts w:ascii="Times New Roman" w:hAnsi="Times New Roman" w:cs="Times New Roman"/>
                <w:noProof/>
                <w:sz w:val="24"/>
              </w:rPr>
              <w:t>Reference</w:t>
            </w:r>
            <w:r w:rsidRPr="0063339B">
              <w:rPr>
                <w:rFonts w:ascii="Times New Roman" w:hAnsi="Times New Roman" w:cs="Times New Roman"/>
                <w:noProof/>
                <w:webHidden/>
                <w:sz w:val="24"/>
              </w:rPr>
              <w:tab/>
            </w:r>
            <w:r w:rsidRPr="0063339B">
              <w:rPr>
                <w:rFonts w:ascii="Times New Roman" w:hAnsi="Times New Roman" w:cs="Times New Roman"/>
                <w:noProof/>
                <w:webHidden/>
                <w:sz w:val="24"/>
              </w:rPr>
              <w:fldChar w:fldCharType="begin"/>
            </w:r>
            <w:r w:rsidRPr="0063339B">
              <w:rPr>
                <w:rFonts w:ascii="Times New Roman" w:hAnsi="Times New Roman" w:cs="Times New Roman"/>
                <w:noProof/>
                <w:webHidden/>
                <w:sz w:val="24"/>
              </w:rPr>
              <w:instrText xml:space="preserve"> PAGEREF _Toc220623813 \h </w:instrText>
            </w:r>
            <w:r w:rsidRPr="0063339B">
              <w:rPr>
                <w:rFonts w:ascii="Times New Roman" w:hAnsi="Times New Roman" w:cs="Times New Roman"/>
                <w:noProof/>
                <w:webHidden/>
                <w:sz w:val="24"/>
              </w:rPr>
            </w:r>
            <w:r w:rsidRPr="0063339B">
              <w:rPr>
                <w:rFonts w:ascii="Times New Roman" w:hAnsi="Times New Roman" w:cs="Times New Roman"/>
                <w:noProof/>
                <w:webHidden/>
                <w:sz w:val="24"/>
              </w:rPr>
              <w:fldChar w:fldCharType="separate"/>
            </w:r>
            <w:r w:rsidRPr="0063339B">
              <w:rPr>
                <w:rFonts w:ascii="Times New Roman" w:hAnsi="Times New Roman" w:cs="Times New Roman"/>
                <w:noProof/>
                <w:webHidden/>
                <w:sz w:val="24"/>
              </w:rPr>
              <w:t>14</w:t>
            </w:r>
            <w:r w:rsidRPr="0063339B">
              <w:rPr>
                <w:rFonts w:ascii="Times New Roman" w:hAnsi="Times New Roman" w:cs="Times New Roman"/>
                <w:noProof/>
                <w:webHidden/>
                <w:sz w:val="24"/>
              </w:rPr>
              <w:fldChar w:fldCharType="end"/>
            </w:r>
          </w:hyperlink>
        </w:p>
        <w:p w14:paraId="4C39E9FB" w14:textId="77777777" w:rsidR="0063339B" w:rsidRDefault="0063339B">
          <w:r>
            <w:rPr>
              <w:b/>
              <w:bCs/>
              <w:noProof/>
            </w:rPr>
            <w:fldChar w:fldCharType="end"/>
          </w:r>
        </w:p>
      </w:sdtContent>
    </w:sdt>
    <w:p w14:paraId="64D22A2F" w14:textId="77777777" w:rsidR="0063339B" w:rsidRDefault="0063339B" w:rsidP="009C1EC1">
      <w:pPr>
        <w:spacing w:after="0" w:line="276" w:lineRule="auto"/>
        <w:jc w:val="both"/>
        <w:rPr>
          <w:rFonts w:ascii="Times New Roman" w:eastAsia="Times New Roman" w:hAnsi="Times New Roman" w:cs="Times New Roman"/>
          <w:sz w:val="24"/>
          <w:szCs w:val="24"/>
        </w:rPr>
      </w:pPr>
    </w:p>
    <w:p w14:paraId="6DA92B68" w14:textId="77777777" w:rsidR="0063339B" w:rsidRDefault="0063339B" w:rsidP="009C1EC1">
      <w:pPr>
        <w:spacing w:after="0" w:line="276" w:lineRule="auto"/>
        <w:jc w:val="both"/>
        <w:rPr>
          <w:rFonts w:ascii="Times New Roman" w:eastAsia="Times New Roman" w:hAnsi="Times New Roman" w:cs="Times New Roman"/>
          <w:sz w:val="24"/>
          <w:szCs w:val="24"/>
        </w:rPr>
      </w:pPr>
    </w:p>
    <w:p w14:paraId="0DF328EC" w14:textId="77777777" w:rsidR="0063339B" w:rsidRDefault="0063339B" w:rsidP="009C1EC1">
      <w:pPr>
        <w:spacing w:after="0" w:line="276" w:lineRule="auto"/>
        <w:jc w:val="both"/>
        <w:rPr>
          <w:rFonts w:ascii="Times New Roman" w:eastAsia="Times New Roman" w:hAnsi="Times New Roman" w:cs="Times New Roman"/>
          <w:sz w:val="24"/>
          <w:szCs w:val="24"/>
        </w:rPr>
      </w:pPr>
    </w:p>
    <w:p w14:paraId="4475AE0A"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1A29A55" w14:textId="77777777" w:rsidR="0063339B" w:rsidRDefault="0063339B" w:rsidP="009C1EC1">
      <w:pPr>
        <w:spacing w:after="0" w:line="276" w:lineRule="auto"/>
        <w:jc w:val="both"/>
        <w:rPr>
          <w:rFonts w:ascii="Times New Roman" w:eastAsia="Times New Roman" w:hAnsi="Times New Roman" w:cs="Times New Roman"/>
          <w:sz w:val="24"/>
          <w:szCs w:val="24"/>
        </w:rPr>
      </w:pPr>
    </w:p>
    <w:p w14:paraId="0607B3E1"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08C8219" w14:textId="77777777" w:rsidR="0063339B" w:rsidRDefault="0063339B" w:rsidP="009C1EC1">
      <w:pPr>
        <w:spacing w:after="0" w:line="276" w:lineRule="auto"/>
        <w:jc w:val="both"/>
        <w:rPr>
          <w:rFonts w:ascii="Times New Roman" w:eastAsia="Times New Roman" w:hAnsi="Times New Roman" w:cs="Times New Roman"/>
          <w:sz w:val="24"/>
          <w:szCs w:val="24"/>
        </w:rPr>
      </w:pPr>
    </w:p>
    <w:p w14:paraId="5967DE3C" w14:textId="77777777" w:rsidR="0063339B" w:rsidRDefault="0063339B" w:rsidP="009C1EC1">
      <w:pPr>
        <w:spacing w:after="0" w:line="276" w:lineRule="auto"/>
        <w:jc w:val="both"/>
        <w:rPr>
          <w:rFonts w:ascii="Times New Roman" w:eastAsia="Times New Roman" w:hAnsi="Times New Roman" w:cs="Times New Roman"/>
          <w:sz w:val="24"/>
          <w:szCs w:val="24"/>
        </w:rPr>
      </w:pPr>
    </w:p>
    <w:p w14:paraId="00C585E2" w14:textId="77777777" w:rsidR="0063339B" w:rsidRDefault="0063339B" w:rsidP="009C1EC1">
      <w:pPr>
        <w:spacing w:after="0" w:line="276" w:lineRule="auto"/>
        <w:jc w:val="both"/>
        <w:rPr>
          <w:rFonts w:ascii="Times New Roman" w:eastAsia="Times New Roman" w:hAnsi="Times New Roman" w:cs="Times New Roman"/>
          <w:sz w:val="24"/>
          <w:szCs w:val="24"/>
        </w:rPr>
      </w:pPr>
    </w:p>
    <w:p w14:paraId="34ADD9A9" w14:textId="77777777" w:rsidR="0063339B" w:rsidRDefault="0063339B" w:rsidP="009C1EC1">
      <w:pPr>
        <w:spacing w:after="0" w:line="276" w:lineRule="auto"/>
        <w:jc w:val="both"/>
        <w:rPr>
          <w:rFonts w:ascii="Times New Roman" w:eastAsia="Times New Roman" w:hAnsi="Times New Roman" w:cs="Times New Roman"/>
          <w:sz w:val="24"/>
          <w:szCs w:val="24"/>
        </w:rPr>
      </w:pPr>
    </w:p>
    <w:p w14:paraId="0C8408D5" w14:textId="77777777" w:rsidR="0063339B" w:rsidRDefault="0063339B" w:rsidP="009C1EC1">
      <w:pPr>
        <w:spacing w:after="0" w:line="276" w:lineRule="auto"/>
        <w:jc w:val="both"/>
        <w:rPr>
          <w:rFonts w:ascii="Times New Roman" w:eastAsia="Times New Roman" w:hAnsi="Times New Roman" w:cs="Times New Roman"/>
          <w:sz w:val="24"/>
          <w:szCs w:val="24"/>
        </w:rPr>
      </w:pPr>
    </w:p>
    <w:p w14:paraId="40538997" w14:textId="77777777" w:rsidR="0063339B" w:rsidRDefault="0063339B" w:rsidP="009C1EC1">
      <w:pPr>
        <w:spacing w:after="0" w:line="276" w:lineRule="auto"/>
        <w:jc w:val="both"/>
        <w:rPr>
          <w:rFonts w:ascii="Times New Roman" w:eastAsia="Times New Roman" w:hAnsi="Times New Roman" w:cs="Times New Roman"/>
          <w:sz w:val="24"/>
          <w:szCs w:val="24"/>
        </w:rPr>
      </w:pPr>
    </w:p>
    <w:p w14:paraId="5FD23C82" w14:textId="77777777" w:rsidR="0063339B" w:rsidRDefault="0063339B" w:rsidP="009C1EC1">
      <w:pPr>
        <w:spacing w:after="0" w:line="276" w:lineRule="auto"/>
        <w:jc w:val="both"/>
        <w:rPr>
          <w:rFonts w:ascii="Times New Roman" w:eastAsia="Times New Roman" w:hAnsi="Times New Roman" w:cs="Times New Roman"/>
          <w:sz w:val="24"/>
          <w:szCs w:val="24"/>
        </w:rPr>
      </w:pPr>
    </w:p>
    <w:p w14:paraId="1F6836DF"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C0DD536" w14:textId="77777777" w:rsidR="0063339B" w:rsidRDefault="0063339B" w:rsidP="009C1EC1">
      <w:pPr>
        <w:spacing w:after="0" w:line="276" w:lineRule="auto"/>
        <w:jc w:val="both"/>
        <w:rPr>
          <w:rFonts w:ascii="Times New Roman" w:eastAsia="Times New Roman" w:hAnsi="Times New Roman" w:cs="Times New Roman"/>
          <w:sz w:val="24"/>
          <w:szCs w:val="24"/>
        </w:rPr>
      </w:pPr>
    </w:p>
    <w:p w14:paraId="39B96E68" w14:textId="77777777" w:rsidR="0063339B" w:rsidRDefault="0063339B" w:rsidP="009C1EC1">
      <w:pPr>
        <w:spacing w:after="0" w:line="276" w:lineRule="auto"/>
        <w:jc w:val="both"/>
        <w:rPr>
          <w:rFonts w:ascii="Times New Roman" w:eastAsia="Times New Roman" w:hAnsi="Times New Roman" w:cs="Times New Roman"/>
          <w:sz w:val="24"/>
          <w:szCs w:val="24"/>
        </w:rPr>
      </w:pPr>
    </w:p>
    <w:p w14:paraId="19CD53F1"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519F4F4" w14:textId="77777777" w:rsidR="0063339B" w:rsidRDefault="0063339B" w:rsidP="009C1EC1">
      <w:pPr>
        <w:spacing w:after="0" w:line="276" w:lineRule="auto"/>
        <w:jc w:val="both"/>
        <w:rPr>
          <w:rFonts w:ascii="Times New Roman" w:eastAsia="Times New Roman" w:hAnsi="Times New Roman" w:cs="Times New Roman"/>
          <w:sz w:val="24"/>
          <w:szCs w:val="24"/>
        </w:rPr>
      </w:pPr>
    </w:p>
    <w:p w14:paraId="7FD71B83" w14:textId="77777777" w:rsidR="0063339B" w:rsidRPr="009C1EC1" w:rsidRDefault="0063339B" w:rsidP="009C1EC1">
      <w:pPr>
        <w:spacing w:after="0" w:line="276" w:lineRule="auto"/>
        <w:jc w:val="both"/>
        <w:rPr>
          <w:rFonts w:ascii="Times New Roman" w:eastAsia="Times New Roman" w:hAnsi="Times New Roman" w:cs="Times New Roman"/>
          <w:sz w:val="24"/>
          <w:szCs w:val="24"/>
        </w:rPr>
      </w:pPr>
    </w:p>
    <w:p w14:paraId="7A477FED" w14:textId="77777777" w:rsidR="009C1EC1" w:rsidRPr="009C1EC1" w:rsidRDefault="009C1EC1" w:rsidP="009C1EC1">
      <w:pPr>
        <w:pStyle w:val="Heading1"/>
        <w:rPr>
          <w:rFonts w:eastAsia="Times New Roman"/>
        </w:rPr>
      </w:pPr>
      <w:bookmarkStart w:id="1" w:name="_Toc220623800"/>
      <w:r w:rsidRPr="009C1EC1">
        <w:rPr>
          <w:rFonts w:eastAsia="Times New Roman"/>
        </w:rPr>
        <w:t>1. Introduct</w:t>
      </w:r>
      <w:r>
        <w:rPr>
          <w:rFonts w:eastAsia="Times New Roman"/>
        </w:rPr>
        <w:t>ion to the Company and Project</w:t>
      </w:r>
      <w:bookmarkEnd w:id="1"/>
      <w:r>
        <w:rPr>
          <w:rFonts w:eastAsia="Times New Roman"/>
        </w:rPr>
        <w:t xml:space="preserve"> </w:t>
      </w:r>
    </w:p>
    <w:p w14:paraId="2403935F"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Marriott international is a hotel chain that ranks among the largest hospitality organisations in the world offering a wide variety of brands in luxury, premium and select-service hotels. The </w:t>
      </w:r>
      <w:r w:rsidR="0063339B" w:rsidRPr="00512965">
        <w:rPr>
          <w:rFonts w:ascii="Times New Roman" w:eastAsia="Times New Roman" w:hAnsi="Times New Roman" w:cs="Times New Roman"/>
          <w:sz w:val="24"/>
          <w:szCs w:val="24"/>
        </w:rPr>
        <w:t>organization</w:t>
      </w:r>
      <w:r w:rsidRPr="00512965">
        <w:rPr>
          <w:rFonts w:ascii="Times New Roman" w:eastAsia="Times New Roman" w:hAnsi="Times New Roman" w:cs="Times New Roman"/>
          <w:sz w:val="24"/>
          <w:szCs w:val="24"/>
        </w:rPr>
        <w:t xml:space="preserve"> through its presence in more than 130 countries has built a good reputation in terms of service quality, innovation and customer-focused operations. London is a strategically important operational and innovation centre to Marriott international because it is conveniently placed in terms of global connectivity, customer base and regulatory impact in the international hospitality markets.</w:t>
      </w:r>
    </w:p>
    <w:p w14:paraId="3839691F"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Accommodation, food and beverage operations, loyalty </w:t>
      </w:r>
      <w:r w:rsidR="0063339B" w:rsidRPr="00512965">
        <w:rPr>
          <w:rFonts w:ascii="Times New Roman" w:eastAsia="Times New Roman" w:hAnsi="Times New Roman" w:cs="Times New Roman"/>
          <w:sz w:val="24"/>
          <w:szCs w:val="24"/>
        </w:rPr>
        <w:t>programmers</w:t>
      </w:r>
      <w:r w:rsidRPr="00512965">
        <w:rPr>
          <w:rFonts w:ascii="Times New Roman" w:eastAsia="Times New Roman" w:hAnsi="Times New Roman" w:cs="Times New Roman"/>
          <w:sz w:val="24"/>
          <w:szCs w:val="24"/>
        </w:rPr>
        <w:t xml:space="preserve"> and digitally enabled guest services are the major services offered by Marriott international. The </w:t>
      </w:r>
      <w:r w:rsidR="0063339B" w:rsidRPr="00512965">
        <w:rPr>
          <w:rFonts w:ascii="Times New Roman" w:eastAsia="Times New Roman" w:hAnsi="Times New Roman" w:cs="Times New Roman"/>
          <w:sz w:val="24"/>
          <w:szCs w:val="24"/>
        </w:rPr>
        <w:t>organization</w:t>
      </w:r>
      <w:r w:rsidRPr="00512965">
        <w:rPr>
          <w:rFonts w:ascii="Times New Roman" w:eastAsia="Times New Roman" w:hAnsi="Times New Roman" w:cs="Times New Roman"/>
          <w:sz w:val="24"/>
          <w:szCs w:val="24"/>
        </w:rPr>
        <w:t xml:space="preserve"> is also making continued investment in the field of technological innovation in response to changing customer expectations and heightened competition to improve customer experience and operational efficiency.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 project is one of those initiatives, which is a premium customer experience service and has to be implemented globally with select hotels.</w:t>
      </w:r>
    </w:p>
    <w:p w14:paraId="0D829A4A" w14:textId="77777777" w:rsidR="00512965" w:rsidRPr="00512965" w:rsidRDefault="0063339B"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Stay Smart</w:t>
      </w:r>
      <w:r w:rsidR="00512965" w:rsidRPr="00512965">
        <w:rPr>
          <w:rFonts w:ascii="Times New Roman" w:eastAsia="Times New Roman" w:hAnsi="Times New Roman" w:cs="Times New Roman"/>
          <w:sz w:val="24"/>
          <w:szCs w:val="24"/>
        </w:rPr>
        <w:t xml:space="preserve">+ incorporates the guest interaction systems with artificial intelligence that facilitate prompt communication and service responsiveness. It is also in the project that </w:t>
      </w:r>
      <w:r w:rsidRPr="00512965">
        <w:rPr>
          <w:rFonts w:ascii="Times New Roman" w:eastAsia="Times New Roman" w:hAnsi="Times New Roman" w:cs="Times New Roman"/>
          <w:sz w:val="24"/>
          <w:szCs w:val="24"/>
        </w:rPr>
        <w:t>individualized</w:t>
      </w:r>
      <w:r w:rsidR="00512965" w:rsidRPr="00512965">
        <w:rPr>
          <w:rFonts w:ascii="Times New Roman" w:eastAsia="Times New Roman" w:hAnsi="Times New Roman" w:cs="Times New Roman"/>
          <w:sz w:val="24"/>
          <w:szCs w:val="24"/>
        </w:rPr>
        <w:t xml:space="preserve"> travel and service planning tools are presented, which </w:t>
      </w:r>
      <w:r w:rsidRPr="00512965">
        <w:rPr>
          <w:rFonts w:ascii="Times New Roman" w:eastAsia="Times New Roman" w:hAnsi="Times New Roman" w:cs="Times New Roman"/>
          <w:sz w:val="24"/>
          <w:szCs w:val="24"/>
        </w:rPr>
        <w:t>customize</w:t>
      </w:r>
      <w:r w:rsidR="00512965" w:rsidRPr="00512965">
        <w:rPr>
          <w:rFonts w:ascii="Times New Roman" w:eastAsia="Times New Roman" w:hAnsi="Times New Roman" w:cs="Times New Roman"/>
          <w:sz w:val="24"/>
          <w:szCs w:val="24"/>
        </w:rPr>
        <w:t xml:space="preserve"> the experiences of the guests as per their needs and behavioral information. Moreover, the amenities based on sustainability are integrated into the service to meet the growing environmental awareness and responsible tourism demands (Bulchand-Gidumal et al., 2024; Blanco-Moreno et al., 2025).</w:t>
      </w:r>
    </w:p>
    <w:p w14:paraId="6665BC0F" w14:textId="77777777" w:rsidR="009C1EC1" w:rsidRPr="009C1EC1"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Stakeholder engagement is an important aspect in the project since it is a large and complex undertaking. Global hospitality innovation entails various stakeholders groups who have different interests, cultures and ethics. An effective engagement would allow achieving the alignment, trust and collaboration, and minimizing the resistance and risk in the implementation of AI adoption and sustainability initiatives (Freeman, 2010; </w:t>
      </w:r>
      <w:r w:rsidR="0063339B" w:rsidRPr="00512965">
        <w:rPr>
          <w:rFonts w:ascii="Times New Roman" w:eastAsia="Times New Roman" w:hAnsi="Times New Roman" w:cs="Times New Roman"/>
          <w:sz w:val="24"/>
          <w:szCs w:val="24"/>
        </w:rPr>
        <w:t>Parmer</w:t>
      </w:r>
      <w:r w:rsidRPr="00512965">
        <w:rPr>
          <w:rFonts w:ascii="Times New Roman" w:eastAsia="Times New Roman" w:hAnsi="Times New Roman" w:cs="Times New Roman"/>
          <w:sz w:val="24"/>
          <w:szCs w:val="24"/>
        </w:rPr>
        <w:t xml:space="preserve"> et al., 2010).</w:t>
      </w:r>
    </w:p>
    <w:p w14:paraId="67EC679C" w14:textId="77777777" w:rsidR="009C1EC1" w:rsidRPr="009C1EC1" w:rsidRDefault="009C1EC1" w:rsidP="00512965">
      <w:pPr>
        <w:pStyle w:val="Heading1"/>
        <w:rPr>
          <w:rFonts w:eastAsia="Times New Roman"/>
        </w:rPr>
      </w:pPr>
      <w:bookmarkStart w:id="2" w:name="_Toc220623801"/>
      <w:r w:rsidRPr="009C1EC1">
        <w:rPr>
          <w:rFonts w:eastAsia="Times New Roman"/>
        </w:rPr>
        <w:t xml:space="preserve">2. </w:t>
      </w:r>
      <w:r w:rsidR="00512965" w:rsidRPr="009C1EC1">
        <w:rPr>
          <w:rFonts w:eastAsia="Times New Roman"/>
        </w:rPr>
        <w:t>Organizational</w:t>
      </w:r>
      <w:r w:rsidRPr="009C1EC1">
        <w:rPr>
          <w:rFonts w:eastAsia="Times New Roman"/>
        </w:rPr>
        <w:t xml:space="preserve"> Appra</w:t>
      </w:r>
      <w:r w:rsidR="00512965">
        <w:rPr>
          <w:rFonts w:eastAsia="Times New Roman"/>
        </w:rPr>
        <w:t>isal (SWOT &amp; PESTLE Analysis)</w:t>
      </w:r>
      <w:bookmarkEnd w:id="2"/>
      <w:r w:rsidR="00512965">
        <w:rPr>
          <w:rFonts w:eastAsia="Times New Roman"/>
        </w:rPr>
        <w:t xml:space="preserve"> </w:t>
      </w:r>
    </w:p>
    <w:p w14:paraId="734FB58B" w14:textId="77777777" w:rsidR="009C1EC1" w:rsidRPr="009C1EC1" w:rsidRDefault="009C1EC1" w:rsidP="00512965">
      <w:pPr>
        <w:pStyle w:val="Heading2"/>
      </w:pPr>
      <w:bookmarkStart w:id="3" w:name="_Toc220623802"/>
      <w:r w:rsidRPr="00512965">
        <w:t>2.1 SWOT Analysis</w:t>
      </w:r>
      <w:bookmarkEnd w:id="3"/>
    </w:p>
    <w:p w14:paraId="53F48896"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Marriott International has a number of strengths that facilitate the adoption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project. The </w:t>
      </w:r>
      <w:r w:rsidR="0063339B" w:rsidRPr="00512965">
        <w:rPr>
          <w:rFonts w:ascii="Times New Roman" w:eastAsia="Times New Roman" w:hAnsi="Times New Roman" w:cs="Times New Roman"/>
          <w:sz w:val="24"/>
          <w:szCs w:val="24"/>
        </w:rPr>
        <w:t>organization</w:t>
      </w:r>
      <w:r w:rsidRPr="00512965">
        <w:rPr>
          <w:rFonts w:ascii="Times New Roman" w:eastAsia="Times New Roman" w:hAnsi="Times New Roman" w:cs="Times New Roman"/>
          <w:sz w:val="24"/>
          <w:szCs w:val="24"/>
        </w:rPr>
        <w:t xml:space="preserve"> enjoys a good international brand image, vast global presence and built online solutions. The experience it has had in the organization of large-scale technological projects gives it a strong base to develop AI-based services innovation (Bulchand-Gidumal et al., 2023). Also, a willingness to be sustainable increases the level of trust and brand credibility to Marriott by stakeholders.</w:t>
      </w:r>
    </w:p>
    <w:p w14:paraId="6728BC54"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Nonetheless, there are also weaknesses in the project. Adoption of AI is very expensive, especially in the deployment of systems in global markets. Moreover, the effective deployment of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implies comprehensive employee training so that the staff can easily communicate with AI-based tools that can cause a temporary disruption in the operations (EHL Hospitality Business School, </w:t>
      </w:r>
      <w:r w:rsidR="0063339B" w:rsidRPr="00512965">
        <w:rPr>
          <w:rFonts w:ascii="Times New Roman" w:eastAsia="Times New Roman" w:hAnsi="Times New Roman" w:cs="Times New Roman"/>
          <w:sz w:val="24"/>
          <w:szCs w:val="24"/>
        </w:rPr>
        <w:t>nod</w:t>
      </w:r>
      <w:r w:rsidRPr="00512965">
        <w:rPr>
          <w:rFonts w:ascii="Times New Roman" w:eastAsia="Times New Roman" w:hAnsi="Times New Roman" w:cs="Times New Roman"/>
          <w:sz w:val="24"/>
          <w:szCs w:val="24"/>
        </w:rPr>
        <w:t>).</w:t>
      </w:r>
    </w:p>
    <w:p w14:paraId="20CDDA8E"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There are significant opportunities presented in the project. The rising demand of </w:t>
      </w:r>
      <w:r w:rsidR="0063339B" w:rsidRPr="00512965">
        <w:rPr>
          <w:rFonts w:ascii="Times New Roman" w:eastAsia="Times New Roman" w:hAnsi="Times New Roman" w:cs="Times New Roman"/>
          <w:sz w:val="24"/>
          <w:szCs w:val="24"/>
        </w:rPr>
        <w:t>personalized</w:t>
      </w:r>
      <w:r w:rsidRPr="00512965">
        <w:rPr>
          <w:rFonts w:ascii="Times New Roman" w:eastAsia="Times New Roman" w:hAnsi="Times New Roman" w:cs="Times New Roman"/>
          <w:sz w:val="24"/>
          <w:szCs w:val="24"/>
        </w:rPr>
        <w:t xml:space="preserve"> services in the hospitality sector generates competitive advantages to organisations that effectively use AI technologies. Moreover, the increasing demand rates of sustainability among the consumers can give Marriott a chance to develop stakeholder relations and increase the customer loyalty (Sun, 2024).</w:t>
      </w:r>
    </w:p>
    <w:p w14:paraId="14462C9D" w14:textId="77777777" w:rsidR="00512965" w:rsidRDefault="00512965" w:rsidP="00512965">
      <w:pPr>
        <w:spacing w:before="100" w:beforeAutospacing="1" w:after="100" w:afterAutospacing="1" w:line="276" w:lineRule="auto"/>
        <w:jc w:val="both"/>
        <w:rPr>
          <w:rFonts w:ascii="Times New Roman" w:eastAsia="Times New Roman" w:hAnsi="Times New Roman" w:cs="Times New Roman"/>
          <w:i/>
          <w:iCs/>
          <w:sz w:val="24"/>
          <w:szCs w:val="24"/>
        </w:rPr>
      </w:pPr>
      <w:r w:rsidRPr="00512965">
        <w:rPr>
          <w:rFonts w:ascii="Times New Roman" w:eastAsia="Times New Roman" w:hAnsi="Times New Roman" w:cs="Times New Roman"/>
          <w:sz w:val="24"/>
          <w:szCs w:val="24"/>
        </w:rPr>
        <w:t>Although there are these opportunities, there are a number of threats. The privacy of data and ethical concerns related to the use of AI pose regulatory and reputational dilemmas especially when such a strict framework is implemented like the GDPR. It can also have limitations to adoption due to cultural resistance of employees and customers in some markets when stakeholder issues are not adequately resolved (Law et al., 2025).</w:t>
      </w:r>
      <w:r w:rsidRPr="00512965">
        <w:rPr>
          <w:rFonts w:ascii="Times New Roman" w:eastAsia="Times New Roman" w:hAnsi="Times New Roman" w:cs="Times New Roman"/>
          <w:i/>
          <w:iCs/>
          <w:sz w:val="24"/>
          <w:szCs w:val="24"/>
        </w:rPr>
        <w:t xml:space="preserve"> </w:t>
      </w:r>
    </w:p>
    <w:p w14:paraId="632A5142" w14:textId="77777777" w:rsidR="00512965" w:rsidRPr="00512965" w:rsidRDefault="00512965" w:rsidP="00512965">
      <w:pPr>
        <w:spacing w:before="100" w:beforeAutospacing="1" w:after="100" w:afterAutospacing="1" w:line="240" w:lineRule="auto"/>
        <w:outlineLvl w:val="2"/>
        <w:rPr>
          <w:rFonts w:ascii="Times New Roman" w:eastAsia="Times New Roman" w:hAnsi="Times New Roman" w:cs="Times New Roman"/>
          <w:b/>
          <w:bCs/>
          <w:sz w:val="27"/>
          <w:szCs w:val="27"/>
        </w:rPr>
      </w:pPr>
      <w:bookmarkStart w:id="4" w:name="_Toc220623803"/>
      <w:r w:rsidRPr="00512965">
        <w:rPr>
          <w:rFonts w:ascii="Times New Roman" w:eastAsia="Times New Roman" w:hAnsi="Times New Roman" w:cs="Times New Roman"/>
          <w:b/>
          <w:bCs/>
          <w:sz w:val="27"/>
          <w:szCs w:val="27"/>
        </w:rPr>
        <w:t>SWOT Analysis – Marriott International (</w:t>
      </w:r>
      <w:r w:rsidR="0063339B" w:rsidRPr="00512965">
        <w:rPr>
          <w:rFonts w:ascii="Times New Roman" w:eastAsia="Times New Roman" w:hAnsi="Times New Roman" w:cs="Times New Roman"/>
          <w:b/>
          <w:bCs/>
          <w:sz w:val="27"/>
          <w:szCs w:val="27"/>
        </w:rPr>
        <w:t>Stay Smart</w:t>
      </w:r>
      <w:r w:rsidRPr="00512965">
        <w:rPr>
          <w:rFonts w:ascii="Times New Roman" w:eastAsia="Times New Roman" w:hAnsi="Times New Roman" w:cs="Times New Roman"/>
          <w:b/>
          <w:bCs/>
          <w:sz w:val="27"/>
          <w:szCs w:val="27"/>
        </w:rPr>
        <w:t>+ Project)</w:t>
      </w:r>
      <w:bookmarkEnd w:id="4"/>
    </w:p>
    <w:tbl>
      <w:tblPr>
        <w:tblStyle w:val="GridTable4-Accent5"/>
        <w:tblW w:w="0" w:type="auto"/>
        <w:tblLook w:val="04A0" w:firstRow="1" w:lastRow="0" w:firstColumn="1" w:lastColumn="0" w:noHBand="0" w:noVBand="1"/>
      </w:tblPr>
      <w:tblGrid>
        <w:gridCol w:w="4866"/>
        <w:gridCol w:w="4484"/>
      </w:tblGrid>
      <w:tr w:rsidR="00512965" w:rsidRPr="00512965" w14:paraId="6BFB7C8B" w14:textId="77777777" w:rsidTr="005129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7C4317" w14:textId="77777777" w:rsidR="00512965" w:rsidRPr="00512965" w:rsidRDefault="00512965" w:rsidP="00512965">
            <w:pPr>
              <w:jc w:val="cente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Strengths</w:t>
            </w:r>
          </w:p>
        </w:tc>
        <w:tc>
          <w:tcPr>
            <w:tcW w:w="0" w:type="auto"/>
            <w:hideMark/>
          </w:tcPr>
          <w:p w14:paraId="5F26BBB2" w14:textId="77777777" w:rsidR="00512965" w:rsidRPr="00512965" w:rsidRDefault="00512965" w:rsidP="00512965">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Weaknesses</w:t>
            </w:r>
          </w:p>
        </w:tc>
      </w:tr>
      <w:tr w:rsidR="00512965" w:rsidRPr="00512965" w14:paraId="013BC22F"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E5DB61"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Strong global brand reputation and market leadership in the hospitality industry</w:t>
            </w:r>
          </w:p>
        </w:tc>
        <w:tc>
          <w:tcPr>
            <w:tcW w:w="0" w:type="auto"/>
            <w:hideMark/>
          </w:tcPr>
          <w:p w14:paraId="721DEDE1"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High initial costs associated with AI system development and deployment</w:t>
            </w:r>
          </w:p>
        </w:tc>
      </w:tr>
      <w:tr w:rsidR="00512965" w:rsidRPr="00512965" w14:paraId="107DEBE8"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6C9538B3"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xml:space="preserve">• Extensive international presence enabling large-scale rollout of </w:t>
            </w:r>
            <w:r w:rsidR="0063339B" w:rsidRPr="00512965">
              <w:rPr>
                <w:rFonts w:ascii="Times New Roman" w:eastAsia="Times New Roman" w:hAnsi="Times New Roman" w:cs="Times New Roman"/>
                <w:b w:val="0"/>
                <w:sz w:val="24"/>
                <w:szCs w:val="24"/>
              </w:rPr>
              <w:t>Stay Smart</w:t>
            </w:r>
            <w:r w:rsidRPr="00512965">
              <w:rPr>
                <w:rFonts w:ascii="Times New Roman" w:eastAsia="Times New Roman" w:hAnsi="Times New Roman" w:cs="Times New Roman"/>
                <w:b w:val="0"/>
                <w:sz w:val="24"/>
                <w:szCs w:val="24"/>
              </w:rPr>
              <w:t>+</w:t>
            </w:r>
          </w:p>
        </w:tc>
        <w:tc>
          <w:tcPr>
            <w:tcW w:w="0" w:type="auto"/>
            <w:hideMark/>
          </w:tcPr>
          <w:p w14:paraId="33AD0AA3"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Significant staff training requirements to support AI-enabled services</w:t>
            </w:r>
          </w:p>
        </w:tc>
      </w:tr>
      <w:tr w:rsidR="00512965" w:rsidRPr="00512965" w14:paraId="4293A094"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FCAD8"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Established digital infrastructure and experience with technology-driven innovation</w:t>
            </w:r>
          </w:p>
        </w:tc>
        <w:tc>
          <w:tcPr>
            <w:tcW w:w="0" w:type="auto"/>
            <w:hideMark/>
          </w:tcPr>
          <w:p w14:paraId="43A596B6"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Dependence on external AI technology vendors</w:t>
            </w:r>
          </w:p>
        </w:tc>
      </w:tr>
      <w:tr w:rsidR="00512965" w:rsidRPr="00512965" w14:paraId="16D4B07C"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34842D26"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Strong customer loyalty programmers and data-driven service capabilities</w:t>
            </w:r>
          </w:p>
        </w:tc>
        <w:tc>
          <w:tcPr>
            <w:tcW w:w="0" w:type="auto"/>
            <w:hideMark/>
          </w:tcPr>
          <w:p w14:paraId="4DC4ED69"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Potential internal resistance to change from employees</w:t>
            </w:r>
          </w:p>
        </w:tc>
      </w:tr>
      <w:tr w:rsidR="00512965" w:rsidRPr="00512965" w14:paraId="3CB3CAA7"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8348A1" w14:textId="77777777" w:rsidR="00512965" w:rsidRPr="00512965" w:rsidRDefault="00512965" w:rsidP="00512965">
            <w:pPr>
              <w:jc w:val="cente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Opportunities</w:t>
            </w:r>
          </w:p>
        </w:tc>
        <w:tc>
          <w:tcPr>
            <w:tcW w:w="0" w:type="auto"/>
            <w:hideMark/>
          </w:tcPr>
          <w:p w14:paraId="5F86428B" w14:textId="77777777" w:rsidR="00512965" w:rsidRPr="00512965" w:rsidRDefault="00512965" w:rsidP="00512965">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512965">
              <w:rPr>
                <w:rFonts w:ascii="Times New Roman" w:eastAsia="Times New Roman" w:hAnsi="Times New Roman" w:cs="Times New Roman"/>
                <w:b/>
                <w:bCs/>
                <w:sz w:val="24"/>
                <w:szCs w:val="24"/>
              </w:rPr>
              <w:t>Threats</w:t>
            </w:r>
          </w:p>
        </w:tc>
      </w:tr>
      <w:tr w:rsidR="00512965" w:rsidRPr="00512965" w14:paraId="0E9C3226"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587241AE"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Growing demand for personalized and technology-enhanced guest experiences</w:t>
            </w:r>
          </w:p>
        </w:tc>
        <w:tc>
          <w:tcPr>
            <w:tcW w:w="0" w:type="auto"/>
            <w:hideMark/>
          </w:tcPr>
          <w:p w14:paraId="324EA852"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Data privacy and cybersecurity risks associated with AI adoption</w:t>
            </w:r>
          </w:p>
        </w:tc>
      </w:tr>
      <w:tr w:rsidR="00512965" w:rsidRPr="00512965" w14:paraId="41F21F63"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CA5E9"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Increasing customer and stakeholder focus on sustainability initiatives</w:t>
            </w:r>
          </w:p>
        </w:tc>
        <w:tc>
          <w:tcPr>
            <w:tcW w:w="0" w:type="auto"/>
            <w:hideMark/>
          </w:tcPr>
          <w:p w14:paraId="46B5A7C6"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Ethical concerns surrounding AI use and algorithmic transparency</w:t>
            </w:r>
          </w:p>
        </w:tc>
      </w:tr>
      <w:tr w:rsidR="00512965" w:rsidRPr="00512965" w14:paraId="47386868"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00AAE53F"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Competitive differentiation through AI-driven premium services</w:t>
            </w:r>
          </w:p>
        </w:tc>
        <w:tc>
          <w:tcPr>
            <w:tcW w:w="0" w:type="auto"/>
            <w:hideMark/>
          </w:tcPr>
          <w:p w14:paraId="372951EB"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Regulatory complexity across international markets (e.g. GDPR compliance)</w:t>
            </w:r>
          </w:p>
        </w:tc>
      </w:tr>
      <w:tr w:rsidR="00512965" w:rsidRPr="00512965" w14:paraId="13BA00ED"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0A4063" w14:textId="77777777" w:rsidR="00512965" w:rsidRPr="00512965" w:rsidRDefault="00512965" w:rsidP="00512965">
            <w:pPr>
              <w:rPr>
                <w:rFonts w:ascii="Times New Roman" w:eastAsia="Times New Roman" w:hAnsi="Times New Roman" w:cs="Times New Roman"/>
                <w:b w:val="0"/>
                <w:sz w:val="24"/>
                <w:szCs w:val="24"/>
              </w:rPr>
            </w:pPr>
            <w:r w:rsidRPr="00512965">
              <w:rPr>
                <w:rFonts w:ascii="Times New Roman" w:eastAsia="Times New Roman" w:hAnsi="Times New Roman" w:cs="Times New Roman"/>
                <w:b w:val="0"/>
                <w:sz w:val="24"/>
                <w:szCs w:val="24"/>
              </w:rPr>
              <w:t>• Long-term operational efficiency and cost optimization</w:t>
            </w:r>
          </w:p>
        </w:tc>
        <w:tc>
          <w:tcPr>
            <w:tcW w:w="0" w:type="auto"/>
            <w:hideMark/>
          </w:tcPr>
          <w:p w14:paraId="5654F14D"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Cultural resistance to AI adoption in certain global regions</w:t>
            </w:r>
          </w:p>
        </w:tc>
      </w:tr>
    </w:tbl>
    <w:p w14:paraId="61C2316D" w14:textId="77777777" w:rsidR="009C1EC1" w:rsidRPr="009C1EC1" w:rsidRDefault="009C1EC1" w:rsidP="009C1EC1">
      <w:pPr>
        <w:spacing w:after="0" w:line="276" w:lineRule="auto"/>
        <w:jc w:val="both"/>
        <w:rPr>
          <w:rFonts w:ascii="Times New Roman" w:eastAsia="Times New Roman" w:hAnsi="Times New Roman" w:cs="Times New Roman"/>
          <w:sz w:val="24"/>
          <w:szCs w:val="24"/>
        </w:rPr>
      </w:pPr>
    </w:p>
    <w:p w14:paraId="71EF1EAD" w14:textId="77777777" w:rsidR="009C1EC1" w:rsidRPr="009C1EC1" w:rsidRDefault="009C1EC1" w:rsidP="00512965">
      <w:pPr>
        <w:pStyle w:val="Heading2"/>
      </w:pPr>
      <w:bookmarkStart w:id="5" w:name="_Toc220623804"/>
      <w:r w:rsidRPr="009C1EC1">
        <w:t>2.2 PESTLE Analysis</w:t>
      </w:r>
      <w:bookmarkEnd w:id="5"/>
    </w:p>
    <w:p w14:paraId="7D78CB41"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The political aspects comprise different global laws that regulate the protection of data and digital services, which directly affect the implementation of systems based on AI. Financially, changing international tourism demand and an increase in the costs of operations can have an impact on the investment ability. Increasing customer demands on individualized, responsible and sustainable hospitality are evident in social factors.</w:t>
      </w:r>
    </w:p>
    <w:p w14:paraId="1E1A78EC" w14:textId="77777777" w:rsidR="009C1EC1" w:rsidRPr="009C1EC1" w:rsidRDefault="00512965" w:rsidP="009C1EC1">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Technological forces focus on the fast innovation of AI and digital transformation that generates opportunities as well as implementation threats. The compliance with GDPR and data governance requirements prevail in the legal domain. In the environmental context, sustainability norms and responsible tourism remain the factors that influence the stakeholder expectations and corporate strategy (KPMG, 20</w:t>
      </w:r>
      <w:r>
        <w:rPr>
          <w:rFonts w:ascii="Times New Roman" w:eastAsia="Times New Roman" w:hAnsi="Times New Roman" w:cs="Times New Roman"/>
          <w:sz w:val="24"/>
          <w:szCs w:val="24"/>
        </w:rPr>
        <w:t>24; Blanco-Moreno et al., 2025)</w:t>
      </w:r>
      <w:r w:rsidR="009C1EC1" w:rsidRPr="009C1EC1">
        <w:rPr>
          <w:rFonts w:ascii="Times New Roman" w:eastAsia="Times New Roman" w:hAnsi="Times New Roman" w:cs="Times New Roman"/>
          <w:sz w:val="24"/>
          <w:szCs w:val="24"/>
        </w:rPr>
        <w:t>.</w:t>
      </w:r>
    </w:p>
    <w:p w14:paraId="789DB665" w14:textId="77777777" w:rsidR="00512965" w:rsidRPr="00512965" w:rsidRDefault="00512965" w:rsidP="00512965">
      <w:pPr>
        <w:spacing w:before="100" w:beforeAutospacing="1" w:after="100" w:afterAutospacing="1" w:line="240" w:lineRule="auto"/>
        <w:outlineLvl w:val="2"/>
        <w:rPr>
          <w:rFonts w:ascii="Times New Roman" w:eastAsia="Times New Roman" w:hAnsi="Times New Roman" w:cs="Times New Roman"/>
          <w:b/>
          <w:bCs/>
          <w:sz w:val="27"/>
          <w:szCs w:val="27"/>
        </w:rPr>
      </w:pPr>
      <w:bookmarkStart w:id="6" w:name="_Toc220623805"/>
      <w:r w:rsidRPr="00512965">
        <w:rPr>
          <w:rFonts w:ascii="Times New Roman" w:eastAsia="Times New Roman" w:hAnsi="Times New Roman" w:cs="Times New Roman"/>
          <w:b/>
          <w:bCs/>
          <w:sz w:val="27"/>
          <w:szCs w:val="27"/>
        </w:rPr>
        <w:t>PESTLE Analysis – Marriott International (</w:t>
      </w:r>
      <w:r w:rsidR="0063339B" w:rsidRPr="00512965">
        <w:rPr>
          <w:rFonts w:ascii="Times New Roman" w:eastAsia="Times New Roman" w:hAnsi="Times New Roman" w:cs="Times New Roman"/>
          <w:b/>
          <w:bCs/>
          <w:sz w:val="27"/>
          <w:szCs w:val="27"/>
        </w:rPr>
        <w:t>Stay Smart</w:t>
      </w:r>
      <w:r w:rsidRPr="00512965">
        <w:rPr>
          <w:rFonts w:ascii="Times New Roman" w:eastAsia="Times New Roman" w:hAnsi="Times New Roman" w:cs="Times New Roman"/>
          <w:b/>
          <w:bCs/>
          <w:sz w:val="27"/>
          <w:szCs w:val="27"/>
        </w:rPr>
        <w:t>+ Project)</w:t>
      </w:r>
      <w:bookmarkEnd w:id="6"/>
    </w:p>
    <w:tbl>
      <w:tblPr>
        <w:tblStyle w:val="GridTable4-Accent5"/>
        <w:tblW w:w="0" w:type="auto"/>
        <w:tblLook w:val="04A0" w:firstRow="1" w:lastRow="0" w:firstColumn="1" w:lastColumn="0" w:noHBand="0" w:noVBand="1"/>
      </w:tblPr>
      <w:tblGrid>
        <w:gridCol w:w="1763"/>
        <w:gridCol w:w="7587"/>
      </w:tblGrid>
      <w:tr w:rsidR="00512965" w:rsidRPr="00512965" w14:paraId="216CDD58" w14:textId="77777777" w:rsidTr="005129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6B3787" w14:textId="77777777" w:rsidR="00512965" w:rsidRPr="00512965" w:rsidRDefault="00512965" w:rsidP="00512965">
            <w:pPr>
              <w:jc w:val="cente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Factor</w:t>
            </w:r>
          </w:p>
        </w:tc>
        <w:tc>
          <w:tcPr>
            <w:tcW w:w="0" w:type="auto"/>
            <w:hideMark/>
          </w:tcPr>
          <w:p w14:paraId="0D3E1308" w14:textId="77777777" w:rsidR="00512965" w:rsidRPr="00512965" w:rsidRDefault="00512965" w:rsidP="00512965">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Key Issues Relevant to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w:t>
            </w:r>
          </w:p>
        </w:tc>
      </w:tr>
      <w:tr w:rsidR="00512965" w:rsidRPr="00512965" w14:paraId="1C0689B5"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743EBA"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Political</w:t>
            </w:r>
          </w:p>
        </w:tc>
        <w:tc>
          <w:tcPr>
            <w:tcW w:w="0" w:type="auto"/>
            <w:hideMark/>
          </w:tcPr>
          <w:p w14:paraId="4E974388"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Varying international regulations affecting AI deployment and digital services</w:t>
            </w:r>
            <w:r w:rsidRPr="00512965">
              <w:rPr>
                <w:rFonts w:ascii="Times New Roman" w:eastAsia="Times New Roman" w:hAnsi="Times New Roman" w:cs="Times New Roman"/>
                <w:sz w:val="24"/>
                <w:szCs w:val="24"/>
              </w:rPr>
              <w:br/>
              <w:t>• Government policies influencing tourism and international travel</w:t>
            </w:r>
            <w:r w:rsidRPr="00512965">
              <w:rPr>
                <w:rFonts w:ascii="Times New Roman" w:eastAsia="Times New Roman" w:hAnsi="Times New Roman" w:cs="Times New Roman"/>
                <w:sz w:val="24"/>
                <w:szCs w:val="24"/>
              </w:rPr>
              <w:br/>
              <w:t>• Regulatory oversight on data protection and consumer rights</w:t>
            </w:r>
          </w:p>
        </w:tc>
      </w:tr>
      <w:tr w:rsidR="00512965" w:rsidRPr="00512965" w14:paraId="0A8097B8"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41DD9B4D"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Economic</w:t>
            </w:r>
          </w:p>
        </w:tc>
        <w:tc>
          <w:tcPr>
            <w:tcW w:w="0" w:type="auto"/>
            <w:hideMark/>
          </w:tcPr>
          <w:p w14:paraId="6D9BBBCD"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Fluctuating global travel demand impacting revenue forecasts</w:t>
            </w:r>
            <w:r w:rsidRPr="00512965">
              <w:rPr>
                <w:rFonts w:ascii="Times New Roman" w:eastAsia="Times New Roman" w:hAnsi="Times New Roman" w:cs="Times New Roman"/>
                <w:sz w:val="24"/>
                <w:szCs w:val="24"/>
              </w:rPr>
              <w:br/>
              <w:t>• Rising operational and technology investment costs</w:t>
            </w:r>
            <w:r w:rsidRPr="00512965">
              <w:rPr>
                <w:rFonts w:ascii="Times New Roman" w:eastAsia="Times New Roman" w:hAnsi="Times New Roman" w:cs="Times New Roman"/>
                <w:sz w:val="24"/>
                <w:szCs w:val="24"/>
              </w:rPr>
              <w:br/>
              <w:t>• Economic uncertainty affecting hospitality spending patterns</w:t>
            </w:r>
          </w:p>
        </w:tc>
      </w:tr>
      <w:tr w:rsidR="00512965" w:rsidRPr="00512965" w14:paraId="1EC7EECB"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492512"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Social</w:t>
            </w:r>
          </w:p>
        </w:tc>
        <w:tc>
          <w:tcPr>
            <w:tcW w:w="0" w:type="auto"/>
            <w:hideMark/>
          </w:tcPr>
          <w:p w14:paraId="4B1FD1FF"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 Growing customer expectations for </w:t>
            </w:r>
            <w:r w:rsidR="0063339B" w:rsidRPr="00512965">
              <w:rPr>
                <w:rFonts w:ascii="Times New Roman" w:eastAsia="Times New Roman" w:hAnsi="Times New Roman" w:cs="Times New Roman"/>
                <w:sz w:val="24"/>
                <w:szCs w:val="24"/>
              </w:rPr>
              <w:t>personalized</w:t>
            </w:r>
            <w:r w:rsidRPr="00512965">
              <w:rPr>
                <w:rFonts w:ascii="Times New Roman" w:eastAsia="Times New Roman" w:hAnsi="Times New Roman" w:cs="Times New Roman"/>
                <w:sz w:val="24"/>
                <w:szCs w:val="24"/>
              </w:rPr>
              <w:t xml:space="preserve"> and seamless digital experiences</w:t>
            </w:r>
            <w:r w:rsidRPr="00512965">
              <w:rPr>
                <w:rFonts w:ascii="Times New Roman" w:eastAsia="Times New Roman" w:hAnsi="Times New Roman" w:cs="Times New Roman"/>
                <w:sz w:val="24"/>
                <w:szCs w:val="24"/>
              </w:rPr>
              <w:br/>
              <w:t>• Increasing awareness of sustainability and ethical business practices</w:t>
            </w:r>
            <w:r w:rsidRPr="00512965">
              <w:rPr>
                <w:rFonts w:ascii="Times New Roman" w:eastAsia="Times New Roman" w:hAnsi="Times New Roman" w:cs="Times New Roman"/>
                <w:sz w:val="24"/>
                <w:szCs w:val="24"/>
              </w:rPr>
              <w:br/>
              <w:t>• Cultural differences in acceptance of AI-driven services</w:t>
            </w:r>
          </w:p>
        </w:tc>
      </w:tr>
      <w:tr w:rsidR="00512965" w:rsidRPr="00512965" w14:paraId="09AE13AE"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7720B357"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Technological</w:t>
            </w:r>
          </w:p>
        </w:tc>
        <w:tc>
          <w:tcPr>
            <w:tcW w:w="0" w:type="auto"/>
            <w:hideMark/>
          </w:tcPr>
          <w:p w14:paraId="3C8D0964"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Rapid advancements in artificial intelligence and data analytics</w:t>
            </w:r>
            <w:r w:rsidRPr="00512965">
              <w:rPr>
                <w:rFonts w:ascii="Times New Roman" w:eastAsia="Times New Roman" w:hAnsi="Times New Roman" w:cs="Times New Roman"/>
                <w:sz w:val="24"/>
                <w:szCs w:val="24"/>
              </w:rPr>
              <w:br/>
              <w:t>• Dependence on reliable digital infrastructure and cybersecurity systems</w:t>
            </w:r>
            <w:r w:rsidRPr="00512965">
              <w:rPr>
                <w:rFonts w:ascii="Times New Roman" w:eastAsia="Times New Roman" w:hAnsi="Times New Roman" w:cs="Times New Roman"/>
                <w:sz w:val="24"/>
                <w:szCs w:val="24"/>
              </w:rPr>
              <w:br/>
              <w:t>• Need for continuous technology upgrades and staff training</w:t>
            </w:r>
          </w:p>
        </w:tc>
      </w:tr>
      <w:tr w:rsidR="00512965" w:rsidRPr="00512965" w14:paraId="2A6F073D" w14:textId="77777777" w:rsidTr="005129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359F39"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Legal</w:t>
            </w:r>
          </w:p>
        </w:tc>
        <w:tc>
          <w:tcPr>
            <w:tcW w:w="0" w:type="auto"/>
            <w:hideMark/>
          </w:tcPr>
          <w:p w14:paraId="022A4393" w14:textId="77777777" w:rsidR="00512965" w:rsidRPr="00512965" w:rsidRDefault="00512965" w:rsidP="00512965">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Compliance with GDPR and international data protection laws</w:t>
            </w:r>
            <w:r w:rsidRPr="00512965">
              <w:rPr>
                <w:rFonts w:ascii="Times New Roman" w:eastAsia="Times New Roman" w:hAnsi="Times New Roman" w:cs="Times New Roman"/>
                <w:sz w:val="24"/>
                <w:szCs w:val="24"/>
              </w:rPr>
              <w:br/>
              <w:t>• Legal accountability for AI decision-making and data governance</w:t>
            </w:r>
            <w:r w:rsidRPr="00512965">
              <w:rPr>
                <w:rFonts w:ascii="Times New Roman" w:eastAsia="Times New Roman" w:hAnsi="Times New Roman" w:cs="Times New Roman"/>
                <w:sz w:val="24"/>
                <w:szCs w:val="24"/>
              </w:rPr>
              <w:br/>
              <w:t>• Contractual obligations with technology vendors</w:t>
            </w:r>
          </w:p>
        </w:tc>
      </w:tr>
      <w:tr w:rsidR="00512965" w:rsidRPr="00512965" w14:paraId="67E1587F" w14:textId="77777777" w:rsidTr="00512965">
        <w:tc>
          <w:tcPr>
            <w:cnfStyle w:val="001000000000" w:firstRow="0" w:lastRow="0" w:firstColumn="1" w:lastColumn="0" w:oddVBand="0" w:evenVBand="0" w:oddHBand="0" w:evenHBand="0" w:firstRowFirstColumn="0" w:firstRowLastColumn="0" w:lastRowFirstColumn="0" w:lastRowLastColumn="0"/>
            <w:tcW w:w="0" w:type="auto"/>
            <w:hideMark/>
          </w:tcPr>
          <w:p w14:paraId="007588C8" w14:textId="77777777" w:rsidR="00512965" w:rsidRPr="00512965" w:rsidRDefault="00512965" w:rsidP="00512965">
            <w:pPr>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Environmental</w:t>
            </w:r>
          </w:p>
        </w:tc>
        <w:tc>
          <w:tcPr>
            <w:tcW w:w="0" w:type="auto"/>
            <w:hideMark/>
          </w:tcPr>
          <w:p w14:paraId="380D0E10" w14:textId="77777777" w:rsidR="00512965" w:rsidRPr="00512965" w:rsidRDefault="00512965" w:rsidP="00512965">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Pressure to reduce environmental impact and support sustainable tourism</w:t>
            </w:r>
            <w:r w:rsidRPr="00512965">
              <w:rPr>
                <w:rFonts w:ascii="Times New Roman" w:eastAsia="Times New Roman" w:hAnsi="Times New Roman" w:cs="Times New Roman"/>
                <w:sz w:val="24"/>
                <w:szCs w:val="24"/>
              </w:rPr>
              <w:br/>
              <w:t>• Implementation of eco-friendly amenities and energy-efficient operations</w:t>
            </w:r>
            <w:r w:rsidRPr="00512965">
              <w:rPr>
                <w:rFonts w:ascii="Times New Roman" w:eastAsia="Times New Roman" w:hAnsi="Times New Roman" w:cs="Times New Roman"/>
                <w:sz w:val="24"/>
                <w:szCs w:val="24"/>
              </w:rPr>
              <w:br/>
              <w:t>• Stakeholder expectations for transparent sustainability reporting</w:t>
            </w:r>
          </w:p>
        </w:tc>
      </w:tr>
    </w:tbl>
    <w:p w14:paraId="4B0CFFE4" w14:textId="77777777" w:rsidR="009C1EC1" w:rsidRPr="009C1EC1" w:rsidRDefault="009C1EC1" w:rsidP="009C1EC1">
      <w:pPr>
        <w:spacing w:after="0" w:line="276" w:lineRule="auto"/>
        <w:jc w:val="both"/>
        <w:rPr>
          <w:rFonts w:ascii="Times New Roman" w:eastAsia="Times New Roman" w:hAnsi="Times New Roman" w:cs="Times New Roman"/>
          <w:sz w:val="24"/>
          <w:szCs w:val="24"/>
        </w:rPr>
      </w:pPr>
    </w:p>
    <w:p w14:paraId="4CC19C0E" w14:textId="77777777" w:rsidR="009C1EC1" w:rsidRPr="009C1EC1" w:rsidRDefault="009C1EC1" w:rsidP="00512965">
      <w:pPr>
        <w:pStyle w:val="Heading1"/>
        <w:rPr>
          <w:rFonts w:eastAsia="Times New Roman"/>
        </w:rPr>
      </w:pPr>
      <w:bookmarkStart w:id="7" w:name="_Toc220623806"/>
      <w:r w:rsidRPr="009C1EC1">
        <w:rPr>
          <w:rFonts w:eastAsia="Times New Roman"/>
        </w:rPr>
        <w:t xml:space="preserve">3. Identification and </w:t>
      </w:r>
      <w:r w:rsidR="00512965">
        <w:rPr>
          <w:rFonts w:eastAsia="Times New Roman"/>
        </w:rPr>
        <w:t>Categorization of Stakeholders</w:t>
      </w:r>
      <w:bookmarkEnd w:id="7"/>
      <w:r w:rsidR="00512965">
        <w:rPr>
          <w:rFonts w:eastAsia="Times New Roman"/>
        </w:rPr>
        <w:t xml:space="preserve"> </w:t>
      </w:r>
    </w:p>
    <w:p w14:paraId="3A8C90D7"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Stakeholders are individuals or groups of people, which may influence or be influenced by accomplishment of </w:t>
      </w:r>
      <w:r w:rsidR="0063339B" w:rsidRPr="00512965">
        <w:rPr>
          <w:rFonts w:ascii="Times New Roman" w:eastAsia="Times New Roman" w:hAnsi="Times New Roman" w:cs="Times New Roman"/>
          <w:sz w:val="24"/>
          <w:szCs w:val="24"/>
        </w:rPr>
        <w:t>organizational</w:t>
      </w:r>
      <w:r w:rsidRPr="00512965">
        <w:rPr>
          <w:rFonts w:ascii="Times New Roman" w:eastAsia="Times New Roman" w:hAnsi="Times New Roman" w:cs="Times New Roman"/>
          <w:sz w:val="24"/>
          <w:szCs w:val="24"/>
        </w:rPr>
        <w:t xml:space="preserve"> objectives. The stakeholder theory of Freeman underlines that organisations should put into focus the interests of the entire stakeholders instead of focusing on those of shareholders (Freeman, 2010). The identification and </w:t>
      </w:r>
      <w:r w:rsidR="0063339B" w:rsidRPr="00512965">
        <w:rPr>
          <w:rFonts w:ascii="Times New Roman" w:eastAsia="Times New Roman" w:hAnsi="Times New Roman" w:cs="Times New Roman"/>
          <w:sz w:val="24"/>
          <w:szCs w:val="24"/>
        </w:rPr>
        <w:t>categorization</w:t>
      </w:r>
      <w:r w:rsidRPr="00512965">
        <w:rPr>
          <w:rFonts w:ascii="Times New Roman" w:eastAsia="Times New Roman" w:hAnsi="Times New Roman" w:cs="Times New Roman"/>
          <w:sz w:val="24"/>
          <w:szCs w:val="24"/>
        </w:rPr>
        <w:t xml:space="preserve"> of the stakeholders used in the discussions on the context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project is necessary because of the global nature of the project and the complexity of the technology.</w:t>
      </w:r>
    </w:p>
    <w:p w14:paraId="3D9D5415"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The other critical internal stakeholders are the senior leadership that gives the strategy, resource allocation and governance control. The project management team has the role of coordinating activities, managing time and keeping the stakeholders on track. IT and operations teams are very important in the adoption of AI systems and integrating them into the existing service processes. Marketing and human resources functions have the role of communicating value propositions, change management and staff capability development.</w:t>
      </w:r>
    </w:p>
    <w:p w14:paraId="57AF8A83"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Customers are external stakeholders and they are the key determinants of the success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as customers receiving the AI-driven and </w:t>
      </w:r>
      <w:r w:rsidR="0063339B" w:rsidRPr="00512965">
        <w:rPr>
          <w:rFonts w:ascii="Times New Roman" w:eastAsia="Times New Roman" w:hAnsi="Times New Roman" w:cs="Times New Roman"/>
          <w:sz w:val="24"/>
          <w:szCs w:val="24"/>
        </w:rPr>
        <w:t>personalized</w:t>
      </w:r>
      <w:r w:rsidRPr="00512965">
        <w:rPr>
          <w:rFonts w:ascii="Times New Roman" w:eastAsia="Times New Roman" w:hAnsi="Times New Roman" w:cs="Times New Roman"/>
          <w:sz w:val="24"/>
          <w:szCs w:val="24"/>
        </w:rPr>
        <w:t xml:space="preserve"> services. The acceptance and trust they have </w:t>
      </w:r>
      <w:r w:rsidR="0063339B" w:rsidRPr="00512965">
        <w:rPr>
          <w:rFonts w:ascii="Times New Roman" w:eastAsia="Times New Roman" w:hAnsi="Times New Roman" w:cs="Times New Roman"/>
          <w:sz w:val="24"/>
          <w:szCs w:val="24"/>
        </w:rPr>
        <w:t>had</w:t>
      </w:r>
      <w:r w:rsidRPr="00512965">
        <w:rPr>
          <w:rFonts w:ascii="Times New Roman" w:eastAsia="Times New Roman" w:hAnsi="Times New Roman" w:cs="Times New Roman"/>
          <w:sz w:val="24"/>
          <w:szCs w:val="24"/>
        </w:rPr>
        <w:t xml:space="preserve"> a direct impact on adoption and brand reputation. Vendors of AI technology are also key stakeholders, who are able to offer technical expertise, reliability of the system, and continued support. Another impactful group is regulators because there is a requirement to comply with data protection and ethical standards of AI. Stakeholders also include local communities, especially where the sustainability efforts and employment practices have any implications on the social and environmental performance (Mitchell, </w:t>
      </w:r>
      <w:r w:rsidR="0063339B" w:rsidRPr="00512965">
        <w:rPr>
          <w:rFonts w:ascii="Times New Roman" w:eastAsia="Times New Roman" w:hAnsi="Times New Roman" w:cs="Times New Roman"/>
          <w:sz w:val="24"/>
          <w:szCs w:val="24"/>
        </w:rPr>
        <w:t>Gale</w:t>
      </w:r>
      <w:r w:rsidRPr="00512965">
        <w:rPr>
          <w:rFonts w:ascii="Times New Roman" w:eastAsia="Times New Roman" w:hAnsi="Times New Roman" w:cs="Times New Roman"/>
          <w:sz w:val="24"/>
          <w:szCs w:val="24"/>
        </w:rPr>
        <w:t xml:space="preserve"> and Wood, 1997; Wood, Mitchell and </w:t>
      </w:r>
      <w:r w:rsidR="0063339B" w:rsidRPr="00512965">
        <w:rPr>
          <w:rFonts w:ascii="Times New Roman" w:eastAsia="Times New Roman" w:hAnsi="Times New Roman" w:cs="Times New Roman"/>
          <w:sz w:val="24"/>
          <w:szCs w:val="24"/>
        </w:rPr>
        <w:t>Gale</w:t>
      </w:r>
      <w:r w:rsidRPr="00512965">
        <w:rPr>
          <w:rFonts w:ascii="Times New Roman" w:eastAsia="Times New Roman" w:hAnsi="Times New Roman" w:cs="Times New Roman"/>
          <w:sz w:val="24"/>
          <w:szCs w:val="24"/>
        </w:rPr>
        <w:t>, 2021).</w:t>
      </w:r>
    </w:p>
    <w:p w14:paraId="0461981D" w14:textId="77777777" w:rsidR="009C1EC1" w:rsidRPr="009C1EC1"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These stakeholders have different power and influence. The senior leadership and regulators have high power and influence, and customers have high interest and indirect power by the market behaviour. This means that to engage stakeholders effectively, differentiated strategies have to be used based on the analysis of stakeholder salience and power-interest </w:t>
      </w:r>
      <w:r>
        <w:rPr>
          <w:rFonts w:ascii="Times New Roman" w:eastAsia="Times New Roman" w:hAnsi="Times New Roman" w:cs="Times New Roman"/>
          <w:sz w:val="24"/>
          <w:szCs w:val="24"/>
        </w:rPr>
        <w:t xml:space="preserve">(Mitchell, </w:t>
      </w:r>
      <w:r w:rsidR="0063339B">
        <w:rPr>
          <w:rFonts w:ascii="Times New Roman" w:eastAsia="Times New Roman" w:hAnsi="Times New Roman" w:cs="Times New Roman"/>
          <w:sz w:val="24"/>
          <w:szCs w:val="24"/>
        </w:rPr>
        <w:t>Gale</w:t>
      </w:r>
      <w:r>
        <w:rPr>
          <w:rFonts w:ascii="Times New Roman" w:eastAsia="Times New Roman" w:hAnsi="Times New Roman" w:cs="Times New Roman"/>
          <w:sz w:val="24"/>
          <w:szCs w:val="24"/>
        </w:rPr>
        <w:t xml:space="preserve"> and Wood, 1997)</w:t>
      </w:r>
      <w:r w:rsidR="009C1EC1" w:rsidRPr="009C1EC1">
        <w:rPr>
          <w:rFonts w:ascii="Times New Roman" w:eastAsia="Times New Roman" w:hAnsi="Times New Roman" w:cs="Times New Roman"/>
          <w:sz w:val="24"/>
          <w:szCs w:val="24"/>
        </w:rPr>
        <w:t>.</w:t>
      </w:r>
    </w:p>
    <w:p w14:paraId="2F153FD1" w14:textId="77777777" w:rsidR="009C1EC1" w:rsidRPr="009C1EC1" w:rsidRDefault="009C1EC1" w:rsidP="009C1EC1">
      <w:pPr>
        <w:spacing w:before="100" w:beforeAutospacing="1" w:after="100" w:afterAutospacing="1" w:line="276" w:lineRule="auto"/>
        <w:jc w:val="both"/>
        <w:rPr>
          <w:rFonts w:ascii="Times New Roman" w:eastAsia="Times New Roman" w:hAnsi="Times New Roman" w:cs="Times New Roman"/>
          <w:sz w:val="24"/>
          <w:szCs w:val="24"/>
        </w:rPr>
      </w:pPr>
      <w:r w:rsidRPr="009C1EC1">
        <w:rPr>
          <w:rFonts w:ascii="Times New Roman" w:eastAsia="Times New Roman" w:hAnsi="Times New Roman" w:cs="Times New Roman"/>
          <w:i/>
          <w:iCs/>
          <w:sz w:val="24"/>
          <w:szCs w:val="24"/>
        </w:rPr>
        <w:t>(Visual required: Stakeholder Power–Interest Matrix)</w:t>
      </w:r>
    </w:p>
    <w:p w14:paraId="5D3E0001" w14:textId="77777777" w:rsidR="009C1EC1" w:rsidRPr="009C1EC1" w:rsidRDefault="009C1EC1" w:rsidP="00512965">
      <w:pPr>
        <w:pStyle w:val="Heading1"/>
        <w:rPr>
          <w:rFonts w:eastAsia="Times New Roman"/>
        </w:rPr>
      </w:pPr>
      <w:bookmarkStart w:id="8" w:name="_Toc220623807"/>
      <w:r w:rsidRPr="009C1EC1">
        <w:rPr>
          <w:rFonts w:eastAsia="Times New Roman"/>
        </w:rPr>
        <w:t>4. Roles, Responsibil</w:t>
      </w:r>
      <w:r w:rsidR="00512965">
        <w:rPr>
          <w:rFonts w:eastAsia="Times New Roman"/>
        </w:rPr>
        <w:t>ities, Benefits and Challenges</w:t>
      </w:r>
      <w:bookmarkEnd w:id="8"/>
      <w:r w:rsidR="00512965">
        <w:rPr>
          <w:rFonts w:eastAsia="Times New Roman"/>
        </w:rPr>
        <w:t xml:space="preserve"> </w:t>
      </w:r>
    </w:p>
    <w:p w14:paraId="2E93005B"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 proper coordination of various stakeholder groups with different roles and responsibilities and level of influence is the key to successful implementation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project at Marriott International. The strategic value of senior leadership is to offer the vision, a decision that will be approved to make investments and alignment between the project and the long-term business objectives of Marriott. They play a crucial role in </w:t>
      </w:r>
      <w:r w:rsidR="0063339B" w:rsidRPr="00512965">
        <w:rPr>
          <w:rFonts w:ascii="Times New Roman" w:eastAsia="Times New Roman" w:hAnsi="Times New Roman" w:cs="Times New Roman"/>
          <w:sz w:val="24"/>
          <w:szCs w:val="24"/>
        </w:rPr>
        <w:t>legitimizing</w:t>
      </w:r>
      <w:r w:rsidRPr="00512965">
        <w:rPr>
          <w:rFonts w:ascii="Times New Roman" w:eastAsia="Times New Roman" w:hAnsi="Times New Roman" w:cs="Times New Roman"/>
          <w:sz w:val="24"/>
          <w:szCs w:val="24"/>
        </w:rPr>
        <w:t xml:space="preserve"> the project, and they are also instrumental in getting </w:t>
      </w:r>
      <w:r w:rsidR="0063339B" w:rsidRPr="00512965">
        <w:rPr>
          <w:rFonts w:ascii="Times New Roman" w:eastAsia="Times New Roman" w:hAnsi="Times New Roman" w:cs="Times New Roman"/>
          <w:sz w:val="24"/>
          <w:szCs w:val="24"/>
        </w:rPr>
        <w:t>organizational</w:t>
      </w:r>
      <w:r w:rsidRPr="00512965">
        <w:rPr>
          <w:rFonts w:ascii="Times New Roman" w:eastAsia="Times New Roman" w:hAnsi="Times New Roman" w:cs="Times New Roman"/>
          <w:sz w:val="24"/>
          <w:szCs w:val="24"/>
        </w:rPr>
        <w:t xml:space="preserve"> wide support (Freeman, 2010).</w:t>
      </w:r>
    </w:p>
    <w:p w14:paraId="58815C4D"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Planning, coordination and implementation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initiative is the task of project management team. This also involves the control of time, budgets, risks and stakeholder expectations within different geographical markets. IT and operations teams bear technical and operational tasks, such as integrating AI systems, securing information, ensuring reliability of the system, and its overall availability. The marketing teams will promote the value of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to the customers, whereas; human resources teams will take care of training the staff, managing change, and engaging the staff to be ready to work (</w:t>
      </w:r>
      <w:r w:rsidR="0063339B" w:rsidRPr="00512965">
        <w:rPr>
          <w:rFonts w:ascii="Times New Roman" w:eastAsia="Times New Roman" w:hAnsi="Times New Roman" w:cs="Times New Roman"/>
          <w:sz w:val="24"/>
          <w:szCs w:val="24"/>
        </w:rPr>
        <w:t>Ulla</w:t>
      </w:r>
      <w:r w:rsidRPr="00512965">
        <w:rPr>
          <w:rFonts w:ascii="Times New Roman" w:eastAsia="Times New Roman" w:hAnsi="Times New Roman" w:cs="Times New Roman"/>
          <w:sz w:val="24"/>
          <w:szCs w:val="24"/>
        </w:rPr>
        <w:t>, 2023).</w:t>
      </w:r>
    </w:p>
    <w:p w14:paraId="75BEED7B"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 external stakeholders are also involved in the project success. Customers give necessary feedback that determines service design and rates of adoption. The vendors of AI technologies provide technical skills, ability to maintain and innovate the system, which allows Marriott to provide higher-level </w:t>
      </w:r>
      <w:r w:rsidR="0063339B" w:rsidRPr="00512965">
        <w:rPr>
          <w:rFonts w:ascii="Times New Roman" w:eastAsia="Times New Roman" w:hAnsi="Times New Roman" w:cs="Times New Roman"/>
          <w:sz w:val="24"/>
          <w:szCs w:val="24"/>
        </w:rPr>
        <w:t>personalized</w:t>
      </w:r>
      <w:r w:rsidRPr="00512965">
        <w:rPr>
          <w:rFonts w:ascii="Times New Roman" w:eastAsia="Times New Roman" w:hAnsi="Times New Roman" w:cs="Times New Roman"/>
          <w:sz w:val="24"/>
          <w:szCs w:val="24"/>
        </w:rPr>
        <w:t xml:space="preserve"> services. Regulators are also meant to make sure that the data protection and ethical standards of AI are followed, and the local community is influenced by the sustainability programs and the employment policy related to the project (Law et al., 2025).</w:t>
      </w:r>
    </w:p>
    <w:p w14:paraId="38A97D06"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These are stakeholders that are significant to the implementation of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xml:space="preserve">+. Internal stakeholders bring </w:t>
      </w:r>
      <w:r w:rsidR="0063339B" w:rsidRPr="00512965">
        <w:rPr>
          <w:rFonts w:ascii="Times New Roman" w:eastAsia="Times New Roman" w:hAnsi="Times New Roman" w:cs="Times New Roman"/>
          <w:sz w:val="24"/>
          <w:szCs w:val="24"/>
        </w:rPr>
        <w:t>organizational</w:t>
      </w:r>
      <w:r w:rsidRPr="00512965">
        <w:rPr>
          <w:rFonts w:ascii="Times New Roman" w:eastAsia="Times New Roman" w:hAnsi="Times New Roman" w:cs="Times New Roman"/>
          <w:sz w:val="24"/>
          <w:szCs w:val="24"/>
        </w:rPr>
        <w:t xml:space="preserve"> knowledge, operation know-how and strategic management, whereas the external stakeholders bring technological innovation, market legitimacy and regulatory assurance. Efficient teamwork helps to improve the quality of services, increase brand credibility and help to achieve a competitive edge in the worldwide hospitality sector (Bulchand-Gidumal et al., 2024).</w:t>
      </w:r>
    </w:p>
    <w:p w14:paraId="592E13E3" w14:textId="77777777" w:rsidR="00512965" w:rsidRPr="00512965"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Nevertheless, a number of challenges have to be dealt with. The operational complexity is based on the need to coordinate the stakeholders in the international markets characterized by different regulatory and technological conditions. The cultural diversity can cause dissimilar attitudes to the adoption of AI and personalization of the services, which can cause resistance amongst employees or consumers. Ethical and AI-related issues, especially on data privacy, transparency and algorithmic bias are reputational and compliance risks to be actively addressed (Yilmaz, 2025; Law et al., 2025).</w:t>
      </w:r>
    </w:p>
    <w:p w14:paraId="57BDDAF5" w14:textId="77777777" w:rsidR="009C1EC1" w:rsidRPr="009C1EC1" w:rsidRDefault="00512965" w:rsidP="00512965">
      <w:pPr>
        <w:spacing w:after="0"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 stakeholder salience theory emphasizes that high power stakeholders possessing high legitimacy and urgency must be given priority approaches as stakeholders. When the power of the stakeholders is not recognized, the impact can be conflict, sluggish or less adoption. Consequently, it is necessary to know the stakeholder roles, advantages and difficulties so as to create viable engagement mechanisms that promote effective project deliverables (Mitchell, </w:t>
      </w:r>
      <w:r w:rsidR="0063339B" w:rsidRPr="00512965">
        <w:rPr>
          <w:rFonts w:ascii="Times New Roman" w:eastAsia="Times New Roman" w:hAnsi="Times New Roman" w:cs="Times New Roman"/>
          <w:sz w:val="24"/>
          <w:szCs w:val="24"/>
        </w:rPr>
        <w:t>Gale</w:t>
      </w:r>
      <w:r w:rsidRPr="00512965">
        <w:rPr>
          <w:rFonts w:ascii="Times New Roman" w:eastAsia="Times New Roman" w:hAnsi="Times New Roman" w:cs="Times New Roman"/>
          <w:sz w:val="24"/>
          <w:szCs w:val="24"/>
        </w:rPr>
        <w:t xml:space="preserve"> and Wood, 1997).</w:t>
      </w:r>
    </w:p>
    <w:p w14:paraId="2985CDA2" w14:textId="77777777" w:rsidR="009C1EC1" w:rsidRPr="009C1EC1" w:rsidRDefault="009C1EC1" w:rsidP="00512965">
      <w:pPr>
        <w:pStyle w:val="Heading1"/>
        <w:rPr>
          <w:rFonts w:eastAsia="Times New Roman"/>
        </w:rPr>
      </w:pPr>
      <w:bookmarkStart w:id="9" w:name="_Toc220623808"/>
      <w:r w:rsidRPr="009C1EC1">
        <w:rPr>
          <w:rFonts w:eastAsia="Times New Roman"/>
        </w:rPr>
        <w:t>5. Stakeholder E</w:t>
      </w:r>
      <w:r w:rsidR="00512965">
        <w:rPr>
          <w:rFonts w:eastAsia="Times New Roman"/>
        </w:rPr>
        <w:t>ngagement Frameworks and Tools</w:t>
      </w:r>
      <w:bookmarkEnd w:id="9"/>
      <w:r w:rsidR="00512965">
        <w:rPr>
          <w:rFonts w:eastAsia="Times New Roman"/>
        </w:rPr>
        <w:t xml:space="preserve"> </w:t>
      </w:r>
    </w:p>
    <w:p w14:paraId="0D2E9785"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Marriott international needs to use systematic stakeholder engagement models and instruments to handle the complexity of the stakeholder relationships in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project. These tools facilitate the process of systematic decision making, define responsibilities and improve communication between the internal and external stakeholder groups.</w:t>
      </w:r>
    </w:p>
    <w:p w14:paraId="4F7790B9"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The stakeholder power-interest matrix is an important tool that is used to group the stakeholders according to the amount of interest and influence to the project. Senior leadership and regulators usually are in high-power, high-interest category and need close engagement and constant communication. The customers and the local communities tend to be quite interested with different levels of power and require consultative and informative engagement strategies. The matrix helps project managers to rank the resources and fit the engagement strategies accordingly (Mitchell, </w:t>
      </w:r>
      <w:r w:rsidR="0063339B" w:rsidRPr="00512965">
        <w:rPr>
          <w:rFonts w:ascii="Times New Roman" w:eastAsia="Times New Roman" w:hAnsi="Times New Roman" w:cs="Times New Roman"/>
          <w:sz w:val="24"/>
          <w:szCs w:val="24"/>
        </w:rPr>
        <w:t>Gale</w:t>
      </w:r>
      <w:r w:rsidRPr="00512965">
        <w:rPr>
          <w:rFonts w:ascii="Times New Roman" w:eastAsia="Times New Roman" w:hAnsi="Times New Roman" w:cs="Times New Roman"/>
          <w:sz w:val="24"/>
          <w:szCs w:val="24"/>
        </w:rPr>
        <w:t xml:space="preserve"> and Wood, 1997).</w:t>
      </w:r>
    </w:p>
    <w:p w14:paraId="38F7E705"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 xml:space="preserve">RACI matrix is a compulsory obligation assignment device that displays who is responsible, accountable, consulted and informed of the activity undertaken in a project. The position of senior leadership in the </w:t>
      </w:r>
      <w:r w:rsidR="0063339B" w:rsidRPr="00512965">
        <w:rPr>
          <w:rFonts w:ascii="Times New Roman" w:eastAsia="Times New Roman" w:hAnsi="Times New Roman" w:cs="Times New Roman"/>
          <w:sz w:val="24"/>
          <w:szCs w:val="24"/>
        </w:rPr>
        <w:t>Stay Smart</w:t>
      </w:r>
      <w:r w:rsidRPr="00512965">
        <w:rPr>
          <w:rFonts w:ascii="Times New Roman" w:eastAsia="Times New Roman" w:hAnsi="Times New Roman" w:cs="Times New Roman"/>
          <w:sz w:val="24"/>
          <w:szCs w:val="24"/>
        </w:rPr>
        <w:t>+ project is to approve the strategic aspects of the project, the project manager to deliver, the system implementation part of the project to the IT teams, and the marketing and HR teams to consult on communication and training processes. The RACI matrix eliminates confusion, role-invasiveness and improves responsiveness, which is needed in intricate global projects (Oxford University, 2020).</w:t>
      </w:r>
    </w:p>
    <w:p w14:paraId="19666E2E"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The stakeholder engagement plan details the engagement approach of all the stakeholder groups in the lifecycle of the project. This involves setting goals of engagement, frequency, process and success measures. An example of this is regular briefings with the senior leadership to ensure that the strategy is on track, and workshops and feedback sessions with employees and customers to facilitate acceptance and adoption. This kind of planning leads to trust and long-term commitment (</w:t>
      </w:r>
      <w:r w:rsidR="0063339B" w:rsidRPr="00512965">
        <w:rPr>
          <w:rFonts w:ascii="Times New Roman" w:eastAsia="Times New Roman" w:hAnsi="Times New Roman" w:cs="Times New Roman"/>
          <w:sz w:val="24"/>
          <w:szCs w:val="24"/>
        </w:rPr>
        <w:t>Parmer</w:t>
      </w:r>
      <w:r w:rsidRPr="00512965">
        <w:rPr>
          <w:rFonts w:ascii="Times New Roman" w:eastAsia="Times New Roman" w:hAnsi="Times New Roman" w:cs="Times New Roman"/>
          <w:sz w:val="24"/>
          <w:szCs w:val="24"/>
        </w:rPr>
        <w:t xml:space="preserve"> et al., 2010).</w:t>
      </w:r>
    </w:p>
    <w:p w14:paraId="099D9981" w14:textId="77777777" w:rsidR="00512965" w:rsidRPr="00512965" w:rsidRDefault="00512965" w:rsidP="00512965">
      <w:pPr>
        <w:spacing w:before="100" w:beforeAutospacing="1" w:after="100" w:afterAutospacing="1" w:line="276" w:lineRule="auto"/>
        <w:jc w:val="both"/>
        <w:rPr>
          <w:rFonts w:ascii="Times New Roman" w:eastAsia="Times New Roman" w:hAnsi="Times New Roman" w:cs="Times New Roman"/>
          <w:sz w:val="24"/>
          <w:szCs w:val="24"/>
        </w:rPr>
      </w:pPr>
      <w:r w:rsidRPr="00512965">
        <w:rPr>
          <w:rFonts w:ascii="Times New Roman" w:eastAsia="Times New Roman" w:hAnsi="Times New Roman" w:cs="Times New Roman"/>
          <w:sz w:val="24"/>
          <w:szCs w:val="24"/>
        </w:rPr>
        <w:t>Communication plan is the complement of the engagement plan, as it acts as a deed that delineates the communication channels, message, time and accountability. Effective communication enhances transparency and solves resistance especially in the introduction of AI-driven services because they are clear and consistent. Ethical issues and cultural differences within the international markets should be managed with effective communication (KPMG, 2024).</w:t>
      </w:r>
    </w:p>
    <w:p w14:paraId="7E16A594" w14:textId="77777777" w:rsidR="009C1EC1" w:rsidRPr="0063339B" w:rsidRDefault="009C1EC1" w:rsidP="0063339B">
      <w:pPr>
        <w:pStyle w:val="Heading1"/>
      </w:pPr>
      <w:bookmarkStart w:id="10" w:name="_Toc220623809"/>
      <w:r w:rsidRPr="0063339B">
        <w:rPr>
          <w:rStyle w:val="Strong"/>
          <w:b/>
          <w:bCs w:val="0"/>
        </w:rPr>
        <w:t>6. Stakeholder Engagement Process and Conflict Management (4C’s Model)</w:t>
      </w:r>
      <w:bookmarkEnd w:id="10"/>
      <w:r w:rsidRPr="0063339B">
        <w:rPr>
          <w:rStyle w:val="Strong"/>
          <w:b/>
          <w:bCs w:val="0"/>
        </w:rPr>
        <w:t xml:space="preserve"> </w:t>
      </w:r>
    </w:p>
    <w:p w14:paraId="45DB160D" w14:textId="77777777" w:rsidR="0063339B" w:rsidRDefault="0063339B" w:rsidP="0063339B">
      <w:pPr>
        <w:pStyle w:val="NormalWeb"/>
        <w:spacing w:line="276" w:lineRule="auto"/>
        <w:jc w:val="both"/>
      </w:pPr>
      <w:r>
        <w:t>The Project Manager in the Marriott international is central to the efficient involvement of stakeholders in the process of the lifecycle of projects of the Stay Smart+. The Project Manager plays the role of the central coordinator, who has a role to align the strategic objectives to the operation execution and balancing the different interests of the internal and external stakeholder in the global markets. The intricacy of technology and the international nature of Stay Smart+ require organized engagement processes to reduce the risk, control the expectations and achieve the successful project delivery (Freeman, 2010).</w:t>
      </w:r>
    </w:p>
    <w:p w14:paraId="00E9D129" w14:textId="77777777" w:rsidR="0063339B" w:rsidRDefault="0063339B" w:rsidP="0063339B">
      <w:pPr>
        <w:pStyle w:val="NormalWeb"/>
        <w:spacing w:line="276" w:lineRule="auto"/>
        <w:jc w:val="both"/>
      </w:pPr>
      <w:r>
        <w:t>To do so, the Project Manager uses the model of 4Cs of communication, collaboration, consultation and commitment, which offers a systematic and pragmatic way of engaging stakeholders in a complex project. All the components of the model assist various phases of engagement and result in conflict prevention and resolution.</w:t>
      </w:r>
    </w:p>
    <w:p w14:paraId="2509BC9B" w14:textId="77777777" w:rsidR="0063339B" w:rsidRDefault="0063339B" w:rsidP="0063339B">
      <w:pPr>
        <w:pStyle w:val="NormalWeb"/>
        <w:spacing w:line="276" w:lineRule="auto"/>
        <w:jc w:val="both"/>
      </w:pPr>
      <w:r>
        <w:t>Effective stakeholder engagement is based on communication. Communication in the case of Stay Smart+ will entail the open, prompt and transparent sharing of information with project stakeholders about the project objectives, as well as progress, risks and probable results. In the case of internal stakeholders especially the employees and operation teams, communication is very essential in articulating how AI-based systems will facilitate service delivery as opposed to human roles being eliminated. Uncertainty and anxiety are some of the main causes of resistance in technology-based change programs, which are minimized through clear messaging (KPMG, 2024). To external stakeholders, like customers and regulators, the openness of data use, privacy protection and ethical AI actions is crucial to their trust and legitimacy (Law et al., 2025).</w:t>
      </w:r>
    </w:p>
    <w:p w14:paraId="01954E52" w14:textId="77777777" w:rsidR="0063339B" w:rsidRDefault="0063339B" w:rsidP="0063339B">
      <w:pPr>
        <w:pStyle w:val="NormalWeb"/>
        <w:spacing w:line="276" w:lineRule="auto"/>
        <w:jc w:val="both"/>
      </w:pPr>
      <w:r>
        <w:t>Collaboration is about establishing collaborative relationships among the stakeholders in order to reach common objectives. In Marriott international, coordination is necessary among the project management team, IT team, operations team and AI technology vendors in order to incorporate the Stay Smart+ into the current systems and service process. The cross-functional working allows to share the knowledge, be innovative and solve problems faster, which decreases the possibility of technical failures or disruption of operations. On the external front, they should form partnership with technology partners to facilitate perpetual enhancement and innovation, as well as develop partnership with regulators to promote compliance in various jurisdictions (Parmer et al., 2010).</w:t>
      </w:r>
    </w:p>
    <w:p w14:paraId="57EA4DC2" w14:textId="77777777" w:rsidR="0063339B" w:rsidRDefault="0063339B" w:rsidP="0063339B">
      <w:pPr>
        <w:pStyle w:val="NormalWeb"/>
        <w:spacing w:line="276" w:lineRule="auto"/>
        <w:jc w:val="both"/>
      </w:pPr>
      <w:r>
        <w:t>Consultation is based on active seeking of the input of stakeholders in decision-making processes. Consultation with employees in the case of Stay Smart+ would enable the Project Manager to recognize operational issues, training requirements and concerns associated with the adoption of AI. This participative strategy makes employees more accepting and less resistant since the staff feels that the change process is theirs. Customer consultation is also crucial since feedback by customer’s shapes personalization of services, usability as well as experience. Studies have shown that consultation leads to a sense of fairness and trust especially in initiatives that involve digital surveillance or data-driven technology (Bulchand-Gidumal et al., 2024).</w:t>
      </w:r>
    </w:p>
    <w:p w14:paraId="52B5E2E1" w14:textId="77777777" w:rsidR="0063339B" w:rsidRDefault="0063339B" w:rsidP="0063339B">
      <w:pPr>
        <w:pStyle w:val="NormalWeb"/>
        <w:spacing w:line="276" w:lineRule="auto"/>
        <w:jc w:val="both"/>
      </w:pPr>
      <w:r>
        <w:t>Commitment is the continuous interaction of the stakeholders. To the Project Manager, commitment is to ensure that the stakeholders are involved not only in the planning but also during implementation and evaluation. The commitment of senior leadership is in particular important, because it is an indicator of organizational priority, and it grants the power to eliminate the crisis and distribute resources. Long-term commitment also facilitates flexibility so that the project team can react positively to risks and stakeholder issues as the project develops (Freeman, 2010).</w:t>
      </w:r>
    </w:p>
    <w:p w14:paraId="26CDC5CE" w14:textId="77777777" w:rsidR="0063339B" w:rsidRDefault="0063339B" w:rsidP="0063339B">
      <w:pPr>
        <w:pStyle w:val="NormalWeb"/>
        <w:spacing w:line="276" w:lineRule="auto"/>
        <w:jc w:val="both"/>
      </w:pPr>
      <w:r>
        <w:t>Nevertheless, in spite of the use of structured engagement processes, there is no possibility of avoiding conflict in this global hospitality project of this magnitude. Attitudes towards AI, privacy and service personalization may be affected by cultural differences in different international markets. Some areas have customers and employees that are not as used to the automated interactions or data collection. The Project Manager is thus required to change the engagement approaches to fit the cultural norms and expectations of the locals so that misunderstanding and resistance is averted through culturally sensitive communication and consultation techniques (Yilmaz, 2025).</w:t>
      </w:r>
    </w:p>
    <w:p w14:paraId="3F2A312C" w14:textId="77777777" w:rsidR="0063339B" w:rsidRDefault="0063339B" w:rsidP="0063339B">
      <w:pPr>
        <w:pStyle w:val="NormalWeb"/>
        <w:spacing w:line="276" w:lineRule="auto"/>
        <w:jc w:val="both"/>
      </w:pPr>
      <w:r>
        <w:t>Another challenge is resistance among the personnel to the adoption of AI. Workers will be afraid of being displaced or losing autonomy or even being monitored. To overcome this resistance, it is necessary to combine open communication, skills building, and reassurance that AI is not supposed to supplant human service provision, but rather improve it. Fear can be minimized through the training programmers and participatory consultation to create a more favorable attitude toward technological change (Law et al., 2025).</w:t>
      </w:r>
    </w:p>
    <w:p w14:paraId="50AD4DCF" w14:textId="77777777" w:rsidR="0063339B" w:rsidRDefault="0063339B" w:rsidP="0063339B">
      <w:pPr>
        <w:pStyle w:val="NormalWeb"/>
        <w:spacing w:line="276" w:lineRule="auto"/>
        <w:jc w:val="both"/>
      </w:pPr>
      <w:r>
        <w:t>Ethics and privacy of data is also another significant source of possible conflict. Data protection, standards like GDPR, and ethical use of AI are critical in ensuring the confidence of stakeholders. Lack of addressing these issues could lead to reputational losses, sanctions on the regulatory system and loss of trust. The Project Manager should thus collaborate with the legal, compliance and technology stakeholders to entrench the mechanisms of ethical governance and accountability into the engagement process (Law et al., 2025).</w:t>
      </w:r>
    </w:p>
    <w:p w14:paraId="238EDC76" w14:textId="77777777" w:rsidR="009C1EC1" w:rsidRPr="0063339B" w:rsidRDefault="009C1EC1" w:rsidP="0063339B">
      <w:pPr>
        <w:pStyle w:val="Heading1"/>
      </w:pPr>
      <w:bookmarkStart w:id="11" w:name="_Toc220623810"/>
      <w:r w:rsidRPr="0063339B">
        <w:rPr>
          <w:rStyle w:val="Strong"/>
          <w:b/>
          <w:bCs w:val="0"/>
        </w:rPr>
        <w:t>7. Impact of Stakeholder Engagement on Business Performance</w:t>
      </w:r>
      <w:bookmarkEnd w:id="11"/>
      <w:r w:rsidRPr="0063339B">
        <w:rPr>
          <w:rStyle w:val="Strong"/>
          <w:b/>
          <w:bCs w:val="0"/>
        </w:rPr>
        <w:t xml:space="preserve"> </w:t>
      </w:r>
    </w:p>
    <w:p w14:paraId="3AAC61AD" w14:textId="77777777" w:rsidR="0063339B" w:rsidRDefault="0063339B" w:rsidP="0063339B">
      <w:pPr>
        <w:pStyle w:val="NormalWeb"/>
        <w:spacing w:line="276" w:lineRule="auto"/>
        <w:jc w:val="both"/>
      </w:pPr>
      <w:r>
        <w:t>Stakeholder engagement is effective as it has a massive impact on the business performance outcomes of large-scale hospitality innovation projects like Stay Smart+ at Marriott International. Through strategically involving both internal and external stakeholders in the entire project lifecycle, Marriott can increase project success, customer satisfaction, the brand reputation, and financial and operational performance. Nevertheless, the effect of stakeholder engagement should be considered critically so as to identify the benefits as well as the limitations inherent in the process.</w:t>
      </w:r>
    </w:p>
    <w:p w14:paraId="022BF647" w14:textId="77777777" w:rsidR="0063339B" w:rsidRDefault="0063339B" w:rsidP="0063339B">
      <w:pPr>
        <w:pStyle w:val="NormalWeb"/>
        <w:spacing w:line="276" w:lineRule="auto"/>
        <w:jc w:val="both"/>
      </w:pPr>
      <w:r>
        <w:t>Stakeholder engagement will help in enhancing the coordination, effectiveness of decision making, and mitigation of risk in terms of the success of a project. The involvement of senior leadership gives it a strategic direction and resources are allocated in good time, eliminating uncertainty and delays. Cooperation of project managers, IT teams and operational staff makes sure that the systems based on AI are implemented successfully into the current service processes. Studies indicate that projects with high intensity of stakeholder engagement will experience increased adherence to time, cost and quality goals because any potential risk is detected early and there is a collective ownership of the project outcomes (Ulla, 2023). The work with the vendors of AI technologies at Marriott International also improves the reliability of the system and its innovation opportunities, which raises the chances of the successful implementation of the Stay Smart+.</w:t>
      </w:r>
    </w:p>
    <w:p w14:paraId="6B93BFC2" w14:textId="77777777" w:rsidR="0063339B" w:rsidRDefault="0063339B" w:rsidP="0063339B">
      <w:pPr>
        <w:pStyle w:val="NormalWeb"/>
        <w:spacing w:line="276" w:lineRule="auto"/>
        <w:jc w:val="both"/>
      </w:pPr>
      <w:r>
        <w:t>Stakeholder engagement directly influences customer satisfaction, especially via consultation and feedbacks. The involvement of customers in the development and testing of Stay Smart+ will help Marriott to provide customers with customized and reactive services according to their wishes. With a transparent and ethically deployed AI-based personalization, convenience and perceived quality of service increase, resulting in greater satisfaction and loyalty (Bulchand-Gidumal et al., 2024). Yet, these advantages can be compromised due to poor engagement in case the customers are not comfortable with data gathering or robot interactions. This underscores the essence of continuous communication and trust-building in order to maintain positive customer results.</w:t>
      </w:r>
    </w:p>
    <w:p w14:paraId="1E3057A3" w14:textId="77777777" w:rsidR="0063339B" w:rsidRDefault="0063339B" w:rsidP="0063339B">
      <w:pPr>
        <w:pStyle w:val="NormalWeb"/>
        <w:spacing w:line="276" w:lineRule="auto"/>
        <w:jc w:val="both"/>
      </w:pPr>
      <w:r>
        <w:t>The involvement of the stakeholders is also essential in the development of the brand reputation. The attention to regulators, employees, and customers in implementing AI technologies shows that Marriott is a responsible company with ethical leadership. Effective communication on the topic of privacy, transparency, and sustainability of data enhances confidence in stakeholders and ensures brand reputation in a very competitive international hotel industry (KPMG, 2024). On the other hand, engagement failure potential puts the organization at the risk of reputational loss tied to moral issues of AI, or legal failure or unfavorable publicity. According to Law et al. (2025), any ethical vices in the implementation of AI can quickly undermine the trust of stakeholders and harm the brand that has been built over a long time.</w:t>
      </w:r>
    </w:p>
    <w:p w14:paraId="3F9ED0AC" w14:textId="77777777" w:rsidR="0063339B" w:rsidRDefault="0063339B" w:rsidP="0063339B">
      <w:pPr>
        <w:pStyle w:val="NormalWeb"/>
        <w:spacing w:line="276" w:lineRule="auto"/>
        <w:jc w:val="both"/>
      </w:pPr>
      <w:r>
        <w:t>Stakeholder engagement is effective on financial and operational performance in terms of efficiency, innovation and long-term profitability. By cooperating with its technology partners, Marriott can use AI to optimize its operations, including better responsiveness of its services and resource distribution. The involvement of employees also increases productivity, service stability and flexibility, at times of technological transformation. Moreover, sustainability-oriented stakeholder relations may lower operating expenses and attract socially minded customers, which can also lead to the increase of the revenue and competitive edge (Blanco-Moreno et al., 2025). Engagement has strategic value, as evidenced by these advantages that extend past the short-term project results.</w:t>
      </w:r>
    </w:p>
    <w:p w14:paraId="4AB822C3" w14:textId="77777777" w:rsidR="0063339B" w:rsidRDefault="0063339B" w:rsidP="0063339B">
      <w:pPr>
        <w:pStyle w:val="NormalWeb"/>
        <w:spacing w:line="276" w:lineRule="auto"/>
        <w:jc w:val="both"/>
      </w:pPr>
      <w:r>
        <w:t>Nonetheless, there are no limitations on stakeholder engagement despite these positive effects. The engagement processes may be resource-demanding, and they take much time and financial resources as well as managerial efforts. In organisations of international nature like Marriott International, the need to coordinate the activities in different cultural, regulatory and technological environments may slow down of the decision-making process and make it more complex. When efficiency and inclusivity are at odds with competing interests, this can also cause tension especially when one is on a tight time frame and quick innovation is needed (Parmer et al., 2010).</w:t>
      </w:r>
    </w:p>
    <w:p w14:paraId="151A693C" w14:textId="77777777" w:rsidR="0063339B" w:rsidRDefault="0063339B" w:rsidP="0063339B">
      <w:pPr>
        <w:pStyle w:val="NormalWeb"/>
        <w:spacing w:line="276" w:lineRule="auto"/>
        <w:jc w:val="both"/>
      </w:pPr>
      <w:r>
        <w:t>Moreover, quantifying the direct influence of the stakeholder engagement on the business performance may be hard. There are several external factors that affect performance outcomes among which are market conditions, technological change and regulatory developments. Consequently, the attributive role of engagement initiatives in improving performance and performance may be putting too much complex organizational dynamics. Another threat is over trusting AI-driven solutions which can create vulnerabilities in operations in the event of system failures, or when trust in the system is undermined due to stakeholders (Yilmaz, 2025).</w:t>
      </w:r>
    </w:p>
    <w:p w14:paraId="3143E6D5" w14:textId="77777777" w:rsidR="009C1EC1" w:rsidRPr="009C1EC1" w:rsidRDefault="009C1EC1" w:rsidP="0063339B">
      <w:pPr>
        <w:pStyle w:val="Heading1"/>
        <w:rPr>
          <w:rFonts w:eastAsia="Times New Roman"/>
        </w:rPr>
      </w:pPr>
      <w:bookmarkStart w:id="12" w:name="_Toc220623811"/>
      <w:r w:rsidRPr="009C1EC1">
        <w:rPr>
          <w:rFonts w:eastAsia="Times New Roman"/>
        </w:rPr>
        <w:t>8. Recommendations for Future Stakeholder Engagement</w:t>
      </w:r>
      <w:bookmarkEnd w:id="12"/>
      <w:r w:rsidRPr="009C1EC1">
        <w:rPr>
          <w:rFonts w:eastAsia="Times New Roman"/>
        </w:rPr>
        <w:t xml:space="preserve"> </w:t>
      </w:r>
    </w:p>
    <w:p w14:paraId="14FB5086" w14:textId="77777777" w:rsidR="0063339B" w:rsidRPr="0063339B" w:rsidRDefault="0063339B" w:rsidP="0063339B">
      <w:pPr>
        <w:spacing w:after="0"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In order to increase the efficiency of stakeholder participation in the upcoming projects like Stay Smart+, the Marriott International needs to be more formal, proactive and ethically oriented. To begin with, communication strategies need to be reinforced further to provide uniformity, openness and availability to all global markets. Effective communication to the various stakeholder groups, such as employees, customers and regulators, will lower the level of uncertainty and counteractions, especially regarding AI-powered services and data utilization practices (KPMG, 2024). Periodic refreshing of knowledge through various channels may facilitate mutual knowledge and consistency.</w:t>
      </w:r>
    </w:p>
    <w:p w14:paraId="084CE1AD" w14:textId="77777777" w:rsidR="0063339B" w:rsidRPr="0063339B" w:rsidRDefault="0063339B" w:rsidP="0063339B">
      <w:pPr>
        <w:spacing w:after="0"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Second, Marriott ought to create feedback loops with its stakeholders instead of conducting consultations occasionally. Constant feedback systems, including the employee forums, customer survey and post implementation review, helps the organization to determine arising issues and modify the engagement strategies to suit them. Consultation Continuous consultation builds trust and enables stakeholders to feel their value in making decisions especially in technology-driven innovation projects (Bulchand-Gidumal et al., 2024).</w:t>
      </w:r>
    </w:p>
    <w:p w14:paraId="087A57C8" w14:textId="77777777" w:rsidR="0063339B" w:rsidRPr="0063339B" w:rsidRDefault="0063339B" w:rsidP="0063339B">
      <w:pPr>
        <w:spacing w:after="0"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Third, the organization must institutionalize ethical AI governance systems to overcome the stakeholder issues surrounding privacy, transparency and accountability. Clearly stated policies of data collection, usage and algorithmic decision-making will be an example of ethical leadership and regulatory adherence. Incorporating ethical control into the systems of project governance will also minimize the reputational and legal risks linked to the adoption of AI (Law et al., 2025).</w:t>
      </w:r>
    </w:p>
    <w:p w14:paraId="58865465" w14:textId="77777777" w:rsidR="009C1EC1" w:rsidRPr="009C1EC1" w:rsidRDefault="0063339B" w:rsidP="0063339B">
      <w:pPr>
        <w:pStyle w:val="Heading1"/>
        <w:rPr>
          <w:rFonts w:eastAsia="Times New Roman"/>
        </w:rPr>
      </w:pPr>
      <w:bookmarkStart w:id="13" w:name="_Toc220623812"/>
      <w:r>
        <w:rPr>
          <w:rFonts w:eastAsia="Times New Roman"/>
        </w:rPr>
        <w:t>9. Conclusion</w:t>
      </w:r>
      <w:bookmarkEnd w:id="13"/>
      <w:r>
        <w:rPr>
          <w:rFonts w:eastAsia="Times New Roman"/>
        </w:rPr>
        <w:t xml:space="preserve"> </w:t>
      </w:r>
    </w:p>
    <w:p w14:paraId="34607E22" w14:textId="77777777" w:rsidR="0063339B" w:rsidRPr="0063339B" w:rsidRDefault="0063339B" w:rsidP="0063339B">
      <w:pPr>
        <w:spacing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This report has critically discussed the role of stakeholder engagement in helping Marriott International to launch and implement the Stay Smart+ project successfully. Using the stakeholder theory and engagement theories, the analysis revealed that managing the complexity behind global hospitality innovation and AI-based service delivery is based on proper engagement.</w:t>
      </w:r>
    </w:p>
    <w:p w14:paraId="74D3B737" w14:textId="77777777" w:rsidR="0063339B" w:rsidRPr="0063339B" w:rsidRDefault="0063339B" w:rsidP="0063339B">
      <w:pPr>
        <w:spacing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The report has recognized key internal and external stakeholders and considered their roles, duties, gain and limitations. It showed how the clarity, accountability, and collaboration are facilitated by structured engagement tools and structures, such as the power-interest matrix, RACI matrix and engagement planning. The use of the 4Cs model brought out the relevance of communication, collaboration, consultation and commitment in the management of the stakeholder relationship and conflict resolution in a variety of cultures and regulatory environment.</w:t>
      </w:r>
    </w:p>
    <w:p w14:paraId="7928A327" w14:textId="77777777" w:rsidR="0063339B" w:rsidRPr="0063339B" w:rsidRDefault="0063339B" w:rsidP="0063339B">
      <w:pPr>
        <w:spacing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The results underlined that the positive effects of proper stakeholder engagement are the success of the project, satisfaction of customers, brand reputation and financial and operational performance. Nevertheless, the analysis also identified limitations such as the resource-consuming character of engagement and the inability to harmonies the interests of competing stakeholders in global organisations. These facts support the idea of the necessity of adaptive, ethical, and c</w:t>
      </w:r>
      <w:r>
        <w:rPr>
          <w:rFonts w:ascii="Times New Roman" w:eastAsia="Times New Roman" w:hAnsi="Times New Roman" w:cs="Times New Roman"/>
          <w:sz w:val="24"/>
          <w:szCs w:val="24"/>
        </w:rPr>
        <w:t>ontextual engagement practices.</w:t>
      </w:r>
    </w:p>
    <w:p w14:paraId="2707F7D8" w14:textId="77777777" w:rsidR="0063339B" w:rsidRPr="0063339B" w:rsidRDefault="0063339B" w:rsidP="0063339B">
      <w:pPr>
        <w:spacing w:line="276" w:lineRule="auto"/>
        <w:jc w:val="both"/>
        <w:rPr>
          <w:rFonts w:ascii="Times New Roman" w:eastAsia="Times New Roman" w:hAnsi="Times New Roman" w:cs="Times New Roman"/>
          <w:sz w:val="24"/>
          <w:szCs w:val="24"/>
        </w:rPr>
      </w:pPr>
      <w:r w:rsidRPr="0063339B">
        <w:rPr>
          <w:rFonts w:ascii="Times New Roman" w:eastAsia="Times New Roman" w:hAnsi="Times New Roman" w:cs="Times New Roman"/>
          <w:sz w:val="24"/>
          <w:szCs w:val="24"/>
        </w:rPr>
        <w:t>The primary lessons learned during the Stay Smart+ project include the fact that stakeholder engagement should be a continuous process that should be transparent and strategic towards the organizational goals. As a way of ensuring trust and legitimacy, ethical governance, especially concerning the adoption of AI, is necessary. Such conclusions are directly related to the learning outcomes of the module, as they show the possibility to develop the stakeholder engagement mechanisms and evaluate their advantages and disadvantages critically.</w:t>
      </w:r>
    </w:p>
    <w:p w14:paraId="77BBE9DD" w14:textId="77777777" w:rsidR="0063339B" w:rsidRPr="0063339B" w:rsidRDefault="0063339B" w:rsidP="0063339B">
      <w:pPr>
        <w:pStyle w:val="Heading1"/>
      </w:pPr>
      <w:bookmarkStart w:id="14" w:name="_Toc220623813"/>
      <w:r w:rsidRPr="0063339B">
        <w:rPr>
          <w:rStyle w:val="Strong"/>
          <w:b/>
          <w:bCs w:val="0"/>
        </w:rPr>
        <w:t>Reference</w:t>
      </w:r>
      <w:bookmarkEnd w:id="14"/>
      <w:r w:rsidRPr="0063339B">
        <w:rPr>
          <w:rStyle w:val="Strong"/>
          <w:b/>
          <w:bCs w:val="0"/>
        </w:rPr>
        <w:t xml:space="preserve"> </w:t>
      </w:r>
    </w:p>
    <w:p w14:paraId="7F07BFAA" w14:textId="77777777" w:rsidR="0063339B" w:rsidRDefault="0063339B" w:rsidP="0063339B">
      <w:pPr>
        <w:pStyle w:val="NormalWeb"/>
      </w:pPr>
      <w:r>
        <w:t xml:space="preserve">Blanco-Moreno, S., Admire-Dev, M., Rodríguez-Santos, C. and Bayram-Arlı, N. (2025) ‘Emerging sustainability themes in the hospitality sector: a bibliometric analysis’, </w:t>
      </w:r>
      <w:r>
        <w:rPr>
          <w:rStyle w:val="Emphasis"/>
        </w:rPr>
        <w:t>European Research on Management and Business Economics</w:t>
      </w:r>
      <w:r>
        <w:t xml:space="preserve">, 31(1), pp. 1–12. Available at: </w:t>
      </w:r>
      <w:hyperlink r:id="rId5" w:history="1">
        <w:r w:rsidRPr="0021519A">
          <w:rPr>
            <w:rStyle w:val="Hyperlink"/>
          </w:rPr>
          <w:t>https://buleria.unileon.es/bitstream/handle/10612/24832/Emerging_Sustainability_Themes_Hospitality_Sector.pdf</w:t>
        </w:r>
      </w:hyperlink>
      <w:r>
        <w:t xml:space="preserve"> </w:t>
      </w:r>
    </w:p>
    <w:p w14:paraId="6750CAAD" w14:textId="77777777" w:rsidR="0063339B" w:rsidRDefault="0063339B" w:rsidP="0063339B">
      <w:pPr>
        <w:pStyle w:val="NormalWeb"/>
      </w:pPr>
      <w:r>
        <w:t xml:space="preserve">Bulchand-Gidumal, J., Secin, E.W., O’Connor, P. and Buhalis, D. (2024) ‘Artificial intelligence’s impact on hospitality and tourism marketing: key themes and challenges’, </w:t>
      </w:r>
      <w:r>
        <w:rPr>
          <w:rStyle w:val="Emphasis"/>
        </w:rPr>
        <w:t>Current Issues in Tourism</w:t>
      </w:r>
      <w:r>
        <w:t xml:space="preserve">, 27(4), pp. 1–17. Available at: </w:t>
      </w:r>
      <w:hyperlink r:id="rId6" w:history="1">
        <w:r w:rsidRPr="0021519A">
          <w:rPr>
            <w:rStyle w:val="Hyperlink"/>
          </w:rPr>
          <w:t>https://eprints.bournemouth.ac.uk/38818/7/Artificial%20intelligence%20s%20impact%20on%20hospitality%20and%20tourism%20marketing.pdf</w:t>
        </w:r>
      </w:hyperlink>
      <w:r>
        <w:t xml:space="preserve"> </w:t>
      </w:r>
    </w:p>
    <w:p w14:paraId="217C3AAC" w14:textId="77777777" w:rsidR="0063339B" w:rsidRDefault="0063339B" w:rsidP="0063339B">
      <w:pPr>
        <w:pStyle w:val="NormalWeb"/>
      </w:pPr>
      <w:r>
        <w:t xml:space="preserve">Bulchand-Gidumal, J., Secin, E.W., O’Connor, P. and Buhalis, D. (2023) ‘Artificial intelligence impacts on hospitality and tourism marketing’, </w:t>
      </w:r>
      <w:r>
        <w:rPr>
          <w:rStyle w:val="Emphasis"/>
        </w:rPr>
        <w:t>Current Issues in Tourism</w:t>
      </w:r>
      <w:r>
        <w:t xml:space="preserve"> (preprint). Available at: </w:t>
      </w:r>
      <w:hyperlink r:id="rId7" w:history="1">
        <w:r w:rsidRPr="0021519A">
          <w:rPr>
            <w:rStyle w:val="Hyperlink"/>
          </w:rPr>
          <w:t>https://accedacris.ulpgc.es/bitstream/10553/124025/1/AI_impact_hospitality_marketing_preprint.pdf</w:t>
        </w:r>
      </w:hyperlink>
      <w:r>
        <w:t xml:space="preserve"> </w:t>
      </w:r>
    </w:p>
    <w:p w14:paraId="35E39A92" w14:textId="77777777" w:rsidR="0063339B" w:rsidRDefault="0063339B" w:rsidP="0063339B">
      <w:pPr>
        <w:pStyle w:val="NormalWeb"/>
      </w:pPr>
      <w:r>
        <w:t xml:space="preserve">EHL Hospitality Business School (n.d.) </w:t>
      </w:r>
      <w:r>
        <w:rPr>
          <w:rStyle w:val="Emphasis"/>
        </w:rPr>
        <w:t>Artificial intelligence in hospitality: transforming service experience and efficiency</w:t>
      </w:r>
      <w:r>
        <w:t xml:space="preserve">. Available at: </w:t>
      </w:r>
      <w:hyperlink r:id="rId8" w:tgtFrame="_new" w:history="1">
        <w:r>
          <w:rPr>
            <w:rStyle w:val="Hyperlink"/>
          </w:rPr>
          <w:t>https://research.ehl.edu/hubfs/EHL-RESEARCH/Artificial-Intelligence-in-Hospitality-Transforming-Service-Experience-and-Efficiency.pdf</w:t>
        </w:r>
      </w:hyperlink>
      <w:r>
        <w:t xml:space="preserve"> </w:t>
      </w:r>
    </w:p>
    <w:p w14:paraId="77ADB4D1" w14:textId="77777777" w:rsidR="0063339B" w:rsidRDefault="0063339B" w:rsidP="0063339B">
      <w:pPr>
        <w:pStyle w:val="NormalWeb"/>
      </w:pPr>
      <w:r>
        <w:t xml:space="preserve">Freeman, R.E. (2010) </w:t>
      </w:r>
      <w:r>
        <w:rPr>
          <w:rStyle w:val="Emphasis"/>
        </w:rPr>
        <w:t>Strategic management: a stakeholder approach</w:t>
      </w:r>
      <w:r>
        <w:t xml:space="preserve">. Cambridge: Cambridge University Press. Available at: </w:t>
      </w:r>
      <w:hyperlink r:id="rId9" w:tgtFrame="_new" w:history="1">
        <w:r>
          <w:rPr>
            <w:rStyle w:val="Hyperlink"/>
          </w:rPr>
          <w:t>https://api.pageplace.de/preview/DT0400.9781107710344_A23761929/preview-9781107710344_A23761929.pdf</w:t>
        </w:r>
      </w:hyperlink>
      <w:r>
        <w:t xml:space="preserve"> </w:t>
      </w:r>
    </w:p>
    <w:p w14:paraId="5DFEB7B3" w14:textId="77777777" w:rsidR="0063339B" w:rsidRDefault="0063339B" w:rsidP="0063339B">
      <w:pPr>
        <w:pStyle w:val="NormalWeb"/>
      </w:pPr>
      <w:r>
        <w:t xml:space="preserve">KPMG (2024) </w:t>
      </w:r>
      <w:r>
        <w:rPr>
          <w:rStyle w:val="Emphasis"/>
        </w:rPr>
        <w:t>Customer experience excellence report 2023–24: AI and the orchestrated customer experience</w:t>
      </w:r>
      <w:r>
        <w:t xml:space="preserve">. Available at: </w:t>
      </w:r>
      <w:hyperlink r:id="rId10" w:history="1">
        <w:r w:rsidRPr="0021519A">
          <w:rPr>
            <w:rStyle w:val="Hyperlink"/>
          </w:rPr>
          <w:t>https://assets.kpmg.com/content/dam/kpmg/uk/images/2024/01/customer-experience-excellence-report-2023-24.pdf</w:t>
        </w:r>
      </w:hyperlink>
      <w:r>
        <w:t xml:space="preserve"> </w:t>
      </w:r>
    </w:p>
    <w:p w14:paraId="0FDA3EF3" w14:textId="77777777" w:rsidR="0063339B" w:rsidRDefault="0063339B" w:rsidP="0063339B">
      <w:pPr>
        <w:pStyle w:val="NormalWeb"/>
      </w:pPr>
      <w:r>
        <w:t xml:space="preserve">Law, R., Fong, D.K.C., Chan, I.C.C. and He, S. (2025) ‘Ethical artificial intelligence: principles and practices in hospitality’, </w:t>
      </w:r>
      <w:r>
        <w:rPr>
          <w:rStyle w:val="Emphasis"/>
        </w:rPr>
        <w:t>International Journal of Contemporary Hospitality Management</w:t>
      </w:r>
      <w:r>
        <w:t xml:space="preserve">, 37(2), pp. 1–19. Available at: </w:t>
      </w:r>
      <w:hyperlink r:id="rId11" w:history="1">
        <w:r w:rsidRPr="0021519A">
          <w:rPr>
            <w:rStyle w:val="Hyperlink"/>
          </w:rPr>
          <w:t>https://www.emerald.com/insight/content/doi/10.1108/IJCHM-04-2024-0482/full/pdf</w:t>
        </w:r>
      </w:hyperlink>
      <w:r>
        <w:t xml:space="preserve"> </w:t>
      </w:r>
    </w:p>
    <w:p w14:paraId="42AD997D" w14:textId="77777777" w:rsidR="0063339B" w:rsidRDefault="0063339B" w:rsidP="0063339B">
      <w:pPr>
        <w:pStyle w:val="NormalWeb"/>
      </w:pPr>
      <w:r>
        <w:t xml:space="preserve">Mitchell, R.K., Agle, B.R. and Wood, D.J. (1997) ‘Toward a theory of stakeholder identification and salience’, </w:t>
      </w:r>
      <w:r>
        <w:rPr>
          <w:rStyle w:val="Emphasis"/>
        </w:rPr>
        <w:t>Academy of Management Review</w:t>
      </w:r>
      <w:r>
        <w:t xml:space="preserve">, 22(4), pp. 853–886. Available at: </w:t>
      </w:r>
      <w:hyperlink r:id="rId12" w:history="1">
        <w:r w:rsidRPr="0021519A">
          <w:rPr>
            <w:rStyle w:val="Hyperlink"/>
          </w:rPr>
          <w:t>https://www.ronaldmitchell.org/publications/mitchell_and_agle_1997.pdf</w:t>
        </w:r>
      </w:hyperlink>
      <w:r>
        <w:t xml:space="preserve"> </w:t>
      </w:r>
    </w:p>
    <w:p w14:paraId="18E62681" w14:textId="77777777" w:rsidR="0063339B" w:rsidRDefault="0063339B" w:rsidP="0063339B">
      <w:pPr>
        <w:pStyle w:val="NormalWeb"/>
      </w:pPr>
      <w:r>
        <w:t xml:space="preserve">Oxford University (2020) </w:t>
      </w:r>
      <w:r>
        <w:rPr>
          <w:rStyle w:val="Emphasis"/>
        </w:rPr>
        <w:t>RACI responsibility assignment matrix</w:t>
      </w:r>
      <w:r>
        <w:t xml:space="preserve">. Available at: </w:t>
      </w:r>
      <w:hyperlink r:id="rId13" w:tgtFrame="_new" w:history="1">
        <w:r>
          <w:rPr>
            <w:rStyle w:val="Hyperlink"/>
          </w:rPr>
          <w:t>https://focus.admin.ox.ac.uk/files/racipdf</w:t>
        </w:r>
      </w:hyperlink>
      <w:r>
        <w:t xml:space="preserve"> </w:t>
      </w:r>
    </w:p>
    <w:p w14:paraId="505FF163" w14:textId="77777777" w:rsidR="0063339B" w:rsidRDefault="0063339B" w:rsidP="0063339B">
      <w:pPr>
        <w:pStyle w:val="NormalWeb"/>
      </w:pPr>
      <w:r>
        <w:t xml:space="preserve">Parmar, B.L., Freeman, R.E., Harrison, J.S., Wicks, A.C., Purnell, L. and de Colle, S. (2010) ‘Stakeholder theory: the state of the art’, </w:t>
      </w:r>
      <w:r>
        <w:rPr>
          <w:rStyle w:val="Emphasis"/>
        </w:rPr>
        <w:t>Academy of Management Annals</w:t>
      </w:r>
      <w:r>
        <w:t xml:space="preserve">, 4(1), pp. 403–445. Available at: </w:t>
      </w:r>
      <w:hyperlink r:id="rId14" w:tgtFrame="_new" w:history="1">
        <w:r>
          <w:rPr>
            <w:rStyle w:val="Hyperlink"/>
          </w:rPr>
          <w:t>https://files01.core.ac.uk/download/pdf/346447581.pdf</w:t>
        </w:r>
      </w:hyperlink>
      <w:r>
        <w:t xml:space="preserve"> </w:t>
      </w:r>
    </w:p>
    <w:p w14:paraId="0BBC4A98" w14:textId="77777777" w:rsidR="0063339B" w:rsidRDefault="0063339B" w:rsidP="0063339B">
      <w:pPr>
        <w:pStyle w:val="NormalWeb"/>
      </w:pPr>
      <w:r>
        <w:t xml:space="preserve">Sun, R. (2024) ‘Sustainability reporting and stakeholder engagement of hotels on social media’, </w:t>
      </w:r>
      <w:r>
        <w:rPr>
          <w:rStyle w:val="Emphasis"/>
        </w:rPr>
        <w:t>Cogent Business &amp; Management</w:t>
      </w:r>
      <w:r>
        <w:t xml:space="preserve">, 11(1), pp. 1–16. Available at: </w:t>
      </w:r>
      <w:hyperlink r:id="rId15" w:tgtFrame="_new" w:history="1">
        <w:r>
          <w:rPr>
            <w:rStyle w:val="Hyperlink"/>
          </w:rPr>
          <w:t>https://www.econstor.eu/bitstream/10419/326557/1/10.1080_23311975.2024.2400616.pdf</w:t>
        </w:r>
      </w:hyperlink>
      <w:r>
        <w:t xml:space="preserve"> </w:t>
      </w:r>
    </w:p>
    <w:p w14:paraId="518664B6" w14:textId="77777777" w:rsidR="0063339B" w:rsidRDefault="0063339B" w:rsidP="0063339B">
      <w:pPr>
        <w:pStyle w:val="NormalWeb"/>
      </w:pPr>
      <w:r>
        <w:t xml:space="preserve">Ullah, N. (2023) ‘Roles of stakeholders towards project success’, </w:t>
      </w:r>
      <w:r>
        <w:rPr>
          <w:rStyle w:val="Emphasis"/>
        </w:rPr>
        <w:t>Munich Personal RePEc Archive Working Paper</w:t>
      </w:r>
      <w:r>
        <w:t xml:space="preserve">. Available at: </w:t>
      </w:r>
      <w:hyperlink r:id="rId16" w:tgtFrame="_new" w:history="1">
        <w:r>
          <w:rPr>
            <w:rStyle w:val="Hyperlink"/>
          </w:rPr>
          <w:t>https://mpra.ub.uni-muenchen.de/118717/1/MPRA_paper_118717.pdf</w:t>
        </w:r>
      </w:hyperlink>
      <w:r>
        <w:t xml:space="preserve"> </w:t>
      </w:r>
    </w:p>
    <w:p w14:paraId="2BD27C80" w14:textId="77777777" w:rsidR="0063339B" w:rsidRDefault="0063339B" w:rsidP="0063339B">
      <w:pPr>
        <w:pStyle w:val="NormalWeb"/>
      </w:pPr>
      <w:r>
        <w:t xml:space="preserve">van Dijk, M., Duysters, G. and Beulens, A. (2021) ‘A multilevel stakeholder salience perspective for sustainability transitions’, </w:t>
      </w:r>
      <w:r>
        <w:rPr>
          <w:rStyle w:val="Emphasis"/>
        </w:rPr>
        <w:t>Technological Forecasting and Social Change</w:t>
      </w:r>
      <w:r>
        <w:t xml:space="preserve">, 169, 120806. Available at: </w:t>
      </w:r>
      <w:hyperlink r:id="rId17" w:history="1">
        <w:r w:rsidRPr="0021519A">
          <w:rPr>
            <w:rStyle w:val="Hyperlink"/>
          </w:rPr>
          <w:t>https://rug.nl/research/portal/files/175776745/2-s2.0-S0169207019311276-main.pdf</w:t>
        </w:r>
      </w:hyperlink>
      <w:r>
        <w:t xml:space="preserve"> </w:t>
      </w:r>
    </w:p>
    <w:p w14:paraId="44FF00EF" w14:textId="77777777" w:rsidR="0063339B" w:rsidRDefault="0063339B" w:rsidP="0063339B">
      <w:pPr>
        <w:pStyle w:val="NormalWeb"/>
      </w:pPr>
      <w:r>
        <w:t xml:space="preserve">Wood, D.J., Mitchell, R.K. and Agle, B.R. (2021) ‘Stakeholder identification and salience after 20 years’, </w:t>
      </w:r>
      <w:r>
        <w:rPr>
          <w:rStyle w:val="Emphasis"/>
        </w:rPr>
        <w:t>Business &amp; Society</w:t>
      </w:r>
      <w:r>
        <w:t xml:space="preserve">, 60(1), pp. 196–245. Available at: </w:t>
      </w:r>
      <w:hyperlink r:id="rId18" w:tgtFrame="_new" w:history="1">
        <w:r>
          <w:rPr>
            <w:rStyle w:val="Hyperlink"/>
          </w:rPr>
          <w:t>https://journals.sagepub.com/doi/pdf/10.1177/0007650318816522</w:t>
        </w:r>
      </w:hyperlink>
      <w:r>
        <w:t xml:space="preserve"> </w:t>
      </w:r>
    </w:p>
    <w:p w14:paraId="05D3A0C7" w14:textId="77777777" w:rsidR="0063339B" w:rsidRDefault="0063339B" w:rsidP="0063339B">
      <w:pPr>
        <w:pStyle w:val="NormalWeb"/>
      </w:pPr>
      <w:r>
        <w:t xml:space="preserve">Yilmaz, M. (2025) ‘Artificial intelligence ethics and strategic solutions in tourism businesses’, </w:t>
      </w:r>
      <w:r>
        <w:rPr>
          <w:rStyle w:val="Emphasis"/>
        </w:rPr>
        <w:t>Journal of Global Hospitality and Tourism</w:t>
      </w:r>
      <w:r>
        <w:t xml:space="preserve">, 8(4), pp. 1–14. Available at: </w:t>
      </w:r>
      <w:hyperlink r:id="rId19" w:tgtFrame="_new" w:history="1">
        <w:r>
          <w:rPr>
            <w:rStyle w:val="Hyperlink"/>
          </w:rPr>
          <w:t>https://www.joghat.org/uploads/2025-vol-8-issue-4-full-text-582.pdf</w:t>
        </w:r>
      </w:hyperlink>
      <w:r>
        <w:t xml:space="preserve"> </w:t>
      </w:r>
    </w:p>
    <w:p w14:paraId="22CB9E81" w14:textId="77777777" w:rsidR="009C1EC1" w:rsidRPr="009C1EC1" w:rsidRDefault="009C1EC1">
      <w:pPr>
        <w:spacing w:line="276" w:lineRule="auto"/>
        <w:jc w:val="both"/>
        <w:rPr>
          <w:rFonts w:ascii="Times New Roman" w:hAnsi="Times New Roman" w:cs="Times New Roman"/>
          <w:sz w:val="24"/>
          <w:szCs w:val="24"/>
        </w:rPr>
      </w:pPr>
    </w:p>
    <w:sectPr w:rsidR="009C1EC1" w:rsidRPr="009C1EC1" w:rsidSect="0009050D">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936F3"/>
    <w:multiLevelType w:val="hybridMultilevel"/>
    <w:tmpl w:val="94224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721E3D"/>
    <w:multiLevelType w:val="hybridMultilevel"/>
    <w:tmpl w:val="991C7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1B3081"/>
    <w:multiLevelType w:val="hybridMultilevel"/>
    <w:tmpl w:val="EE188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2162859">
    <w:abstractNumId w:val="2"/>
  </w:num>
  <w:num w:numId="2" w16cid:durableId="267738808">
    <w:abstractNumId w:val="1"/>
  </w:num>
  <w:num w:numId="3" w16cid:durableId="2053916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EC1"/>
    <w:rsid w:val="0009050D"/>
    <w:rsid w:val="003E63FD"/>
    <w:rsid w:val="00512965"/>
    <w:rsid w:val="0063339B"/>
    <w:rsid w:val="007524D7"/>
    <w:rsid w:val="009C1EC1"/>
    <w:rsid w:val="009E4FCA"/>
    <w:rsid w:val="00A24EAF"/>
    <w:rsid w:val="00A43F02"/>
    <w:rsid w:val="00E17D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0C07"/>
  <w15:chartTrackingRefBased/>
  <w15:docId w15:val="{70740D84-1041-494B-9764-B586CA8F3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3FD"/>
  </w:style>
  <w:style w:type="paragraph" w:styleId="Heading1">
    <w:name w:val="heading 1"/>
    <w:basedOn w:val="Normal"/>
    <w:next w:val="Normal"/>
    <w:link w:val="Heading1Char"/>
    <w:uiPriority w:val="9"/>
    <w:qFormat/>
    <w:rsid w:val="009C1EC1"/>
    <w:pPr>
      <w:keepNext/>
      <w:keepLines/>
      <w:spacing w:before="240" w:after="0" w:line="360" w:lineRule="auto"/>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512965"/>
    <w:pPr>
      <w:spacing w:before="100" w:beforeAutospacing="1" w:after="100" w:afterAutospacing="1" w:line="360" w:lineRule="auto"/>
      <w:jc w:val="both"/>
      <w:outlineLvl w:val="1"/>
    </w:pPr>
    <w:rPr>
      <w:rFonts w:ascii="Times New Roman" w:eastAsia="Times New Roman" w:hAnsi="Times New Roman" w:cs="Times New Roman"/>
      <w:b/>
      <w:bCs/>
      <w:sz w:val="28"/>
      <w:szCs w:val="24"/>
    </w:rPr>
  </w:style>
  <w:style w:type="paragraph" w:styleId="Heading3">
    <w:name w:val="heading 3"/>
    <w:basedOn w:val="Normal"/>
    <w:link w:val="Heading3Char"/>
    <w:uiPriority w:val="9"/>
    <w:qFormat/>
    <w:rsid w:val="009C1EC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12965"/>
    <w:rPr>
      <w:rFonts w:ascii="Times New Roman" w:eastAsia="Times New Roman" w:hAnsi="Times New Roman" w:cs="Times New Roman"/>
      <w:b/>
      <w:bCs/>
      <w:sz w:val="28"/>
      <w:szCs w:val="24"/>
    </w:rPr>
  </w:style>
  <w:style w:type="character" w:customStyle="1" w:styleId="Heading3Char">
    <w:name w:val="Heading 3 Char"/>
    <w:basedOn w:val="DefaultParagraphFont"/>
    <w:link w:val="Heading3"/>
    <w:uiPriority w:val="9"/>
    <w:rsid w:val="009C1EC1"/>
    <w:rPr>
      <w:rFonts w:ascii="Times New Roman" w:eastAsia="Times New Roman" w:hAnsi="Times New Roman" w:cs="Times New Roman"/>
      <w:b/>
      <w:bCs/>
      <w:sz w:val="27"/>
      <w:szCs w:val="27"/>
    </w:rPr>
  </w:style>
  <w:style w:type="character" w:styleId="Strong">
    <w:name w:val="Strong"/>
    <w:basedOn w:val="DefaultParagraphFont"/>
    <w:uiPriority w:val="22"/>
    <w:qFormat/>
    <w:rsid w:val="009C1EC1"/>
    <w:rPr>
      <w:b/>
      <w:bCs/>
    </w:rPr>
  </w:style>
  <w:style w:type="paragraph" w:styleId="NormalWeb">
    <w:name w:val="Normal (Web)"/>
    <w:basedOn w:val="Normal"/>
    <w:uiPriority w:val="99"/>
    <w:unhideWhenUsed/>
    <w:rsid w:val="009C1EC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C1EC1"/>
    <w:rPr>
      <w:i/>
      <w:iCs/>
    </w:rPr>
  </w:style>
  <w:style w:type="character" w:customStyle="1" w:styleId="Heading1Char">
    <w:name w:val="Heading 1 Char"/>
    <w:basedOn w:val="DefaultParagraphFont"/>
    <w:link w:val="Heading1"/>
    <w:uiPriority w:val="9"/>
    <w:rsid w:val="009C1EC1"/>
    <w:rPr>
      <w:rFonts w:ascii="Times New Roman" w:eastAsiaTheme="majorEastAsia" w:hAnsi="Times New Roman" w:cstheme="majorBidi"/>
      <w:b/>
      <w:sz w:val="32"/>
      <w:szCs w:val="32"/>
    </w:rPr>
  </w:style>
  <w:style w:type="paragraph" w:styleId="ListParagraph">
    <w:name w:val="List Paragraph"/>
    <w:basedOn w:val="Normal"/>
    <w:uiPriority w:val="34"/>
    <w:qFormat/>
    <w:rsid w:val="00512965"/>
    <w:pPr>
      <w:ind w:left="720"/>
      <w:contextualSpacing/>
    </w:pPr>
  </w:style>
  <w:style w:type="table" w:styleId="GridTable4-Accent5">
    <w:name w:val="Grid Table 4 Accent 5"/>
    <w:basedOn w:val="TableNormal"/>
    <w:uiPriority w:val="49"/>
    <w:rsid w:val="0051296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63339B"/>
    <w:rPr>
      <w:color w:val="0000FF"/>
      <w:u w:val="single"/>
    </w:rPr>
  </w:style>
  <w:style w:type="paragraph" w:styleId="TOCHeading">
    <w:name w:val="TOC Heading"/>
    <w:basedOn w:val="Heading1"/>
    <w:next w:val="Normal"/>
    <w:uiPriority w:val="39"/>
    <w:unhideWhenUsed/>
    <w:qFormat/>
    <w:rsid w:val="0063339B"/>
    <w:pPr>
      <w:spacing w:line="259" w:lineRule="auto"/>
      <w:outlineLvl w:val="9"/>
    </w:pPr>
    <w:rPr>
      <w:rFonts w:asciiTheme="majorHAnsi" w:hAnsiTheme="majorHAnsi"/>
      <w:b w:val="0"/>
      <w:color w:val="2F5496" w:themeColor="accent1" w:themeShade="BF"/>
    </w:rPr>
  </w:style>
  <w:style w:type="paragraph" w:styleId="TOC2">
    <w:name w:val="toc 2"/>
    <w:basedOn w:val="Normal"/>
    <w:next w:val="Normal"/>
    <w:autoRedefine/>
    <w:uiPriority w:val="39"/>
    <w:unhideWhenUsed/>
    <w:rsid w:val="0063339B"/>
    <w:pPr>
      <w:spacing w:after="100"/>
      <w:ind w:left="220"/>
    </w:pPr>
  </w:style>
  <w:style w:type="paragraph" w:styleId="TOC1">
    <w:name w:val="toc 1"/>
    <w:basedOn w:val="Normal"/>
    <w:next w:val="Normal"/>
    <w:autoRedefine/>
    <w:uiPriority w:val="39"/>
    <w:unhideWhenUsed/>
    <w:rsid w:val="0063339B"/>
    <w:pPr>
      <w:spacing w:after="100"/>
    </w:pPr>
  </w:style>
  <w:style w:type="paragraph" w:styleId="TOC3">
    <w:name w:val="toc 3"/>
    <w:basedOn w:val="Normal"/>
    <w:next w:val="Normal"/>
    <w:autoRedefine/>
    <w:uiPriority w:val="39"/>
    <w:unhideWhenUsed/>
    <w:rsid w:val="006333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074468">
      <w:bodyDiv w:val="1"/>
      <w:marLeft w:val="0"/>
      <w:marRight w:val="0"/>
      <w:marTop w:val="0"/>
      <w:marBottom w:val="0"/>
      <w:divBdr>
        <w:top w:val="none" w:sz="0" w:space="0" w:color="auto"/>
        <w:left w:val="none" w:sz="0" w:space="0" w:color="auto"/>
        <w:bottom w:val="none" w:sz="0" w:space="0" w:color="auto"/>
        <w:right w:val="none" w:sz="0" w:space="0" w:color="auto"/>
      </w:divBdr>
    </w:div>
    <w:div w:id="550312539">
      <w:bodyDiv w:val="1"/>
      <w:marLeft w:val="0"/>
      <w:marRight w:val="0"/>
      <w:marTop w:val="0"/>
      <w:marBottom w:val="0"/>
      <w:divBdr>
        <w:top w:val="none" w:sz="0" w:space="0" w:color="auto"/>
        <w:left w:val="none" w:sz="0" w:space="0" w:color="auto"/>
        <w:bottom w:val="none" w:sz="0" w:space="0" w:color="auto"/>
        <w:right w:val="none" w:sz="0" w:space="0" w:color="auto"/>
      </w:divBdr>
    </w:div>
    <w:div w:id="724454941">
      <w:bodyDiv w:val="1"/>
      <w:marLeft w:val="0"/>
      <w:marRight w:val="0"/>
      <w:marTop w:val="0"/>
      <w:marBottom w:val="0"/>
      <w:divBdr>
        <w:top w:val="none" w:sz="0" w:space="0" w:color="auto"/>
        <w:left w:val="none" w:sz="0" w:space="0" w:color="auto"/>
        <w:bottom w:val="none" w:sz="0" w:space="0" w:color="auto"/>
        <w:right w:val="none" w:sz="0" w:space="0" w:color="auto"/>
      </w:divBdr>
    </w:div>
    <w:div w:id="899825749">
      <w:bodyDiv w:val="1"/>
      <w:marLeft w:val="0"/>
      <w:marRight w:val="0"/>
      <w:marTop w:val="0"/>
      <w:marBottom w:val="0"/>
      <w:divBdr>
        <w:top w:val="none" w:sz="0" w:space="0" w:color="auto"/>
        <w:left w:val="none" w:sz="0" w:space="0" w:color="auto"/>
        <w:bottom w:val="none" w:sz="0" w:space="0" w:color="auto"/>
        <w:right w:val="none" w:sz="0" w:space="0" w:color="auto"/>
      </w:divBdr>
    </w:div>
    <w:div w:id="1044519736">
      <w:bodyDiv w:val="1"/>
      <w:marLeft w:val="0"/>
      <w:marRight w:val="0"/>
      <w:marTop w:val="0"/>
      <w:marBottom w:val="0"/>
      <w:divBdr>
        <w:top w:val="none" w:sz="0" w:space="0" w:color="auto"/>
        <w:left w:val="none" w:sz="0" w:space="0" w:color="auto"/>
        <w:bottom w:val="none" w:sz="0" w:space="0" w:color="auto"/>
        <w:right w:val="none" w:sz="0" w:space="0" w:color="auto"/>
      </w:divBdr>
    </w:div>
    <w:div w:id="1224291282">
      <w:bodyDiv w:val="1"/>
      <w:marLeft w:val="0"/>
      <w:marRight w:val="0"/>
      <w:marTop w:val="0"/>
      <w:marBottom w:val="0"/>
      <w:divBdr>
        <w:top w:val="none" w:sz="0" w:space="0" w:color="auto"/>
        <w:left w:val="none" w:sz="0" w:space="0" w:color="auto"/>
        <w:bottom w:val="none" w:sz="0" w:space="0" w:color="auto"/>
        <w:right w:val="none" w:sz="0" w:space="0" w:color="auto"/>
      </w:divBdr>
    </w:div>
    <w:div w:id="1277564430">
      <w:bodyDiv w:val="1"/>
      <w:marLeft w:val="0"/>
      <w:marRight w:val="0"/>
      <w:marTop w:val="0"/>
      <w:marBottom w:val="0"/>
      <w:divBdr>
        <w:top w:val="none" w:sz="0" w:space="0" w:color="auto"/>
        <w:left w:val="none" w:sz="0" w:space="0" w:color="auto"/>
        <w:bottom w:val="none" w:sz="0" w:space="0" w:color="auto"/>
        <w:right w:val="none" w:sz="0" w:space="0" w:color="auto"/>
      </w:divBdr>
      <w:divsChild>
        <w:div w:id="2090885662">
          <w:marLeft w:val="0"/>
          <w:marRight w:val="0"/>
          <w:marTop w:val="0"/>
          <w:marBottom w:val="0"/>
          <w:divBdr>
            <w:top w:val="none" w:sz="0" w:space="0" w:color="auto"/>
            <w:left w:val="none" w:sz="0" w:space="0" w:color="auto"/>
            <w:bottom w:val="none" w:sz="0" w:space="0" w:color="auto"/>
            <w:right w:val="none" w:sz="0" w:space="0" w:color="auto"/>
          </w:divBdr>
          <w:divsChild>
            <w:div w:id="82027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877993">
      <w:bodyDiv w:val="1"/>
      <w:marLeft w:val="0"/>
      <w:marRight w:val="0"/>
      <w:marTop w:val="0"/>
      <w:marBottom w:val="0"/>
      <w:divBdr>
        <w:top w:val="none" w:sz="0" w:space="0" w:color="auto"/>
        <w:left w:val="none" w:sz="0" w:space="0" w:color="auto"/>
        <w:bottom w:val="none" w:sz="0" w:space="0" w:color="auto"/>
        <w:right w:val="none" w:sz="0" w:space="0" w:color="auto"/>
      </w:divBdr>
    </w:div>
    <w:div w:id="1605452132">
      <w:bodyDiv w:val="1"/>
      <w:marLeft w:val="0"/>
      <w:marRight w:val="0"/>
      <w:marTop w:val="0"/>
      <w:marBottom w:val="0"/>
      <w:divBdr>
        <w:top w:val="none" w:sz="0" w:space="0" w:color="auto"/>
        <w:left w:val="none" w:sz="0" w:space="0" w:color="auto"/>
        <w:bottom w:val="none" w:sz="0" w:space="0" w:color="auto"/>
        <w:right w:val="none" w:sz="0" w:space="0" w:color="auto"/>
      </w:divBdr>
      <w:divsChild>
        <w:div w:id="1947076164">
          <w:marLeft w:val="0"/>
          <w:marRight w:val="0"/>
          <w:marTop w:val="0"/>
          <w:marBottom w:val="0"/>
          <w:divBdr>
            <w:top w:val="none" w:sz="0" w:space="0" w:color="auto"/>
            <w:left w:val="none" w:sz="0" w:space="0" w:color="auto"/>
            <w:bottom w:val="none" w:sz="0" w:space="0" w:color="auto"/>
            <w:right w:val="none" w:sz="0" w:space="0" w:color="auto"/>
          </w:divBdr>
          <w:divsChild>
            <w:div w:id="9595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70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hl.edu/hubfs/EHL-RESEARCH/Artificial-Intelligence-in-Hospitality-Transforming-Service-Experience-and-Efficiency.pdf?utm_source=chatgpt.com" TargetMode="External" /><Relationship Id="rId13" Type="http://schemas.openxmlformats.org/officeDocument/2006/relationships/hyperlink" Target="https://focus.admin.ox.ac.uk/files/racipdf?utm_source=chatgpt.com" TargetMode="External" /><Relationship Id="rId18" Type="http://schemas.openxmlformats.org/officeDocument/2006/relationships/hyperlink" Target="https://journals.sagepub.com/doi/pdf/10.1177/0007650318816522?utm_source=chatgpt.com"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accedacris.ulpgc.es/bitstream/10553/124025/1/AI_impact_hospitality_marketing_preprint.pdf" TargetMode="External" /><Relationship Id="rId12" Type="http://schemas.openxmlformats.org/officeDocument/2006/relationships/hyperlink" Target="https://www.ronaldmitchell.org/publications/mitchell_and_agle_1997.pdf" TargetMode="External" /><Relationship Id="rId17" Type="http://schemas.openxmlformats.org/officeDocument/2006/relationships/hyperlink" Target="https://rug.nl/research/portal/files/175776745/2-s2.0-S0169207019311276-main.pdf" TargetMode="External" /><Relationship Id="rId2" Type="http://schemas.openxmlformats.org/officeDocument/2006/relationships/styles" Target="styles.xml" /><Relationship Id="rId16" Type="http://schemas.openxmlformats.org/officeDocument/2006/relationships/hyperlink" Target="https://mpra.ub.uni-muenchen.de/118717/1/MPRA_paper_118717.pdf?utm_source=chatgpt.com"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eprints.bournemouth.ac.uk/38818/7/Artificial%20intelligence%20s%20impact%20on%20hospitality%20and%20tourism%20marketing.pdf" TargetMode="External" /><Relationship Id="rId11" Type="http://schemas.openxmlformats.org/officeDocument/2006/relationships/hyperlink" Target="https://www.emerald.com/insight/content/doi/10.1108/IJCHM-04-2024-0482/full/pdf" TargetMode="External" /><Relationship Id="rId5" Type="http://schemas.openxmlformats.org/officeDocument/2006/relationships/hyperlink" Target="https://buleria.unileon.es/bitstream/handle/10612/24832/Emerging_Sustainability_Themes_Hospitality_Sector.pdf" TargetMode="External" /><Relationship Id="rId15" Type="http://schemas.openxmlformats.org/officeDocument/2006/relationships/hyperlink" Target="https://www.econstor.eu/bitstream/10419/326557/1/10.1080_23311975.2024.2400616.pdf?utm_source=chatgpt.com" TargetMode="External" /><Relationship Id="rId10" Type="http://schemas.openxmlformats.org/officeDocument/2006/relationships/hyperlink" Target="https://assets.kpmg.com/content/dam/kpmg/uk/images/2024/01/customer-experience-excellence-report-2023-24.pdf" TargetMode="External" /><Relationship Id="rId19" Type="http://schemas.openxmlformats.org/officeDocument/2006/relationships/hyperlink" Target="https://www.joghat.org/uploads/2025-vol-8-issue-4-full-text-582.pdf?utm_source=chatgpt.com" TargetMode="External" /><Relationship Id="rId4" Type="http://schemas.openxmlformats.org/officeDocument/2006/relationships/webSettings" Target="webSettings.xml" /><Relationship Id="rId9" Type="http://schemas.openxmlformats.org/officeDocument/2006/relationships/hyperlink" Target="https://api.pageplace.de/preview/DT0400.9781107710344_A23761929/preview-9781107710344_A23761929.pdf?utm_source=chatgpt.com" TargetMode="External" /><Relationship Id="rId14" Type="http://schemas.openxmlformats.org/officeDocument/2006/relationships/hyperlink" Target="https://files01.core.ac.uk/download/pdf/346447581.pdf?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5937</Words>
  <Characters>33844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 COMPUTER</dc:creator>
  <cp:keywords/>
  <dc:description/>
  <cp:lastModifiedBy>Shahnwaz Afzal</cp:lastModifiedBy>
  <cp:revision>2</cp:revision>
  <dcterms:created xsi:type="dcterms:W3CDTF">2026-03-15T09:55:00Z</dcterms:created>
  <dcterms:modified xsi:type="dcterms:W3CDTF">2026-03-15T09:55:00Z</dcterms:modified>
</cp:coreProperties>
</file>