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BF81E7" w14:textId="77777777" w:rsidR="00272C9D" w:rsidRPr="00D11342" w:rsidRDefault="00272C9D" w:rsidP="00C5005E">
      <w:pPr>
        <w:spacing w:after="240" w:line="360" w:lineRule="auto"/>
      </w:pPr>
    </w:p>
    <w:p w14:paraId="6C68EF50" w14:textId="71802CAA" w:rsidR="00276403" w:rsidRDefault="00276403" w:rsidP="00276403">
      <w:pPr>
        <w:spacing w:after="240" w:line="360" w:lineRule="auto"/>
        <w:jc w:val="center"/>
        <w:rPr>
          <w:b/>
          <w:bCs/>
        </w:rPr>
      </w:pPr>
      <w:r>
        <w:rPr>
          <w:noProof/>
        </w:rPr>
        <w:drawing>
          <wp:inline distT="0" distB="0" distL="0" distR="0" wp14:anchorId="723DE561" wp14:editId="4B95B738">
            <wp:extent cx="2438400" cy="1085850"/>
            <wp:effectExtent l="0" t="0" r="0" b="0"/>
            <wp:docPr id="1041575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57589" name=""/>
                    <pic:cNvPicPr/>
                  </pic:nvPicPr>
                  <pic:blipFill>
                    <a:blip r:embed="rId8"/>
                    <a:stretch>
                      <a:fillRect/>
                    </a:stretch>
                  </pic:blipFill>
                  <pic:spPr>
                    <a:xfrm>
                      <a:off x="0" y="0"/>
                      <a:ext cx="2438400" cy="1085850"/>
                    </a:xfrm>
                    <a:prstGeom prst="rect">
                      <a:avLst/>
                    </a:prstGeom>
                  </pic:spPr>
                </pic:pic>
              </a:graphicData>
            </a:graphic>
          </wp:inline>
        </w:drawing>
      </w:r>
    </w:p>
    <w:p w14:paraId="29E72A93" w14:textId="711FCF84" w:rsidR="00272C9D" w:rsidRPr="00D11342" w:rsidRDefault="00842E10" w:rsidP="00C5005E">
      <w:pPr>
        <w:spacing w:after="240" w:line="360" w:lineRule="auto"/>
        <w:jc w:val="center"/>
      </w:pPr>
      <w:r w:rsidRPr="00D11342">
        <w:rPr>
          <w:b/>
          <w:bCs/>
        </w:rPr>
        <w:t>Understanding and Managing Asthma in Adolescents:</w:t>
      </w:r>
    </w:p>
    <w:p w14:paraId="21364D46" w14:textId="77777777" w:rsidR="00C5005E" w:rsidRDefault="00842E10" w:rsidP="00C5005E">
      <w:pPr>
        <w:spacing w:after="240" w:line="360" w:lineRule="auto"/>
        <w:jc w:val="center"/>
        <w:rPr>
          <w:b/>
          <w:bCs/>
        </w:rPr>
      </w:pPr>
      <w:r w:rsidRPr="00C5005E">
        <w:rPr>
          <w:b/>
          <w:bCs/>
        </w:rPr>
        <w:t>A Practice Nurse's Guide to Respiratory Structure, Function and Lifestyle Management</w:t>
      </w:r>
    </w:p>
    <w:p w14:paraId="058648F1" w14:textId="7797AC45" w:rsidR="00C5005E" w:rsidRPr="00C5005E" w:rsidRDefault="00C5005E" w:rsidP="00C5005E">
      <w:pPr>
        <w:spacing w:after="240" w:line="360" w:lineRule="auto"/>
        <w:jc w:val="center"/>
        <w:rPr>
          <w:b/>
          <w:bCs/>
        </w:rPr>
      </w:pPr>
      <w:r w:rsidRPr="00C5005E">
        <w:rPr>
          <w:b/>
          <w:bCs/>
        </w:rPr>
        <w:t>Student name:</w:t>
      </w:r>
      <w:r w:rsidR="000D02C9">
        <w:rPr>
          <w:b/>
          <w:bCs/>
        </w:rPr>
        <w:t xml:space="preserve"> Andres Carlos Michel Pina</w:t>
      </w:r>
    </w:p>
    <w:p w14:paraId="6B2A2170" w14:textId="1EC5A9D3" w:rsidR="00C5005E" w:rsidRPr="00C5005E" w:rsidRDefault="00C5005E" w:rsidP="00C5005E">
      <w:pPr>
        <w:spacing w:after="240" w:line="360" w:lineRule="auto"/>
        <w:jc w:val="center"/>
        <w:rPr>
          <w:b/>
          <w:bCs/>
        </w:rPr>
      </w:pPr>
      <w:r w:rsidRPr="00C5005E">
        <w:rPr>
          <w:b/>
          <w:bCs/>
        </w:rPr>
        <w:t>Student ID:</w:t>
      </w:r>
      <w:r w:rsidR="000D02C9">
        <w:rPr>
          <w:b/>
          <w:bCs/>
        </w:rPr>
        <w:t>2442079</w:t>
      </w:r>
    </w:p>
    <w:p w14:paraId="4A51BE66" w14:textId="6071C462" w:rsidR="00C5005E" w:rsidRPr="00C5005E" w:rsidRDefault="00C5005E" w:rsidP="00C5005E">
      <w:pPr>
        <w:spacing w:after="240" w:line="360" w:lineRule="auto"/>
        <w:jc w:val="center"/>
        <w:rPr>
          <w:b/>
          <w:bCs/>
        </w:rPr>
      </w:pPr>
      <w:r w:rsidRPr="00C5005E">
        <w:rPr>
          <w:b/>
          <w:bCs/>
        </w:rPr>
        <w:t xml:space="preserve">Module </w:t>
      </w:r>
      <w:proofErr w:type="gramStart"/>
      <w:r w:rsidRPr="00C5005E">
        <w:rPr>
          <w:b/>
          <w:bCs/>
        </w:rPr>
        <w:t>name:</w:t>
      </w:r>
      <w:r w:rsidR="000D02C9">
        <w:rPr>
          <w:b/>
          <w:bCs/>
        </w:rPr>
        <w:t>Introduction</w:t>
      </w:r>
      <w:proofErr w:type="gramEnd"/>
      <w:r w:rsidR="000D02C9">
        <w:rPr>
          <w:b/>
          <w:bCs/>
        </w:rPr>
        <w:t xml:space="preserve">  to Physiology</w:t>
      </w:r>
    </w:p>
    <w:p w14:paraId="3D021A82" w14:textId="28C814A8" w:rsidR="00C5005E" w:rsidRPr="00C5005E" w:rsidRDefault="00C5005E" w:rsidP="00C5005E">
      <w:pPr>
        <w:spacing w:after="240" w:line="360" w:lineRule="auto"/>
        <w:jc w:val="center"/>
        <w:rPr>
          <w:b/>
          <w:bCs/>
        </w:rPr>
      </w:pPr>
      <w:r w:rsidRPr="00C5005E">
        <w:rPr>
          <w:b/>
          <w:bCs/>
        </w:rPr>
        <w:t xml:space="preserve">Module </w:t>
      </w:r>
      <w:proofErr w:type="gramStart"/>
      <w:r w:rsidRPr="00C5005E">
        <w:rPr>
          <w:b/>
          <w:bCs/>
        </w:rPr>
        <w:t>code:</w:t>
      </w:r>
      <w:r w:rsidR="000D02C9">
        <w:rPr>
          <w:b/>
          <w:bCs/>
        </w:rPr>
        <w:t>BMHP</w:t>
      </w:r>
      <w:proofErr w:type="gramEnd"/>
      <w:r w:rsidR="000D02C9">
        <w:rPr>
          <w:b/>
          <w:bCs/>
        </w:rPr>
        <w:t>5023</w:t>
      </w:r>
    </w:p>
    <w:p w14:paraId="1BC34EAB" w14:textId="42AC50F2" w:rsidR="00C5005E" w:rsidRPr="00C5005E" w:rsidRDefault="00C5005E" w:rsidP="00C5005E">
      <w:pPr>
        <w:spacing w:after="240" w:line="360" w:lineRule="auto"/>
        <w:jc w:val="center"/>
        <w:rPr>
          <w:b/>
          <w:bCs/>
        </w:rPr>
      </w:pPr>
      <w:r w:rsidRPr="00C5005E">
        <w:rPr>
          <w:b/>
          <w:bCs/>
        </w:rPr>
        <w:t xml:space="preserve">Lecturer </w:t>
      </w:r>
      <w:proofErr w:type="gramStart"/>
      <w:r w:rsidRPr="00C5005E">
        <w:rPr>
          <w:b/>
          <w:bCs/>
        </w:rPr>
        <w:t>name:</w:t>
      </w:r>
      <w:r w:rsidR="000D02C9">
        <w:rPr>
          <w:b/>
          <w:bCs/>
        </w:rPr>
        <w:t>Sheila</w:t>
      </w:r>
      <w:proofErr w:type="gramEnd"/>
      <w:r w:rsidR="000D02C9">
        <w:rPr>
          <w:b/>
          <w:bCs/>
        </w:rPr>
        <w:t xml:space="preserve"> Hussein</w:t>
      </w:r>
    </w:p>
    <w:p w14:paraId="4775CC25" w14:textId="39682531" w:rsidR="00437F52" w:rsidRPr="00D11342" w:rsidRDefault="00C5005E" w:rsidP="00C5005E">
      <w:pPr>
        <w:spacing w:after="240" w:line="360" w:lineRule="auto"/>
        <w:jc w:val="center"/>
        <w:rPr>
          <w:i/>
          <w:iCs/>
        </w:rPr>
      </w:pPr>
      <w:proofErr w:type="gramStart"/>
      <w:r w:rsidRPr="00C5005E">
        <w:rPr>
          <w:b/>
          <w:bCs/>
        </w:rPr>
        <w:t>Assessment:</w:t>
      </w:r>
      <w:r w:rsidR="000D02C9">
        <w:rPr>
          <w:b/>
          <w:bCs/>
        </w:rPr>
        <w:t>Component</w:t>
      </w:r>
      <w:proofErr w:type="gramEnd"/>
      <w:r w:rsidR="000D02C9">
        <w:rPr>
          <w:b/>
          <w:bCs/>
        </w:rPr>
        <w:t xml:space="preserve"> 1{case student report}</w:t>
      </w:r>
      <w:r w:rsidR="00437F52" w:rsidRPr="00D11342">
        <w:rPr>
          <w:i/>
          <w:iCs/>
        </w:rPr>
        <w:br w:type="page"/>
      </w:r>
      <w:r w:rsidR="000D02C9">
        <w:rPr>
          <w:i/>
          <w:iCs/>
        </w:rPr>
        <w:lastRenderedPageBreak/>
        <w:t>Com</w:t>
      </w:r>
    </w:p>
    <w:sdt>
      <w:sdtPr>
        <w:rPr>
          <w:rFonts w:ascii="Arial" w:eastAsia="Arial" w:hAnsi="Arial" w:cs="Arial"/>
          <w:color w:val="auto"/>
          <w:sz w:val="22"/>
          <w:szCs w:val="22"/>
        </w:rPr>
        <w:id w:val="-1001889863"/>
        <w:docPartObj>
          <w:docPartGallery w:val="Table of Contents"/>
          <w:docPartUnique/>
        </w:docPartObj>
      </w:sdtPr>
      <w:sdtEndPr>
        <w:rPr>
          <w:b/>
          <w:bCs/>
          <w:noProof/>
        </w:rPr>
      </w:sdtEndPr>
      <w:sdtContent>
        <w:p w14:paraId="0D2587F4" w14:textId="77777777" w:rsidR="00437F52" w:rsidRPr="00D11342" w:rsidRDefault="00437F52" w:rsidP="00C1723C">
          <w:pPr>
            <w:pStyle w:val="TOCHeading"/>
            <w:spacing w:line="360" w:lineRule="auto"/>
            <w:jc w:val="center"/>
            <w:rPr>
              <w:rFonts w:ascii="Arial" w:hAnsi="Arial" w:cs="Arial"/>
              <w:b/>
              <w:bCs/>
              <w:color w:val="auto"/>
              <w:sz w:val="22"/>
              <w:szCs w:val="22"/>
            </w:rPr>
          </w:pPr>
          <w:r w:rsidRPr="00D11342">
            <w:rPr>
              <w:rFonts w:ascii="Arial" w:hAnsi="Arial" w:cs="Arial"/>
              <w:b/>
              <w:bCs/>
              <w:color w:val="auto"/>
              <w:sz w:val="22"/>
              <w:szCs w:val="22"/>
            </w:rPr>
            <w:t>Table of Contents</w:t>
          </w:r>
        </w:p>
        <w:p w14:paraId="369376D1" w14:textId="37E61380" w:rsidR="00B110C5" w:rsidRPr="00D11342" w:rsidRDefault="00437F52" w:rsidP="00C1723C">
          <w:pPr>
            <w:pStyle w:val="TOC1"/>
            <w:tabs>
              <w:tab w:val="right" w:leader="dot" w:pos="9016"/>
            </w:tabs>
            <w:spacing w:line="360" w:lineRule="auto"/>
            <w:jc w:val="both"/>
            <w:rPr>
              <w:rFonts w:asciiTheme="minorHAnsi" w:eastAsiaTheme="minorEastAsia" w:hAnsiTheme="minorHAnsi" w:cstheme="minorBidi"/>
              <w:noProof/>
            </w:rPr>
          </w:pPr>
          <w:r w:rsidRPr="00D11342">
            <w:fldChar w:fldCharType="begin"/>
          </w:r>
          <w:r w:rsidRPr="00D11342">
            <w:instrText xml:space="preserve"> TOC \o "1-3" \h \z \u </w:instrText>
          </w:r>
          <w:r w:rsidRPr="00D11342">
            <w:fldChar w:fldCharType="separate"/>
          </w:r>
          <w:hyperlink w:anchor="_Toc235318774" w:history="1">
            <w:r w:rsidR="00B110C5" w:rsidRPr="00D11342">
              <w:rPr>
                <w:rStyle w:val="Hyperlink"/>
                <w:noProof/>
              </w:rPr>
              <w:t>1. Introduction</w:t>
            </w:r>
            <w:r w:rsidR="00B110C5" w:rsidRPr="00D11342">
              <w:rPr>
                <w:noProof/>
                <w:webHidden/>
              </w:rPr>
              <w:tab/>
            </w:r>
            <w:r w:rsidR="00B110C5" w:rsidRPr="00D11342">
              <w:rPr>
                <w:noProof/>
                <w:webHidden/>
              </w:rPr>
              <w:fldChar w:fldCharType="begin"/>
            </w:r>
            <w:r w:rsidR="00B110C5" w:rsidRPr="00D11342">
              <w:rPr>
                <w:noProof/>
                <w:webHidden/>
              </w:rPr>
              <w:instrText xml:space="preserve"> PAGEREF _Toc235318774 \h </w:instrText>
            </w:r>
            <w:r w:rsidR="00B110C5" w:rsidRPr="00D11342">
              <w:rPr>
                <w:noProof/>
                <w:webHidden/>
              </w:rPr>
            </w:r>
            <w:r w:rsidR="00B110C5" w:rsidRPr="00D11342">
              <w:rPr>
                <w:noProof/>
                <w:webHidden/>
              </w:rPr>
              <w:fldChar w:fldCharType="separate"/>
            </w:r>
            <w:r w:rsidR="00B110C5" w:rsidRPr="00D11342">
              <w:rPr>
                <w:noProof/>
                <w:webHidden/>
              </w:rPr>
              <w:t>3</w:t>
            </w:r>
            <w:r w:rsidR="00B110C5" w:rsidRPr="00D11342">
              <w:rPr>
                <w:noProof/>
                <w:webHidden/>
              </w:rPr>
              <w:fldChar w:fldCharType="end"/>
            </w:r>
          </w:hyperlink>
        </w:p>
        <w:p w14:paraId="52420A5D" w14:textId="1E080EF8" w:rsidR="00B110C5" w:rsidRPr="00D11342" w:rsidRDefault="00B110C5" w:rsidP="00C1723C">
          <w:pPr>
            <w:pStyle w:val="TOC1"/>
            <w:tabs>
              <w:tab w:val="right" w:leader="dot" w:pos="9016"/>
            </w:tabs>
            <w:spacing w:line="360" w:lineRule="auto"/>
            <w:jc w:val="both"/>
            <w:rPr>
              <w:rFonts w:asciiTheme="minorHAnsi" w:eastAsiaTheme="minorEastAsia" w:hAnsiTheme="minorHAnsi" w:cstheme="minorBidi"/>
              <w:noProof/>
            </w:rPr>
          </w:pPr>
          <w:hyperlink w:anchor="_Toc235318775" w:history="1">
            <w:r w:rsidRPr="00D11342">
              <w:rPr>
                <w:rStyle w:val="Hyperlink"/>
                <w:noProof/>
              </w:rPr>
              <w:t>2. The Structure of the Respiratory System and Mechanical Respiration</w:t>
            </w:r>
            <w:r w:rsidRPr="00D11342">
              <w:rPr>
                <w:noProof/>
                <w:webHidden/>
              </w:rPr>
              <w:tab/>
            </w:r>
            <w:r w:rsidRPr="00D11342">
              <w:rPr>
                <w:noProof/>
                <w:webHidden/>
              </w:rPr>
              <w:fldChar w:fldCharType="begin"/>
            </w:r>
            <w:r w:rsidRPr="00D11342">
              <w:rPr>
                <w:noProof/>
                <w:webHidden/>
              </w:rPr>
              <w:instrText xml:space="preserve"> PAGEREF _Toc235318775 \h </w:instrText>
            </w:r>
            <w:r w:rsidRPr="00D11342">
              <w:rPr>
                <w:noProof/>
                <w:webHidden/>
              </w:rPr>
            </w:r>
            <w:r w:rsidRPr="00D11342">
              <w:rPr>
                <w:noProof/>
                <w:webHidden/>
              </w:rPr>
              <w:fldChar w:fldCharType="separate"/>
            </w:r>
            <w:r w:rsidRPr="00D11342">
              <w:rPr>
                <w:noProof/>
                <w:webHidden/>
              </w:rPr>
              <w:t>3</w:t>
            </w:r>
            <w:r w:rsidRPr="00D11342">
              <w:rPr>
                <w:noProof/>
                <w:webHidden/>
              </w:rPr>
              <w:fldChar w:fldCharType="end"/>
            </w:r>
          </w:hyperlink>
        </w:p>
        <w:p w14:paraId="4A9474D7" w14:textId="6CC1E723" w:rsidR="00B110C5" w:rsidRPr="00D11342" w:rsidRDefault="00B110C5" w:rsidP="00C1723C">
          <w:pPr>
            <w:pStyle w:val="TOC1"/>
            <w:tabs>
              <w:tab w:val="right" w:leader="dot" w:pos="9016"/>
            </w:tabs>
            <w:spacing w:line="360" w:lineRule="auto"/>
            <w:jc w:val="both"/>
            <w:rPr>
              <w:rFonts w:asciiTheme="minorHAnsi" w:eastAsiaTheme="minorEastAsia" w:hAnsiTheme="minorHAnsi" w:cstheme="minorBidi"/>
              <w:noProof/>
            </w:rPr>
          </w:pPr>
          <w:hyperlink w:anchor="_Toc235318776" w:history="1">
            <w:r w:rsidRPr="00D11342">
              <w:rPr>
                <w:rStyle w:val="Hyperlink"/>
                <w:noProof/>
              </w:rPr>
              <w:t>3. Gas Exchange in the Lungs</w:t>
            </w:r>
            <w:r w:rsidRPr="00D11342">
              <w:rPr>
                <w:noProof/>
                <w:webHidden/>
              </w:rPr>
              <w:tab/>
            </w:r>
            <w:r w:rsidRPr="00D11342">
              <w:rPr>
                <w:noProof/>
                <w:webHidden/>
              </w:rPr>
              <w:fldChar w:fldCharType="begin"/>
            </w:r>
            <w:r w:rsidRPr="00D11342">
              <w:rPr>
                <w:noProof/>
                <w:webHidden/>
              </w:rPr>
              <w:instrText xml:space="preserve"> PAGEREF _Toc235318776 \h </w:instrText>
            </w:r>
            <w:r w:rsidRPr="00D11342">
              <w:rPr>
                <w:noProof/>
                <w:webHidden/>
              </w:rPr>
            </w:r>
            <w:r w:rsidRPr="00D11342">
              <w:rPr>
                <w:noProof/>
                <w:webHidden/>
              </w:rPr>
              <w:fldChar w:fldCharType="separate"/>
            </w:r>
            <w:r w:rsidRPr="00D11342">
              <w:rPr>
                <w:noProof/>
                <w:webHidden/>
              </w:rPr>
              <w:t>5</w:t>
            </w:r>
            <w:r w:rsidRPr="00D11342">
              <w:rPr>
                <w:noProof/>
                <w:webHidden/>
              </w:rPr>
              <w:fldChar w:fldCharType="end"/>
            </w:r>
          </w:hyperlink>
        </w:p>
        <w:p w14:paraId="3C533AE4" w14:textId="62C7951E" w:rsidR="00B110C5" w:rsidRPr="00D11342" w:rsidRDefault="00B110C5" w:rsidP="00C1723C">
          <w:pPr>
            <w:pStyle w:val="TOC1"/>
            <w:tabs>
              <w:tab w:val="right" w:leader="dot" w:pos="9016"/>
            </w:tabs>
            <w:spacing w:line="360" w:lineRule="auto"/>
            <w:jc w:val="both"/>
            <w:rPr>
              <w:rFonts w:asciiTheme="minorHAnsi" w:eastAsiaTheme="minorEastAsia" w:hAnsiTheme="minorHAnsi" w:cstheme="minorBidi"/>
              <w:noProof/>
            </w:rPr>
          </w:pPr>
          <w:hyperlink w:anchor="_Toc235318777" w:history="1">
            <w:r w:rsidRPr="00D11342">
              <w:rPr>
                <w:rStyle w:val="Hyperlink"/>
                <w:noProof/>
              </w:rPr>
              <w:t>4. How Irritants Cause Inflammation and Affect Breathing</w:t>
            </w:r>
            <w:r w:rsidRPr="00D11342">
              <w:rPr>
                <w:noProof/>
                <w:webHidden/>
              </w:rPr>
              <w:tab/>
            </w:r>
            <w:r w:rsidRPr="00D11342">
              <w:rPr>
                <w:noProof/>
                <w:webHidden/>
              </w:rPr>
              <w:fldChar w:fldCharType="begin"/>
            </w:r>
            <w:r w:rsidRPr="00D11342">
              <w:rPr>
                <w:noProof/>
                <w:webHidden/>
              </w:rPr>
              <w:instrText xml:space="preserve"> PAGEREF _Toc235318777 \h </w:instrText>
            </w:r>
            <w:r w:rsidRPr="00D11342">
              <w:rPr>
                <w:noProof/>
                <w:webHidden/>
              </w:rPr>
            </w:r>
            <w:r w:rsidRPr="00D11342">
              <w:rPr>
                <w:noProof/>
                <w:webHidden/>
              </w:rPr>
              <w:fldChar w:fldCharType="separate"/>
            </w:r>
            <w:r w:rsidRPr="00D11342">
              <w:rPr>
                <w:noProof/>
                <w:webHidden/>
              </w:rPr>
              <w:t>5</w:t>
            </w:r>
            <w:r w:rsidRPr="00D11342">
              <w:rPr>
                <w:noProof/>
                <w:webHidden/>
              </w:rPr>
              <w:fldChar w:fldCharType="end"/>
            </w:r>
          </w:hyperlink>
        </w:p>
        <w:p w14:paraId="60070E0C" w14:textId="1351C1BB" w:rsidR="00B110C5" w:rsidRPr="00D11342" w:rsidRDefault="00B110C5" w:rsidP="00C1723C">
          <w:pPr>
            <w:pStyle w:val="TOC1"/>
            <w:tabs>
              <w:tab w:val="right" w:leader="dot" w:pos="9016"/>
            </w:tabs>
            <w:spacing w:line="360" w:lineRule="auto"/>
            <w:jc w:val="both"/>
            <w:rPr>
              <w:rFonts w:asciiTheme="minorHAnsi" w:eastAsiaTheme="minorEastAsia" w:hAnsiTheme="minorHAnsi" w:cstheme="minorBidi"/>
              <w:noProof/>
            </w:rPr>
          </w:pPr>
          <w:hyperlink w:anchor="_Toc235318778" w:history="1">
            <w:r w:rsidRPr="00D11342">
              <w:rPr>
                <w:rStyle w:val="Hyperlink"/>
                <w:noProof/>
              </w:rPr>
              <w:t>5. Recording and Tracking Respiratory Function</w:t>
            </w:r>
            <w:r w:rsidRPr="00D11342">
              <w:rPr>
                <w:noProof/>
                <w:webHidden/>
              </w:rPr>
              <w:tab/>
            </w:r>
            <w:r w:rsidRPr="00D11342">
              <w:rPr>
                <w:noProof/>
                <w:webHidden/>
              </w:rPr>
              <w:fldChar w:fldCharType="begin"/>
            </w:r>
            <w:r w:rsidRPr="00D11342">
              <w:rPr>
                <w:noProof/>
                <w:webHidden/>
              </w:rPr>
              <w:instrText xml:space="preserve"> PAGEREF _Toc235318778 \h </w:instrText>
            </w:r>
            <w:r w:rsidRPr="00D11342">
              <w:rPr>
                <w:noProof/>
                <w:webHidden/>
              </w:rPr>
            </w:r>
            <w:r w:rsidRPr="00D11342">
              <w:rPr>
                <w:noProof/>
                <w:webHidden/>
              </w:rPr>
              <w:fldChar w:fldCharType="separate"/>
            </w:r>
            <w:r w:rsidRPr="00D11342">
              <w:rPr>
                <w:noProof/>
                <w:webHidden/>
              </w:rPr>
              <w:t>7</w:t>
            </w:r>
            <w:r w:rsidRPr="00D11342">
              <w:rPr>
                <w:noProof/>
                <w:webHidden/>
              </w:rPr>
              <w:fldChar w:fldCharType="end"/>
            </w:r>
          </w:hyperlink>
        </w:p>
        <w:p w14:paraId="09B2DEAB" w14:textId="6366C6C7" w:rsidR="00B110C5" w:rsidRPr="00D11342" w:rsidRDefault="00B110C5" w:rsidP="00C1723C">
          <w:pPr>
            <w:pStyle w:val="TOC1"/>
            <w:tabs>
              <w:tab w:val="right" w:leader="dot" w:pos="9016"/>
            </w:tabs>
            <w:spacing w:line="360" w:lineRule="auto"/>
            <w:jc w:val="both"/>
            <w:rPr>
              <w:rFonts w:asciiTheme="minorHAnsi" w:eastAsiaTheme="minorEastAsia" w:hAnsiTheme="minorHAnsi" w:cstheme="minorBidi"/>
              <w:noProof/>
            </w:rPr>
          </w:pPr>
          <w:hyperlink w:anchor="_Toc235318779" w:history="1">
            <w:r w:rsidRPr="00D11342">
              <w:rPr>
                <w:rStyle w:val="Hyperlink"/>
                <w:noProof/>
              </w:rPr>
              <w:t>6. Evidence-Based Lifestyle Recommendations</w:t>
            </w:r>
            <w:r w:rsidRPr="00D11342">
              <w:rPr>
                <w:noProof/>
                <w:webHidden/>
              </w:rPr>
              <w:tab/>
            </w:r>
            <w:r w:rsidRPr="00D11342">
              <w:rPr>
                <w:noProof/>
                <w:webHidden/>
              </w:rPr>
              <w:fldChar w:fldCharType="begin"/>
            </w:r>
            <w:r w:rsidRPr="00D11342">
              <w:rPr>
                <w:noProof/>
                <w:webHidden/>
              </w:rPr>
              <w:instrText xml:space="preserve"> PAGEREF _Toc235318779 \h </w:instrText>
            </w:r>
            <w:r w:rsidRPr="00D11342">
              <w:rPr>
                <w:noProof/>
                <w:webHidden/>
              </w:rPr>
            </w:r>
            <w:r w:rsidRPr="00D11342">
              <w:rPr>
                <w:noProof/>
                <w:webHidden/>
              </w:rPr>
              <w:fldChar w:fldCharType="separate"/>
            </w:r>
            <w:r w:rsidRPr="00D11342">
              <w:rPr>
                <w:noProof/>
                <w:webHidden/>
              </w:rPr>
              <w:t>8</w:t>
            </w:r>
            <w:r w:rsidRPr="00D11342">
              <w:rPr>
                <w:noProof/>
                <w:webHidden/>
              </w:rPr>
              <w:fldChar w:fldCharType="end"/>
            </w:r>
          </w:hyperlink>
        </w:p>
        <w:p w14:paraId="2E1506B6" w14:textId="2DBF0E05" w:rsidR="00B110C5" w:rsidRPr="00D11342" w:rsidRDefault="00B110C5" w:rsidP="00C1723C">
          <w:pPr>
            <w:pStyle w:val="TOC1"/>
            <w:tabs>
              <w:tab w:val="right" w:leader="dot" w:pos="9016"/>
            </w:tabs>
            <w:spacing w:line="360" w:lineRule="auto"/>
            <w:jc w:val="both"/>
            <w:rPr>
              <w:rFonts w:asciiTheme="minorHAnsi" w:eastAsiaTheme="minorEastAsia" w:hAnsiTheme="minorHAnsi" w:cstheme="minorBidi"/>
              <w:noProof/>
            </w:rPr>
          </w:pPr>
          <w:hyperlink w:anchor="_Toc235318780" w:history="1">
            <w:r w:rsidRPr="00D11342">
              <w:rPr>
                <w:rStyle w:val="Hyperlink"/>
                <w:noProof/>
              </w:rPr>
              <w:t>7. Conclusion</w:t>
            </w:r>
            <w:r w:rsidRPr="00D11342">
              <w:rPr>
                <w:noProof/>
                <w:webHidden/>
              </w:rPr>
              <w:tab/>
            </w:r>
            <w:r w:rsidRPr="00D11342">
              <w:rPr>
                <w:noProof/>
                <w:webHidden/>
              </w:rPr>
              <w:fldChar w:fldCharType="begin"/>
            </w:r>
            <w:r w:rsidRPr="00D11342">
              <w:rPr>
                <w:noProof/>
                <w:webHidden/>
              </w:rPr>
              <w:instrText xml:space="preserve"> PAGEREF _Toc235318780 \h </w:instrText>
            </w:r>
            <w:r w:rsidRPr="00D11342">
              <w:rPr>
                <w:noProof/>
                <w:webHidden/>
              </w:rPr>
            </w:r>
            <w:r w:rsidRPr="00D11342">
              <w:rPr>
                <w:noProof/>
                <w:webHidden/>
              </w:rPr>
              <w:fldChar w:fldCharType="separate"/>
            </w:r>
            <w:r w:rsidRPr="00D11342">
              <w:rPr>
                <w:noProof/>
                <w:webHidden/>
              </w:rPr>
              <w:t>9</w:t>
            </w:r>
            <w:r w:rsidRPr="00D11342">
              <w:rPr>
                <w:noProof/>
                <w:webHidden/>
              </w:rPr>
              <w:fldChar w:fldCharType="end"/>
            </w:r>
          </w:hyperlink>
        </w:p>
        <w:p w14:paraId="77AF3D9E" w14:textId="4708C744" w:rsidR="00B110C5" w:rsidRPr="00D11342" w:rsidRDefault="00B110C5" w:rsidP="00C1723C">
          <w:pPr>
            <w:pStyle w:val="TOC1"/>
            <w:tabs>
              <w:tab w:val="right" w:leader="dot" w:pos="9016"/>
            </w:tabs>
            <w:spacing w:line="360" w:lineRule="auto"/>
            <w:jc w:val="both"/>
            <w:rPr>
              <w:rFonts w:asciiTheme="minorHAnsi" w:eastAsiaTheme="minorEastAsia" w:hAnsiTheme="minorHAnsi" w:cstheme="minorBidi"/>
              <w:noProof/>
            </w:rPr>
          </w:pPr>
          <w:hyperlink w:anchor="_Toc235318781" w:history="1">
            <w:r w:rsidRPr="00D11342">
              <w:rPr>
                <w:rStyle w:val="Hyperlink"/>
                <w:noProof/>
              </w:rPr>
              <w:t>References</w:t>
            </w:r>
            <w:r w:rsidRPr="00D11342">
              <w:rPr>
                <w:noProof/>
                <w:webHidden/>
              </w:rPr>
              <w:tab/>
            </w:r>
            <w:r w:rsidRPr="00D11342">
              <w:rPr>
                <w:noProof/>
                <w:webHidden/>
              </w:rPr>
              <w:fldChar w:fldCharType="begin"/>
            </w:r>
            <w:r w:rsidRPr="00D11342">
              <w:rPr>
                <w:noProof/>
                <w:webHidden/>
              </w:rPr>
              <w:instrText xml:space="preserve"> PAGEREF _Toc235318781 \h </w:instrText>
            </w:r>
            <w:r w:rsidRPr="00D11342">
              <w:rPr>
                <w:noProof/>
                <w:webHidden/>
              </w:rPr>
            </w:r>
            <w:r w:rsidRPr="00D11342">
              <w:rPr>
                <w:noProof/>
                <w:webHidden/>
              </w:rPr>
              <w:fldChar w:fldCharType="separate"/>
            </w:r>
            <w:r w:rsidRPr="00D11342">
              <w:rPr>
                <w:noProof/>
                <w:webHidden/>
              </w:rPr>
              <w:t>11</w:t>
            </w:r>
            <w:r w:rsidRPr="00D11342">
              <w:rPr>
                <w:noProof/>
                <w:webHidden/>
              </w:rPr>
              <w:fldChar w:fldCharType="end"/>
            </w:r>
          </w:hyperlink>
        </w:p>
        <w:p w14:paraId="5D427A92" w14:textId="18DBDDDF" w:rsidR="00437F52" w:rsidRPr="00D11342" w:rsidRDefault="00437F52" w:rsidP="00C1723C">
          <w:pPr>
            <w:spacing w:before="240" w:line="360" w:lineRule="auto"/>
          </w:pPr>
          <w:r w:rsidRPr="00D11342">
            <w:rPr>
              <w:b/>
              <w:bCs/>
              <w:noProof/>
            </w:rPr>
            <w:fldChar w:fldCharType="end"/>
          </w:r>
        </w:p>
      </w:sdtContent>
    </w:sdt>
    <w:p w14:paraId="638B7435" w14:textId="77777777" w:rsidR="000B6E66" w:rsidRPr="00D11342" w:rsidRDefault="000B6E66" w:rsidP="00C1723C">
      <w:pPr>
        <w:spacing w:before="240" w:line="360" w:lineRule="auto"/>
        <w:jc w:val="center"/>
        <w:rPr>
          <w:b/>
          <w:bCs/>
        </w:rPr>
      </w:pPr>
      <w:r w:rsidRPr="00D11342">
        <w:rPr>
          <w:b/>
          <w:bCs/>
        </w:rPr>
        <w:t>List of Figures</w:t>
      </w:r>
    </w:p>
    <w:p w14:paraId="151627FC" w14:textId="69FD1190" w:rsidR="00FD2EE9" w:rsidRPr="00D11342" w:rsidRDefault="00FD2EE9" w:rsidP="00C1723C">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r w:rsidRPr="00D11342">
        <w:fldChar w:fldCharType="begin"/>
      </w:r>
      <w:r w:rsidRPr="00D11342">
        <w:instrText xml:space="preserve"> TOC \h \z \c "Figure" </w:instrText>
      </w:r>
      <w:r w:rsidRPr="00D11342">
        <w:fldChar w:fldCharType="separate"/>
      </w:r>
      <w:hyperlink w:anchor="_Toc235244733" w:history="1">
        <w:r w:rsidRPr="00D11342">
          <w:rPr>
            <w:rStyle w:val="Hyperlink"/>
            <w:noProof/>
          </w:rPr>
          <w:t>Figure 1: Respiratory System Pathway (BeulahJayarani, 2021)</w:t>
        </w:r>
        <w:r w:rsidRPr="00D11342">
          <w:rPr>
            <w:noProof/>
            <w:webHidden/>
          </w:rPr>
          <w:tab/>
        </w:r>
        <w:r w:rsidRPr="00D11342">
          <w:rPr>
            <w:noProof/>
            <w:webHidden/>
          </w:rPr>
          <w:fldChar w:fldCharType="begin"/>
        </w:r>
        <w:r w:rsidRPr="00D11342">
          <w:rPr>
            <w:noProof/>
            <w:webHidden/>
          </w:rPr>
          <w:instrText xml:space="preserve"> PAGEREF _Toc235244733 \h </w:instrText>
        </w:r>
        <w:r w:rsidRPr="00D11342">
          <w:rPr>
            <w:noProof/>
            <w:webHidden/>
          </w:rPr>
        </w:r>
        <w:r w:rsidRPr="00D11342">
          <w:rPr>
            <w:noProof/>
            <w:webHidden/>
          </w:rPr>
          <w:fldChar w:fldCharType="separate"/>
        </w:r>
        <w:r w:rsidRPr="00D11342">
          <w:rPr>
            <w:noProof/>
            <w:webHidden/>
          </w:rPr>
          <w:t>4</w:t>
        </w:r>
        <w:r w:rsidRPr="00D11342">
          <w:rPr>
            <w:noProof/>
            <w:webHidden/>
          </w:rPr>
          <w:fldChar w:fldCharType="end"/>
        </w:r>
      </w:hyperlink>
    </w:p>
    <w:p w14:paraId="0E08AAB8" w14:textId="534F88FD" w:rsidR="00FD2EE9" w:rsidRPr="00D11342" w:rsidRDefault="00FD2EE9" w:rsidP="00C1723C">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35244734" w:history="1">
        <w:r w:rsidRPr="00D11342">
          <w:rPr>
            <w:rStyle w:val="Hyperlink"/>
            <w:noProof/>
          </w:rPr>
          <w:t>Figure 2:Gas exchange at the alveolus (Cigna.com, 2025)</w:t>
        </w:r>
        <w:r w:rsidRPr="00D11342">
          <w:rPr>
            <w:noProof/>
            <w:webHidden/>
          </w:rPr>
          <w:tab/>
        </w:r>
        <w:r w:rsidRPr="00D11342">
          <w:rPr>
            <w:noProof/>
            <w:webHidden/>
          </w:rPr>
          <w:fldChar w:fldCharType="begin"/>
        </w:r>
        <w:r w:rsidRPr="00D11342">
          <w:rPr>
            <w:noProof/>
            <w:webHidden/>
          </w:rPr>
          <w:instrText xml:space="preserve"> PAGEREF _Toc235244734 \h </w:instrText>
        </w:r>
        <w:r w:rsidRPr="00D11342">
          <w:rPr>
            <w:noProof/>
            <w:webHidden/>
          </w:rPr>
        </w:r>
        <w:r w:rsidRPr="00D11342">
          <w:rPr>
            <w:noProof/>
            <w:webHidden/>
          </w:rPr>
          <w:fldChar w:fldCharType="separate"/>
        </w:r>
        <w:r w:rsidRPr="00D11342">
          <w:rPr>
            <w:noProof/>
            <w:webHidden/>
          </w:rPr>
          <w:t>5</w:t>
        </w:r>
        <w:r w:rsidRPr="00D11342">
          <w:rPr>
            <w:noProof/>
            <w:webHidden/>
          </w:rPr>
          <w:fldChar w:fldCharType="end"/>
        </w:r>
      </w:hyperlink>
    </w:p>
    <w:p w14:paraId="7D8A02D9" w14:textId="1FCAA663" w:rsidR="00FD2EE9" w:rsidRPr="00D11342" w:rsidRDefault="00FD2EE9" w:rsidP="00C1723C">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35244735" w:history="1">
        <w:r w:rsidRPr="00D11342">
          <w:rPr>
            <w:rStyle w:val="Hyperlink"/>
            <w:noProof/>
          </w:rPr>
          <w:t>Figure 3: Cross-section of a normal airway compared with an airway during an Asthma attack</w:t>
        </w:r>
        <w:r w:rsidRPr="00D11342">
          <w:rPr>
            <w:noProof/>
            <w:webHidden/>
          </w:rPr>
          <w:tab/>
        </w:r>
        <w:r w:rsidRPr="00D11342">
          <w:rPr>
            <w:noProof/>
            <w:webHidden/>
          </w:rPr>
          <w:fldChar w:fldCharType="begin"/>
        </w:r>
        <w:r w:rsidRPr="00D11342">
          <w:rPr>
            <w:noProof/>
            <w:webHidden/>
          </w:rPr>
          <w:instrText xml:space="preserve"> PAGEREF _Toc235244735 \h </w:instrText>
        </w:r>
        <w:r w:rsidRPr="00D11342">
          <w:rPr>
            <w:noProof/>
            <w:webHidden/>
          </w:rPr>
        </w:r>
        <w:r w:rsidRPr="00D11342">
          <w:rPr>
            <w:noProof/>
            <w:webHidden/>
          </w:rPr>
          <w:fldChar w:fldCharType="separate"/>
        </w:r>
        <w:r w:rsidRPr="00D11342">
          <w:rPr>
            <w:noProof/>
            <w:webHidden/>
          </w:rPr>
          <w:t>6</w:t>
        </w:r>
        <w:r w:rsidRPr="00D11342">
          <w:rPr>
            <w:noProof/>
            <w:webHidden/>
          </w:rPr>
          <w:fldChar w:fldCharType="end"/>
        </w:r>
      </w:hyperlink>
    </w:p>
    <w:p w14:paraId="329C2CE7" w14:textId="7AF5EF7D" w:rsidR="00FD2EE9" w:rsidRPr="00D11342" w:rsidRDefault="00FD2EE9" w:rsidP="00C1723C">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35244736" w:history="1">
        <w:r w:rsidRPr="00D11342">
          <w:rPr>
            <w:rStyle w:val="Hyperlink"/>
            <w:noProof/>
          </w:rPr>
          <w:t>Figure 4:Peak Expiratory Flow Rate (PEFR): Measurement, Benefits and Limitations</w:t>
        </w:r>
        <w:r w:rsidRPr="00D11342">
          <w:rPr>
            <w:noProof/>
            <w:webHidden/>
          </w:rPr>
          <w:tab/>
        </w:r>
        <w:r w:rsidRPr="00D11342">
          <w:rPr>
            <w:noProof/>
            <w:webHidden/>
          </w:rPr>
          <w:fldChar w:fldCharType="begin"/>
        </w:r>
        <w:r w:rsidRPr="00D11342">
          <w:rPr>
            <w:noProof/>
            <w:webHidden/>
          </w:rPr>
          <w:instrText xml:space="preserve"> PAGEREF _Toc235244736 \h </w:instrText>
        </w:r>
        <w:r w:rsidRPr="00D11342">
          <w:rPr>
            <w:noProof/>
            <w:webHidden/>
          </w:rPr>
        </w:r>
        <w:r w:rsidRPr="00D11342">
          <w:rPr>
            <w:noProof/>
            <w:webHidden/>
          </w:rPr>
          <w:fldChar w:fldCharType="separate"/>
        </w:r>
        <w:r w:rsidRPr="00D11342">
          <w:rPr>
            <w:noProof/>
            <w:webHidden/>
          </w:rPr>
          <w:t>7</w:t>
        </w:r>
        <w:r w:rsidRPr="00D11342">
          <w:rPr>
            <w:noProof/>
            <w:webHidden/>
          </w:rPr>
          <w:fldChar w:fldCharType="end"/>
        </w:r>
      </w:hyperlink>
    </w:p>
    <w:p w14:paraId="5A652BE6" w14:textId="2C736D51" w:rsidR="00272C9D" w:rsidRPr="00D11342" w:rsidRDefault="00FD2EE9" w:rsidP="00C1723C">
      <w:pPr>
        <w:spacing w:before="240" w:line="360" w:lineRule="auto"/>
      </w:pPr>
      <w:r w:rsidRPr="00D11342">
        <w:fldChar w:fldCharType="end"/>
      </w:r>
      <w:r w:rsidR="00842E10" w:rsidRPr="00D11342">
        <w:br w:type="page"/>
      </w:r>
    </w:p>
    <w:p w14:paraId="7651EFDE" w14:textId="77777777" w:rsidR="00272C9D" w:rsidRPr="00D11342" w:rsidRDefault="00272C9D" w:rsidP="00C1723C">
      <w:pPr>
        <w:spacing w:before="240" w:line="360" w:lineRule="auto"/>
        <w:sectPr w:rsidR="00272C9D" w:rsidRPr="00D11342">
          <w:pgSz w:w="11906" w:h="16838"/>
          <w:pgMar w:top="1440" w:right="1440" w:bottom="1440" w:left="1440" w:header="708" w:footer="708" w:gutter="0"/>
          <w:cols w:space="720"/>
          <w:docGrid w:linePitch="360"/>
        </w:sectPr>
      </w:pPr>
    </w:p>
    <w:p w14:paraId="406C0545" w14:textId="77777777" w:rsidR="00272C9D" w:rsidRPr="00D11342" w:rsidRDefault="00842E10" w:rsidP="00C1723C">
      <w:pPr>
        <w:pStyle w:val="Heading1"/>
        <w:spacing w:before="240" w:after="240" w:line="360" w:lineRule="auto"/>
        <w:rPr>
          <w:sz w:val="22"/>
          <w:szCs w:val="22"/>
        </w:rPr>
      </w:pPr>
      <w:bookmarkStart w:id="0" w:name="_Toc235318774"/>
      <w:r w:rsidRPr="00D11342">
        <w:rPr>
          <w:sz w:val="22"/>
          <w:szCs w:val="22"/>
        </w:rPr>
        <w:lastRenderedPageBreak/>
        <w:t>1. Introduction</w:t>
      </w:r>
      <w:bookmarkEnd w:id="0"/>
    </w:p>
    <w:p w14:paraId="71C18405" w14:textId="121ECC02" w:rsidR="00716C35" w:rsidRPr="00D11342" w:rsidRDefault="00CC1FF7" w:rsidP="00C1723C">
      <w:pPr>
        <w:spacing w:before="240" w:after="200" w:line="360" w:lineRule="auto"/>
        <w:jc w:val="both"/>
      </w:pPr>
      <w:r w:rsidRPr="00CC1FF7">
        <w:t>Asthma is a chronic disease, and asthma is an inflammatory disease, whose clinical signs are characterized by breathlessness, coughing, tightness in the chest and wheezing and reversible limitation in the airway flow</w:t>
      </w:r>
      <w:r w:rsidR="00A2502D" w:rsidRPr="00D11342">
        <w:t xml:space="preserve"> </w:t>
      </w:r>
      <w:r w:rsidR="004C2B79" w:rsidRPr="00D11342">
        <w:rPr>
          <w:color w:val="000000"/>
          <w:shd w:val="clear" w:color="auto" w:fill="FFFFFF"/>
        </w:rPr>
        <w:t>(Goldin and Cataletto, 2024)</w:t>
      </w:r>
      <w:r w:rsidR="004C2B79" w:rsidRPr="00D11342">
        <w:t xml:space="preserve">. </w:t>
      </w:r>
      <w:r w:rsidR="00716C35" w:rsidRPr="00D11342">
        <w:t xml:space="preserve">During an asthma attack, the exposure to any trigger causes the inflammation of the airway lining whereby the smooth muscle around the airway contracts (bronchoconstriction), while mucus producing cells produce excessive amounts of mucus, causing the narrowing of the airways significantly </w:t>
      </w:r>
      <w:r w:rsidR="00562FA1" w:rsidRPr="00D11342">
        <w:rPr>
          <w:color w:val="000000"/>
          <w:shd w:val="clear" w:color="auto" w:fill="FFFFFF"/>
        </w:rPr>
        <w:t>(Ortega and Chiarella, 2025).</w:t>
      </w:r>
      <w:r w:rsidR="00716FEA" w:rsidRPr="00D11342">
        <w:t xml:space="preserve"> </w:t>
      </w:r>
      <w:r w:rsidR="00716C35" w:rsidRPr="00D11342">
        <w:t xml:space="preserve">There are several things that contribute to the risk of developing asthma such as genetic predisposition, family history, atopy, which is the tendency for allergy development, smoking in childhood, outdoor pollution, early childhood infections of the respiratory tract, and also occupational exposure in later life </w:t>
      </w:r>
      <w:r w:rsidR="00562FA1" w:rsidRPr="00D11342">
        <w:t>(Diaconu et al., 2024).</w:t>
      </w:r>
    </w:p>
    <w:p w14:paraId="27F2BA77" w14:textId="5E7B3410" w:rsidR="00716C35" w:rsidRPr="00D11342" w:rsidRDefault="00191223" w:rsidP="00C1723C">
      <w:pPr>
        <w:spacing w:before="240" w:after="240" w:line="360" w:lineRule="auto"/>
        <w:jc w:val="both"/>
      </w:pPr>
      <w:r w:rsidRPr="00191223">
        <w:t>For adolescent asthma sufferers, management of the condition and patient education have a significant importance because of the frequency of asthmatic episodes at this age. This is due to smoking/vaping and the going out to crowded places such as clubs and pubs, when they do they have a frequent flare up.</w:t>
      </w:r>
      <w:r w:rsidR="007160BE">
        <w:t xml:space="preserve"> </w:t>
      </w:r>
      <w:r w:rsidR="00716C35" w:rsidRPr="00D11342">
        <w:t xml:space="preserve">By educating patients about the physiology behind their symptoms and their effects on it, they can have better confidence while dealing with their asthma action plan </w:t>
      </w:r>
      <w:r w:rsidR="00562FA1" w:rsidRPr="00D11342">
        <w:rPr>
          <w:color w:val="000000"/>
          <w:shd w:val="clear" w:color="auto" w:fill="FFFFFF"/>
        </w:rPr>
        <w:t>(Wallace-Farquharson et al., 2022).</w:t>
      </w:r>
    </w:p>
    <w:p w14:paraId="25E82A71" w14:textId="77777777" w:rsidR="00272C9D" w:rsidRPr="00D11342" w:rsidRDefault="00842E10" w:rsidP="00C1723C">
      <w:pPr>
        <w:pStyle w:val="Heading1"/>
        <w:spacing w:before="240" w:line="360" w:lineRule="auto"/>
        <w:rPr>
          <w:sz w:val="22"/>
          <w:szCs w:val="22"/>
        </w:rPr>
      </w:pPr>
      <w:bookmarkStart w:id="1" w:name="_Toc235318775"/>
      <w:r w:rsidRPr="00D11342">
        <w:rPr>
          <w:sz w:val="22"/>
          <w:szCs w:val="22"/>
        </w:rPr>
        <w:t>2. The Structure of the Respiratory System and Mechanical Respiration</w:t>
      </w:r>
      <w:bookmarkEnd w:id="1"/>
    </w:p>
    <w:p w14:paraId="60970306" w14:textId="73DFA3F7" w:rsidR="00716C35" w:rsidRPr="00D11342" w:rsidRDefault="00624BD4" w:rsidP="00C1723C">
      <w:pPr>
        <w:spacing w:before="240" w:line="360" w:lineRule="auto"/>
        <w:jc w:val="both"/>
        <w:rPr>
          <w:noProof/>
        </w:rPr>
      </w:pPr>
      <w:r w:rsidRPr="00D11342">
        <w:t>Air travels through various parts to get to the lungs. Air first passes through either the nose or the mouth to get to the pharynx where it is filtered, heated, and humidified. The air continues to the larynx, where the vocal cords are located, and passes through the trachea, an air tube protected by cartilage rings. Trachea splits into two primary bronchi with one bronchus supplying each lung. In the lungs, the bronchi further divide into tiny branches known as bronchioles that control the air flow to the final structures known as alveoli where the gas exchange happens (refer to Figure 1). Millions of alveoli have an enormous surface area for the exchange of gases between the lungs and blood (NHLBI, NIH, 2022).</w:t>
      </w:r>
    </w:p>
    <w:p w14:paraId="1C5BF3B8" w14:textId="77777777" w:rsidR="00716C35" w:rsidRPr="00D11342" w:rsidRDefault="00716C35" w:rsidP="007160BE">
      <w:pPr>
        <w:keepNext/>
        <w:spacing w:before="240" w:line="360" w:lineRule="auto"/>
        <w:jc w:val="center"/>
      </w:pPr>
      <w:r w:rsidRPr="00D11342">
        <w:rPr>
          <w:noProof/>
        </w:rPr>
        <w:lastRenderedPageBreak/>
        <w:drawing>
          <wp:inline distT="0" distB="0" distL="0" distR="0" wp14:anchorId="6ACCD12A" wp14:editId="61567590">
            <wp:extent cx="4719259" cy="3015082"/>
            <wp:effectExtent l="0" t="0" r="571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53abed9b2c70d335bd34b2c99ad9e1df.jpg"/>
                    <pic:cNvPicPr/>
                  </pic:nvPicPr>
                  <pic:blipFill rotWithShape="1">
                    <a:blip r:embed="rId9">
                      <a:extLst>
                        <a:ext uri="{28A0092B-C50C-407E-A947-70E740481C1C}">
                          <a14:useLocalDpi xmlns:a14="http://schemas.microsoft.com/office/drawing/2010/main" val="0"/>
                        </a:ext>
                      </a:extLst>
                    </a:blip>
                    <a:srcRect t="6481" b="8334"/>
                    <a:stretch/>
                  </pic:blipFill>
                  <pic:spPr bwMode="auto">
                    <a:xfrm>
                      <a:off x="0" y="0"/>
                      <a:ext cx="4721707" cy="3016646"/>
                    </a:xfrm>
                    <a:prstGeom prst="rect">
                      <a:avLst/>
                    </a:prstGeom>
                    <a:ln>
                      <a:noFill/>
                    </a:ln>
                    <a:extLst>
                      <a:ext uri="{53640926-AAD7-44D8-BBD7-CCE9431645EC}">
                        <a14:shadowObscured xmlns:a14="http://schemas.microsoft.com/office/drawing/2010/main"/>
                      </a:ext>
                    </a:extLst>
                  </pic:spPr>
                </pic:pic>
              </a:graphicData>
            </a:graphic>
          </wp:inline>
        </w:drawing>
      </w:r>
    </w:p>
    <w:p w14:paraId="2F70A6CC" w14:textId="439E0E8A" w:rsidR="00A04275" w:rsidRPr="007160BE" w:rsidRDefault="00716C35" w:rsidP="00C1723C">
      <w:pPr>
        <w:pStyle w:val="Caption"/>
        <w:spacing w:before="240" w:line="360" w:lineRule="auto"/>
        <w:jc w:val="center"/>
        <w:rPr>
          <w:color w:val="auto"/>
          <w:u w:val="single"/>
          <w:shd w:val="clear" w:color="auto" w:fill="FFFFFF"/>
        </w:rPr>
      </w:pPr>
      <w:bookmarkStart w:id="2" w:name="_Toc235244733"/>
      <w:r w:rsidRPr="007160BE">
        <w:rPr>
          <w:color w:val="auto"/>
          <w:u w:val="single"/>
        </w:rPr>
        <w:t xml:space="preserve">Figure </w:t>
      </w:r>
      <w:r w:rsidRPr="007160BE">
        <w:rPr>
          <w:color w:val="auto"/>
          <w:u w:val="single"/>
        </w:rPr>
        <w:fldChar w:fldCharType="begin"/>
      </w:r>
      <w:r w:rsidRPr="007160BE">
        <w:rPr>
          <w:color w:val="auto"/>
          <w:u w:val="single"/>
        </w:rPr>
        <w:instrText xml:space="preserve"> SEQ Figure \* ARABIC </w:instrText>
      </w:r>
      <w:r w:rsidRPr="007160BE">
        <w:rPr>
          <w:color w:val="auto"/>
          <w:u w:val="single"/>
        </w:rPr>
        <w:fldChar w:fldCharType="separate"/>
      </w:r>
      <w:r w:rsidR="00515D5D" w:rsidRPr="007160BE">
        <w:rPr>
          <w:noProof/>
          <w:color w:val="auto"/>
          <w:u w:val="single"/>
        </w:rPr>
        <w:t>1</w:t>
      </w:r>
      <w:r w:rsidRPr="007160BE">
        <w:rPr>
          <w:color w:val="auto"/>
          <w:u w:val="single"/>
        </w:rPr>
        <w:fldChar w:fldCharType="end"/>
      </w:r>
      <w:r w:rsidRPr="007160BE">
        <w:rPr>
          <w:color w:val="auto"/>
          <w:u w:val="single"/>
        </w:rPr>
        <w:t xml:space="preserve">: </w:t>
      </w:r>
      <w:r w:rsidR="0052723A" w:rsidRPr="007160BE">
        <w:rPr>
          <w:color w:val="auto"/>
          <w:u w:val="single"/>
        </w:rPr>
        <w:t>Respiratory System Pathway (BeulahJayarani, 2021)</w:t>
      </w:r>
      <w:bookmarkEnd w:id="2"/>
    </w:p>
    <w:p w14:paraId="400A2FE7" w14:textId="0FD9AAAA" w:rsidR="00A04275" w:rsidRPr="007160BE" w:rsidRDefault="00A04275" w:rsidP="00C1723C">
      <w:pPr>
        <w:pStyle w:val="Caption"/>
        <w:spacing w:before="240" w:line="360" w:lineRule="auto"/>
        <w:jc w:val="center"/>
        <w:rPr>
          <w:color w:val="auto"/>
          <w:u w:val="single"/>
          <w:shd w:val="clear" w:color="auto" w:fill="FFFFFF"/>
        </w:rPr>
      </w:pPr>
      <w:r w:rsidRPr="007160BE">
        <w:rPr>
          <w:color w:val="auto"/>
          <w:u w:val="single"/>
          <w:shd w:val="clear" w:color="auto" w:fill="FFFFFF"/>
        </w:rPr>
        <w:t>Source:</w:t>
      </w:r>
      <w:r w:rsidRPr="007160BE">
        <w:rPr>
          <w:u w:val="single"/>
        </w:rPr>
        <w:t xml:space="preserve"> </w:t>
      </w:r>
      <w:hyperlink r:id="rId10" w:history="1">
        <w:r w:rsidRPr="007160BE">
          <w:rPr>
            <w:rStyle w:val="Hyperlink"/>
            <w:shd w:val="clear" w:color="auto" w:fill="FFFFFF"/>
          </w:rPr>
          <w:t>https://www.slideshare.net/slideshow/respiration-in-man-249687346/249687346</w:t>
        </w:r>
      </w:hyperlink>
      <w:r w:rsidRPr="007160BE">
        <w:rPr>
          <w:color w:val="auto"/>
          <w:u w:val="single"/>
          <w:shd w:val="clear" w:color="auto" w:fill="FFFFFF"/>
        </w:rPr>
        <w:t xml:space="preserve"> </w:t>
      </w:r>
    </w:p>
    <w:p w14:paraId="68C27CEC" w14:textId="77777777" w:rsidR="002211B5" w:rsidRPr="00D11342" w:rsidRDefault="002211B5" w:rsidP="00C1723C">
      <w:pPr>
        <w:spacing w:before="240" w:after="200" w:line="360" w:lineRule="auto"/>
        <w:jc w:val="both"/>
      </w:pPr>
      <w:r w:rsidRPr="00D11342">
        <w:t xml:space="preserve">Mechanical respiration entails the way air flows into and out of the lungs. Like bellows, during inhalation, the diaphragm will contract and flatten downward as the intercostals will contract and push the rib cage outward and upward. This makes the chest cavity expand, lowering the pressure within the lungs below that in the atmosphere; due to the principle that gases flow from areas of high pressure to areas of low pressure, air is pushed into the lungs until pressures become equal </w:t>
      </w:r>
      <w:r w:rsidR="00562FA1" w:rsidRPr="00D11342">
        <w:rPr>
          <w:color w:val="000000"/>
          <w:shd w:val="clear" w:color="auto" w:fill="FFFFFF"/>
        </w:rPr>
        <w:t>(Pandirajan, 2023).</w:t>
      </w:r>
    </w:p>
    <w:p w14:paraId="652392E4" w14:textId="469F649C" w:rsidR="002211B5" w:rsidRPr="00D11342" w:rsidRDefault="002211B5" w:rsidP="007160BE">
      <w:pPr>
        <w:spacing w:before="240" w:line="360" w:lineRule="auto"/>
        <w:jc w:val="both"/>
      </w:pPr>
      <w:r w:rsidRPr="00D11342">
        <w:t xml:space="preserve">The exhalation process, on the other hand, is usually a passive activity. </w:t>
      </w:r>
      <w:r w:rsidR="00624BD4" w:rsidRPr="00D11342">
        <w:t>The diaphragm and external intercostal muscles relax, the ribcage moves downward and inward, lung volume decreases, intrapulmonary pressure rises and air flows out.</w:t>
      </w:r>
      <w:r w:rsidR="00624BD4" w:rsidRPr="00D11342">
        <w:rPr>
          <w:color w:val="000000"/>
          <w:shd w:val="clear" w:color="auto" w:fill="FFFFFF"/>
        </w:rPr>
        <w:t xml:space="preserve"> </w:t>
      </w:r>
      <w:r w:rsidR="00562FA1" w:rsidRPr="00D11342">
        <w:rPr>
          <w:color w:val="000000"/>
          <w:shd w:val="clear" w:color="auto" w:fill="FFFFFF"/>
        </w:rPr>
        <w:t xml:space="preserve">(Westin, 2020). </w:t>
      </w:r>
      <w:r w:rsidRPr="00D11342">
        <w:t>In forced exhalations due to exercise or asthma attacks, the additional muscle that is involved is the abdominal muscles, which help push the air out forcefully. In an asthma attack, the respiratory passages become constricted like a partially blocked nozzle; thus, a lot more effort is required to expel the same amount of air.</w:t>
      </w:r>
    </w:p>
    <w:p w14:paraId="20C71CD5" w14:textId="77777777" w:rsidR="00272C9D" w:rsidRPr="00D11342" w:rsidRDefault="00842E10" w:rsidP="00C1723C">
      <w:pPr>
        <w:pStyle w:val="Heading1"/>
        <w:spacing w:before="240" w:line="360" w:lineRule="auto"/>
        <w:rPr>
          <w:sz w:val="22"/>
          <w:szCs w:val="22"/>
        </w:rPr>
      </w:pPr>
      <w:bookmarkStart w:id="3" w:name="_Toc235318776"/>
      <w:r w:rsidRPr="00D11342">
        <w:rPr>
          <w:sz w:val="22"/>
          <w:szCs w:val="22"/>
        </w:rPr>
        <w:t>3. Gas Exchange in the Lungs</w:t>
      </w:r>
      <w:bookmarkEnd w:id="3"/>
    </w:p>
    <w:p w14:paraId="11A9CF5A" w14:textId="77777777" w:rsidR="00272C9D" w:rsidRPr="00D11342" w:rsidRDefault="002211B5" w:rsidP="00C1723C">
      <w:pPr>
        <w:spacing w:before="240" w:line="360" w:lineRule="auto"/>
        <w:jc w:val="both"/>
      </w:pPr>
      <w:r w:rsidRPr="00D11342">
        <w:t xml:space="preserve">The gas exchange is the mechanism by which oxygen present in the inhaled air gets dissolved into the blood while the carbon dioxide, which is the waste product of metabolism, is excreted out to be breathed out. This is done by the alveoli (refer to Figure 2), which are designed for this purpose because of various reasons, such as having thin walls made up of just one cell, a surrounding network of lung capillaries, moisture in the lining to allow the dissolving of gases, and a huge surface area for diffusion </w:t>
      </w:r>
      <w:r w:rsidR="00562FA1" w:rsidRPr="00D11342">
        <w:rPr>
          <w:color w:val="000000"/>
          <w:shd w:val="clear" w:color="auto" w:fill="FFFFFF"/>
        </w:rPr>
        <w:t>(Dezube, 2025).</w:t>
      </w:r>
    </w:p>
    <w:p w14:paraId="3A847D79" w14:textId="14CCDED6" w:rsidR="002211B5" w:rsidRPr="00D11342" w:rsidRDefault="003755C9" w:rsidP="00C1723C">
      <w:pPr>
        <w:spacing w:before="240" w:after="200" w:line="360" w:lineRule="auto"/>
        <w:jc w:val="both"/>
      </w:pPr>
      <w:r w:rsidRPr="00D11342">
        <w:rPr>
          <w:noProof/>
        </w:rPr>
        <w:lastRenderedPageBreak/>
        <w:drawing>
          <wp:anchor distT="0" distB="0" distL="114300" distR="114300" simplePos="0" relativeHeight="251658240" behindDoc="0" locked="0" layoutInCell="1" allowOverlap="1" wp14:anchorId="4E3D5A2A" wp14:editId="776D4D07">
            <wp:simplePos x="0" y="0"/>
            <wp:positionH relativeFrom="column">
              <wp:posOffset>1270635</wp:posOffset>
            </wp:positionH>
            <wp:positionV relativeFrom="paragraph">
              <wp:posOffset>173355</wp:posOffset>
            </wp:positionV>
            <wp:extent cx="3432175" cy="2238375"/>
            <wp:effectExtent l="0" t="0" r="0" b="952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ci3969_460x300.jpg"/>
                    <pic:cNvPicPr/>
                  </pic:nvPicPr>
                  <pic:blipFill>
                    <a:blip r:embed="rId11">
                      <a:extLst>
                        <a:ext uri="{28A0092B-C50C-407E-A947-70E740481C1C}">
                          <a14:useLocalDpi xmlns:a14="http://schemas.microsoft.com/office/drawing/2010/main" val="0"/>
                        </a:ext>
                      </a:extLst>
                    </a:blip>
                    <a:stretch>
                      <a:fillRect/>
                    </a:stretch>
                  </pic:blipFill>
                  <pic:spPr>
                    <a:xfrm>
                      <a:off x="0" y="0"/>
                      <a:ext cx="3432175" cy="2238375"/>
                    </a:xfrm>
                    <a:prstGeom prst="rect">
                      <a:avLst/>
                    </a:prstGeom>
                  </pic:spPr>
                </pic:pic>
              </a:graphicData>
            </a:graphic>
            <wp14:sizeRelH relativeFrom="margin">
              <wp14:pctWidth>0</wp14:pctWidth>
            </wp14:sizeRelH>
            <wp14:sizeRelV relativeFrom="margin">
              <wp14:pctHeight>0</wp14:pctHeight>
            </wp14:sizeRelV>
          </wp:anchor>
        </w:drawing>
      </w:r>
    </w:p>
    <w:p w14:paraId="07CE5344" w14:textId="654FDB88" w:rsidR="002211B5" w:rsidRPr="00D11342" w:rsidRDefault="002211B5" w:rsidP="00C1723C">
      <w:pPr>
        <w:spacing w:before="240" w:after="200" w:line="360" w:lineRule="auto"/>
        <w:jc w:val="both"/>
      </w:pPr>
    </w:p>
    <w:p w14:paraId="115D160C" w14:textId="77777777" w:rsidR="002211B5" w:rsidRPr="00D11342" w:rsidRDefault="002211B5" w:rsidP="00C1723C">
      <w:pPr>
        <w:spacing w:before="240" w:after="200" w:line="360" w:lineRule="auto"/>
        <w:jc w:val="both"/>
      </w:pPr>
    </w:p>
    <w:p w14:paraId="3B2382A2" w14:textId="77777777" w:rsidR="002211B5" w:rsidRPr="00D11342" w:rsidRDefault="002211B5" w:rsidP="00C1723C">
      <w:pPr>
        <w:spacing w:before="240" w:after="200" w:line="360" w:lineRule="auto"/>
        <w:jc w:val="both"/>
      </w:pPr>
    </w:p>
    <w:p w14:paraId="5C574423" w14:textId="77777777" w:rsidR="002211B5" w:rsidRPr="00D11342" w:rsidRDefault="002211B5" w:rsidP="00C1723C">
      <w:pPr>
        <w:spacing w:before="240" w:after="200" w:line="360" w:lineRule="auto"/>
        <w:jc w:val="both"/>
      </w:pPr>
    </w:p>
    <w:p w14:paraId="1ADDD0E7" w14:textId="77777777" w:rsidR="002211B5" w:rsidRPr="00D11342" w:rsidRDefault="002211B5" w:rsidP="00C1723C">
      <w:pPr>
        <w:spacing w:before="240" w:after="200" w:line="360" w:lineRule="auto"/>
        <w:jc w:val="both"/>
      </w:pPr>
    </w:p>
    <w:p w14:paraId="4AA3EDC2" w14:textId="128D8525" w:rsidR="002211B5" w:rsidRPr="00D11342" w:rsidRDefault="003755C9" w:rsidP="00C1723C">
      <w:pPr>
        <w:spacing w:before="240" w:after="200" w:line="360" w:lineRule="auto"/>
        <w:jc w:val="both"/>
      </w:pPr>
      <w:r w:rsidRPr="00D11342">
        <w:rPr>
          <w:noProof/>
        </w:rPr>
        <mc:AlternateContent>
          <mc:Choice Requires="wps">
            <w:drawing>
              <wp:anchor distT="0" distB="0" distL="114300" distR="114300" simplePos="0" relativeHeight="251668480" behindDoc="0" locked="0" layoutInCell="1" allowOverlap="1" wp14:anchorId="5C76A10F" wp14:editId="2451F4D8">
                <wp:simplePos x="0" y="0"/>
                <wp:positionH relativeFrom="column">
                  <wp:posOffset>851535</wp:posOffset>
                </wp:positionH>
                <wp:positionV relativeFrom="paragraph">
                  <wp:posOffset>58420</wp:posOffset>
                </wp:positionV>
                <wp:extent cx="4308475" cy="635"/>
                <wp:effectExtent l="0" t="0" r="0" b="0"/>
                <wp:wrapNone/>
                <wp:docPr id="1786490198" name="Text Box 1"/>
                <wp:cNvGraphicFramePr/>
                <a:graphic xmlns:a="http://schemas.openxmlformats.org/drawingml/2006/main">
                  <a:graphicData uri="http://schemas.microsoft.com/office/word/2010/wordprocessingShape">
                    <wps:wsp>
                      <wps:cNvSpPr txBox="1"/>
                      <wps:spPr>
                        <a:xfrm>
                          <a:off x="0" y="0"/>
                          <a:ext cx="4308475" cy="635"/>
                        </a:xfrm>
                        <a:prstGeom prst="rect">
                          <a:avLst/>
                        </a:prstGeom>
                        <a:solidFill>
                          <a:prstClr val="white"/>
                        </a:solidFill>
                        <a:ln>
                          <a:noFill/>
                        </a:ln>
                      </wps:spPr>
                      <wps:txbx>
                        <w:txbxContent>
                          <w:p w14:paraId="226CF95A" w14:textId="14514E2F" w:rsidR="004420BE" w:rsidRPr="00526326" w:rsidRDefault="004420BE" w:rsidP="004420BE">
                            <w:pPr>
                              <w:pStyle w:val="Caption"/>
                              <w:jc w:val="center"/>
                              <w:rPr>
                                <w:u w:val="single"/>
                              </w:rPr>
                            </w:pPr>
                            <w:bookmarkStart w:id="4" w:name="_Toc235244734"/>
                            <w:r w:rsidRPr="00526326">
                              <w:rPr>
                                <w:u w:val="single"/>
                              </w:rPr>
                              <w:t xml:space="preserve">Figure </w:t>
                            </w:r>
                            <w:r w:rsidRPr="00526326">
                              <w:rPr>
                                <w:u w:val="single"/>
                              </w:rPr>
                              <w:fldChar w:fldCharType="begin"/>
                            </w:r>
                            <w:r w:rsidRPr="00526326">
                              <w:rPr>
                                <w:u w:val="single"/>
                              </w:rPr>
                              <w:instrText xml:space="preserve"> SEQ Figure \* ARABIC </w:instrText>
                            </w:r>
                            <w:r w:rsidRPr="00526326">
                              <w:rPr>
                                <w:u w:val="single"/>
                              </w:rPr>
                              <w:fldChar w:fldCharType="separate"/>
                            </w:r>
                            <w:r w:rsidR="00515D5D">
                              <w:rPr>
                                <w:noProof/>
                                <w:u w:val="single"/>
                              </w:rPr>
                              <w:t>2</w:t>
                            </w:r>
                            <w:r w:rsidRPr="00526326">
                              <w:rPr>
                                <w:u w:val="single"/>
                              </w:rPr>
                              <w:fldChar w:fldCharType="end"/>
                            </w:r>
                            <w:r w:rsidRPr="00526326">
                              <w:rPr>
                                <w:u w:val="single"/>
                              </w:rPr>
                              <w:t>:Gas exchange at the alveolus (Cigna.com, 2025)</w:t>
                            </w:r>
                            <w:bookmarkEnd w:id="4"/>
                          </w:p>
                          <w:p w14:paraId="1E059588" w14:textId="31724483" w:rsidR="004420BE" w:rsidRPr="00526326" w:rsidRDefault="004420BE" w:rsidP="004420BE">
                            <w:pPr>
                              <w:jc w:val="center"/>
                              <w:rPr>
                                <w:sz w:val="18"/>
                                <w:szCs w:val="18"/>
                                <w:u w:val="single"/>
                              </w:rPr>
                            </w:pPr>
                            <w:r w:rsidRPr="00526326">
                              <w:rPr>
                                <w:sz w:val="18"/>
                                <w:szCs w:val="18"/>
                                <w:u w:val="single"/>
                              </w:rPr>
                              <w:t xml:space="preserve">Source: </w:t>
                            </w:r>
                            <w:hyperlink r:id="rId12" w:history="1">
                              <w:r w:rsidRPr="00526326">
                                <w:rPr>
                                  <w:rStyle w:val="Hyperlink"/>
                                  <w:sz w:val="18"/>
                                  <w:szCs w:val="18"/>
                                </w:rPr>
                                <w:t>https://www.cigna.com/knowledge-center/hw/gas-exchange-in-the-lungs-tp10237</w:t>
                              </w:r>
                            </w:hyperlink>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C76A10F" id="_x0000_t202" coordsize="21600,21600" o:spt="202" path="m,l,21600r21600,l21600,xe">
                <v:stroke joinstyle="miter"/>
                <v:path gradientshapeok="t" o:connecttype="rect"/>
              </v:shapetype>
              <v:shape id="Text Box 1" o:spid="_x0000_s1026" type="#_x0000_t202" style="position:absolute;left:0;text-align:left;margin-left:67.05pt;margin-top:4.6pt;width:339.25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" stroked="f">
                <v:textbox style="mso-fit-shape-to-text:t" inset="0,0,0,0">
                  <w:txbxContent>
                    <w:p w14:paraId="226CF95A" w14:textId="14514E2F" w:rsidR="004420BE" w:rsidRPr="00526326" w:rsidRDefault="004420BE" w:rsidP="004420BE">
                      <w:pPr>
                        <w:pStyle w:val="Caption"/>
                        <w:jc w:val="center"/>
                        <w:rPr>
                          <w:u w:val="single"/>
                        </w:rPr>
                      </w:pPr>
                      <w:bookmarkStart w:id="5" w:name="_Toc235244734"/>
                      <w:r w:rsidRPr="00526326">
                        <w:rPr>
                          <w:u w:val="single"/>
                        </w:rPr>
                        <w:t xml:space="preserve">Figure </w:t>
                      </w:r>
                      <w:r w:rsidRPr="00526326">
                        <w:rPr>
                          <w:u w:val="single"/>
                        </w:rPr>
                        <w:fldChar w:fldCharType="begin"/>
                      </w:r>
                      <w:r w:rsidRPr="00526326">
                        <w:rPr>
                          <w:u w:val="single"/>
                        </w:rPr>
                        <w:instrText xml:space="preserve"> SEQ Figure \* ARABIC </w:instrText>
                      </w:r>
                      <w:r w:rsidRPr="00526326">
                        <w:rPr>
                          <w:u w:val="single"/>
                        </w:rPr>
                        <w:fldChar w:fldCharType="separate"/>
                      </w:r>
                      <w:r w:rsidR="00515D5D">
                        <w:rPr>
                          <w:noProof/>
                          <w:u w:val="single"/>
                        </w:rPr>
                        <w:t>2</w:t>
                      </w:r>
                      <w:r w:rsidRPr="00526326">
                        <w:rPr>
                          <w:u w:val="single"/>
                        </w:rPr>
                        <w:fldChar w:fldCharType="end"/>
                      </w:r>
                      <w:r w:rsidRPr="00526326">
                        <w:rPr>
                          <w:u w:val="single"/>
                        </w:rPr>
                        <w:t>:Gas exchange at the alveolus (Cigna.com, 2025)</w:t>
                      </w:r>
                      <w:bookmarkEnd w:id="5"/>
                    </w:p>
                    <w:p w14:paraId="1E059588" w14:textId="31724483" w:rsidR="004420BE" w:rsidRPr="00526326" w:rsidRDefault="004420BE" w:rsidP="004420BE">
                      <w:pPr>
                        <w:jc w:val="center"/>
                        <w:rPr>
                          <w:sz w:val="18"/>
                          <w:szCs w:val="18"/>
                          <w:u w:val="single"/>
                        </w:rPr>
                      </w:pPr>
                      <w:r w:rsidRPr="00526326">
                        <w:rPr>
                          <w:sz w:val="18"/>
                          <w:szCs w:val="18"/>
                          <w:u w:val="single"/>
                        </w:rPr>
                        <w:t xml:space="preserve">Source: </w:t>
                      </w:r>
                      <w:hyperlink r:id="rId13" w:history="1">
                        <w:r w:rsidRPr="00526326">
                          <w:rPr>
                            <w:rStyle w:val="Hyperlink"/>
                            <w:sz w:val="18"/>
                            <w:szCs w:val="18"/>
                          </w:rPr>
                          <w:t>https://www.cigna.com/knowledge-center/hw/gas-exchange-in-the-lungs-tp10237</w:t>
                        </w:r>
                      </w:hyperlink>
                    </w:p>
                  </w:txbxContent>
                </v:textbox>
              </v:shape>
            </w:pict>
          </mc:Fallback>
        </mc:AlternateContent>
      </w:r>
    </w:p>
    <w:p w14:paraId="4B5E9F00" w14:textId="77777777" w:rsidR="004420BE" w:rsidRPr="00D11342" w:rsidRDefault="004420BE" w:rsidP="00C1723C">
      <w:pPr>
        <w:spacing w:before="240" w:after="200" w:line="360" w:lineRule="auto"/>
        <w:jc w:val="both"/>
      </w:pPr>
    </w:p>
    <w:p w14:paraId="4C8A4A01" w14:textId="1129F2CC" w:rsidR="00437F52" w:rsidRPr="007160BE" w:rsidRDefault="00E167DC" w:rsidP="007160BE">
      <w:pPr>
        <w:spacing w:before="240" w:after="200" w:line="360" w:lineRule="auto"/>
        <w:jc w:val="both"/>
      </w:pPr>
      <w:r w:rsidRPr="00D11342">
        <w:t xml:space="preserve">The transportation of oxygen from the alveoli to the blood takes place by simple diffusion, where it diffuses from the environment of higher concentration in the alveolar air to a lower one in the deoxygenated blood coming to the lungs </w:t>
      </w:r>
      <w:r w:rsidR="00562FA1" w:rsidRPr="00D11342">
        <w:rPr>
          <w:color w:val="000000"/>
          <w:shd w:val="clear" w:color="auto" w:fill="FFFFFF"/>
        </w:rPr>
        <w:t xml:space="preserve">(TeachMePhysiology, 2026). </w:t>
      </w:r>
      <w:r w:rsidRPr="00D11342">
        <w:t xml:space="preserve">Oxygen once it gets to the blood, is bound by </w:t>
      </w:r>
      <w:r w:rsidR="007160BE" w:rsidRPr="00D11342">
        <w:t>hemoglobin</w:t>
      </w:r>
      <w:r w:rsidRPr="00D11342">
        <w:t xml:space="preserve"> in red blood </w:t>
      </w:r>
      <w:r w:rsidR="007160BE" w:rsidRPr="00D11342">
        <w:t>cells. On</w:t>
      </w:r>
      <w:r w:rsidRPr="00D11342">
        <w:t xml:space="preserve"> the other hand, carbon dioxide flows in the opposite direction. This is produced by the body constantly, and it will diffuse from the blood through the capillaries into the alveoli, since the levels of CO2 are higher in the blood compared to that of the alveolar air (TeachMePhysiology, 2026). For asthmatic individuals, the airways that are narrow and obstructed limit the amount of fresh air that reaches the alveoli with each breath, thus the gas exchange is limited due to this process </w:t>
      </w:r>
      <w:r w:rsidR="00562FA1" w:rsidRPr="00D11342">
        <w:rPr>
          <w:color w:val="000000"/>
          <w:shd w:val="clear" w:color="auto" w:fill="FFFFFF"/>
        </w:rPr>
        <w:t>(Gruffydd-Jones, 2025)</w:t>
      </w:r>
      <w:r w:rsidR="00716FEA" w:rsidRPr="00D11342">
        <w:rPr>
          <w:color w:val="000000"/>
          <w:shd w:val="clear" w:color="auto" w:fill="FFFFFF"/>
        </w:rPr>
        <w:t>.</w:t>
      </w:r>
    </w:p>
    <w:p w14:paraId="7045D995" w14:textId="77777777" w:rsidR="00272C9D" w:rsidRPr="00D11342" w:rsidRDefault="00842E10" w:rsidP="00C1723C">
      <w:pPr>
        <w:pStyle w:val="Heading1"/>
        <w:spacing w:before="240" w:line="360" w:lineRule="auto"/>
        <w:rPr>
          <w:sz w:val="22"/>
          <w:szCs w:val="22"/>
        </w:rPr>
      </w:pPr>
      <w:bookmarkStart w:id="5" w:name="_Toc235318777"/>
      <w:r w:rsidRPr="00D11342">
        <w:rPr>
          <w:sz w:val="22"/>
          <w:szCs w:val="22"/>
        </w:rPr>
        <w:t>4. How Irritants Cause Inflammation and Affect Breathing</w:t>
      </w:r>
      <w:bookmarkEnd w:id="5"/>
    </w:p>
    <w:p w14:paraId="53DDFA5A" w14:textId="0CDF4E0E" w:rsidR="00E167DC" w:rsidRPr="00D11342" w:rsidRDefault="00E167DC" w:rsidP="00C1723C">
      <w:pPr>
        <w:spacing w:before="240" w:line="360" w:lineRule="auto"/>
        <w:jc w:val="both"/>
      </w:pPr>
      <w:r w:rsidRPr="00D11342">
        <w:t xml:space="preserve">In cases where irritants like smoking and vaping reach the lungs, they come into contact directly with the delicate membrane of the air passages. In response to this, the immune cells present in the walls of the air passage start releasing inflammatory substances, such as histamine, thereby leading to inflammation of the air passage wall and contraction of the muscles around it (bronchospasm) along with increased mucus secretion, which narrows down the air passage, making breathing difficult (refer to Figure 3) </w:t>
      </w:r>
      <w:r w:rsidR="00562FA1" w:rsidRPr="00D11342">
        <w:rPr>
          <w:color w:val="000000"/>
          <w:shd w:val="clear" w:color="auto" w:fill="FFFFFF"/>
        </w:rPr>
        <w:t>(Park, Crotty Alexander and Christiani, 2022).</w:t>
      </w:r>
    </w:p>
    <w:p w14:paraId="05DA1F2C" w14:textId="77777777" w:rsidR="00E167DC" w:rsidRPr="00D11342" w:rsidRDefault="00562FA1" w:rsidP="00C1723C">
      <w:pPr>
        <w:spacing w:before="240" w:line="360" w:lineRule="auto"/>
      </w:pPr>
      <w:r w:rsidRPr="00D11342">
        <w:rPr>
          <w:noProof/>
        </w:rPr>
        <w:drawing>
          <wp:anchor distT="0" distB="0" distL="114300" distR="114300" simplePos="0" relativeHeight="251661312" behindDoc="0" locked="0" layoutInCell="1" allowOverlap="1" wp14:anchorId="687D96BD" wp14:editId="350CACD3">
            <wp:simplePos x="0" y="0"/>
            <wp:positionH relativeFrom="margin">
              <wp:align>center</wp:align>
            </wp:positionH>
            <wp:positionV relativeFrom="paragraph">
              <wp:posOffset>3810</wp:posOffset>
            </wp:positionV>
            <wp:extent cx="4486867" cy="2628900"/>
            <wp:effectExtent l="0" t="0" r="952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486867" cy="26289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BEA919C" w14:textId="77777777" w:rsidR="00E167DC" w:rsidRPr="00D11342" w:rsidRDefault="00E167DC" w:rsidP="00C1723C">
      <w:pPr>
        <w:spacing w:before="240" w:line="360" w:lineRule="auto"/>
      </w:pPr>
    </w:p>
    <w:p w14:paraId="10E0D11C" w14:textId="77777777" w:rsidR="00E167DC" w:rsidRPr="00D11342" w:rsidRDefault="00E167DC" w:rsidP="00C1723C">
      <w:pPr>
        <w:spacing w:before="240" w:line="360" w:lineRule="auto"/>
        <w:jc w:val="center"/>
        <w:rPr>
          <w:noProof/>
        </w:rPr>
      </w:pPr>
    </w:p>
    <w:p w14:paraId="1BC2E4EF" w14:textId="77777777" w:rsidR="00E167DC" w:rsidRPr="00D11342" w:rsidRDefault="00E167DC" w:rsidP="00C1723C">
      <w:pPr>
        <w:spacing w:before="240" w:line="360" w:lineRule="auto"/>
        <w:jc w:val="center"/>
        <w:rPr>
          <w:noProof/>
        </w:rPr>
      </w:pPr>
    </w:p>
    <w:p w14:paraId="1ED55C6C" w14:textId="77777777" w:rsidR="00E167DC" w:rsidRPr="00D11342" w:rsidRDefault="00E167DC" w:rsidP="00C1723C">
      <w:pPr>
        <w:spacing w:before="240" w:line="360" w:lineRule="auto"/>
        <w:jc w:val="center"/>
        <w:rPr>
          <w:noProof/>
        </w:rPr>
      </w:pPr>
    </w:p>
    <w:p w14:paraId="7A476C87" w14:textId="77777777" w:rsidR="00E167DC" w:rsidRPr="00D11342" w:rsidRDefault="00E167DC" w:rsidP="00C1723C">
      <w:pPr>
        <w:spacing w:before="240" w:line="360" w:lineRule="auto"/>
        <w:jc w:val="center"/>
        <w:rPr>
          <w:noProof/>
        </w:rPr>
      </w:pPr>
    </w:p>
    <w:p w14:paraId="77B6A5DA" w14:textId="36246571" w:rsidR="00E167DC" w:rsidRPr="00D11342" w:rsidRDefault="00E167DC" w:rsidP="00C1723C">
      <w:pPr>
        <w:spacing w:before="240" w:line="360" w:lineRule="auto"/>
        <w:rPr>
          <w:noProof/>
        </w:rPr>
      </w:pPr>
    </w:p>
    <w:p w14:paraId="3505A025" w14:textId="2D545FE4" w:rsidR="00E167DC" w:rsidRPr="00D11342" w:rsidRDefault="00281A81" w:rsidP="00C1723C">
      <w:pPr>
        <w:spacing w:before="240" w:line="360" w:lineRule="auto"/>
        <w:jc w:val="center"/>
        <w:rPr>
          <w:noProof/>
        </w:rPr>
      </w:pPr>
      <w:r w:rsidRPr="00D11342">
        <w:rPr>
          <w:noProof/>
        </w:rPr>
        <mc:AlternateContent>
          <mc:Choice Requires="wps">
            <w:drawing>
              <wp:anchor distT="0" distB="0" distL="114300" distR="114300" simplePos="0" relativeHeight="251663360" behindDoc="0" locked="0" layoutInCell="1" allowOverlap="1" wp14:anchorId="424EDE2A" wp14:editId="668906B1">
                <wp:simplePos x="0" y="0"/>
                <wp:positionH relativeFrom="margin">
                  <wp:align>center</wp:align>
                </wp:positionH>
                <wp:positionV relativeFrom="paragraph">
                  <wp:posOffset>8255</wp:posOffset>
                </wp:positionV>
                <wp:extent cx="4486275" cy="635"/>
                <wp:effectExtent l="0" t="0" r="9525" b="1270"/>
                <wp:wrapNone/>
                <wp:docPr id="8" name="Text Box 8"/>
                <wp:cNvGraphicFramePr/>
                <a:graphic xmlns:a="http://schemas.openxmlformats.org/drawingml/2006/main">
                  <a:graphicData uri="http://schemas.microsoft.com/office/word/2010/wordprocessingShape">
                    <wps:wsp>
                      <wps:cNvSpPr txBox="1"/>
                      <wps:spPr>
                        <a:xfrm>
                          <a:off x="0" y="0"/>
                          <a:ext cx="4486275" cy="635"/>
                        </a:xfrm>
                        <a:prstGeom prst="rect">
                          <a:avLst/>
                        </a:prstGeom>
                        <a:solidFill>
                          <a:prstClr val="white"/>
                        </a:solidFill>
                        <a:ln>
                          <a:noFill/>
                        </a:ln>
                      </wps:spPr>
                      <wps:txbx>
                        <w:txbxContent>
                          <w:p w14:paraId="472FDAB7" w14:textId="45DEEE0A" w:rsidR="00281A81" w:rsidRDefault="00E167DC" w:rsidP="00E167DC">
                            <w:pPr>
                              <w:pStyle w:val="Caption"/>
                              <w:jc w:val="center"/>
                              <w:rPr>
                                <w:color w:val="auto"/>
                                <w:u w:val="single"/>
                              </w:rPr>
                            </w:pPr>
                            <w:bookmarkStart w:id="6" w:name="_Toc235244735"/>
                            <w:r w:rsidRPr="003E6FFB">
                              <w:rPr>
                                <w:color w:val="auto"/>
                                <w:u w:val="single"/>
                              </w:rPr>
                              <w:t xml:space="preserve">Figure </w:t>
                            </w:r>
                            <w:r w:rsidRPr="003E6FFB">
                              <w:rPr>
                                <w:color w:val="auto"/>
                                <w:u w:val="single"/>
                              </w:rPr>
                              <w:fldChar w:fldCharType="begin"/>
                            </w:r>
                            <w:r w:rsidRPr="003E6FFB">
                              <w:rPr>
                                <w:color w:val="auto"/>
                                <w:u w:val="single"/>
                              </w:rPr>
                              <w:instrText xml:space="preserve"> SEQ Figure \* ARABIC </w:instrText>
                            </w:r>
                            <w:r w:rsidRPr="003E6FFB">
                              <w:rPr>
                                <w:color w:val="auto"/>
                                <w:u w:val="single"/>
                              </w:rPr>
                              <w:fldChar w:fldCharType="separate"/>
                            </w:r>
                            <w:r w:rsidR="00515D5D">
                              <w:rPr>
                                <w:noProof/>
                                <w:color w:val="auto"/>
                                <w:u w:val="single"/>
                              </w:rPr>
                              <w:t>3</w:t>
                            </w:r>
                            <w:r w:rsidRPr="003E6FFB">
                              <w:rPr>
                                <w:color w:val="auto"/>
                                <w:u w:val="single"/>
                              </w:rPr>
                              <w:fldChar w:fldCharType="end"/>
                            </w:r>
                            <w:r w:rsidRPr="003E6FFB">
                              <w:rPr>
                                <w:color w:val="auto"/>
                                <w:u w:val="single"/>
                              </w:rPr>
                              <w:t>: Cross-section of a normal airway compared with an airway during an Asthma attack</w:t>
                            </w:r>
                            <w:bookmarkEnd w:id="6"/>
                            <w:r w:rsidRPr="003E6FFB">
                              <w:rPr>
                                <w:color w:val="auto"/>
                                <w:u w:val="single"/>
                              </w:rPr>
                              <w:t xml:space="preserve"> </w:t>
                            </w:r>
                          </w:p>
                          <w:p w14:paraId="3FE8F711" w14:textId="5CC6F055" w:rsidR="00E167DC" w:rsidRPr="003E6FFB" w:rsidRDefault="00281A81" w:rsidP="00E167DC">
                            <w:pPr>
                              <w:pStyle w:val="Caption"/>
                              <w:jc w:val="center"/>
                              <w:rPr>
                                <w:color w:val="auto"/>
                                <w:u w:val="single"/>
                              </w:rPr>
                            </w:pPr>
                            <w:r>
                              <w:rPr>
                                <w:color w:val="auto"/>
                                <w:u w:val="single"/>
                              </w:rPr>
                              <w:t>Source:</w:t>
                            </w:r>
                            <w:r w:rsidRPr="00281A81">
                              <w:t xml:space="preserve"> </w:t>
                            </w:r>
                            <w:hyperlink r:id="rId15" w:history="1">
                              <w:r w:rsidRPr="00A03E48">
                                <w:rPr>
                                  <w:rStyle w:val="Hyperlink"/>
                                </w:rPr>
                                <w:t>https://www.researchgate.net/figure/Comparison-between-the-normal-and-asthmatic-lung-Healthy-individuals-have-normal-airway_fig1_345463699</w:t>
                              </w:r>
                            </w:hyperlink>
                            <w:r>
                              <w:rPr>
                                <w:color w:val="auto"/>
                                <w:u w:val="single"/>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4EDE2A" id="Text Box 8" o:spid="_x0000_s1027" type="#_x0000_t202" style="position:absolute;left:0;text-align:left;margin-left:0;margin-top:.65pt;width:353.25pt;height:.05pt;z-index:25166336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" stroked="f">
                <v:textbox style="mso-fit-shape-to-text:t" inset="0,0,0,0">
                  <w:txbxContent>
                    <w:p w14:paraId="472FDAB7" w14:textId="45DEEE0A" w:rsidR="00281A81" w:rsidRDefault="00E167DC" w:rsidP="00E167DC">
                      <w:pPr>
                        <w:pStyle w:val="Caption"/>
                        <w:jc w:val="center"/>
                        <w:rPr>
                          <w:color w:val="auto"/>
                          <w:u w:val="single"/>
                        </w:rPr>
                      </w:pPr>
                      <w:bookmarkStart w:id="8" w:name="_Toc235244735"/>
                      <w:r w:rsidRPr="003E6FFB">
                        <w:rPr>
                          <w:color w:val="auto"/>
                          <w:u w:val="single"/>
                        </w:rPr>
                        <w:t xml:space="preserve">Figure </w:t>
                      </w:r>
                      <w:r w:rsidRPr="003E6FFB">
                        <w:rPr>
                          <w:color w:val="auto"/>
                          <w:u w:val="single"/>
                        </w:rPr>
                        <w:fldChar w:fldCharType="begin"/>
                      </w:r>
                      <w:r w:rsidRPr="003E6FFB">
                        <w:rPr>
                          <w:color w:val="auto"/>
                          <w:u w:val="single"/>
                        </w:rPr>
                        <w:instrText xml:space="preserve"> SEQ Figure \* ARABIC </w:instrText>
                      </w:r>
                      <w:r w:rsidRPr="003E6FFB">
                        <w:rPr>
                          <w:color w:val="auto"/>
                          <w:u w:val="single"/>
                        </w:rPr>
                        <w:fldChar w:fldCharType="separate"/>
                      </w:r>
                      <w:r w:rsidR="00515D5D">
                        <w:rPr>
                          <w:noProof/>
                          <w:color w:val="auto"/>
                          <w:u w:val="single"/>
                        </w:rPr>
                        <w:t>3</w:t>
                      </w:r>
                      <w:r w:rsidRPr="003E6FFB">
                        <w:rPr>
                          <w:color w:val="auto"/>
                          <w:u w:val="single"/>
                        </w:rPr>
                        <w:fldChar w:fldCharType="end"/>
                      </w:r>
                      <w:r w:rsidRPr="003E6FFB">
                        <w:rPr>
                          <w:color w:val="auto"/>
                          <w:u w:val="single"/>
                        </w:rPr>
                        <w:t>: Cross-section of a normal airway compared with an airway during an Asthma attack</w:t>
                      </w:r>
                      <w:bookmarkEnd w:id="8"/>
                      <w:r w:rsidRPr="003E6FFB">
                        <w:rPr>
                          <w:color w:val="auto"/>
                          <w:u w:val="single"/>
                        </w:rPr>
                        <w:t xml:space="preserve"> </w:t>
                      </w:r>
                    </w:p>
                    <w:p w14:paraId="3FE8F711" w14:textId="5CC6F055" w:rsidR="00E167DC" w:rsidRPr="003E6FFB" w:rsidRDefault="00281A81" w:rsidP="00E167DC">
                      <w:pPr>
                        <w:pStyle w:val="Caption"/>
                        <w:jc w:val="center"/>
                        <w:rPr>
                          <w:color w:val="auto"/>
                          <w:u w:val="single"/>
                        </w:rPr>
                      </w:pPr>
                      <w:r>
                        <w:rPr>
                          <w:color w:val="auto"/>
                          <w:u w:val="single"/>
                        </w:rPr>
                        <w:t>Source:</w:t>
                      </w:r>
                      <w:r w:rsidRPr="00281A81">
                        <w:t xml:space="preserve"> </w:t>
                      </w:r>
                      <w:hyperlink r:id="rId16" w:history="1">
                        <w:r w:rsidRPr="00A03E48">
                          <w:rPr>
                            <w:rStyle w:val="Hyperlink"/>
                          </w:rPr>
                          <w:t>https://www.researchgate.net/figure/Comparison-between-the-normal-and-asthmatic-lung-Healthy-individuals-have-normal-airway_fig1_345463699</w:t>
                        </w:r>
                      </w:hyperlink>
                      <w:r>
                        <w:rPr>
                          <w:color w:val="auto"/>
                          <w:u w:val="single"/>
                        </w:rPr>
                        <w:t xml:space="preserve"> </w:t>
                      </w:r>
                    </w:p>
                  </w:txbxContent>
                </v:textbox>
                <w10:wrap anchorx="margin"/>
              </v:shape>
            </w:pict>
          </mc:Fallback>
        </mc:AlternateContent>
      </w:r>
    </w:p>
    <w:p w14:paraId="5391355D" w14:textId="77777777" w:rsidR="00E167DC" w:rsidRPr="00D11342" w:rsidRDefault="00E167DC" w:rsidP="00C1723C">
      <w:pPr>
        <w:spacing w:before="240" w:after="200" w:line="360" w:lineRule="auto"/>
        <w:jc w:val="both"/>
        <w:rPr>
          <w:noProof/>
        </w:rPr>
      </w:pPr>
    </w:p>
    <w:p w14:paraId="04B90DA0" w14:textId="372AED71" w:rsidR="00E167DC" w:rsidRPr="00D11342" w:rsidRDefault="00E167DC" w:rsidP="00C1723C">
      <w:pPr>
        <w:spacing w:before="240" w:after="200" w:line="360" w:lineRule="auto"/>
        <w:jc w:val="both"/>
      </w:pPr>
      <w:r w:rsidRPr="00D11342">
        <w:t xml:space="preserve">Smoking is known to have certain well-defined effects on the respiratory system. The toxic substances present in cigarette smoke destroy cilia lining the respiratory tract. Once destroyed, cilia will not be able to clean air passages, thus causing accumulation of mucus and increasing inflammation </w:t>
      </w:r>
      <w:r w:rsidR="00562FA1" w:rsidRPr="00D11342">
        <w:t xml:space="preserve">(Wang et al., 2025). </w:t>
      </w:r>
      <w:r w:rsidRPr="00D11342">
        <w:t>While vaping is often perceived as being less harmful compared to smoking, this activity may have negative effects on the respiratory system according to recent studies showing an association between using e-cigarettes and respiratory problems and airway inflammation</w:t>
      </w:r>
      <w:r w:rsidR="00624BD4" w:rsidRPr="00D11342">
        <w:t xml:space="preserve">. Although it has been considered relatively safer compared to smoking, vaping is not entirely safe. As stated by the NHS, it is not advised for young individuals since their lungs tend to be more vulnerable to the impacts, and some of the side effects noted are coughing, throat irritation, and difficulty breathing. Thus, teens with asthma may develop worse symptoms from the impact of vaping (NHS, 2025). </w:t>
      </w:r>
      <w:r w:rsidRPr="00D11342">
        <w:t>The reason behind the worsening health conditions of adolescents presented in the case study due to smoking/vaping is explained by this information.</w:t>
      </w:r>
    </w:p>
    <w:p w14:paraId="4A4C68A0" w14:textId="03D8D065" w:rsidR="006E578F" w:rsidRPr="00D11342" w:rsidRDefault="00E167DC" w:rsidP="00C1723C">
      <w:pPr>
        <w:spacing w:before="240" w:after="240" w:line="360" w:lineRule="auto"/>
        <w:jc w:val="both"/>
      </w:pPr>
      <w:r w:rsidRPr="00D11342">
        <w:t xml:space="preserve">Respiratory infections are another important cause. Inflammation of the already sensitised airways from viruses like rhinovirus and influenza causes an exaggerated reaction, as the airways of asthmatic people are already hyper-reactive and, even a minor infection with symptoms similar to cold or flu results in a severe asthma attack </w:t>
      </w:r>
      <w:r w:rsidR="006E578F" w:rsidRPr="00D11342">
        <w:t xml:space="preserve">(Wang et al., 2025). </w:t>
      </w:r>
      <w:r w:rsidRPr="00D11342">
        <w:t xml:space="preserve">The confined indoor settings where there are bars and clubs for frequent visits by older adolescents significantly increase the probability of getting infected from the respiratory viruses circulating in the environment </w:t>
      </w:r>
      <w:r w:rsidR="006E578F" w:rsidRPr="00D11342">
        <w:rPr>
          <w:color w:val="000000"/>
          <w:shd w:val="clear" w:color="auto" w:fill="FFFFFF"/>
        </w:rPr>
        <w:t xml:space="preserve">(Ijaz et al., 2025). </w:t>
      </w:r>
      <w:r w:rsidRPr="00D11342">
        <w:t>These exposures to both smoking and vaping along with infection are responsible for the trend observed of deterioration in the control of asthma among adolescent patients at the clinic.</w:t>
      </w:r>
    </w:p>
    <w:p w14:paraId="7056901F" w14:textId="77777777" w:rsidR="00272C9D" w:rsidRPr="00D11342" w:rsidRDefault="00842E10" w:rsidP="00C1723C">
      <w:pPr>
        <w:pStyle w:val="Heading1"/>
        <w:spacing w:before="240" w:after="240" w:line="360" w:lineRule="auto"/>
        <w:rPr>
          <w:sz w:val="22"/>
          <w:szCs w:val="22"/>
        </w:rPr>
      </w:pPr>
      <w:bookmarkStart w:id="7" w:name="_Toc235318778"/>
      <w:r w:rsidRPr="00D11342">
        <w:rPr>
          <w:sz w:val="22"/>
          <w:szCs w:val="22"/>
        </w:rPr>
        <w:t>5. Recording and Tracking Respiratory Function</w:t>
      </w:r>
      <w:bookmarkEnd w:id="7"/>
    </w:p>
    <w:p w14:paraId="4932BF63" w14:textId="5D68E9A9" w:rsidR="004C2B79" w:rsidRPr="00D11342" w:rsidRDefault="00624BD4" w:rsidP="00C1723C">
      <w:pPr>
        <w:spacing w:before="240" w:line="360" w:lineRule="auto"/>
        <w:jc w:val="both"/>
      </w:pPr>
      <w:r w:rsidRPr="00D11342">
        <w:t>Peak Expiratory Flow Rate (PEFR), or peak flow, refers to the maximum rate at which a person can forcefully expire air after a full breath. This test uses a portable peak flow meter and allows for a cheap way of measuring airflow obstruction that does not always have access to spirometry (DeVrieze, Goldin and Giwa, 2024). Yet, there are some limitations associated with monitoring peak flow. First of all, its results depend very much on the effort of a patient,</w:t>
      </w:r>
      <w:r w:rsidR="00652722" w:rsidRPr="00D11342">
        <w:t xml:space="preserve"> </w:t>
      </w:r>
      <w:r w:rsidR="00892E12" w:rsidRPr="00D11342">
        <w:t>individuals’</w:t>
      </w:r>
      <w:r w:rsidRPr="00D11342">
        <w:t xml:space="preserve"> technique and skills to use this apparatus properly, improper technique leads to the incorrect results. PEFR measures airflow in large airways; therefore, it may miss early changes in small airways or provide fewer details than spirometry in terms of the lung capacity. Thus, one should not rely only on peak flow measurements in assessing the control of asthma (DeVrieze, Goldin and Giwa, 2024); such </w:t>
      </w:r>
      <w:r w:rsidRPr="00D11342">
        <w:lastRenderedPageBreak/>
        <w:t>readings need to be combined with a clinical examination and symptoms of a person. Using a single measurement of peak flow gives little value; however, multiple measurements in comparison with a personal best reading become useful in identifying changes in lung functions (DeVrieze, Goldin and Giwa, 2024).</w:t>
      </w:r>
    </w:p>
    <w:p w14:paraId="00C5A3DC" w14:textId="77777777" w:rsidR="00515D5D" w:rsidRPr="00D11342" w:rsidRDefault="006F38E0" w:rsidP="00C1723C">
      <w:pPr>
        <w:keepNext/>
        <w:spacing w:before="240" w:after="200" w:line="360" w:lineRule="auto"/>
        <w:jc w:val="center"/>
      </w:pPr>
      <w:r w:rsidRPr="00D11342">
        <w:rPr>
          <w:noProof/>
        </w:rPr>
        <w:drawing>
          <wp:inline distT="0" distB="0" distL="0" distR="0" wp14:anchorId="3A15BD17" wp14:editId="3BF00F6E">
            <wp:extent cx="5868670" cy="1854679"/>
            <wp:effectExtent l="0" t="0" r="17780" b="12700"/>
            <wp:docPr id="158891032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14D48FF0" w14:textId="77777777" w:rsidR="00361941" w:rsidRPr="007160BE" w:rsidRDefault="00515D5D" w:rsidP="00C1723C">
      <w:pPr>
        <w:pStyle w:val="Caption"/>
        <w:spacing w:line="360" w:lineRule="auto"/>
        <w:jc w:val="center"/>
        <w:rPr>
          <w:u w:val="single"/>
        </w:rPr>
      </w:pPr>
      <w:bookmarkStart w:id="8" w:name="_Toc235244736"/>
      <w:r w:rsidRPr="007160BE">
        <w:rPr>
          <w:u w:val="single"/>
        </w:rPr>
        <w:t xml:space="preserve">Figure </w:t>
      </w:r>
      <w:r w:rsidRPr="007160BE">
        <w:rPr>
          <w:u w:val="single"/>
        </w:rPr>
        <w:fldChar w:fldCharType="begin"/>
      </w:r>
      <w:r w:rsidRPr="007160BE">
        <w:rPr>
          <w:u w:val="single"/>
        </w:rPr>
        <w:instrText xml:space="preserve"> SEQ Figure \* ARABIC </w:instrText>
      </w:r>
      <w:r w:rsidRPr="007160BE">
        <w:rPr>
          <w:u w:val="single"/>
        </w:rPr>
        <w:fldChar w:fldCharType="separate"/>
      </w:r>
      <w:r w:rsidRPr="007160BE">
        <w:rPr>
          <w:noProof/>
          <w:u w:val="single"/>
        </w:rPr>
        <w:t>4</w:t>
      </w:r>
      <w:r w:rsidRPr="007160BE">
        <w:rPr>
          <w:u w:val="single"/>
        </w:rPr>
        <w:fldChar w:fldCharType="end"/>
      </w:r>
      <w:r w:rsidRPr="007160BE">
        <w:rPr>
          <w:u w:val="single"/>
        </w:rPr>
        <w:t>:Peak Expiratory Flow Rate (PEFR): Measurement, Benefits and Limitations</w:t>
      </w:r>
      <w:bookmarkEnd w:id="8"/>
    </w:p>
    <w:p w14:paraId="1CEC35E5" w14:textId="72A01A9E" w:rsidR="004C2B79" w:rsidRPr="007160BE" w:rsidRDefault="00361941" w:rsidP="00C1723C">
      <w:pPr>
        <w:pStyle w:val="Caption"/>
        <w:spacing w:line="360" w:lineRule="auto"/>
        <w:jc w:val="center"/>
        <w:rPr>
          <w:u w:val="single"/>
        </w:rPr>
      </w:pPr>
      <w:r w:rsidRPr="007160BE">
        <w:rPr>
          <w:u w:val="single"/>
        </w:rPr>
        <w:t>Source: (DeVrieze, Goldin and Giwa, 2024)</w:t>
      </w:r>
      <w:r w:rsidR="00222E8E" w:rsidRPr="007160BE">
        <w:rPr>
          <w:u w:val="single"/>
        </w:rPr>
        <w:t xml:space="preserve"> </w:t>
      </w:r>
      <w:r w:rsidRPr="007160BE">
        <w:rPr>
          <w:u w:val="single"/>
        </w:rPr>
        <w:t xml:space="preserve"> </w:t>
      </w:r>
    </w:p>
    <w:p w14:paraId="0DCA4DCF" w14:textId="77777777" w:rsidR="00C019F0" w:rsidRPr="00D11342" w:rsidRDefault="00C019F0" w:rsidP="00C1723C">
      <w:pPr>
        <w:spacing w:line="360" w:lineRule="auto"/>
        <w:jc w:val="both"/>
        <w:rPr>
          <w:b/>
        </w:rPr>
      </w:pPr>
      <w:r w:rsidRPr="00D11342">
        <w:t>Healthcare professionals make use of peak flow trends by analysing multiple peak flows performed over a period of time in comparison with a patient’s own personal best peak flow reading. In such a manner, it becomes easier to identify a slow decline in air flows, which might be an indicator of poor asthma control and airway obstruction. Peak flow changes are evaluated together with symptoms, medicines taken and potential triggers for the purpose of making decisions regarding further action or changes in treatment. Thus, through the help of these trends, clinicians can assess how well the management is working, detect early signs of exacerbations and change personal asthma action plans.</w:t>
      </w:r>
    </w:p>
    <w:p w14:paraId="1D1E181E" w14:textId="5A586FEA" w:rsidR="00272C9D" w:rsidRPr="00D11342" w:rsidRDefault="00842E10" w:rsidP="00C1723C">
      <w:pPr>
        <w:pStyle w:val="Heading1"/>
        <w:spacing w:before="240" w:after="240" w:line="360" w:lineRule="auto"/>
        <w:rPr>
          <w:sz w:val="22"/>
          <w:szCs w:val="22"/>
        </w:rPr>
      </w:pPr>
      <w:bookmarkStart w:id="9" w:name="_Toc235318779"/>
      <w:r w:rsidRPr="00D11342">
        <w:rPr>
          <w:sz w:val="22"/>
          <w:szCs w:val="22"/>
        </w:rPr>
        <w:t>6. Evidence-Based Lifestyle Recommendations</w:t>
      </w:r>
      <w:bookmarkEnd w:id="9"/>
    </w:p>
    <w:p w14:paraId="268FFF0E" w14:textId="77777777" w:rsidR="00437F52" w:rsidRPr="00D11342" w:rsidRDefault="00437F52" w:rsidP="00C1723C">
      <w:pPr>
        <w:spacing w:before="240" w:line="360" w:lineRule="auto"/>
        <w:jc w:val="both"/>
        <w:rPr>
          <w:b/>
        </w:rPr>
      </w:pPr>
      <w:r w:rsidRPr="00D11342">
        <w:t xml:space="preserve">It is important that adolescents receive clear, evidence-based information regarding the dangers of smoking </w:t>
      </w:r>
      <w:r w:rsidRPr="00D11342">
        <w:rPr>
          <w:bCs/>
        </w:rPr>
        <w:t>a</w:t>
      </w:r>
      <w:r w:rsidRPr="00D11342">
        <w:t xml:space="preserve"> cigarette smoking adversely affects asthma and exacerbates its development. Health care providers need to make them understand that smoking causes airway inflammation, damages the hair-like projections which help to sweep away the excess mucus from the respiratory passages, leads to mucus hypersecretion, and provokes bronchospasm (Karadoğan et al., 2025), and not just tell them to stop smoking. They need to be encouraged to attend NHS Stop Smoking Services, where they will be able to get behavioral intervention along with the medical one, such as nicotine substitutes or varenicline (Beis et al., 2025).</w:t>
      </w:r>
    </w:p>
    <w:p w14:paraId="248A58DD" w14:textId="54A9F2CB" w:rsidR="00437F52" w:rsidRPr="00D11342" w:rsidRDefault="00437F52" w:rsidP="00C1723C">
      <w:pPr>
        <w:spacing w:before="240" w:line="360" w:lineRule="auto"/>
        <w:jc w:val="both"/>
        <w:rPr>
          <w:b/>
        </w:rPr>
      </w:pPr>
      <w:r w:rsidRPr="00D11342">
        <w:t>One must take a careful approach to vaping because young people believe that e-cigarettes represent a safe method of smoking</w:t>
      </w:r>
      <w:r w:rsidR="00C019F0" w:rsidRPr="00D11342">
        <w:t xml:space="preserve"> </w:t>
      </w:r>
      <w:r w:rsidR="00C019F0" w:rsidRPr="00D11342">
        <w:rPr>
          <w:color w:val="000000"/>
          <w:shd w:val="clear" w:color="auto" w:fill="FFFFFF"/>
        </w:rPr>
        <w:t>(Ceasar et al., 2024)</w:t>
      </w:r>
      <w:r w:rsidRPr="00D11342">
        <w:t xml:space="preserve">. The studies prove that e-cigarette use is connected to some respiratory issues that bring irritation and inflammation of the airways. The NHS </w:t>
      </w:r>
      <w:r w:rsidRPr="00D11342">
        <w:lastRenderedPageBreak/>
        <w:t>guidelines state that young people below 18 should not engage in vaping. Furthermore, vaping can provoke asthma attacks and can worsen the existing incidence of airway problems.</w:t>
      </w:r>
      <w:r w:rsidR="00716FEA" w:rsidRPr="00D11342">
        <w:rPr>
          <w:b/>
        </w:rPr>
        <w:t xml:space="preserve"> </w:t>
      </w:r>
      <w:r w:rsidR="00C019F0" w:rsidRPr="00D11342">
        <w:t xml:space="preserve">In addition to not smoking or vaping, the teens should be involved in other forms of self-management practices that will enable them to manage their asthma condition well. One of these practices entails the need for the teen to check the air quality in the locality and to avoid outdoor activities when there is poor air quality, since the pollution caused by nitrogen dioxide, particulate matter, and ozone causes irritation of the airways and may cause asthma attacks. The use of reliable air quality monitoring services will enable them to detect days when there is high air pollution and take steps towards managing it, including avoidance or adopting appropriate prevention measures (Ru Cheng et al., 2021). </w:t>
      </w:r>
      <w:r w:rsidRPr="00D11342">
        <w:t xml:space="preserve">There is also a need for regular review of inhaler technique to ensure that medications prescribed are effective in controlling asthma and also the preventer medication needs to be used properly. Exercise is good and recommended for individuals with asthma, but it is important to have the correct type of exercise to ensure that the lungs remain fit and there is no increase in the risk of developing asthma </w:t>
      </w:r>
      <w:r w:rsidR="00C019F0" w:rsidRPr="00D11342">
        <w:rPr>
          <w:color w:val="000000"/>
          <w:shd w:val="clear" w:color="auto" w:fill="FFFFFF"/>
        </w:rPr>
        <w:t>(Price et al., 2025).</w:t>
      </w:r>
    </w:p>
    <w:p w14:paraId="6A7FDBD1" w14:textId="77777777" w:rsidR="00272C9D" w:rsidRPr="00D11342" w:rsidRDefault="00842E10" w:rsidP="00C1723C">
      <w:pPr>
        <w:pStyle w:val="Heading1"/>
        <w:spacing w:before="240" w:after="240" w:line="360" w:lineRule="auto"/>
        <w:rPr>
          <w:sz w:val="22"/>
          <w:szCs w:val="22"/>
        </w:rPr>
      </w:pPr>
      <w:bookmarkStart w:id="10" w:name="_Toc235318780"/>
      <w:r w:rsidRPr="00D11342">
        <w:rPr>
          <w:sz w:val="22"/>
          <w:szCs w:val="22"/>
        </w:rPr>
        <w:t>7. Conclusion</w:t>
      </w:r>
      <w:bookmarkEnd w:id="10"/>
    </w:p>
    <w:p w14:paraId="01426260" w14:textId="2967F8DD" w:rsidR="00437F52" w:rsidRPr="00D11342" w:rsidRDefault="004C2B79" w:rsidP="00844018">
      <w:pPr>
        <w:spacing w:before="240" w:after="200" w:line="360" w:lineRule="auto"/>
        <w:jc w:val="both"/>
      </w:pPr>
      <w:r w:rsidRPr="00D11342">
        <w:t>In this report, all the essential physiological knowledge regarding asthma that adolescent patients require has been consolidated. This report has provided information on the mechanism of asthma, i.e., the narrowing of airways caused by inflammation, bronchoconstriction, and mucus secretion during attacks, along with details about the structures of the respiratory system and the process of breathing, including inhalation and exhalation processes. Information on the exchange of oxygen and carbon dioxide in alveoli has also been provided. The role of irritants in triggering exacerbations in adolescents in the clinic has also been explained in the report.</w:t>
      </w:r>
      <w:r w:rsidR="00844018">
        <w:t xml:space="preserve"> </w:t>
      </w:r>
      <w:r w:rsidRPr="00D11342">
        <w:t>This method of regularly measuring peak flow, in conjunction with the changes to lifestyle mentioned, provides the adolescent patient with a means to detect early signs and take steps to act on them before an attack occurs. In the end, the main thing for the patients to understand about asthma is that it is a chronic problem which can nevertheless be controlled safely and effectively, by knowing how their lungs function, avoiding triggers, taking their medication properly, and monitoring their own breathing information.</w:t>
      </w:r>
    </w:p>
    <w:p w14:paraId="3B559499" w14:textId="17E82661" w:rsidR="00B110C5" w:rsidRPr="00D11342" w:rsidRDefault="001F4C04" w:rsidP="00C1723C">
      <w:pPr>
        <w:pStyle w:val="Strong1"/>
        <w:spacing w:line="360" w:lineRule="auto"/>
      </w:pPr>
      <w:r w:rsidRPr="00D11342">
        <w:br w:type="page"/>
      </w:r>
      <w:bookmarkStart w:id="11" w:name="_Toc235318781"/>
      <w:r w:rsidR="00842E10" w:rsidRPr="00D11342">
        <w:lastRenderedPageBreak/>
        <w:t>Reference</w:t>
      </w:r>
      <w:r w:rsidR="00437F52" w:rsidRPr="00D11342">
        <w:t>s</w:t>
      </w:r>
      <w:bookmarkEnd w:id="11"/>
    </w:p>
    <w:p w14:paraId="28D6A3B3" w14:textId="77777777" w:rsidR="00DC54A1" w:rsidRPr="00D11342" w:rsidRDefault="00DC54A1" w:rsidP="00C1723C">
      <w:pPr>
        <w:spacing w:after="160" w:line="360" w:lineRule="auto"/>
        <w:ind w:left="720" w:hanging="720"/>
        <w:jc w:val="both"/>
      </w:pPr>
      <w:r w:rsidRPr="00D11342">
        <w:t xml:space="preserve">Beis, I., Dimou, A., Kotoulas, S.-C. and Pataka, A. (2025) ‘Nicotine replacement therapy as a smoking cessation tool for adolescents: An update’, </w:t>
      </w:r>
      <w:r w:rsidRPr="00D11342">
        <w:rPr>
          <w:i/>
          <w:iCs/>
        </w:rPr>
        <w:t>Frontiers in Psychiatry</w:t>
      </w:r>
      <w:r w:rsidRPr="00D11342">
        <w:t>, 16. doi: 10.3389/fpsyt.2025.1525510.</w:t>
      </w:r>
    </w:p>
    <w:p w14:paraId="7C8CF4E4" w14:textId="77777777" w:rsidR="00DC54A1" w:rsidRPr="00D11342" w:rsidRDefault="00DC54A1" w:rsidP="00C1723C">
      <w:pPr>
        <w:spacing w:line="360" w:lineRule="auto"/>
        <w:ind w:left="720" w:hanging="720"/>
        <w:jc w:val="both"/>
        <w:rPr>
          <w:rFonts w:eastAsia="Times New Roman"/>
          <w:color w:val="000000"/>
        </w:rPr>
      </w:pPr>
      <w:r w:rsidRPr="00D11342">
        <w:rPr>
          <w:rFonts w:eastAsia="Times New Roman"/>
          <w:color w:val="000000"/>
        </w:rPr>
        <w:t>Ceasar, R.C., Braymiller, J.L., Kechter, A., Simpson, K.A., Schiff, S.J., Yamaguchi, N. and Barrington-Trimis, J.L. (2024). Perceiving E-Cigarettes as Safe and Safer Alternative to Cigarettes Among Young Adults. </w:t>
      </w:r>
      <w:r w:rsidRPr="00D11342">
        <w:rPr>
          <w:rFonts w:eastAsia="Times New Roman"/>
          <w:i/>
          <w:iCs/>
          <w:color w:val="000000"/>
        </w:rPr>
        <w:t>Substance Use &amp;amp; Addiction Journal</w:t>
      </w:r>
      <w:r w:rsidRPr="00D11342">
        <w:rPr>
          <w:rFonts w:eastAsia="Times New Roman"/>
          <w:color w:val="000000"/>
        </w:rPr>
        <w:t xml:space="preserve">, [online] 45(2), pp.181–190. doi:10.1177/29767342231218533. </w:t>
      </w:r>
    </w:p>
    <w:p w14:paraId="469BC9A3" w14:textId="77777777" w:rsidR="00DC54A1" w:rsidRPr="00D11342" w:rsidRDefault="00DC54A1" w:rsidP="00C1723C">
      <w:pPr>
        <w:spacing w:after="160" w:line="360" w:lineRule="auto"/>
        <w:ind w:left="720" w:hanging="720"/>
        <w:jc w:val="both"/>
      </w:pPr>
      <w:r w:rsidRPr="00D11342">
        <w:t xml:space="preserve">Cheng, Z.R., Tan, Y.H., Teoh, O.H. and Lee, J.H. (2021) ‘Keeping pace with adolescent asthma: A practical approach to optimising care’, </w:t>
      </w:r>
      <w:r w:rsidRPr="00D11342">
        <w:rPr>
          <w:i/>
          <w:iCs/>
        </w:rPr>
        <w:t>Pulmonary Therapy</w:t>
      </w:r>
      <w:r w:rsidRPr="00D11342">
        <w:t>, 8(1), pp. 123–142. doi: 10.1007/s41030-021-00177-2.</w:t>
      </w:r>
    </w:p>
    <w:p w14:paraId="619340F6" w14:textId="77777777" w:rsidR="00DC54A1" w:rsidRPr="00D11342" w:rsidRDefault="00DC54A1" w:rsidP="00C1723C">
      <w:pPr>
        <w:spacing w:before="240" w:line="360" w:lineRule="auto"/>
        <w:ind w:left="720" w:hanging="720"/>
        <w:jc w:val="both"/>
        <w:rPr>
          <w:rFonts w:eastAsia="Times New Roman"/>
          <w:color w:val="000000"/>
        </w:rPr>
      </w:pPr>
      <w:r w:rsidRPr="00D11342">
        <w:rPr>
          <w:rFonts w:eastAsia="Times New Roman"/>
          <w:color w:val="000000"/>
        </w:rPr>
        <w:t xml:space="preserve">Cigna.com. (2025). Gas exchange in the lungs | Cigna. [online] Available at: </w:t>
      </w:r>
      <w:hyperlink r:id="rId22" w:history="1">
        <w:r w:rsidRPr="00D11342">
          <w:rPr>
            <w:rStyle w:val="Hyperlink"/>
            <w:rFonts w:eastAsia="Times New Roman"/>
          </w:rPr>
          <w:t>https://www.cigna.com/knowledge-center/hw/gas-exchange-in-the-lungs-tp10237</w:t>
        </w:r>
      </w:hyperlink>
    </w:p>
    <w:p w14:paraId="693019E5" w14:textId="77777777" w:rsidR="00DC54A1" w:rsidRPr="00D11342" w:rsidRDefault="00DC54A1" w:rsidP="00C1723C">
      <w:pPr>
        <w:spacing w:after="160" w:line="360" w:lineRule="auto"/>
        <w:ind w:left="720" w:hanging="720"/>
        <w:jc w:val="both"/>
      </w:pPr>
      <w:r w:rsidRPr="00D11342">
        <w:t xml:space="preserve"> DeVrieze, B.W., Goldin, J. and Giwa, A.O. (2024) </w:t>
      </w:r>
      <w:r w:rsidRPr="00D11342">
        <w:rPr>
          <w:i/>
          <w:iCs/>
        </w:rPr>
        <w:t>Peak flow rate measurement</w:t>
      </w:r>
      <w:r w:rsidRPr="00D11342">
        <w:t xml:space="preserve">. Available at: </w:t>
      </w:r>
      <w:hyperlink r:id="rId23" w:tgtFrame="_new" w:history="1">
        <w:r w:rsidRPr="00D11342">
          <w:rPr>
            <w:rStyle w:val="Hyperlink"/>
          </w:rPr>
          <w:t>https://www.ncbi.nlm.nih.gov/books/NBK459325/</w:t>
        </w:r>
      </w:hyperlink>
      <w:r w:rsidRPr="00D11342">
        <w:t xml:space="preserve"> (Accessed: 18 July 2026).</w:t>
      </w:r>
    </w:p>
    <w:p w14:paraId="755E620C" w14:textId="77777777" w:rsidR="00DC54A1" w:rsidRPr="00D11342" w:rsidRDefault="00DC54A1" w:rsidP="00C1723C">
      <w:pPr>
        <w:spacing w:after="160" w:line="360" w:lineRule="auto"/>
        <w:ind w:left="720" w:hanging="720"/>
        <w:jc w:val="both"/>
      </w:pPr>
      <w:r w:rsidRPr="00D11342">
        <w:t xml:space="preserve">Dezube, R. (2025) </w:t>
      </w:r>
      <w:r w:rsidRPr="00D11342">
        <w:rPr>
          <w:i/>
          <w:iCs/>
        </w:rPr>
        <w:t>Exchanging oxygen and carbon dioxide</w:t>
      </w:r>
      <w:r w:rsidRPr="00D11342">
        <w:t xml:space="preserve">. MSD Manual Consumer Version. Available at: </w:t>
      </w:r>
      <w:hyperlink r:id="rId24" w:tgtFrame="_new" w:history="1">
        <w:r w:rsidRPr="00D11342">
          <w:rPr>
            <w:rStyle w:val="Hyperlink"/>
          </w:rPr>
          <w:t>https://www.msdmanuals.com/home/lung-and-airway-disorders/biology-of-the-lungs-and-airways/exchanging-oxygen-and-carbon-dioxide</w:t>
        </w:r>
      </w:hyperlink>
      <w:r w:rsidRPr="00D11342">
        <w:t xml:space="preserve"> (Accessed: 18 July 2026).</w:t>
      </w:r>
    </w:p>
    <w:p w14:paraId="40E449DD" w14:textId="77777777" w:rsidR="00DC54A1" w:rsidRPr="00D11342" w:rsidRDefault="00DC54A1" w:rsidP="00C1723C">
      <w:pPr>
        <w:spacing w:after="160" w:line="360" w:lineRule="auto"/>
        <w:ind w:left="720" w:hanging="720"/>
        <w:jc w:val="both"/>
      </w:pPr>
      <w:r w:rsidRPr="00D11342">
        <w:t xml:space="preserve">Diaconu, I.D., Gheorman, V., Grigorie, G.A., Gheonea, C., Tenea-Cojan, T.S., Mahler, B., Voropanov, I.A., Firoiu, M.C., Pîrvu, A.S., Popescu, A.B. and Văruț, R. (2024) ‘A comprehensive look at the development of asthma in children’, </w:t>
      </w:r>
      <w:r w:rsidRPr="00D11342">
        <w:rPr>
          <w:i/>
          <w:iCs/>
        </w:rPr>
        <w:t>Children</w:t>
      </w:r>
      <w:r w:rsidRPr="00D11342">
        <w:t>, 11(5), p. 581.</w:t>
      </w:r>
    </w:p>
    <w:p w14:paraId="10F28585" w14:textId="77777777" w:rsidR="00DC54A1" w:rsidRPr="00D11342" w:rsidRDefault="00DC54A1" w:rsidP="00C1723C">
      <w:pPr>
        <w:spacing w:after="160" w:line="360" w:lineRule="auto"/>
        <w:ind w:left="720" w:hanging="720"/>
        <w:jc w:val="both"/>
      </w:pPr>
      <w:r w:rsidRPr="00D11342">
        <w:t xml:space="preserve">Goldin, J. and Cataletto, M.E. (2024) </w:t>
      </w:r>
      <w:r w:rsidRPr="00D11342">
        <w:rPr>
          <w:i/>
          <w:iCs/>
        </w:rPr>
        <w:t>Asthma</w:t>
      </w:r>
      <w:r w:rsidRPr="00D11342">
        <w:t xml:space="preserve">. StatPearls. Available at: </w:t>
      </w:r>
      <w:hyperlink r:id="rId25" w:tgtFrame="_new" w:history="1">
        <w:r w:rsidRPr="00D11342">
          <w:rPr>
            <w:rStyle w:val="Hyperlink"/>
          </w:rPr>
          <w:t>https://www.ncbi.nlm.nih.gov/books/NBK430901/</w:t>
        </w:r>
      </w:hyperlink>
      <w:r w:rsidRPr="00D11342">
        <w:t xml:space="preserve"> (Accessed: 18 July 2026).</w:t>
      </w:r>
    </w:p>
    <w:p w14:paraId="42F8F7D0" w14:textId="77777777" w:rsidR="00DC54A1" w:rsidRPr="00D11342" w:rsidRDefault="00DC54A1" w:rsidP="00C1723C">
      <w:pPr>
        <w:spacing w:after="160" w:line="360" w:lineRule="auto"/>
        <w:ind w:left="720" w:hanging="720"/>
        <w:jc w:val="both"/>
      </w:pPr>
      <w:r w:rsidRPr="00D11342">
        <w:t xml:space="preserve">Gruffydd-Jones, K. (2025) ‘BTS/NICE/SIGN guideline for asthma 2024: Diagnosis, monitoring and chronic asthma management—how does this compare to GINA 2024?’, </w:t>
      </w:r>
      <w:r w:rsidRPr="00D11342">
        <w:rPr>
          <w:i/>
          <w:iCs/>
        </w:rPr>
        <w:t>npj Primary Care Respiratory Medicine</w:t>
      </w:r>
      <w:r w:rsidRPr="00D11342">
        <w:t>, 35(1). doi: 10.1038/s41533-025-00425-x.</w:t>
      </w:r>
    </w:p>
    <w:p w14:paraId="6447BEC0" w14:textId="77777777" w:rsidR="00DC54A1" w:rsidRPr="00D11342" w:rsidRDefault="00DC54A1" w:rsidP="00C1723C">
      <w:pPr>
        <w:spacing w:line="360" w:lineRule="auto"/>
        <w:ind w:left="720" w:hanging="720"/>
        <w:jc w:val="both"/>
        <w:rPr>
          <w:color w:val="000000"/>
        </w:rPr>
      </w:pPr>
      <w:r w:rsidRPr="00D11342">
        <w:rPr>
          <w:color w:val="000000"/>
        </w:rPr>
        <w:t>https://www.facebook.com/nhswebsite (2022). </w:t>
      </w:r>
      <w:r w:rsidRPr="00D11342">
        <w:rPr>
          <w:i/>
          <w:iCs/>
          <w:color w:val="000000"/>
        </w:rPr>
        <w:t>Vaping to quit smoking - Better Health</w:t>
      </w:r>
      <w:r w:rsidRPr="00D11342">
        <w:rPr>
          <w:color w:val="000000"/>
        </w:rPr>
        <w:t>. [online] nhs.uk. Available at: https://www.nhs.uk/better-health/quit-smoking/ready-to-quit-smoking/vaping-to-quit-smoking/?utm_source=chatgpt.com [Accessed 18 July 2026].</w:t>
      </w:r>
    </w:p>
    <w:p w14:paraId="2F6DC3F0" w14:textId="77777777" w:rsidR="00DC54A1" w:rsidRPr="00D11342" w:rsidRDefault="00DC54A1" w:rsidP="00C1723C">
      <w:pPr>
        <w:spacing w:after="160" w:line="360" w:lineRule="auto"/>
        <w:ind w:left="720" w:hanging="720"/>
        <w:jc w:val="both"/>
      </w:pPr>
      <w:r w:rsidRPr="00D11342">
        <w:t xml:space="preserve">Ijaz, M.K., Sattar, S.A., Boone, S.A., Nims, R.W., McKinney, J. and Gerba, C.P. (2025) ‘Dynamics of respiratory virus spread indoors suggest a holistic approach for exposure risk mitigation’, </w:t>
      </w:r>
      <w:r w:rsidRPr="00D11342">
        <w:rPr>
          <w:i/>
          <w:iCs/>
        </w:rPr>
        <w:t>Antimicrobial Stewardship &amp; Healthcare Epidemiology</w:t>
      </w:r>
      <w:r w:rsidRPr="00D11342">
        <w:t>, 5(1). doi: 10.1017/ash.2025.10147.</w:t>
      </w:r>
    </w:p>
    <w:p w14:paraId="21028F27" w14:textId="77777777" w:rsidR="00DC54A1" w:rsidRPr="00D11342" w:rsidRDefault="00DC54A1" w:rsidP="00C1723C">
      <w:pPr>
        <w:spacing w:after="160" w:line="360" w:lineRule="auto"/>
        <w:ind w:left="720" w:hanging="720"/>
        <w:jc w:val="both"/>
      </w:pPr>
      <w:r w:rsidRPr="00D11342">
        <w:t xml:space="preserve">Karadoğan, D., Telatar, T.G., Kaya, İ., Atlı, S., Köse Kabil, N., Marım, F., Yumrukuz Şenel, M., Yüksel, A., Yalçın, B., Gültekin, Ö., Erçelik, M. and Akgün, M. (2025) ‘Immediately scheduled for an appointment to smoking cessation clinics: Key to quitting smoking in chronic airway </w:t>
      </w:r>
      <w:r w:rsidRPr="00D11342">
        <w:lastRenderedPageBreak/>
        <w:t xml:space="preserve">disease—a multicentre randomised study’, </w:t>
      </w:r>
      <w:r w:rsidRPr="00D11342">
        <w:rPr>
          <w:i/>
          <w:iCs/>
        </w:rPr>
        <w:t>Tobacco Induced Diseases</w:t>
      </w:r>
      <w:r w:rsidRPr="00D11342">
        <w:t>, 23, pp. 1–8. doi: 10.18332/tid/204254.</w:t>
      </w:r>
    </w:p>
    <w:p w14:paraId="7A3A9126" w14:textId="77777777" w:rsidR="00DC54A1" w:rsidRPr="00D11342" w:rsidRDefault="00DC54A1" w:rsidP="00C1723C">
      <w:pPr>
        <w:spacing w:after="160" w:line="360" w:lineRule="auto"/>
        <w:ind w:left="720" w:hanging="720"/>
        <w:jc w:val="both"/>
      </w:pPr>
      <w:r w:rsidRPr="00D11342">
        <w:t xml:space="preserve">National Heart, Lung, and Blood Institute (2022) </w:t>
      </w:r>
      <w:r w:rsidRPr="00D11342">
        <w:rPr>
          <w:i/>
          <w:iCs/>
        </w:rPr>
        <w:t>The respiratory system</w:t>
      </w:r>
      <w:r w:rsidRPr="00D11342">
        <w:t xml:space="preserve">. Available at: </w:t>
      </w:r>
      <w:hyperlink r:id="rId26" w:tgtFrame="_new" w:history="1">
        <w:r w:rsidRPr="00D11342">
          <w:rPr>
            <w:rStyle w:val="Hyperlink"/>
          </w:rPr>
          <w:t>https://www.nhlbi.nih.gov/health/lungs/respiratory-system</w:t>
        </w:r>
      </w:hyperlink>
      <w:r w:rsidRPr="00D11342">
        <w:t xml:space="preserve"> (Accessed: 18 July 2026).</w:t>
      </w:r>
    </w:p>
    <w:p w14:paraId="33DF51AC" w14:textId="77777777" w:rsidR="00DC54A1" w:rsidRPr="00D11342" w:rsidRDefault="00DC54A1" w:rsidP="00C1723C">
      <w:pPr>
        <w:spacing w:after="160" w:line="360" w:lineRule="auto"/>
        <w:ind w:left="720" w:hanging="720"/>
        <w:jc w:val="both"/>
      </w:pPr>
      <w:r w:rsidRPr="000D02C9">
        <w:rPr>
          <w:lang w:val="es-ES"/>
        </w:rPr>
        <w:t xml:space="preserve">Ortega, V.E. and Chiarella, S.E. (2025) </w:t>
      </w:r>
      <w:r w:rsidRPr="000D02C9">
        <w:rPr>
          <w:i/>
          <w:iCs/>
          <w:lang w:val="es-ES"/>
        </w:rPr>
        <w:t>Asthma</w:t>
      </w:r>
      <w:r w:rsidRPr="000D02C9">
        <w:rPr>
          <w:lang w:val="es-ES"/>
        </w:rPr>
        <w:t xml:space="preserve">. </w:t>
      </w:r>
      <w:r w:rsidRPr="00D11342">
        <w:t xml:space="preserve">MSD Manual Consumer Version. Available at: </w:t>
      </w:r>
      <w:hyperlink r:id="rId27" w:tgtFrame="_new" w:history="1">
        <w:r w:rsidRPr="00D11342">
          <w:rPr>
            <w:rStyle w:val="Hyperlink"/>
          </w:rPr>
          <w:t>https://www.msdmanuals.com/home/lung-and-airway-disorders/asthma/asthma</w:t>
        </w:r>
      </w:hyperlink>
      <w:r w:rsidRPr="00D11342">
        <w:t xml:space="preserve"> (Accessed: 18 July 2026).</w:t>
      </w:r>
    </w:p>
    <w:p w14:paraId="194CF87F" w14:textId="77777777" w:rsidR="00DC54A1" w:rsidRPr="00D11342" w:rsidRDefault="00DC54A1" w:rsidP="00C1723C">
      <w:pPr>
        <w:spacing w:after="160" w:line="360" w:lineRule="auto"/>
        <w:ind w:left="720" w:hanging="720"/>
        <w:jc w:val="both"/>
      </w:pPr>
      <w:r w:rsidRPr="00D11342">
        <w:t xml:space="preserve">Pandirajan, K. (2023) </w:t>
      </w:r>
      <w:r w:rsidRPr="00D11342">
        <w:rPr>
          <w:i/>
          <w:iCs/>
        </w:rPr>
        <w:t>Mechanics of breathing: Inspiration and expiration</w:t>
      </w:r>
      <w:r w:rsidRPr="00D11342">
        <w:t xml:space="preserve">. TeachMePhysiology. Available at: </w:t>
      </w:r>
      <w:hyperlink r:id="rId28" w:tgtFrame="_new" w:history="1">
        <w:r w:rsidRPr="00D11342">
          <w:rPr>
            <w:rStyle w:val="Hyperlink"/>
          </w:rPr>
          <w:t>https://teachmephysiology.com/respiratory-system/ventilation/mechanics-of-breathing/</w:t>
        </w:r>
      </w:hyperlink>
      <w:r w:rsidRPr="00D11342">
        <w:t xml:space="preserve"> (Accessed: 18 July 2026).</w:t>
      </w:r>
    </w:p>
    <w:p w14:paraId="65A04C6F" w14:textId="77777777" w:rsidR="00DC54A1" w:rsidRPr="00D11342" w:rsidRDefault="00DC54A1" w:rsidP="00C1723C">
      <w:pPr>
        <w:spacing w:after="160" w:line="360" w:lineRule="auto"/>
        <w:ind w:left="720" w:hanging="720"/>
        <w:jc w:val="both"/>
      </w:pPr>
      <w:r w:rsidRPr="00D11342">
        <w:t xml:space="preserve">Park, J.-A., Crotty Alexander, L.E. and Christiani, D.C. (2022) ‘Vaping and lung inflammation and injury’, </w:t>
      </w:r>
      <w:r w:rsidRPr="00D11342">
        <w:rPr>
          <w:i/>
          <w:iCs/>
        </w:rPr>
        <w:t>Annual Review of Physiology</w:t>
      </w:r>
      <w:r w:rsidRPr="00D11342">
        <w:t>, 84(1), pp. 611–629. doi: 10.1146/annurev-physiol-061121-040014.</w:t>
      </w:r>
    </w:p>
    <w:p w14:paraId="51A13DDA" w14:textId="77777777" w:rsidR="00DC54A1" w:rsidRPr="00D11342" w:rsidRDefault="00DC54A1" w:rsidP="00C1723C">
      <w:pPr>
        <w:spacing w:line="360" w:lineRule="auto"/>
        <w:ind w:left="720" w:hanging="720"/>
        <w:jc w:val="both"/>
        <w:rPr>
          <w:rFonts w:eastAsia="Times New Roman"/>
          <w:color w:val="000000"/>
        </w:rPr>
      </w:pPr>
      <w:r w:rsidRPr="00D11342">
        <w:rPr>
          <w:rFonts w:eastAsia="Times New Roman"/>
          <w:color w:val="000000"/>
        </w:rPr>
        <w:t>Price, O.J., Papadopoulos, N.G., Amérigo, D.A., Backer, V., Bougault, V., Del Giacco, S., Gawlik, R., Eguiluz</w:t>
      </w:r>
      <w:r w:rsidRPr="00D11342">
        <w:rPr>
          <w:rFonts w:ascii="Cambria Math" w:eastAsia="Times New Roman" w:hAnsi="Cambria Math" w:cs="Cambria Math"/>
          <w:color w:val="000000"/>
        </w:rPr>
        <w:t>‐</w:t>
      </w:r>
      <w:r w:rsidRPr="00D11342">
        <w:rPr>
          <w:rFonts w:eastAsia="Times New Roman"/>
          <w:color w:val="000000"/>
        </w:rPr>
        <w:t>Gracia, I., Heffler, E., Janson, C., McDonald, V.M., Moreira, A., Simpson, A. and Bonini, M. (2025). Exercise Recommendations and Practical Considerations for Asthma Management—An EAACI Position Paper. </w:t>
      </w:r>
      <w:r w:rsidRPr="00D11342">
        <w:rPr>
          <w:rFonts w:eastAsia="Times New Roman"/>
          <w:i/>
          <w:iCs/>
          <w:color w:val="000000"/>
        </w:rPr>
        <w:t>Allergy</w:t>
      </w:r>
      <w:r w:rsidRPr="00D11342">
        <w:rPr>
          <w:rFonts w:eastAsia="Times New Roman"/>
          <w:color w:val="000000"/>
        </w:rPr>
        <w:t>, [online] 80(6), pp.1572–1591. doi:10.1111/all.16573.</w:t>
      </w:r>
    </w:p>
    <w:p w14:paraId="31CEB3E1" w14:textId="77777777" w:rsidR="00DC54A1" w:rsidRPr="00D11342" w:rsidRDefault="00DC54A1" w:rsidP="00C1723C">
      <w:pPr>
        <w:spacing w:after="160" w:line="360" w:lineRule="auto"/>
        <w:ind w:left="720" w:hanging="720"/>
        <w:jc w:val="both"/>
      </w:pPr>
      <w:r w:rsidRPr="00D11342">
        <w:t xml:space="preserve">TeachMePhysiology (2026) </w:t>
      </w:r>
      <w:r w:rsidRPr="00D11342">
        <w:rPr>
          <w:i/>
          <w:iCs/>
        </w:rPr>
        <w:t>Gas exchange: Physics and the diffusion barrier</w:t>
      </w:r>
      <w:r w:rsidRPr="00D11342">
        <w:t xml:space="preserve">. Available at: </w:t>
      </w:r>
      <w:hyperlink r:id="rId29" w:tgtFrame="_new" w:history="1">
        <w:r w:rsidRPr="00D11342">
          <w:rPr>
            <w:rStyle w:val="Hyperlink"/>
          </w:rPr>
          <w:t>https://teachmephysiology.com/respiratory-system/gas-exchange/gas-exchange/</w:t>
        </w:r>
      </w:hyperlink>
      <w:r w:rsidRPr="00D11342">
        <w:t xml:space="preserve"> (Accessed: 18 July 2026).</w:t>
      </w:r>
    </w:p>
    <w:p w14:paraId="61D796DA" w14:textId="77777777" w:rsidR="00DC54A1" w:rsidRPr="00D11342" w:rsidRDefault="00DC54A1" w:rsidP="00C1723C">
      <w:pPr>
        <w:spacing w:after="160" w:line="360" w:lineRule="auto"/>
        <w:ind w:left="720" w:hanging="720"/>
        <w:jc w:val="both"/>
      </w:pPr>
      <w:r w:rsidRPr="00D11342">
        <w:t xml:space="preserve">Wallace-Farquharson, T., Rhee, H., Oguntoye, A.O., Harrison Elder, J., Ezenwa, M.O., Fedele, D., Duckworth, L. and Wilkie, D.J. (2022) ‘Adolescents’ practical knowledge of asthma self-management and experiences in the context of acute asthma: A qualitative content analysis’, </w:t>
      </w:r>
      <w:r w:rsidRPr="00D11342">
        <w:rPr>
          <w:i/>
          <w:iCs/>
        </w:rPr>
        <w:t>Journal of Asthma</w:t>
      </w:r>
      <w:r w:rsidRPr="00D11342">
        <w:t xml:space="preserve">, 60(2), pp. 277–287. doi: 10.1080/02770903.2022.2045309. </w:t>
      </w:r>
    </w:p>
    <w:p w14:paraId="26C31A6A" w14:textId="77777777" w:rsidR="00DC54A1" w:rsidRPr="00D11342" w:rsidRDefault="00DC54A1" w:rsidP="00C1723C">
      <w:pPr>
        <w:spacing w:after="160" w:line="360" w:lineRule="auto"/>
        <w:ind w:left="720" w:hanging="720"/>
        <w:jc w:val="both"/>
      </w:pPr>
      <w:r w:rsidRPr="00D11342">
        <w:t xml:space="preserve">Wang, C., Zhang, Y.M., Li, M. and Cheng, K.J. (2025) ‘The role of viruses in nasal inflammation’, </w:t>
      </w:r>
      <w:r w:rsidRPr="00D11342">
        <w:rPr>
          <w:i/>
          <w:iCs/>
        </w:rPr>
        <w:t>European Journal of Medical Research</w:t>
      </w:r>
      <w:r w:rsidRPr="00D11342">
        <w:t>, 30(1), p. 1272.</w:t>
      </w:r>
    </w:p>
    <w:p w14:paraId="25D91998" w14:textId="77777777" w:rsidR="00DC54A1" w:rsidRPr="00D11342" w:rsidRDefault="00DC54A1" w:rsidP="00C1723C">
      <w:pPr>
        <w:spacing w:after="160" w:line="360" w:lineRule="auto"/>
        <w:ind w:left="720" w:hanging="720"/>
        <w:jc w:val="both"/>
      </w:pPr>
      <w:r w:rsidRPr="00D11342">
        <w:t xml:space="preserve">Wang, L., Pan, M., Dong, J., He, Z., Wang, W., Shu, J., Wang, T. and Wang, Y. (2025) ‘Investigating cigarette smoke-induced airway inflammation and sperm activity impairment in rats based on cilia-associated proteins’, </w:t>
      </w:r>
      <w:r w:rsidRPr="00D11342">
        <w:rPr>
          <w:i/>
          <w:iCs/>
        </w:rPr>
        <w:t>3 Biotech</w:t>
      </w:r>
      <w:r w:rsidRPr="00D11342">
        <w:t>, 15(5), p. 136.</w:t>
      </w:r>
    </w:p>
    <w:p w14:paraId="48062FBF" w14:textId="5BEA83A5" w:rsidR="00123DCC" w:rsidRPr="00980F5F" w:rsidRDefault="00DC54A1" w:rsidP="00C1723C">
      <w:pPr>
        <w:spacing w:after="160" w:line="360" w:lineRule="auto"/>
        <w:ind w:left="720" w:hanging="720"/>
        <w:jc w:val="both"/>
      </w:pPr>
      <w:r w:rsidRPr="00D11342">
        <w:t xml:space="preserve">Westin, J. (2020) </w:t>
      </w:r>
      <w:r w:rsidRPr="00D11342">
        <w:rPr>
          <w:i/>
          <w:iCs/>
        </w:rPr>
        <w:t>Breathing mechanisms: Respiratory system</w:t>
      </w:r>
      <w:r w:rsidRPr="00D11342">
        <w:t xml:space="preserve">. Available at: </w:t>
      </w:r>
      <w:hyperlink r:id="rId30" w:tgtFrame="_new" w:history="1">
        <w:r w:rsidRPr="00D11342">
          <w:rPr>
            <w:rStyle w:val="Hyperlink"/>
          </w:rPr>
          <w:t>https://jackwestin.com/resources/mcat-content/respiratory-system/breathing-mechanisms</w:t>
        </w:r>
      </w:hyperlink>
      <w:r w:rsidRPr="00D11342">
        <w:t xml:space="preserve"> (Accessed: 18 July 2026).</w:t>
      </w:r>
    </w:p>
    <w:sectPr w:rsidR="00123DCC" w:rsidRPr="00980F5F">
      <w:headerReference w:type="default" r:id="rId31"/>
      <w:footerReference w:type="default" r:id="rId32"/>
      <w:pgSz w:w="11906" w:h="16838"/>
      <w:pgMar w:top="1134" w:right="1134" w:bottom="1134" w:left="1134"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EB2BC4" w14:textId="77777777" w:rsidR="00C72FAD" w:rsidRDefault="00C72FAD">
      <w:r>
        <w:separator/>
      </w:r>
    </w:p>
  </w:endnote>
  <w:endnote w:type="continuationSeparator" w:id="0">
    <w:p w14:paraId="342F0C87" w14:textId="77777777" w:rsidR="00C72FAD" w:rsidRDefault="00C72F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16E734" w14:textId="77777777" w:rsidR="00272C9D" w:rsidRDefault="00842E10">
    <w:pPr>
      <w:jc w:val="center"/>
    </w:pPr>
    <w:r>
      <w:rPr>
        <w:sz w:val="18"/>
        <w:szCs w:val="18"/>
      </w:rPr>
      <w:t xml:space="preserve">Page </w:t>
    </w:r>
    <w:r>
      <w:rPr>
        <w:sz w:val="18"/>
        <w:szCs w:val="18"/>
      </w:rPr>
      <w:fldChar w:fldCharType="begin"/>
    </w:r>
    <w:r>
      <w:rPr>
        <w:sz w:val="18"/>
        <w:szCs w:val="18"/>
      </w:rPr>
      <w:instrText>PAGE</w:instrText>
    </w:r>
    <w:r>
      <w:rPr>
        <w:sz w:val="18"/>
        <w:szCs w:val="18"/>
      </w:rPr>
      <w:fldChar w:fldCharType="separate"/>
    </w:r>
    <w:r w:rsidR="00716C35">
      <w:rPr>
        <w:noProof/>
        <w:sz w:val="18"/>
        <w:szCs w:val="18"/>
      </w:rPr>
      <w:t>2</w:t>
    </w:r>
    <w:r>
      <w:rPr>
        <w:sz w:val="18"/>
        <w:szCs w:val="18"/>
      </w:rPr>
      <w:fldChar w:fldCharType="end"/>
    </w:r>
    <w:r>
      <w:rPr>
        <w:sz w:val="18"/>
        <w:szCs w:val="18"/>
      </w:rPr>
      <w:t xml:space="preserve"> of </w:t>
    </w:r>
    <w:r>
      <w:rPr>
        <w:sz w:val="18"/>
        <w:szCs w:val="18"/>
      </w:rPr>
      <w:fldChar w:fldCharType="begin"/>
    </w:r>
    <w:r>
      <w:rPr>
        <w:sz w:val="18"/>
        <w:szCs w:val="18"/>
      </w:rPr>
      <w:instrText>NUMPAGES</w:instrText>
    </w:r>
    <w:r>
      <w:rPr>
        <w:sz w:val="18"/>
        <w:szCs w:val="18"/>
      </w:rPr>
      <w:fldChar w:fldCharType="separate"/>
    </w:r>
    <w:r w:rsidR="00716C35">
      <w:rPr>
        <w:noProof/>
        <w:sz w:val="18"/>
        <w:szCs w:val="18"/>
      </w:rPr>
      <w:t>2</w:t>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142FC5" w14:textId="77777777" w:rsidR="00C72FAD" w:rsidRDefault="00C72FAD">
      <w:r>
        <w:separator/>
      </w:r>
    </w:p>
  </w:footnote>
  <w:footnote w:type="continuationSeparator" w:id="0">
    <w:p w14:paraId="66632EBC" w14:textId="77777777" w:rsidR="00C72FAD" w:rsidRDefault="00C72FA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FF7951" w14:textId="77777777" w:rsidR="00272C9D" w:rsidRDefault="00842E10">
    <w:pPr>
      <w:jc w:val="right"/>
    </w:pPr>
    <w:r>
      <w:rPr>
        <w:color w:val="888888"/>
        <w:sz w:val="18"/>
        <w:szCs w:val="18"/>
      </w:rPr>
      <w:t>Adolescent Asthma Report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E614C6"/>
    <w:multiLevelType w:val="hybridMultilevel"/>
    <w:tmpl w:val="67689E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EA5E66"/>
    <w:multiLevelType w:val="multilevel"/>
    <w:tmpl w:val="5D04B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FE3379"/>
    <w:multiLevelType w:val="hybridMultilevel"/>
    <w:tmpl w:val="A72028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80E1805"/>
    <w:multiLevelType w:val="multilevel"/>
    <w:tmpl w:val="37181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766941"/>
    <w:multiLevelType w:val="hybridMultilevel"/>
    <w:tmpl w:val="21B6A5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DA45D20"/>
    <w:multiLevelType w:val="hybridMultilevel"/>
    <w:tmpl w:val="CBEC9900"/>
    <w:lvl w:ilvl="0" w:tplc="04D6C75C">
      <w:start w:val="1"/>
      <w:numFmt w:val="bullet"/>
      <w:lvlText w:val="●"/>
      <w:lvlJc w:val="left"/>
      <w:pPr>
        <w:ind w:left="720" w:hanging="360"/>
      </w:pPr>
    </w:lvl>
    <w:lvl w:ilvl="1" w:tplc="8D86BC6E">
      <w:start w:val="1"/>
      <w:numFmt w:val="bullet"/>
      <w:lvlText w:val="○"/>
      <w:lvlJc w:val="left"/>
      <w:pPr>
        <w:ind w:left="1440" w:hanging="360"/>
      </w:pPr>
    </w:lvl>
    <w:lvl w:ilvl="2" w:tplc="7DFC95E6">
      <w:start w:val="1"/>
      <w:numFmt w:val="bullet"/>
      <w:lvlText w:val="■"/>
      <w:lvlJc w:val="left"/>
      <w:pPr>
        <w:ind w:left="2160" w:hanging="360"/>
      </w:pPr>
    </w:lvl>
    <w:lvl w:ilvl="3" w:tplc="2F844CDE">
      <w:start w:val="1"/>
      <w:numFmt w:val="bullet"/>
      <w:lvlText w:val="●"/>
      <w:lvlJc w:val="left"/>
      <w:pPr>
        <w:ind w:left="2880" w:hanging="360"/>
      </w:pPr>
    </w:lvl>
    <w:lvl w:ilvl="4" w:tplc="33B4D298">
      <w:start w:val="1"/>
      <w:numFmt w:val="bullet"/>
      <w:lvlText w:val="○"/>
      <w:lvlJc w:val="left"/>
      <w:pPr>
        <w:ind w:left="3600" w:hanging="360"/>
      </w:pPr>
    </w:lvl>
    <w:lvl w:ilvl="5" w:tplc="A2C2979E">
      <w:start w:val="1"/>
      <w:numFmt w:val="bullet"/>
      <w:lvlText w:val="■"/>
      <w:lvlJc w:val="left"/>
      <w:pPr>
        <w:ind w:left="4320" w:hanging="360"/>
      </w:pPr>
    </w:lvl>
    <w:lvl w:ilvl="6" w:tplc="2C426CFC">
      <w:start w:val="1"/>
      <w:numFmt w:val="bullet"/>
      <w:lvlText w:val="●"/>
      <w:lvlJc w:val="left"/>
      <w:pPr>
        <w:ind w:left="5040" w:hanging="360"/>
      </w:pPr>
    </w:lvl>
    <w:lvl w:ilvl="7" w:tplc="A104A0FC">
      <w:start w:val="1"/>
      <w:numFmt w:val="bullet"/>
      <w:lvlText w:val="●"/>
      <w:lvlJc w:val="left"/>
      <w:pPr>
        <w:ind w:left="5760" w:hanging="360"/>
      </w:pPr>
    </w:lvl>
    <w:lvl w:ilvl="8" w:tplc="81F88E7C">
      <w:start w:val="1"/>
      <w:numFmt w:val="bullet"/>
      <w:lvlText w:val="●"/>
      <w:lvlJc w:val="left"/>
      <w:pPr>
        <w:ind w:left="6480" w:hanging="360"/>
      </w:pPr>
    </w:lvl>
  </w:abstractNum>
  <w:abstractNum w:abstractNumId="6" w15:restartNumberingAfterBreak="0">
    <w:nsid w:val="50F46F9D"/>
    <w:multiLevelType w:val="hybridMultilevel"/>
    <w:tmpl w:val="4C1EA5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8841974"/>
    <w:multiLevelType w:val="hybridMultilevel"/>
    <w:tmpl w:val="79B6B0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3CA1BA6"/>
    <w:multiLevelType w:val="hybridMultilevel"/>
    <w:tmpl w:val="BB7AEE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5B22D57"/>
    <w:multiLevelType w:val="hybridMultilevel"/>
    <w:tmpl w:val="3C12D506"/>
    <w:lvl w:ilvl="0" w:tplc="04090003">
      <w:start w:val="1"/>
      <w:numFmt w:val="bullet"/>
      <w:lvlText w:val="o"/>
      <w:lvlJc w:val="left"/>
      <w:pPr>
        <w:ind w:left="720" w:hanging="360"/>
      </w:pPr>
      <w:rPr>
        <w:rFonts w:ascii="Courier New" w:hAnsi="Courier New" w:cs="Courier New"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7EC07B8"/>
    <w:multiLevelType w:val="hybridMultilevel"/>
    <w:tmpl w:val="BA90C9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B782435"/>
    <w:multiLevelType w:val="hybridMultilevel"/>
    <w:tmpl w:val="789434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29646683">
    <w:abstractNumId w:val="5"/>
    <w:lvlOverride w:ilvl="0">
      <w:startOverride w:val="1"/>
    </w:lvlOverride>
  </w:num>
  <w:num w:numId="2" w16cid:durableId="729688337">
    <w:abstractNumId w:val="6"/>
  </w:num>
  <w:num w:numId="3" w16cid:durableId="1058018141">
    <w:abstractNumId w:val="4"/>
  </w:num>
  <w:num w:numId="4" w16cid:durableId="990016660">
    <w:abstractNumId w:val="2"/>
  </w:num>
  <w:num w:numId="5" w16cid:durableId="1434016896">
    <w:abstractNumId w:val="11"/>
  </w:num>
  <w:num w:numId="6" w16cid:durableId="1483352982">
    <w:abstractNumId w:val="7"/>
  </w:num>
  <w:num w:numId="7" w16cid:durableId="60911715">
    <w:abstractNumId w:val="8"/>
  </w:num>
  <w:num w:numId="8" w16cid:durableId="1048990598">
    <w:abstractNumId w:val="0"/>
  </w:num>
  <w:num w:numId="9" w16cid:durableId="178783734">
    <w:abstractNumId w:val="10"/>
  </w:num>
  <w:num w:numId="10" w16cid:durableId="295962096">
    <w:abstractNumId w:val="9"/>
  </w:num>
  <w:num w:numId="11" w16cid:durableId="585261794">
    <w:abstractNumId w:val="1"/>
  </w:num>
  <w:num w:numId="12" w16cid:durableId="166042823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72C9D"/>
    <w:rsid w:val="000145E9"/>
    <w:rsid w:val="00025156"/>
    <w:rsid w:val="00065B67"/>
    <w:rsid w:val="000B6E66"/>
    <w:rsid w:val="000D02C9"/>
    <w:rsid w:val="000D7E2D"/>
    <w:rsid w:val="00111E2F"/>
    <w:rsid w:val="001123C6"/>
    <w:rsid w:val="00123DCC"/>
    <w:rsid w:val="001443F9"/>
    <w:rsid w:val="00166BC5"/>
    <w:rsid w:val="00191223"/>
    <w:rsid w:val="001F4C04"/>
    <w:rsid w:val="0021264B"/>
    <w:rsid w:val="002153FB"/>
    <w:rsid w:val="002211B5"/>
    <w:rsid w:val="00222E8E"/>
    <w:rsid w:val="00226801"/>
    <w:rsid w:val="0024024E"/>
    <w:rsid w:val="00242DD6"/>
    <w:rsid w:val="00272C9D"/>
    <w:rsid w:val="00276403"/>
    <w:rsid w:val="00281A81"/>
    <w:rsid w:val="003336C7"/>
    <w:rsid w:val="00361941"/>
    <w:rsid w:val="003755C9"/>
    <w:rsid w:val="003E6FFB"/>
    <w:rsid w:val="004153CA"/>
    <w:rsid w:val="00437F52"/>
    <w:rsid w:val="004420BE"/>
    <w:rsid w:val="004547EF"/>
    <w:rsid w:val="004A5541"/>
    <w:rsid w:val="004B300A"/>
    <w:rsid w:val="004C2B79"/>
    <w:rsid w:val="004C2BF3"/>
    <w:rsid w:val="004F56FF"/>
    <w:rsid w:val="00515D5D"/>
    <w:rsid w:val="00526326"/>
    <w:rsid w:val="0052723A"/>
    <w:rsid w:val="00562FA1"/>
    <w:rsid w:val="005B6EC8"/>
    <w:rsid w:val="00624BD4"/>
    <w:rsid w:val="00652722"/>
    <w:rsid w:val="006E578F"/>
    <w:rsid w:val="006F13FC"/>
    <w:rsid w:val="006F38E0"/>
    <w:rsid w:val="007160BE"/>
    <w:rsid w:val="00716C35"/>
    <w:rsid w:val="00716FEA"/>
    <w:rsid w:val="00720E3C"/>
    <w:rsid w:val="00801CC5"/>
    <w:rsid w:val="00815814"/>
    <w:rsid w:val="00842E10"/>
    <w:rsid w:val="00844018"/>
    <w:rsid w:val="00892E12"/>
    <w:rsid w:val="00896775"/>
    <w:rsid w:val="008E6231"/>
    <w:rsid w:val="00903042"/>
    <w:rsid w:val="00905730"/>
    <w:rsid w:val="0090659E"/>
    <w:rsid w:val="00911828"/>
    <w:rsid w:val="00980F5F"/>
    <w:rsid w:val="009F0699"/>
    <w:rsid w:val="00A04275"/>
    <w:rsid w:val="00A23F02"/>
    <w:rsid w:val="00A2502D"/>
    <w:rsid w:val="00A43C8D"/>
    <w:rsid w:val="00A83D81"/>
    <w:rsid w:val="00A868CD"/>
    <w:rsid w:val="00B110C5"/>
    <w:rsid w:val="00B24439"/>
    <w:rsid w:val="00B73533"/>
    <w:rsid w:val="00BA52F9"/>
    <w:rsid w:val="00BD2F08"/>
    <w:rsid w:val="00C019F0"/>
    <w:rsid w:val="00C1723C"/>
    <w:rsid w:val="00C5005E"/>
    <w:rsid w:val="00C72FAD"/>
    <w:rsid w:val="00CB5945"/>
    <w:rsid w:val="00CC1FF7"/>
    <w:rsid w:val="00CC717D"/>
    <w:rsid w:val="00CD2F00"/>
    <w:rsid w:val="00CE1638"/>
    <w:rsid w:val="00CE7FF5"/>
    <w:rsid w:val="00D0160F"/>
    <w:rsid w:val="00D01803"/>
    <w:rsid w:val="00D11342"/>
    <w:rsid w:val="00D97565"/>
    <w:rsid w:val="00DC24D0"/>
    <w:rsid w:val="00DC54A1"/>
    <w:rsid w:val="00DD4D48"/>
    <w:rsid w:val="00E15B7D"/>
    <w:rsid w:val="00E167DC"/>
    <w:rsid w:val="00E63B96"/>
    <w:rsid w:val="00E6683F"/>
    <w:rsid w:val="00ED1447"/>
    <w:rsid w:val="00EF2729"/>
    <w:rsid w:val="00F15230"/>
    <w:rsid w:val="00F33DB9"/>
    <w:rsid w:val="00F449DD"/>
    <w:rsid w:val="00F75E58"/>
    <w:rsid w:val="00FB6941"/>
    <w:rsid w:val="00FD2EE9"/>
    <w:rsid w:val="00FF0ADC"/>
    <w:rsid w:val="00FF10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D3D091"/>
  <w15:docId w15:val="{0F43C78B-60AF-4885-BA16-6A2472BC1F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rsid w:val="006E578F"/>
    <w:pPr>
      <w:jc w:val="both"/>
      <w:outlineLvl w:val="0"/>
    </w:pPr>
    <w:rPr>
      <w:b/>
      <w:sz w:val="24"/>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Caption">
    <w:name w:val="caption"/>
    <w:basedOn w:val="Normal"/>
    <w:next w:val="Normal"/>
    <w:uiPriority w:val="35"/>
    <w:unhideWhenUsed/>
    <w:qFormat/>
    <w:rsid w:val="00716C35"/>
    <w:pPr>
      <w:spacing w:after="200"/>
    </w:pPr>
    <w:rPr>
      <w:i/>
      <w:iCs/>
      <w:color w:val="44546A" w:themeColor="text2"/>
      <w:sz w:val="18"/>
      <w:szCs w:val="18"/>
    </w:rPr>
  </w:style>
  <w:style w:type="character" w:styleId="UnresolvedMention">
    <w:name w:val="Unresolved Mention"/>
    <w:basedOn w:val="DefaultParagraphFont"/>
    <w:uiPriority w:val="99"/>
    <w:semiHidden/>
    <w:unhideWhenUsed/>
    <w:rsid w:val="00437F52"/>
    <w:rPr>
      <w:color w:val="605E5C"/>
      <w:shd w:val="clear" w:color="auto" w:fill="E1DFDD"/>
    </w:rPr>
  </w:style>
  <w:style w:type="paragraph" w:styleId="TOCHeading">
    <w:name w:val="TOC Heading"/>
    <w:basedOn w:val="Heading1"/>
    <w:next w:val="Normal"/>
    <w:uiPriority w:val="39"/>
    <w:unhideWhenUsed/>
    <w:qFormat/>
    <w:rsid w:val="00437F52"/>
    <w:pPr>
      <w:keepNext/>
      <w:keepLines/>
      <w:spacing w:before="240" w:line="259" w:lineRule="auto"/>
      <w:jc w:val="left"/>
      <w:outlineLvl w:val="9"/>
    </w:pPr>
    <w:rPr>
      <w:rFonts w:asciiTheme="majorHAnsi" w:eastAsiaTheme="majorEastAsia" w:hAnsiTheme="majorHAnsi" w:cstheme="majorBidi"/>
      <w:b w:val="0"/>
      <w:color w:val="2F5496" w:themeColor="accent1" w:themeShade="BF"/>
      <w:sz w:val="32"/>
    </w:rPr>
  </w:style>
  <w:style w:type="paragraph" w:styleId="TOC1">
    <w:name w:val="toc 1"/>
    <w:basedOn w:val="Normal"/>
    <w:next w:val="Normal"/>
    <w:autoRedefine/>
    <w:uiPriority w:val="39"/>
    <w:unhideWhenUsed/>
    <w:rsid w:val="00437F52"/>
    <w:pPr>
      <w:spacing w:after="100"/>
    </w:pPr>
  </w:style>
  <w:style w:type="character" w:styleId="CommentReference">
    <w:name w:val="annotation reference"/>
    <w:basedOn w:val="DefaultParagraphFont"/>
    <w:uiPriority w:val="99"/>
    <w:semiHidden/>
    <w:unhideWhenUsed/>
    <w:rsid w:val="00905730"/>
    <w:rPr>
      <w:sz w:val="16"/>
      <w:szCs w:val="16"/>
    </w:rPr>
  </w:style>
  <w:style w:type="paragraph" w:styleId="CommentText">
    <w:name w:val="annotation text"/>
    <w:basedOn w:val="Normal"/>
    <w:link w:val="CommentTextChar"/>
    <w:uiPriority w:val="99"/>
    <w:semiHidden/>
    <w:unhideWhenUsed/>
    <w:rsid w:val="00905730"/>
    <w:rPr>
      <w:sz w:val="20"/>
      <w:szCs w:val="20"/>
    </w:rPr>
  </w:style>
  <w:style w:type="character" w:customStyle="1" w:styleId="CommentTextChar">
    <w:name w:val="Comment Text Char"/>
    <w:basedOn w:val="DefaultParagraphFont"/>
    <w:link w:val="CommentText"/>
    <w:uiPriority w:val="99"/>
    <w:semiHidden/>
    <w:rsid w:val="00905730"/>
    <w:rPr>
      <w:sz w:val="20"/>
      <w:szCs w:val="20"/>
    </w:rPr>
  </w:style>
  <w:style w:type="paragraph" w:styleId="CommentSubject">
    <w:name w:val="annotation subject"/>
    <w:basedOn w:val="CommentText"/>
    <w:next w:val="CommentText"/>
    <w:link w:val="CommentSubjectChar"/>
    <w:uiPriority w:val="99"/>
    <w:semiHidden/>
    <w:unhideWhenUsed/>
    <w:rsid w:val="00905730"/>
    <w:rPr>
      <w:b/>
      <w:bCs/>
    </w:rPr>
  </w:style>
  <w:style w:type="character" w:customStyle="1" w:styleId="CommentSubjectChar">
    <w:name w:val="Comment Subject Char"/>
    <w:basedOn w:val="CommentTextChar"/>
    <w:link w:val="CommentSubject"/>
    <w:uiPriority w:val="99"/>
    <w:semiHidden/>
    <w:rsid w:val="00905730"/>
    <w:rPr>
      <w:b/>
      <w:bCs/>
      <w:sz w:val="20"/>
      <w:szCs w:val="20"/>
    </w:rPr>
  </w:style>
  <w:style w:type="character" w:styleId="FollowedHyperlink">
    <w:name w:val="FollowedHyperlink"/>
    <w:basedOn w:val="DefaultParagraphFont"/>
    <w:uiPriority w:val="99"/>
    <w:semiHidden/>
    <w:unhideWhenUsed/>
    <w:rsid w:val="00EF2729"/>
    <w:rPr>
      <w:color w:val="954F72" w:themeColor="followedHyperlink"/>
      <w:u w:val="single"/>
    </w:rPr>
  </w:style>
  <w:style w:type="paragraph" w:styleId="BalloonText">
    <w:name w:val="Balloon Text"/>
    <w:basedOn w:val="Normal"/>
    <w:link w:val="BalloonTextChar"/>
    <w:uiPriority w:val="99"/>
    <w:semiHidden/>
    <w:unhideWhenUsed/>
    <w:rsid w:val="00624BD4"/>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24BD4"/>
    <w:rPr>
      <w:rFonts w:ascii="Segoe UI" w:hAnsi="Segoe UI" w:cs="Segoe UI"/>
      <w:sz w:val="18"/>
      <w:szCs w:val="18"/>
    </w:rPr>
  </w:style>
  <w:style w:type="paragraph" w:styleId="NormalWeb">
    <w:name w:val="Normal (Web)"/>
    <w:basedOn w:val="Normal"/>
    <w:uiPriority w:val="99"/>
    <w:unhideWhenUsed/>
    <w:rsid w:val="00624BD4"/>
    <w:pPr>
      <w:spacing w:before="100" w:beforeAutospacing="1" w:after="100" w:afterAutospacing="1"/>
    </w:pPr>
    <w:rPr>
      <w:rFonts w:ascii="Times New Roman" w:eastAsia="Times New Roman" w:hAnsi="Times New Roman" w:cs="Times New Roman"/>
      <w:sz w:val="24"/>
      <w:szCs w:val="24"/>
    </w:rPr>
  </w:style>
  <w:style w:type="paragraph" w:styleId="TableofFigures">
    <w:name w:val="table of figures"/>
    <w:basedOn w:val="Normal"/>
    <w:next w:val="Normal"/>
    <w:uiPriority w:val="99"/>
    <w:unhideWhenUsed/>
    <w:rsid w:val="000B6E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49032784">
      <w:bodyDiv w:val="1"/>
      <w:marLeft w:val="0"/>
      <w:marRight w:val="0"/>
      <w:marTop w:val="0"/>
      <w:marBottom w:val="0"/>
      <w:divBdr>
        <w:top w:val="none" w:sz="0" w:space="0" w:color="auto"/>
        <w:left w:val="none" w:sz="0" w:space="0" w:color="auto"/>
        <w:bottom w:val="none" w:sz="0" w:space="0" w:color="auto"/>
        <w:right w:val="none" w:sz="0" w:space="0" w:color="auto"/>
      </w:divBdr>
      <w:divsChild>
        <w:div w:id="1415470966">
          <w:marLeft w:val="0"/>
          <w:marRight w:val="0"/>
          <w:marTop w:val="0"/>
          <w:marBottom w:val="240"/>
          <w:divBdr>
            <w:top w:val="none" w:sz="0" w:space="0" w:color="auto"/>
            <w:left w:val="none" w:sz="0" w:space="0" w:color="auto"/>
            <w:bottom w:val="none" w:sz="0" w:space="0" w:color="auto"/>
            <w:right w:val="none" w:sz="0" w:space="0" w:color="auto"/>
          </w:divBdr>
        </w:div>
      </w:divsChild>
    </w:div>
    <w:div w:id="20604741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cigna.com/knowledge-center/hw/gas-exchange-in-the-lungs-tp10237" TargetMode="External"/><Relationship Id="rId18" Type="http://schemas.openxmlformats.org/officeDocument/2006/relationships/diagramLayout" Target="diagrams/layout1.xml"/><Relationship Id="rId26" Type="http://schemas.openxmlformats.org/officeDocument/2006/relationships/hyperlink" Target="https://www.nhlbi.nih.gov/health/lungs/respiratory-system" TargetMode="External"/><Relationship Id="rId3" Type="http://schemas.openxmlformats.org/officeDocument/2006/relationships/styles" Target="styles.xml"/><Relationship Id="rId21" Type="http://schemas.microsoft.com/office/2007/relationships/diagramDrawing" Target="diagrams/drawing1.xm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cigna.com/knowledge-center/hw/gas-exchange-in-the-lungs-tp10237" TargetMode="External"/><Relationship Id="rId17" Type="http://schemas.openxmlformats.org/officeDocument/2006/relationships/diagramData" Target="diagrams/data1.xml"/><Relationship Id="rId25" Type="http://schemas.openxmlformats.org/officeDocument/2006/relationships/hyperlink" Target="https://www.ncbi.nlm.nih.gov/books/NBK430901/"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researchgate.net/figure/Comparison-between-the-normal-and-asthmatic-lung-Healthy-individuals-have-normal-airway_fig1_345463699" TargetMode="External"/><Relationship Id="rId20" Type="http://schemas.openxmlformats.org/officeDocument/2006/relationships/diagramColors" Target="diagrams/colors1.xml"/><Relationship Id="rId29" Type="http://schemas.openxmlformats.org/officeDocument/2006/relationships/hyperlink" Target="https://teachmephysiology.com/respiratory-system/gas-exchange/gas-exchang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24" Type="http://schemas.openxmlformats.org/officeDocument/2006/relationships/hyperlink" Target="https://www.msdmanuals.com/home/lung-and-airway-disorders/biology-of-the-lungs-and-airways/exchanging-oxygen-and-carbon-dioxide"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researchgate.net/figure/Comparison-between-the-normal-and-asthmatic-lung-Healthy-individuals-have-normal-airway_fig1_345463699" TargetMode="External"/><Relationship Id="rId23" Type="http://schemas.openxmlformats.org/officeDocument/2006/relationships/hyperlink" Target="https://www.ncbi.nlm.nih.gov/books/NBK459325/" TargetMode="External"/><Relationship Id="rId28" Type="http://schemas.openxmlformats.org/officeDocument/2006/relationships/hyperlink" Target="https://teachmephysiology.com/respiratory-system/ventilation/mechanics-of-breathing/" TargetMode="External"/><Relationship Id="rId10" Type="http://schemas.openxmlformats.org/officeDocument/2006/relationships/hyperlink" Target="https://www.slideshare.net/slideshow/respiration-in-man-249687346/249687346" TargetMode="External"/><Relationship Id="rId19" Type="http://schemas.openxmlformats.org/officeDocument/2006/relationships/diagramQuickStyle" Target="diagrams/quickStyle1.xm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4.jpeg"/><Relationship Id="rId22" Type="http://schemas.openxmlformats.org/officeDocument/2006/relationships/hyperlink" Target="https://www.cigna.com/knowledge-center/hw/gas-exchange-in-the-lungs-tp10237" TargetMode="External"/><Relationship Id="rId27" Type="http://schemas.openxmlformats.org/officeDocument/2006/relationships/hyperlink" Target="https://www.msdmanuals.com/home/lung-and-airway-disorders/asthma/asthma" TargetMode="External"/><Relationship Id="rId30" Type="http://schemas.openxmlformats.org/officeDocument/2006/relationships/hyperlink" Target="https://jackwestin.com/resources/mcat-content/respiratory-system/breathing-mechanisms" TargetMode="External"/><Relationship Id="rId8"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6D05DBD-933C-43B5-8DFE-8A939E68D247}" type="doc">
      <dgm:prSet loTypeId="urn:microsoft.com/office/officeart/2005/8/layout/target2" loCatId="relationship" qsTypeId="urn:microsoft.com/office/officeart/2005/8/quickstyle/simple2" qsCatId="simple" csTypeId="urn:microsoft.com/office/officeart/2005/8/colors/accent0_1" csCatId="mainScheme" phldr="1"/>
      <dgm:spPr/>
      <dgm:t>
        <a:bodyPr/>
        <a:lstStyle/>
        <a:p>
          <a:endParaRPr lang="en-US"/>
        </a:p>
      </dgm:t>
    </dgm:pt>
    <dgm:pt modelId="{7CDBB301-3528-41DB-9E68-B55F3C9A751A}">
      <dgm:prSet phldrT="[Text]" custT="1"/>
      <dgm:spPr/>
      <dgm:t>
        <a:bodyPr/>
        <a:lstStyle/>
        <a:p>
          <a:pPr algn="ctr">
            <a:buNone/>
          </a:pPr>
          <a:r>
            <a:rPr lang="en-US" sz="2000" b="1"/>
            <a:t>Peak Expiratory Flow Rate (PEFR)</a:t>
          </a:r>
        </a:p>
      </dgm:t>
    </dgm:pt>
    <dgm:pt modelId="{6C90DB28-0740-4041-BD77-0200013D2B73}" type="parTrans" cxnId="{28F373DB-13D2-4F6C-94EF-9331FF3AF64F}">
      <dgm:prSet/>
      <dgm:spPr/>
      <dgm:t>
        <a:bodyPr/>
        <a:lstStyle/>
        <a:p>
          <a:endParaRPr lang="en-US"/>
        </a:p>
      </dgm:t>
    </dgm:pt>
    <dgm:pt modelId="{0FEBC239-3472-41EE-90C8-C15ACD6E9709}" type="sibTrans" cxnId="{28F373DB-13D2-4F6C-94EF-9331FF3AF64F}">
      <dgm:prSet/>
      <dgm:spPr/>
      <dgm:t>
        <a:bodyPr/>
        <a:lstStyle/>
        <a:p>
          <a:endParaRPr lang="en-US"/>
        </a:p>
      </dgm:t>
    </dgm:pt>
    <dgm:pt modelId="{017634B9-125E-437D-B887-424D5C1B3459}">
      <dgm:prSet/>
      <dgm:spPr/>
      <dgm:t>
        <a:bodyPr/>
        <a:lstStyle/>
        <a:p>
          <a:pPr>
            <a:buSzPts val="1000"/>
            <a:buFont typeface="Symbol" panose="05050102010706020507" pitchFamily="18" charset="2"/>
            <a:buChar char=""/>
          </a:pPr>
          <a:r>
            <a:rPr lang="en-US" b="0"/>
            <a:t>Meaning: Fastest rate of forced exhalation after a full breath. </a:t>
          </a:r>
        </a:p>
      </dgm:t>
    </dgm:pt>
    <dgm:pt modelId="{36958D74-66D7-42C1-9391-F096F6B292D2}" type="parTrans" cxnId="{2DA96BCD-1638-4A8E-8D84-B9F5602857A7}">
      <dgm:prSet/>
      <dgm:spPr/>
      <dgm:t>
        <a:bodyPr/>
        <a:lstStyle/>
        <a:p>
          <a:endParaRPr lang="en-US" b="0"/>
        </a:p>
      </dgm:t>
    </dgm:pt>
    <dgm:pt modelId="{CF7FB592-DA9E-4745-8AC2-C6784DA6EDC9}" type="sibTrans" cxnId="{2DA96BCD-1638-4A8E-8D84-B9F5602857A7}">
      <dgm:prSet/>
      <dgm:spPr/>
      <dgm:t>
        <a:bodyPr/>
        <a:lstStyle/>
        <a:p>
          <a:endParaRPr lang="en-US"/>
        </a:p>
      </dgm:t>
    </dgm:pt>
    <dgm:pt modelId="{DAFAF58C-9C8B-423E-93ED-8C9793D2949B}">
      <dgm:prSet/>
      <dgm:spPr/>
      <dgm:t>
        <a:bodyPr/>
        <a:lstStyle/>
        <a:p>
          <a:pPr>
            <a:buSzPts val="1000"/>
            <a:buFont typeface="Symbol" panose="05050102010706020507" pitchFamily="18" charset="2"/>
            <a:buChar char=""/>
          </a:pPr>
          <a:r>
            <a:rPr lang="en-US" b="0"/>
            <a:t>Tool: Measured using a portable peak flow meter. </a:t>
          </a:r>
        </a:p>
      </dgm:t>
    </dgm:pt>
    <dgm:pt modelId="{3012F985-7E53-4CBD-8663-A3DEDF3E2129}" type="parTrans" cxnId="{C0A605C2-BF47-48BD-B89D-63EE0CA1B535}">
      <dgm:prSet/>
      <dgm:spPr/>
      <dgm:t>
        <a:bodyPr/>
        <a:lstStyle/>
        <a:p>
          <a:endParaRPr lang="en-US" b="0"/>
        </a:p>
      </dgm:t>
    </dgm:pt>
    <dgm:pt modelId="{877B0A01-D760-43A3-8959-C20B76115F5C}" type="sibTrans" cxnId="{C0A605C2-BF47-48BD-B89D-63EE0CA1B535}">
      <dgm:prSet/>
      <dgm:spPr/>
      <dgm:t>
        <a:bodyPr/>
        <a:lstStyle/>
        <a:p>
          <a:endParaRPr lang="en-US"/>
        </a:p>
      </dgm:t>
    </dgm:pt>
    <dgm:pt modelId="{C3FE199F-DFA5-4D20-AD77-7F019988C983}">
      <dgm:prSet/>
      <dgm:spPr/>
      <dgm:t>
        <a:bodyPr/>
        <a:lstStyle/>
        <a:p>
          <a:pPr>
            <a:buSzPts val="1000"/>
            <a:buFont typeface="Symbol" panose="05050102010706020507" pitchFamily="18" charset="2"/>
            <a:buChar char=""/>
          </a:pPr>
          <a:r>
            <a:rPr lang="en-US" b="0"/>
            <a:t>Benefit: Quick, simple and low-cost asthma monitoring. </a:t>
          </a:r>
        </a:p>
      </dgm:t>
    </dgm:pt>
    <dgm:pt modelId="{4C552FFF-DDAE-41F1-8B33-A497FEFD7AF3}" type="parTrans" cxnId="{40799EEA-611C-432E-BE2E-FDA1EAC755B7}">
      <dgm:prSet/>
      <dgm:spPr/>
      <dgm:t>
        <a:bodyPr/>
        <a:lstStyle/>
        <a:p>
          <a:endParaRPr lang="en-US" b="0"/>
        </a:p>
      </dgm:t>
    </dgm:pt>
    <dgm:pt modelId="{20C12B06-E016-4792-8D2A-7C175DE3130B}" type="sibTrans" cxnId="{40799EEA-611C-432E-BE2E-FDA1EAC755B7}">
      <dgm:prSet/>
      <dgm:spPr/>
      <dgm:t>
        <a:bodyPr/>
        <a:lstStyle/>
        <a:p>
          <a:endParaRPr lang="en-US"/>
        </a:p>
      </dgm:t>
    </dgm:pt>
    <dgm:pt modelId="{B90C5232-150E-49B3-9E1E-24A8CC317A95}">
      <dgm:prSet/>
      <dgm:spPr/>
      <dgm:t>
        <a:bodyPr/>
        <a:lstStyle/>
        <a:p>
          <a:pPr>
            <a:buSzPts val="1000"/>
            <a:buFont typeface="Symbol" panose="05050102010706020507" pitchFamily="18" charset="2"/>
            <a:buChar char=""/>
          </a:pPr>
          <a:r>
            <a:rPr lang="en-US" b="0"/>
            <a:t>Limitation: Depends on patient effort and correct technique. </a:t>
          </a:r>
        </a:p>
      </dgm:t>
    </dgm:pt>
    <dgm:pt modelId="{94F07E80-C89C-4350-BBED-E214F094C6A2}" type="parTrans" cxnId="{370D8856-01F3-4052-80ED-9D2ACA7C04F9}">
      <dgm:prSet/>
      <dgm:spPr/>
      <dgm:t>
        <a:bodyPr/>
        <a:lstStyle/>
        <a:p>
          <a:endParaRPr lang="en-US" b="0"/>
        </a:p>
      </dgm:t>
    </dgm:pt>
    <dgm:pt modelId="{13EE7695-052E-4151-9BD2-578408403D83}" type="sibTrans" cxnId="{370D8856-01F3-4052-80ED-9D2ACA7C04F9}">
      <dgm:prSet/>
      <dgm:spPr/>
      <dgm:t>
        <a:bodyPr/>
        <a:lstStyle/>
        <a:p>
          <a:endParaRPr lang="en-US"/>
        </a:p>
      </dgm:t>
    </dgm:pt>
    <dgm:pt modelId="{1FB8F4BD-69C0-4392-BBB3-47E0FD551B42}">
      <dgm:prSet/>
      <dgm:spPr/>
      <dgm:t>
        <a:bodyPr/>
        <a:lstStyle/>
        <a:p>
          <a:pPr>
            <a:buSzPts val="1000"/>
            <a:buFont typeface="Symbol" panose="05050102010706020507" pitchFamily="18" charset="2"/>
            <a:buChar char=""/>
          </a:pPr>
          <a:r>
            <a:rPr lang="en-US" b="0"/>
            <a:t>Use: Regular readings compared with the personal best help detect worsening asthma early. </a:t>
          </a:r>
        </a:p>
      </dgm:t>
    </dgm:pt>
    <dgm:pt modelId="{F4C9D33C-01DC-43F4-B618-5CD1DB3BAE35}" type="parTrans" cxnId="{DC5033D9-7F43-4D6B-9547-CCDB97E64874}">
      <dgm:prSet/>
      <dgm:spPr/>
      <dgm:t>
        <a:bodyPr/>
        <a:lstStyle/>
        <a:p>
          <a:endParaRPr lang="en-US" b="0"/>
        </a:p>
      </dgm:t>
    </dgm:pt>
    <dgm:pt modelId="{EAACD6A7-AF14-4EBD-9BC4-FBCDE6A6D55F}" type="sibTrans" cxnId="{DC5033D9-7F43-4D6B-9547-CCDB97E64874}">
      <dgm:prSet/>
      <dgm:spPr/>
      <dgm:t>
        <a:bodyPr/>
        <a:lstStyle/>
        <a:p>
          <a:endParaRPr lang="en-US"/>
        </a:p>
      </dgm:t>
    </dgm:pt>
    <dgm:pt modelId="{092F3207-91B8-47A8-81D7-93E32B36C93A}" type="pres">
      <dgm:prSet presAssocID="{56D05DBD-933C-43B5-8DFE-8A939E68D247}" presName="Name0" presStyleCnt="0">
        <dgm:presLayoutVars>
          <dgm:chMax val="3"/>
          <dgm:chPref val="1"/>
          <dgm:dir/>
          <dgm:animLvl val="lvl"/>
          <dgm:resizeHandles/>
        </dgm:presLayoutVars>
      </dgm:prSet>
      <dgm:spPr/>
    </dgm:pt>
    <dgm:pt modelId="{0520F00B-B30A-4A68-9284-01025DFB80C5}" type="pres">
      <dgm:prSet presAssocID="{56D05DBD-933C-43B5-8DFE-8A939E68D247}" presName="outerBox" presStyleCnt="0"/>
      <dgm:spPr/>
    </dgm:pt>
    <dgm:pt modelId="{A66ED20A-76A3-4FE0-AD95-51FC15DF50D5}" type="pres">
      <dgm:prSet presAssocID="{56D05DBD-933C-43B5-8DFE-8A939E68D247}" presName="outerBoxParent" presStyleLbl="node1" presStyleIdx="0" presStyleCnt="1"/>
      <dgm:spPr/>
    </dgm:pt>
    <dgm:pt modelId="{8F4A038C-3D80-46C1-ABD5-93ECF11FF41A}" type="pres">
      <dgm:prSet presAssocID="{56D05DBD-933C-43B5-8DFE-8A939E68D247}" presName="outerBoxChildren" presStyleCnt="0"/>
      <dgm:spPr/>
    </dgm:pt>
    <dgm:pt modelId="{9E0349B0-726F-42F9-B0E9-92971FC3BEFF}" type="pres">
      <dgm:prSet presAssocID="{017634B9-125E-437D-B887-424D5C1B3459}" presName="oChild" presStyleLbl="fgAcc1" presStyleIdx="0" presStyleCnt="5">
        <dgm:presLayoutVars>
          <dgm:bulletEnabled val="1"/>
        </dgm:presLayoutVars>
      </dgm:prSet>
      <dgm:spPr/>
    </dgm:pt>
    <dgm:pt modelId="{F58DB6D3-690B-4A7C-B7DF-6753398F807A}" type="pres">
      <dgm:prSet presAssocID="{CF7FB592-DA9E-4745-8AC2-C6784DA6EDC9}" presName="outerSibTrans" presStyleCnt="0"/>
      <dgm:spPr/>
    </dgm:pt>
    <dgm:pt modelId="{D4E5E9A4-0233-46D8-9AE9-98CD38A55C2E}" type="pres">
      <dgm:prSet presAssocID="{DAFAF58C-9C8B-423E-93ED-8C9793D2949B}" presName="oChild" presStyleLbl="fgAcc1" presStyleIdx="1" presStyleCnt="5">
        <dgm:presLayoutVars>
          <dgm:bulletEnabled val="1"/>
        </dgm:presLayoutVars>
      </dgm:prSet>
      <dgm:spPr/>
    </dgm:pt>
    <dgm:pt modelId="{9B9433E3-73E0-4590-828B-3B030DACE5DC}" type="pres">
      <dgm:prSet presAssocID="{877B0A01-D760-43A3-8959-C20B76115F5C}" presName="outerSibTrans" presStyleCnt="0"/>
      <dgm:spPr/>
    </dgm:pt>
    <dgm:pt modelId="{F6891FCE-EBE5-465D-AD70-82148F78BA4F}" type="pres">
      <dgm:prSet presAssocID="{C3FE199F-DFA5-4D20-AD77-7F019988C983}" presName="oChild" presStyleLbl="fgAcc1" presStyleIdx="2" presStyleCnt="5">
        <dgm:presLayoutVars>
          <dgm:bulletEnabled val="1"/>
        </dgm:presLayoutVars>
      </dgm:prSet>
      <dgm:spPr/>
    </dgm:pt>
    <dgm:pt modelId="{90C179ED-08A7-4B84-9EB4-0F43FB41F20A}" type="pres">
      <dgm:prSet presAssocID="{20C12B06-E016-4792-8D2A-7C175DE3130B}" presName="outerSibTrans" presStyleCnt="0"/>
      <dgm:spPr/>
    </dgm:pt>
    <dgm:pt modelId="{B700AB69-1CDD-4C14-AE14-2DD39DD42223}" type="pres">
      <dgm:prSet presAssocID="{B90C5232-150E-49B3-9E1E-24A8CC317A95}" presName="oChild" presStyleLbl="fgAcc1" presStyleIdx="3" presStyleCnt="5">
        <dgm:presLayoutVars>
          <dgm:bulletEnabled val="1"/>
        </dgm:presLayoutVars>
      </dgm:prSet>
      <dgm:spPr/>
    </dgm:pt>
    <dgm:pt modelId="{C50D0481-35AC-4B03-A899-15D61DCEAB62}" type="pres">
      <dgm:prSet presAssocID="{13EE7695-052E-4151-9BD2-578408403D83}" presName="outerSibTrans" presStyleCnt="0"/>
      <dgm:spPr/>
    </dgm:pt>
    <dgm:pt modelId="{73284833-7C46-4C63-8791-213A01293B60}" type="pres">
      <dgm:prSet presAssocID="{1FB8F4BD-69C0-4392-BBB3-47E0FD551B42}" presName="oChild" presStyleLbl="fgAcc1" presStyleIdx="4" presStyleCnt="5">
        <dgm:presLayoutVars>
          <dgm:bulletEnabled val="1"/>
        </dgm:presLayoutVars>
      </dgm:prSet>
      <dgm:spPr/>
    </dgm:pt>
  </dgm:ptLst>
  <dgm:cxnLst>
    <dgm:cxn modelId="{318E7D40-DADA-44A6-B0C0-BBB495D76A3C}" type="presOf" srcId="{56D05DBD-933C-43B5-8DFE-8A939E68D247}" destId="{092F3207-91B8-47A8-81D7-93E32B36C93A}" srcOrd="0" destOrd="0" presId="urn:microsoft.com/office/officeart/2005/8/layout/target2"/>
    <dgm:cxn modelId="{3057895E-FE7F-4287-8B11-C38AAC36F69A}" type="presOf" srcId="{C3FE199F-DFA5-4D20-AD77-7F019988C983}" destId="{F6891FCE-EBE5-465D-AD70-82148F78BA4F}" srcOrd="0" destOrd="0" presId="urn:microsoft.com/office/officeart/2005/8/layout/target2"/>
    <dgm:cxn modelId="{65700C6A-7DC2-4907-992A-A18E84325C65}" type="presOf" srcId="{B90C5232-150E-49B3-9E1E-24A8CC317A95}" destId="{B700AB69-1CDD-4C14-AE14-2DD39DD42223}" srcOrd="0" destOrd="0" presId="urn:microsoft.com/office/officeart/2005/8/layout/target2"/>
    <dgm:cxn modelId="{370D8856-01F3-4052-80ED-9D2ACA7C04F9}" srcId="{7CDBB301-3528-41DB-9E68-B55F3C9A751A}" destId="{B90C5232-150E-49B3-9E1E-24A8CC317A95}" srcOrd="3" destOrd="0" parTransId="{94F07E80-C89C-4350-BBED-E214F094C6A2}" sibTransId="{13EE7695-052E-4151-9BD2-578408403D83}"/>
    <dgm:cxn modelId="{C902758B-BF81-46BB-9ADA-1953E2CB9BD0}" type="presOf" srcId="{017634B9-125E-437D-B887-424D5C1B3459}" destId="{9E0349B0-726F-42F9-B0E9-92971FC3BEFF}" srcOrd="0" destOrd="0" presId="urn:microsoft.com/office/officeart/2005/8/layout/target2"/>
    <dgm:cxn modelId="{CCD9AAA8-09E2-48C2-9801-5641022E155A}" type="presOf" srcId="{7CDBB301-3528-41DB-9E68-B55F3C9A751A}" destId="{A66ED20A-76A3-4FE0-AD95-51FC15DF50D5}" srcOrd="0" destOrd="0" presId="urn:microsoft.com/office/officeart/2005/8/layout/target2"/>
    <dgm:cxn modelId="{C0A605C2-BF47-48BD-B89D-63EE0CA1B535}" srcId="{7CDBB301-3528-41DB-9E68-B55F3C9A751A}" destId="{DAFAF58C-9C8B-423E-93ED-8C9793D2949B}" srcOrd="1" destOrd="0" parTransId="{3012F985-7E53-4CBD-8663-A3DEDF3E2129}" sibTransId="{877B0A01-D760-43A3-8959-C20B76115F5C}"/>
    <dgm:cxn modelId="{B14AD8C6-9070-4E06-8563-40C3F73EB0B2}" type="presOf" srcId="{1FB8F4BD-69C0-4392-BBB3-47E0FD551B42}" destId="{73284833-7C46-4C63-8791-213A01293B60}" srcOrd="0" destOrd="0" presId="urn:microsoft.com/office/officeart/2005/8/layout/target2"/>
    <dgm:cxn modelId="{2DA96BCD-1638-4A8E-8D84-B9F5602857A7}" srcId="{7CDBB301-3528-41DB-9E68-B55F3C9A751A}" destId="{017634B9-125E-437D-B887-424D5C1B3459}" srcOrd="0" destOrd="0" parTransId="{36958D74-66D7-42C1-9391-F096F6B292D2}" sibTransId="{CF7FB592-DA9E-4745-8AC2-C6784DA6EDC9}"/>
    <dgm:cxn modelId="{DC5033D9-7F43-4D6B-9547-CCDB97E64874}" srcId="{7CDBB301-3528-41DB-9E68-B55F3C9A751A}" destId="{1FB8F4BD-69C0-4392-BBB3-47E0FD551B42}" srcOrd="4" destOrd="0" parTransId="{F4C9D33C-01DC-43F4-B618-5CD1DB3BAE35}" sibTransId="{EAACD6A7-AF14-4EBD-9BC4-FBCDE6A6D55F}"/>
    <dgm:cxn modelId="{28F373DB-13D2-4F6C-94EF-9331FF3AF64F}" srcId="{56D05DBD-933C-43B5-8DFE-8A939E68D247}" destId="{7CDBB301-3528-41DB-9E68-B55F3C9A751A}" srcOrd="0" destOrd="0" parTransId="{6C90DB28-0740-4041-BD77-0200013D2B73}" sibTransId="{0FEBC239-3472-41EE-90C8-C15ACD6E9709}"/>
    <dgm:cxn modelId="{89C55FDF-0C45-4397-B20B-C2571D4A548E}" type="presOf" srcId="{DAFAF58C-9C8B-423E-93ED-8C9793D2949B}" destId="{D4E5E9A4-0233-46D8-9AE9-98CD38A55C2E}" srcOrd="0" destOrd="0" presId="urn:microsoft.com/office/officeart/2005/8/layout/target2"/>
    <dgm:cxn modelId="{40799EEA-611C-432E-BE2E-FDA1EAC755B7}" srcId="{7CDBB301-3528-41DB-9E68-B55F3C9A751A}" destId="{C3FE199F-DFA5-4D20-AD77-7F019988C983}" srcOrd="2" destOrd="0" parTransId="{4C552FFF-DDAE-41F1-8B33-A497FEFD7AF3}" sibTransId="{20C12B06-E016-4792-8D2A-7C175DE3130B}"/>
    <dgm:cxn modelId="{90858E62-F459-4544-8D94-458CBBD8786D}" type="presParOf" srcId="{092F3207-91B8-47A8-81D7-93E32B36C93A}" destId="{0520F00B-B30A-4A68-9284-01025DFB80C5}" srcOrd="0" destOrd="0" presId="urn:microsoft.com/office/officeart/2005/8/layout/target2"/>
    <dgm:cxn modelId="{6DD8F65A-4610-435C-B890-23E46CB67568}" type="presParOf" srcId="{0520F00B-B30A-4A68-9284-01025DFB80C5}" destId="{A66ED20A-76A3-4FE0-AD95-51FC15DF50D5}" srcOrd="0" destOrd="0" presId="urn:microsoft.com/office/officeart/2005/8/layout/target2"/>
    <dgm:cxn modelId="{4002C295-8A47-42EF-816B-03DFF64E256F}" type="presParOf" srcId="{0520F00B-B30A-4A68-9284-01025DFB80C5}" destId="{8F4A038C-3D80-46C1-ABD5-93ECF11FF41A}" srcOrd="1" destOrd="0" presId="urn:microsoft.com/office/officeart/2005/8/layout/target2"/>
    <dgm:cxn modelId="{3A7E66AB-40C1-422D-B564-44156EEABEBF}" type="presParOf" srcId="{8F4A038C-3D80-46C1-ABD5-93ECF11FF41A}" destId="{9E0349B0-726F-42F9-B0E9-92971FC3BEFF}" srcOrd="0" destOrd="0" presId="urn:microsoft.com/office/officeart/2005/8/layout/target2"/>
    <dgm:cxn modelId="{972A8102-D901-475D-AB23-386682D1F735}" type="presParOf" srcId="{8F4A038C-3D80-46C1-ABD5-93ECF11FF41A}" destId="{F58DB6D3-690B-4A7C-B7DF-6753398F807A}" srcOrd="1" destOrd="0" presId="urn:microsoft.com/office/officeart/2005/8/layout/target2"/>
    <dgm:cxn modelId="{6FF7ED1B-B9F9-4845-BB15-32461E9278CD}" type="presParOf" srcId="{8F4A038C-3D80-46C1-ABD5-93ECF11FF41A}" destId="{D4E5E9A4-0233-46D8-9AE9-98CD38A55C2E}" srcOrd="2" destOrd="0" presId="urn:microsoft.com/office/officeart/2005/8/layout/target2"/>
    <dgm:cxn modelId="{7DD4F535-0481-4BF4-935F-B34BB55D3D6E}" type="presParOf" srcId="{8F4A038C-3D80-46C1-ABD5-93ECF11FF41A}" destId="{9B9433E3-73E0-4590-828B-3B030DACE5DC}" srcOrd="3" destOrd="0" presId="urn:microsoft.com/office/officeart/2005/8/layout/target2"/>
    <dgm:cxn modelId="{B2B8D14C-157A-41D1-8FE8-170AD20A4BEA}" type="presParOf" srcId="{8F4A038C-3D80-46C1-ABD5-93ECF11FF41A}" destId="{F6891FCE-EBE5-465D-AD70-82148F78BA4F}" srcOrd="4" destOrd="0" presId="urn:microsoft.com/office/officeart/2005/8/layout/target2"/>
    <dgm:cxn modelId="{658BCDD3-DBD4-4911-B23F-8BF979835B65}" type="presParOf" srcId="{8F4A038C-3D80-46C1-ABD5-93ECF11FF41A}" destId="{90C179ED-08A7-4B84-9EB4-0F43FB41F20A}" srcOrd="5" destOrd="0" presId="urn:microsoft.com/office/officeart/2005/8/layout/target2"/>
    <dgm:cxn modelId="{C0E20C59-E50E-4D36-88C1-588621740ADC}" type="presParOf" srcId="{8F4A038C-3D80-46C1-ABD5-93ECF11FF41A}" destId="{B700AB69-1CDD-4C14-AE14-2DD39DD42223}" srcOrd="6" destOrd="0" presId="urn:microsoft.com/office/officeart/2005/8/layout/target2"/>
    <dgm:cxn modelId="{CF27E904-71A8-4725-96C4-702F3D24DD6C}" type="presParOf" srcId="{8F4A038C-3D80-46C1-ABD5-93ECF11FF41A}" destId="{C50D0481-35AC-4B03-A899-15D61DCEAB62}" srcOrd="7" destOrd="0" presId="urn:microsoft.com/office/officeart/2005/8/layout/target2"/>
    <dgm:cxn modelId="{8CF33E2E-5DF2-4EDA-9BD1-6A57124911F3}" type="presParOf" srcId="{8F4A038C-3D80-46C1-ABD5-93ECF11FF41A}" destId="{73284833-7C46-4C63-8791-213A01293B60}" srcOrd="8" destOrd="0" presId="urn:microsoft.com/office/officeart/2005/8/layout/target2"/>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66ED20A-76A3-4FE0-AD95-51FC15DF50D5}">
      <dsp:nvSpPr>
        <dsp:cNvPr id="0" name=""/>
        <dsp:cNvSpPr/>
      </dsp:nvSpPr>
      <dsp:spPr>
        <a:xfrm>
          <a:off x="0" y="0"/>
          <a:ext cx="5868670" cy="1854679"/>
        </a:xfrm>
        <a:prstGeom prst="roundRect">
          <a:avLst>
            <a:gd name="adj" fmla="val 8500"/>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76200" tIns="76200" rIns="76200" bIns="1145007" numCol="1" spcCol="1270" anchor="t" anchorCtr="0">
          <a:noAutofit/>
        </a:bodyPr>
        <a:lstStyle/>
        <a:p>
          <a:pPr marL="0" lvl="0" indent="0" algn="ctr" defTabSz="889000">
            <a:lnSpc>
              <a:spcPct val="90000"/>
            </a:lnSpc>
            <a:spcBef>
              <a:spcPct val="0"/>
            </a:spcBef>
            <a:spcAft>
              <a:spcPct val="35000"/>
            </a:spcAft>
            <a:buNone/>
          </a:pPr>
          <a:r>
            <a:rPr lang="en-US" sz="2000" b="1" kern="1200"/>
            <a:t>Peak Expiratory Flow Rate (PEFR)</a:t>
          </a:r>
        </a:p>
      </dsp:txBody>
      <dsp:txXfrm>
        <a:off x="46173" y="46173"/>
        <a:ext cx="5776324" cy="1762333"/>
      </dsp:txXfrm>
    </dsp:sp>
    <dsp:sp modelId="{9E0349B0-726F-42F9-B0E9-92971FC3BEFF}">
      <dsp:nvSpPr>
        <dsp:cNvPr id="0" name=""/>
        <dsp:cNvSpPr/>
      </dsp:nvSpPr>
      <dsp:spPr>
        <a:xfrm>
          <a:off x="146716" y="834605"/>
          <a:ext cx="1099802" cy="834605"/>
        </a:xfrm>
        <a:prstGeom prst="roundRect">
          <a:avLst>
            <a:gd name="adj" fmla="val 10500"/>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SzPts val="1000"/>
            <a:buFont typeface="Symbol" panose="05050102010706020507" pitchFamily="18" charset="2"/>
            <a:buNone/>
          </a:pPr>
          <a:r>
            <a:rPr lang="en-US" sz="800" b="0" kern="1200"/>
            <a:t>Meaning: Fastest rate of forced exhalation after a full breath. </a:t>
          </a:r>
        </a:p>
      </dsp:txBody>
      <dsp:txXfrm>
        <a:off x="172383" y="860272"/>
        <a:ext cx="1048468" cy="783271"/>
      </dsp:txXfrm>
    </dsp:sp>
    <dsp:sp modelId="{D4E5E9A4-0233-46D8-9AE9-98CD38A55C2E}">
      <dsp:nvSpPr>
        <dsp:cNvPr id="0" name=""/>
        <dsp:cNvSpPr/>
      </dsp:nvSpPr>
      <dsp:spPr>
        <a:xfrm>
          <a:off x="1263884" y="834605"/>
          <a:ext cx="1099802" cy="834605"/>
        </a:xfrm>
        <a:prstGeom prst="roundRect">
          <a:avLst>
            <a:gd name="adj" fmla="val 10500"/>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SzPts val="1000"/>
            <a:buFont typeface="Symbol" panose="05050102010706020507" pitchFamily="18" charset="2"/>
            <a:buNone/>
          </a:pPr>
          <a:r>
            <a:rPr lang="en-US" sz="800" b="0" kern="1200"/>
            <a:t>Tool: Measured using a portable peak flow meter. </a:t>
          </a:r>
        </a:p>
      </dsp:txBody>
      <dsp:txXfrm>
        <a:off x="1289551" y="860272"/>
        <a:ext cx="1048468" cy="783271"/>
      </dsp:txXfrm>
    </dsp:sp>
    <dsp:sp modelId="{F6891FCE-EBE5-465D-AD70-82148F78BA4F}">
      <dsp:nvSpPr>
        <dsp:cNvPr id="0" name=""/>
        <dsp:cNvSpPr/>
      </dsp:nvSpPr>
      <dsp:spPr>
        <a:xfrm>
          <a:off x="2381052" y="834605"/>
          <a:ext cx="1099802" cy="834605"/>
        </a:xfrm>
        <a:prstGeom prst="roundRect">
          <a:avLst>
            <a:gd name="adj" fmla="val 10500"/>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SzPts val="1000"/>
            <a:buFont typeface="Symbol" panose="05050102010706020507" pitchFamily="18" charset="2"/>
            <a:buNone/>
          </a:pPr>
          <a:r>
            <a:rPr lang="en-US" sz="800" b="0" kern="1200"/>
            <a:t>Benefit: Quick, simple and low-cost asthma monitoring. </a:t>
          </a:r>
        </a:p>
      </dsp:txBody>
      <dsp:txXfrm>
        <a:off x="2406719" y="860272"/>
        <a:ext cx="1048468" cy="783271"/>
      </dsp:txXfrm>
    </dsp:sp>
    <dsp:sp modelId="{B700AB69-1CDD-4C14-AE14-2DD39DD42223}">
      <dsp:nvSpPr>
        <dsp:cNvPr id="0" name=""/>
        <dsp:cNvSpPr/>
      </dsp:nvSpPr>
      <dsp:spPr>
        <a:xfrm>
          <a:off x="3498220" y="834605"/>
          <a:ext cx="1099802" cy="834605"/>
        </a:xfrm>
        <a:prstGeom prst="roundRect">
          <a:avLst>
            <a:gd name="adj" fmla="val 10500"/>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SzPts val="1000"/>
            <a:buFont typeface="Symbol" panose="05050102010706020507" pitchFamily="18" charset="2"/>
            <a:buNone/>
          </a:pPr>
          <a:r>
            <a:rPr lang="en-US" sz="800" b="0" kern="1200"/>
            <a:t>Limitation: Depends on patient effort and correct technique. </a:t>
          </a:r>
        </a:p>
      </dsp:txBody>
      <dsp:txXfrm>
        <a:off x="3523887" y="860272"/>
        <a:ext cx="1048468" cy="783271"/>
      </dsp:txXfrm>
    </dsp:sp>
    <dsp:sp modelId="{73284833-7C46-4C63-8791-213A01293B60}">
      <dsp:nvSpPr>
        <dsp:cNvPr id="0" name=""/>
        <dsp:cNvSpPr/>
      </dsp:nvSpPr>
      <dsp:spPr>
        <a:xfrm>
          <a:off x="4615388" y="834605"/>
          <a:ext cx="1099802" cy="834605"/>
        </a:xfrm>
        <a:prstGeom prst="roundRect">
          <a:avLst>
            <a:gd name="adj" fmla="val 10500"/>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SzPts val="1000"/>
            <a:buFont typeface="Symbol" panose="05050102010706020507" pitchFamily="18" charset="2"/>
            <a:buNone/>
          </a:pPr>
          <a:r>
            <a:rPr lang="en-US" sz="800" b="0" kern="1200"/>
            <a:t>Use: Regular readings compared with the personal best help detect worsening asthma early. </a:t>
          </a:r>
        </a:p>
      </dsp:txBody>
      <dsp:txXfrm>
        <a:off x="4641055" y="860272"/>
        <a:ext cx="1048468" cy="783271"/>
      </dsp:txXfrm>
    </dsp:sp>
  </dsp:spTree>
</dsp:drawing>
</file>

<file path=word/diagrams/layout1.xml><?xml version="1.0" encoding="utf-8"?>
<dgm:layoutDef xmlns:dgm="http://schemas.openxmlformats.org/drawingml/2006/diagram" xmlns:a="http://schemas.openxmlformats.org/drawingml/2006/main" uniqueId="urn:microsoft.com/office/officeart/2005/8/layout/target2">
  <dgm:title val=""/>
  <dgm:desc val=""/>
  <dgm:catLst>
    <dgm:cat type="relationship" pri="1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chMax val="3"/>
      <dgm:chPref val="1"/>
      <dgm:dir/>
      <dgm:animLvl val="lvl"/>
      <dgm:resizeHandles/>
    </dgm:varLst>
    <dgm:alg type="composite">
      <dgm:param type="horzAlign" val="none"/>
      <dgm:param type="vertAlign" val="none"/>
    </dgm:alg>
    <dgm:shape xmlns:r="http://schemas.openxmlformats.org/officeDocument/2006/relationships" r:blip="">
      <dgm:adjLst/>
    </dgm:shape>
    <dgm:presOf/>
    <dgm:choose name="Name1">
      <dgm:if name="Name2" func="var" arg="dir" op="equ" val="norm">
        <dgm:choose name="Name3">
          <dgm:if name="Name4" axis="ch ch" ptType="node node" st="1 1" cnt="1 0" func="cnt" op="gt" val="0">
            <dgm:choose name="Name5">
              <dgm:if name="Name6" axis="ch ch" ptType="node node" st="2 1" cnt="1 0" func="cnt" op="gt" val="0">
                <dgm:constrLst>
                  <dgm:constr type="primFontSz" for="des" forName="middleBoxParent" val="65"/>
                  <dgm:constr type="primFontSz" for="des" forName="mChild" val="65"/>
                  <dgm:constr type="primFontSz" for="des" forName="outerBoxParent" refType="primFontSz" refFor="des" refForName="middleBoxParent" op="equ"/>
                  <dgm:constr type="primFontSz" for="des" forName="centerBoxParent" refType="primFontSz" refFor="des" refForName="middleBoxParent" op="equ"/>
                  <dgm:constr type="primFontSz" for="des" forName="oChild" refType="primFontSz" refFor="des" refForName="mChild" op="equ"/>
                  <dgm:constr type="primFontSz" for="des" forName="cChild" refType="primFontSz" refFor="des" refForName="mChild" op="equ"/>
                  <dgm:constr type="l" for="ch" forName="outerBox"/>
                  <dgm:constr type="t" for="ch" forName="outerBox"/>
                  <dgm:constr type="w" for="ch" forName="outerBox" refType="w"/>
                  <dgm:constr type="h" for="ch" forName="outerBox" refType="h"/>
                  <dgm:constr type="l" for="ch" forName="middleBox" refType="w" fact="0.2"/>
                  <dgm:constr type="t" for="ch" forName="middleBox" refType="h" fact="0.25"/>
                  <dgm:constr type="w" for="ch" forName="middleBox" refType="w" fact="0.775"/>
                  <dgm:constr type="h" for="ch" forName="middleBox" refType="h" fact="0.7"/>
                  <dgm:constr type="l" for="ch" forName="centerBox" refType="w" fact="0.395"/>
                  <dgm:constr type="t" for="ch" forName="centerBox" refType="h" fact="0.5"/>
                  <dgm:constr type="w" for="ch" forName="centerBox" refType="w" fact="0.555"/>
                  <dgm:constr type="h" for="ch" forName="centerBox" refType="h" fact="0.4"/>
                  <dgm:constr type="userA" for="des" forName="outerSibTrans" refType="w"/>
                  <dgm:constr type="userA" for="des" forName="middleSibTrans" refType="w"/>
                  <dgm:constr type="userA" for="des" forName="centerSibTrans" refType="w"/>
                </dgm:constrLst>
              </dgm:if>
              <dgm:else name="Name7">
                <dgm:constrLst>
                  <dgm:constr type="primFontSz" for="des" forName="middleBoxParent" val="65"/>
                  <dgm:constr type="primFontSz" for="des" forName="mChild" val="65"/>
                  <dgm:constr type="primFontSz" for="des" forName="outerBoxParent" refType="primFontSz" refFor="des" refForName="middleBoxParent" op="equ"/>
                  <dgm:constr type="primFontSz" for="des" forName="centerBoxParent" refType="primFontSz" refFor="des" refForName="middleBoxParent" op="equ"/>
                  <dgm:constr type="primFontSz" for="des" forName="oChild" refType="primFontSz" refFor="des" refForName="mChild" op="equ"/>
                  <dgm:constr type="primFontSz" for="des" forName="cChild" refType="primFontSz" refFor="des" refForName="mChild" op="equ"/>
                  <dgm:constr type="l" for="ch" forName="outerBox"/>
                  <dgm:constr type="t" for="ch" forName="outerBox"/>
                  <dgm:constr type="w" for="ch" forName="outerBox" refType="w"/>
                  <dgm:constr type="h" for="ch" forName="outerBox" refType="h"/>
                  <dgm:constr type="l" for="ch" forName="middleBox" refType="w" fact="0.2"/>
                  <dgm:constr type="t" for="ch" forName="middleBox" refType="h" fact="0.25"/>
                  <dgm:constr type="w" for="ch" forName="middleBox" refType="w" fact="0.775"/>
                  <dgm:constr type="h" for="ch" forName="middleBox" refType="h" fact="0.7"/>
                  <dgm:constr type="l" for="ch" forName="centerBox" refType="w" fact="0.225"/>
                  <dgm:constr type="t" for="ch" forName="centerBox" refType="h" fact="0.5"/>
                  <dgm:constr type="w" for="ch" forName="centerBox" refType="w" fact="0.725"/>
                  <dgm:constr type="h" for="ch" forName="centerBox" refType="h" fact="0.4"/>
                  <dgm:constr type="userA" for="des" forName="outerSibTrans" refType="w"/>
                  <dgm:constr type="userA" for="des" forName="middleSibTrans" refType="w"/>
                  <dgm:constr type="userA" for="des" forName="centerSibTrans" refType="w"/>
                </dgm:constrLst>
              </dgm:else>
            </dgm:choose>
          </dgm:if>
          <dgm:else name="Name8">
            <dgm:choose name="Name9">
              <dgm:if name="Name10" axis="ch ch" ptType="node node" st="2 1" cnt="1 0" func="cnt" op="gt" val="0">
                <dgm:constrLst>
                  <dgm:constr type="primFontSz" for="des" forName="middleBoxParent" val="65"/>
                  <dgm:constr type="primFontSz" for="des" forName="mChild" val="65"/>
                  <dgm:constr type="primFontSz" for="des" forName="outerBoxParent" refType="primFontSz" refFor="des" refForName="middleBoxParent" op="equ"/>
                  <dgm:constr type="primFontSz" for="des" forName="centerBoxParent" refType="primFontSz" refFor="des" refForName="middleBoxParent" op="equ"/>
                  <dgm:constr type="primFontSz" for="des" forName="oChild" refType="primFontSz" refFor="des" refForName="mChild" op="equ"/>
                  <dgm:constr type="primFontSz" for="des" forName="cChild" refType="primFontSz" refFor="des" refForName="mChild" op="equ"/>
                  <dgm:constr type="l" for="ch" forName="outerBox"/>
                  <dgm:constr type="t" for="ch" forName="outerBox"/>
                  <dgm:constr type="w" for="ch" forName="outerBox" refType="w"/>
                  <dgm:constr type="h" for="ch" forName="outerBox" refType="h"/>
                  <dgm:constr type="l" for="ch" forName="middleBox" refType="w" fact="0.025"/>
                  <dgm:constr type="t" for="ch" forName="middleBox" refType="h" fact="0.25"/>
                  <dgm:constr type="w" for="ch" forName="middleBox" refType="w" fact="0.95"/>
                  <dgm:constr type="h" for="ch" forName="middleBox" refType="h" fact="0.7"/>
                  <dgm:constr type="l" for="ch" forName="centerBox" refType="w" fact="0.26"/>
                  <dgm:constr type="t" for="ch" forName="centerBox" refType="h" fact="0.5"/>
                  <dgm:constr type="w" for="ch" forName="centerBox" refType="w" fact="0.69"/>
                  <dgm:constr type="h" for="ch" forName="centerBox" refType="h" fact="0.4"/>
                  <dgm:constr type="userA" for="des" forName="outerSibTrans" refType="w"/>
                  <dgm:constr type="userA" for="des" forName="middleSibTrans" refType="w"/>
                  <dgm:constr type="userA" for="des" forName="centerSibTrans" refType="w"/>
                </dgm:constrLst>
              </dgm:if>
              <dgm:else name="Name11">
                <dgm:constrLst>
                  <dgm:constr type="primFontSz" for="des" forName="middleBoxParent" val="65"/>
                  <dgm:constr type="primFontSz" for="des" forName="mChild" val="65"/>
                  <dgm:constr type="primFontSz" for="des" forName="outerBoxParent" refType="primFontSz" refFor="des" refForName="middleBoxParent" op="equ"/>
                  <dgm:constr type="primFontSz" for="des" forName="centerBoxParent" refType="primFontSz" refFor="des" refForName="middleBoxParent" op="equ"/>
                  <dgm:constr type="primFontSz" for="des" forName="oChild" refType="primFontSz" refFor="des" refForName="mChild" op="equ"/>
                  <dgm:constr type="primFontSz" for="des" forName="cChild" refType="primFontSz" refFor="des" refForName="mChild" op="equ"/>
                  <dgm:constr type="l" for="ch" forName="outerBox"/>
                  <dgm:constr type="t" for="ch" forName="outerBox"/>
                  <dgm:constr type="w" for="ch" forName="outerBox" refType="w"/>
                  <dgm:constr type="h" for="ch" forName="outerBox" refType="h"/>
                  <dgm:constr type="l" for="ch" forName="middleBox" refType="w" fact="0.025"/>
                  <dgm:constr type="t" for="ch" forName="middleBox" refType="h" fact="0.25"/>
                  <dgm:constr type="w" for="ch" forName="middleBox" refType="w" fact="0.95"/>
                  <dgm:constr type="h" for="ch" forName="middleBox" refType="h" fact="0.7"/>
                  <dgm:constr type="l" for="ch" forName="centerBox" refType="w" fact="0.05"/>
                  <dgm:constr type="t" for="ch" forName="centerBox" refType="h" fact="0.5"/>
                  <dgm:constr type="w" for="ch" forName="centerBox" refType="w" fact="0.9"/>
                  <dgm:constr type="h" for="ch" forName="centerBox" refType="h" fact="0.4"/>
                  <dgm:constr type="userA" for="des" forName="outerSibTrans" refType="w"/>
                  <dgm:constr type="userA" for="des" forName="middleSibTrans" refType="w"/>
                  <dgm:constr type="userA" for="des" forName="centerSibTrans" refType="w"/>
                </dgm:constrLst>
              </dgm:else>
            </dgm:choose>
          </dgm:else>
        </dgm:choose>
      </dgm:if>
      <dgm:else name="Name12">
        <dgm:choose name="Name13">
          <dgm:if name="Name14" axis="ch ch" ptType="node node" st="1 1" cnt="1 0" func="cnt" op="gt" val="0">
            <dgm:choose name="Name15">
              <dgm:if name="Name16" axis="ch ch" ptType="node node" st="2 1" cnt="1 0" func="cnt" op="gt" val="0">
                <dgm:constrLst>
                  <dgm:constr type="primFontSz" for="des" forName="middleBoxParent" val="65"/>
                  <dgm:constr type="primFontSz" for="des" forName="mChild" val="65"/>
                  <dgm:constr type="primFontSz" for="des" forName="outerBoxParent" refType="primFontSz" refFor="des" refForName="middleBoxParent" op="equ"/>
                  <dgm:constr type="primFontSz" for="des" forName="centerBoxParent" refType="primFontSz" refFor="des" refForName="middleBoxParent" op="equ"/>
                  <dgm:constr type="primFontSz" for="des" forName="oChild" refType="primFontSz" refFor="des" refForName="mChild" op="equ"/>
                  <dgm:constr type="primFontSz" for="des" forName="cChild" refType="primFontSz" refFor="des" refForName="mChild" op="equ"/>
                  <dgm:constr type="l" for="ch" forName="outerBox"/>
                  <dgm:constr type="t" for="ch" forName="outerBox"/>
                  <dgm:constr type="w" for="ch" forName="outerBox" refType="w"/>
                  <dgm:constr type="h" for="ch" forName="outerBox" refType="h"/>
                  <dgm:constr type="l" for="ch" forName="middleBox" refType="w" fact="0.025"/>
                  <dgm:constr type="t" for="ch" forName="middleBox" refType="h" fact="0.25"/>
                  <dgm:constr type="w" for="ch" forName="middleBox" refType="w" fact="0.775"/>
                  <dgm:constr type="h" for="ch" forName="middleBox" refType="h" fact="0.7"/>
                  <dgm:constr type="l" for="ch" forName="centerBox" refType="w" fact="0.05"/>
                  <dgm:constr type="t" for="ch" forName="centerBox" refType="h" fact="0.5"/>
                  <dgm:constr type="w" for="ch" forName="centerBox" refType="w" fact="0.55"/>
                  <dgm:constr type="h" for="ch" forName="centerBox" refType="h" fact="0.4"/>
                  <dgm:constr type="userA" for="des" forName="outerSibTrans" refType="w"/>
                  <dgm:constr type="userA" for="des" forName="middleSibTrans" refType="w"/>
                  <dgm:constr type="userA" for="des" forName="centerSibTrans" refType="w"/>
                </dgm:constrLst>
              </dgm:if>
              <dgm:else name="Name17">
                <dgm:constrLst>
                  <dgm:constr type="primFontSz" for="des" forName="middleBoxParent" val="65"/>
                  <dgm:constr type="primFontSz" for="des" forName="mChild" val="65"/>
                  <dgm:constr type="primFontSz" for="des" forName="outerBoxParent" refType="primFontSz" refFor="des" refForName="middleBoxParent" op="equ"/>
                  <dgm:constr type="primFontSz" for="des" forName="centerBoxParent" refType="primFontSz" refFor="des" refForName="middleBoxParent" op="equ"/>
                  <dgm:constr type="primFontSz" for="des" forName="oChild" refType="primFontSz" refFor="des" refForName="mChild" op="equ"/>
                  <dgm:constr type="primFontSz" for="des" forName="cChild" refType="primFontSz" refFor="des" refForName="mChild" op="equ"/>
                  <dgm:constr type="l" for="ch" forName="outerBox"/>
                  <dgm:constr type="t" for="ch" forName="outerBox"/>
                  <dgm:constr type="w" for="ch" forName="outerBox" refType="w"/>
                  <dgm:constr type="h" for="ch" forName="outerBox" refType="h"/>
                  <dgm:constr type="l" for="ch" forName="middleBox" refType="w" fact="0.025"/>
                  <dgm:constr type="t" for="ch" forName="middleBox" refType="h" fact="0.25"/>
                  <dgm:constr type="w" for="ch" forName="middleBox" refType="w" fact="0.775"/>
                  <dgm:constr type="h" for="ch" forName="middleBox" refType="h" fact="0.7"/>
                  <dgm:constr type="l" for="ch" forName="centerBox" refType="w" fact="0.05"/>
                  <dgm:constr type="t" for="ch" forName="centerBox" refType="h" fact="0.5"/>
                  <dgm:constr type="w" for="ch" forName="centerBox" refType="w" fact="0.725"/>
                  <dgm:constr type="h" for="ch" forName="centerBox" refType="h" fact="0.4"/>
                  <dgm:constr type="userA" for="des" forName="outerSibTrans" refType="w"/>
                  <dgm:constr type="userA" for="des" forName="middleSibTrans" refType="w"/>
                  <dgm:constr type="userA" for="des" forName="centerSibTrans" refType="w"/>
                </dgm:constrLst>
              </dgm:else>
            </dgm:choose>
          </dgm:if>
          <dgm:else name="Name18">
            <dgm:choose name="Name19">
              <dgm:if name="Name20" axis="ch ch" ptType="node node" st="2 1" cnt="1 0" func="cnt" op="gt" val="0">
                <dgm:constrLst>
                  <dgm:constr type="primFontSz" for="des" forName="middleBoxParent" val="65"/>
                  <dgm:constr type="primFontSz" for="des" forName="mChild" val="65"/>
                  <dgm:constr type="primFontSz" for="des" forName="outerBoxParent" refType="primFontSz" refFor="des" refForName="middleBoxParent" op="equ"/>
                  <dgm:constr type="primFontSz" for="des" forName="centerBoxParent" refType="primFontSz" refFor="des" refForName="middleBoxParent" op="equ"/>
                  <dgm:constr type="primFontSz" for="des" forName="oChild" refType="primFontSz" refFor="des" refForName="mChild" op="equ"/>
                  <dgm:constr type="primFontSz" for="des" forName="cChild" refType="primFontSz" refFor="des" refForName="mChild" op="equ"/>
                  <dgm:constr type="l" for="ch" forName="outerBox"/>
                  <dgm:constr type="t" for="ch" forName="outerBox"/>
                  <dgm:constr type="w" for="ch" forName="outerBox" refType="w"/>
                  <dgm:constr type="h" for="ch" forName="outerBox" refType="h"/>
                  <dgm:constr type="l" for="ch" forName="middleBox" refType="w" fact="0.025"/>
                  <dgm:constr type="t" for="ch" forName="middleBox" refType="h" fact="0.25"/>
                  <dgm:constr type="w" for="ch" forName="middleBox" refType="w" fact="0.95"/>
                  <dgm:constr type="h" for="ch" forName="middleBox" refType="h" fact="0.7"/>
                  <dgm:constr type="l" for="ch" forName="centerBox" refType="w" fact="0.05"/>
                  <dgm:constr type="t" for="ch" forName="centerBox" refType="h" fact="0.5"/>
                  <dgm:constr type="w" for="ch" forName="centerBox" refType="w" fact="0.69"/>
                  <dgm:constr type="h" for="ch" forName="centerBox" refType="h" fact="0.4"/>
                  <dgm:constr type="userA" for="des" forName="outerSibTrans" refType="w"/>
                  <dgm:constr type="userA" for="des" forName="middleSibTrans" refType="w"/>
                  <dgm:constr type="userA" for="des" forName="centerSibTrans" refType="w"/>
                </dgm:constrLst>
              </dgm:if>
              <dgm:else name="Name21">
                <dgm:constrLst>
                  <dgm:constr type="primFontSz" for="des" forName="middleBoxParent" val="65"/>
                  <dgm:constr type="primFontSz" for="des" forName="mChild" val="65"/>
                  <dgm:constr type="primFontSz" for="des" forName="outerBoxParent" refType="primFontSz" refFor="des" refForName="middleBoxParent" op="equ"/>
                  <dgm:constr type="primFontSz" for="des" forName="centerBoxParent" refType="primFontSz" refFor="des" refForName="middleBoxParent" op="equ"/>
                  <dgm:constr type="primFontSz" for="des" forName="oChild" refType="primFontSz" refFor="des" refForName="mChild" op="equ"/>
                  <dgm:constr type="primFontSz" for="des" forName="cChild" refType="primFontSz" refFor="des" refForName="mChild" op="equ"/>
                  <dgm:constr type="l" for="ch" forName="outerBox"/>
                  <dgm:constr type="t" for="ch" forName="outerBox"/>
                  <dgm:constr type="w" for="ch" forName="outerBox" refType="w"/>
                  <dgm:constr type="h" for="ch" forName="outerBox" refType="h"/>
                  <dgm:constr type="l" for="ch" forName="middleBox" refType="w" fact="0.025"/>
                  <dgm:constr type="t" for="ch" forName="middleBox" refType="h" fact="0.25"/>
                  <dgm:constr type="w" for="ch" forName="middleBox" refType="w" fact="0.95"/>
                  <dgm:constr type="h" for="ch" forName="middleBox" refType="h" fact="0.7"/>
                  <dgm:constr type="l" for="ch" forName="centerBox" refType="w" fact="0.05"/>
                  <dgm:constr type="t" for="ch" forName="centerBox" refType="h" fact="0.5"/>
                  <dgm:constr type="w" for="ch" forName="centerBox" refType="w" fact="0.9"/>
                  <dgm:constr type="h" for="ch" forName="centerBox" refType="h" fact="0.4"/>
                  <dgm:constr type="userA" for="des" forName="outerSibTrans" refType="w"/>
                  <dgm:constr type="userA" for="des" forName="middleSibTrans" refType="w"/>
                  <dgm:constr type="userA" for="des" forName="centerSibTrans" refType="w"/>
                </dgm:constrLst>
              </dgm:else>
            </dgm:choose>
          </dgm:else>
        </dgm:choose>
      </dgm:else>
    </dgm:choose>
    <dgm:ruleLst/>
    <dgm:choose name="Name22">
      <dgm:if name="Name23" axis="root ch" ptType="all node" st="1 1" cnt="0 0" func="cnt" op="gte" val="1">
        <dgm:layoutNode name="outerBox" styleLbl="node1">
          <dgm:alg type="composite">
            <dgm:param type="horzAlign" val="none"/>
            <dgm:param type="vertAlign" val="none"/>
          </dgm:alg>
          <dgm:shape xmlns:r="http://schemas.openxmlformats.org/officeDocument/2006/relationships" r:blip="">
            <dgm:adjLst/>
          </dgm:shape>
          <dgm:presOf/>
          <dgm:choose name="Name24">
            <dgm:if name="Name25" axis="root ch" ptType="all node" st="1 1" cnt="0 0" func="cnt" op="gt" val="1">
              <dgm:choose name="Name26">
                <dgm:if name="Name27" func="var" arg="dir" op="equ" val="norm">
                  <dgm:constrLst>
                    <dgm:constr type="l" for="ch" forName="outerBoxParent"/>
                    <dgm:constr type="t" for="ch" forName="outerBoxParent"/>
                    <dgm:constr type="w" for="ch" forName="outerBoxParent" refType="w"/>
                    <dgm:constr type="h" for="ch" forName="outerBoxParent" refType="h"/>
                    <dgm:constr type="bMarg" for="ch" forName="outerBoxParent" refType="h" fact="2.2"/>
                    <dgm:constr type="l" for="ch" forName="outerBoxChildren" refType="w" fact="0.025"/>
                    <dgm:constr type="t" for="ch" forName="outerBoxChildren" refType="h" fact="0.25"/>
                    <dgm:constr type="w" for="ch" forName="outerBoxChildren" refType="w" fact="0.15"/>
                    <dgm:constr type="h" for="ch" forName="outerBoxChildren" refType="h" fact="0.7"/>
                  </dgm:constrLst>
                </dgm:if>
                <dgm:else name="Name28">
                  <dgm:constrLst>
                    <dgm:constr type="l" for="ch" forName="outerBoxParent"/>
                    <dgm:constr type="t" for="ch" forName="outerBoxParent"/>
                    <dgm:constr type="w" for="ch" forName="outerBoxParent" refType="w"/>
                    <dgm:constr type="h" for="ch" forName="outerBoxParent" refType="h"/>
                    <dgm:constr type="bMarg" for="ch" forName="outerBoxParent" refType="h" fact="2.2"/>
                    <dgm:constr type="l" for="ch" forName="outerBoxChildren" refType="w" fact="0.825"/>
                    <dgm:constr type="t" for="ch" forName="outerBoxChildren" refType="h" fact="0.25"/>
                    <dgm:constr type="w" for="ch" forName="outerBoxChildren" refType="w" fact="0.15"/>
                    <dgm:constr type="h" for="ch" forName="outerBoxChildren" refType="h" fact="0.7"/>
                  </dgm:constrLst>
                </dgm:else>
              </dgm:choose>
            </dgm:if>
            <dgm:else name="Name29">
              <dgm:constrLst>
                <dgm:constr type="l" for="ch" forName="outerBoxParent"/>
                <dgm:constr type="t" for="ch" forName="outerBoxParent"/>
                <dgm:constr type="w" for="ch" forName="outerBoxParent" refType="w"/>
                <dgm:constr type="h" for="ch" forName="outerBoxParent" refType="h"/>
                <dgm:constr type="bMarg" for="ch" forName="outerBoxParent" refType="h" fact="1.75"/>
                <dgm:constr type="l" for="ch" forName="outerBoxChildren" refType="w" fact="0.025"/>
                <dgm:constr type="t" for="ch" forName="outerBoxChildren" refType="h" fact="0.45"/>
                <dgm:constr type="w" for="ch" forName="outerBoxChildren" refType="w" fact="0.95"/>
                <dgm:constr type="h" for="ch" forName="outerBoxChildren" refType="h" fact="0.45"/>
              </dgm:constrLst>
            </dgm:else>
          </dgm:choose>
          <dgm:ruleLst/>
          <dgm:layoutNode name="outerBoxParent" styleLbl="node1">
            <dgm:alg type="tx">
              <dgm:param type="txAnchorVert" val="t"/>
              <dgm:param type="parTxLTRAlign" val="l"/>
              <dgm:param type="parTxRTLAlign" val="r"/>
            </dgm:alg>
            <dgm:shape xmlns:r="http://schemas.openxmlformats.org/officeDocument/2006/relationships" type="roundRect" r:blip="">
              <dgm:adjLst>
                <dgm:adj idx="1" val="0.085"/>
              </dgm:adjLst>
            </dgm:shape>
            <dgm:presOf axis="ch" ptType="node" cnt="1"/>
            <dgm:constrLst>
              <dgm:constr type="tMarg" refType="primFontSz" fact="0.3"/>
              <dgm:constr type="lMarg" refType="primFontSz" fact="0.3"/>
              <dgm:constr type="rMarg" refType="primFontSz" fact="0.3"/>
            </dgm:constrLst>
            <dgm:ruleLst>
              <dgm:rule type="primFontSz" val="5" fact="NaN" max="NaN"/>
            </dgm:ruleLst>
          </dgm:layoutNode>
          <dgm:layoutNode name="outerBoxChildren">
            <dgm:choose name="Name30">
              <dgm:if name="Name31" axis="root ch" ptType="all node" st="1 1" cnt="0 0" func="cnt" op="gt" val="1">
                <dgm:alg type="lin">
                  <dgm:param type="linDir" val="fromT"/>
                  <dgm:param type="vertAlign" val="t"/>
                </dgm:alg>
              </dgm:if>
              <dgm:else name="Name32">
                <dgm:choose name="Name33">
                  <dgm:if name="Name34" func="var" arg="dir" op="equ" val="norm">
                    <dgm:alg type="lin">
                      <dgm:param type="horzAlign" val="l"/>
                    </dgm:alg>
                  </dgm:if>
                  <dgm:else name="Name35">
                    <dgm:alg type="lin">
                      <dgm:param type="linDir" val="fromR"/>
                      <dgm:param type="horzAlign" val="r"/>
                    </dgm:alg>
                  </dgm:else>
                </dgm:choose>
              </dgm:else>
            </dgm:choose>
            <dgm:shape xmlns:r="http://schemas.openxmlformats.org/officeDocument/2006/relationships" r:blip="">
              <dgm:adjLst/>
            </dgm:shape>
            <dgm:presOf/>
            <dgm:constrLst>
              <dgm:constr type="w" for="ch" forName="oChild" refType="w"/>
              <dgm:constr type="h" for="ch" forName="oChild" refType="h"/>
            </dgm:constrLst>
            <dgm:ruleLst/>
            <dgm:forEach name="Name36" axis="ch ch" ptType="node node" st="1 1" cnt="1 0">
              <dgm:layoutNode name="oChild" styleLbl="fgAcc1">
                <dgm:varLst>
                  <dgm:bulletEnabled val="1"/>
                </dgm:varLst>
                <dgm:alg type="tx"/>
                <dgm:shape xmlns:r="http://schemas.openxmlformats.org/officeDocument/2006/relationships" type="roundRect" r:blip="">
                  <dgm:adjLst>
                    <dgm:adj idx="1" val="0.105"/>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Name37" axis="followSib" ptType="sibTrans" cnt="1">
                <dgm:layoutNode name="outerSibTrans">
                  <dgm:alg type="sp"/>
                  <dgm:shape xmlns:r="http://schemas.openxmlformats.org/officeDocument/2006/relationships" r:blip="">
                    <dgm:adjLst/>
                  </dgm:shape>
                  <dgm:presOf/>
                  <dgm:constrLst>
                    <dgm:constr type="userA"/>
                    <dgm:constr type="w" refType="userA" fact="0.015"/>
                    <dgm:constr type="h" refType="userA" fact="0.015"/>
                  </dgm:constrLst>
                  <dgm:ruleLst/>
                </dgm:layoutNode>
              </dgm:forEach>
            </dgm:forEach>
          </dgm:layoutNode>
        </dgm:layoutNode>
      </dgm:if>
      <dgm:else name="Name38"/>
    </dgm:choose>
    <dgm:choose name="Name39">
      <dgm:if name="Name40" axis="root ch" ptType="all node" st="1 1" cnt="0 0" func="cnt" op="gte" val="2">
        <dgm:layoutNode name="middleBox">
          <dgm:alg type="composite">
            <dgm:param type="horzAlign" val="none"/>
            <dgm:param type="vertAlign" val="none"/>
          </dgm:alg>
          <dgm:shape xmlns:r="http://schemas.openxmlformats.org/officeDocument/2006/relationships" r:blip="">
            <dgm:adjLst/>
          </dgm:shape>
          <dgm:presOf/>
          <dgm:choose name="Name41">
            <dgm:if name="Name42" axis="root ch" ptType="all node" st="1 1" cnt="0 0" func="cnt" op="gt" val="2">
              <dgm:choose name="Name43">
                <dgm:if name="Name44" func="var" arg="dir" op="equ" val="norm">
                  <dgm:constrLst>
                    <dgm:constr type="l" for="ch" forName="middleBoxParent"/>
                    <dgm:constr type="t" for="ch" forName="middleBoxParent"/>
                    <dgm:constr type="w" for="ch" forName="middleBoxParent" refType="w"/>
                    <dgm:constr type="h" for="ch" forName="middleBoxParent" refType="h"/>
                    <dgm:constr type="bMarg" for="ch" forName="middleBoxParent" refType="h" fact="1.8"/>
                    <dgm:constr type="l" for="ch" forName="middleBoxChildren" refType="w" fact="0.025"/>
                    <dgm:constr type="t" for="ch" forName="middleBoxChildren" refType="h" fact="0.35"/>
                    <dgm:constr type="w" for="ch" forName="middleBoxChildren" refType="w" fact="0.2"/>
                    <dgm:constr type="h" for="ch" forName="middleBoxChildren" refType="h" fact="0.575"/>
                  </dgm:constrLst>
                </dgm:if>
                <dgm:else name="Name45">
                  <dgm:constrLst>
                    <dgm:constr type="l" for="ch" forName="middleBoxParent"/>
                    <dgm:constr type="t" for="ch" forName="middleBoxParent"/>
                    <dgm:constr type="w" for="ch" forName="middleBoxParent" refType="w"/>
                    <dgm:constr type="h" for="ch" forName="middleBoxParent" refType="h"/>
                    <dgm:constr type="bMarg" for="ch" forName="middleBoxParent" refType="h" fact="1.8"/>
                    <dgm:constr type="l" for="ch" forName="middleBoxChildren" refType="w" fact="0.775"/>
                    <dgm:constr type="t" for="ch" forName="middleBoxChildren" refType="h" fact="0.35"/>
                    <dgm:constr type="w" for="ch" forName="middleBoxChildren" refType="w" fact="0.2"/>
                    <dgm:constr type="h" for="ch" forName="middleBoxChildren" refType="h" fact="0.575"/>
                  </dgm:constrLst>
                </dgm:else>
              </dgm:choose>
            </dgm:if>
            <dgm:else name="Name46">
              <dgm:constrLst>
                <dgm:constr type="l" for="ch" forName="middleBoxParent"/>
                <dgm:constr type="t" for="ch" forName="middleBoxParent"/>
                <dgm:constr type="w" for="ch" forName="middleBoxParent" refType="w"/>
                <dgm:constr type="h" for="ch" forName="middleBoxParent" refType="h"/>
                <dgm:constr type="bMarg" for="ch" forName="middleBoxParent" refType="h" fact="1.8"/>
                <dgm:constr type="l" for="ch" forName="middleBoxChildren" refType="w" fact="0.025"/>
                <dgm:constr type="t" for="ch" forName="middleBoxChildren" refType="h" fact="0.45"/>
                <dgm:constr type="w" for="ch" forName="middleBoxChildren" refType="w" fact="0.95"/>
                <dgm:constr type="h" for="ch" forName="middleBoxChildren" refType="h" fact="0.45"/>
              </dgm:constrLst>
            </dgm:else>
          </dgm:choose>
          <dgm:ruleLst/>
          <dgm:layoutNode name="middleBoxParent" styleLbl="node1">
            <dgm:alg type="tx">
              <dgm:param type="txAnchorVert" val="t"/>
              <dgm:param type="parTxLTRAlign" val="l"/>
              <dgm:param type="parTxRTLAlign" val="r"/>
            </dgm:alg>
            <dgm:shape xmlns:r="http://schemas.openxmlformats.org/officeDocument/2006/relationships" type="roundRect" r:blip="">
              <dgm:adjLst>
                <dgm:adj idx="1" val="0.105"/>
              </dgm:adjLst>
            </dgm:shape>
            <dgm:presOf axis="ch" ptType="node" st="2" cnt="1"/>
            <dgm:constrLst>
              <dgm:constr type="tMarg" refType="primFontSz" fact="0.3"/>
              <dgm:constr type="lMarg" refType="primFontSz" fact="0.3"/>
              <dgm:constr type="rMarg" refType="primFontSz" fact="0.3"/>
            </dgm:constrLst>
            <dgm:ruleLst>
              <dgm:rule type="primFontSz" val="5" fact="NaN" max="NaN"/>
            </dgm:ruleLst>
          </dgm:layoutNode>
          <dgm:layoutNode name="middleBoxChildren">
            <dgm:choose name="Name47">
              <dgm:if name="Name48" axis="root ch" ptType="all node" st="1 1" cnt="0 0" func="cnt" op="gt" val="2">
                <dgm:alg type="lin">
                  <dgm:param type="linDir" val="fromT"/>
                  <dgm:param type="vertAlign" val="t"/>
                </dgm:alg>
              </dgm:if>
              <dgm:else name="Name49">
                <dgm:choose name="Name50">
                  <dgm:if name="Name51" func="var" arg="dir" op="equ" val="norm">
                    <dgm:alg type="lin">
                      <dgm:param type="horzAlign" val="l"/>
                    </dgm:alg>
                  </dgm:if>
                  <dgm:else name="Name52">
                    <dgm:alg type="lin">
                      <dgm:param type="linDir" val="fromR"/>
                      <dgm:param type="horzAlign" val="r"/>
                    </dgm:alg>
                  </dgm:else>
                </dgm:choose>
              </dgm:else>
            </dgm:choose>
            <dgm:shape xmlns:r="http://schemas.openxmlformats.org/officeDocument/2006/relationships" r:blip="">
              <dgm:adjLst/>
            </dgm:shape>
            <dgm:presOf/>
            <dgm:constrLst>
              <dgm:constr type="w" for="ch" forName="mChild" refType="w"/>
              <dgm:constr type="h" for="ch" forName="mChild" refType="h"/>
            </dgm:constrLst>
            <dgm:ruleLst/>
            <dgm:forEach name="Name53" axis="ch ch" ptType="node node" st="2 1" cnt="1 0">
              <dgm:layoutNode name="mChild" styleLbl="fgAcc1">
                <dgm:varLst>
                  <dgm:bulletEnabled val="1"/>
                </dgm:varLst>
                <dgm:alg type="tx"/>
                <dgm:shape xmlns:r="http://schemas.openxmlformats.org/officeDocument/2006/relationships" type="roundRect" r:blip="">
                  <dgm:adjLst>
                    <dgm:adj idx="1" val="0.105"/>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Name54" axis="followSib" ptType="sibTrans" cnt="1">
                <dgm:layoutNode name="middleSibTrans">
                  <dgm:alg type="sp"/>
                  <dgm:shape xmlns:r="http://schemas.openxmlformats.org/officeDocument/2006/relationships" r:blip="">
                    <dgm:adjLst/>
                  </dgm:shape>
                  <dgm:presOf/>
                  <dgm:constrLst>
                    <dgm:constr type="userA"/>
                    <dgm:constr type="w" refType="userA" fact="0.015"/>
                    <dgm:constr type="h" refType="userA" fact="0.015"/>
                  </dgm:constrLst>
                  <dgm:ruleLst/>
                </dgm:layoutNode>
              </dgm:forEach>
            </dgm:forEach>
          </dgm:layoutNode>
        </dgm:layoutNode>
      </dgm:if>
      <dgm:else name="Name55"/>
    </dgm:choose>
    <dgm:choose name="Name56">
      <dgm:if name="Name57" axis="root ch" ptType="all node" st="1 1" cnt="0 0" func="cnt" op="gte" val="3">
        <dgm:layoutNode name="centerBox">
          <dgm:alg type="composite">
            <dgm:param type="horzAlign" val="none"/>
            <dgm:param type="vertAlign" val="none"/>
          </dgm:alg>
          <dgm:shape xmlns:r="http://schemas.openxmlformats.org/officeDocument/2006/relationships" r:blip="">
            <dgm:adjLst/>
          </dgm:shape>
          <dgm:presOf/>
          <dgm:choose name="Name58">
            <dgm:if name="Name59" axis="ch ch" ptType="node node" st="3 1" cnt="1 0" func="cnt" op="gt" val="0">
              <dgm:constrLst>
                <dgm:constr type="l" for="ch" forName="centerBoxParent"/>
                <dgm:constr type="t" for="ch" forName="centerBoxParent"/>
                <dgm:constr type="w" for="ch" forName="centerBoxParent" refType="w"/>
                <dgm:constr type="h" for="ch" forName="centerBoxParent" refType="h"/>
                <dgm:constr type="bMarg" for="ch" forName="centerBoxParent" refType="h" fact="1.6"/>
                <dgm:constr type="l" for="ch" forName="centerBoxChildren" refType="w" fact="0.025"/>
                <dgm:constr type="t" for="ch" forName="centerBoxChildren" refType="h" fact="0.45"/>
                <dgm:constr type="w" for="ch" forName="centerBoxChildren" refType="w" fact="0.95"/>
                <dgm:constr type="h" for="ch" forName="centerBoxChildren" refType="h" fact="0.45"/>
              </dgm:constrLst>
            </dgm:if>
            <dgm:else name="Name60">
              <dgm:constrLst>
                <dgm:constr type="l" for="ch" forName="centerBoxParent"/>
                <dgm:constr type="t" for="ch" forName="centerBoxParent"/>
                <dgm:constr type="w" for="ch" forName="centerBoxParent" refType="w"/>
                <dgm:constr type="h" for="ch" forName="centerBoxParent" refType="h"/>
              </dgm:constrLst>
            </dgm:else>
          </dgm:choose>
          <dgm:ruleLst/>
          <dgm:layoutNode name="centerBoxParent" styleLbl="node1">
            <dgm:alg type="tx">
              <dgm:param type="txAnchorVert" val="t"/>
              <dgm:param type="parTxLTRAlign" val="l"/>
              <dgm:param type="parTxRTLAlign" val="r"/>
            </dgm:alg>
            <dgm:shape xmlns:r="http://schemas.openxmlformats.org/officeDocument/2006/relationships" type="roundRect" r:blip="">
              <dgm:adjLst>
                <dgm:adj idx="1" val="0.105"/>
              </dgm:adjLst>
            </dgm:shape>
            <dgm:presOf axis="ch" ptType="node" st="3" cnt="1"/>
            <dgm:constrLst>
              <dgm:constr type="tMarg" refType="primFontSz" fact="0.3"/>
              <dgm:constr type="lMarg" refType="primFontSz" fact="0.3"/>
              <dgm:constr type="rMarg" refType="primFontSz" fact="0.3"/>
            </dgm:constrLst>
            <dgm:ruleLst>
              <dgm:rule type="primFontSz" val="5" fact="NaN" max="NaN"/>
            </dgm:ruleLst>
          </dgm:layoutNode>
          <dgm:choose name="Name61">
            <dgm:if name="Name62" axis="ch ch" ptType="node node" st="3 1" cnt="1 0" func="cnt" op="gt" val="0">
              <dgm:layoutNode name="centerBoxChildren">
                <dgm:choose name="Name63">
                  <dgm:if name="Name64" func="var" arg="dir" op="equ" val="norm">
                    <dgm:alg type="lin">
                      <dgm:param type="horzAlign" val="l"/>
                    </dgm:alg>
                  </dgm:if>
                  <dgm:else name="Name65">
                    <dgm:alg type="lin">
                      <dgm:param type="linDir" val="fromR"/>
                      <dgm:param type="horzAlign" val="r"/>
                    </dgm:alg>
                  </dgm:else>
                </dgm:choose>
                <dgm:shape xmlns:r="http://schemas.openxmlformats.org/officeDocument/2006/relationships" r:blip="">
                  <dgm:adjLst/>
                </dgm:shape>
                <dgm:presOf/>
                <dgm:constrLst>
                  <dgm:constr type="w" for="ch" forName="cChild" refType="w"/>
                  <dgm:constr type="h" for="ch" forName="cChild" refType="h"/>
                </dgm:constrLst>
                <dgm:ruleLst/>
                <dgm:forEach name="Name66" axis="ch ch" ptType="node node" st="3 1" cnt="1 0">
                  <dgm:layoutNode name="cChild" styleLbl="fgAcc1">
                    <dgm:varLst>
                      <dgm:bulletEnabled val="1"/>
                    </dgm:varLst>
                    <dgm:alg type="tx"/>
                    <dgm:shape xmlns:r="http://schemas.openxmlformats.org/officeDocument/2006/relationships" type="roundRect" r:blip="">
                      <dgm:adjLst>
                        <dgm:adj idx="1" val="0.105"/>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Name67" axis="followSib" ptType="sibTrans" cnt="1">
                    <dgm:layoutNode name="centerSibTrans">
                      <dgm:alg type="sp"/>
                      <dgm:shape xmlns:r="http://schemas.openxmlformats.org/officeDocument/2006/relationships" r:blip="">
                        <dgm:adjLst/>
                      </dgm:shape>
                      <dgm:presOf/>
                      <dgm:constrLst>
                        <dgm:constr type="userA"/>
                        <dgm:constr type="w" refType="userA" fact="0.015"/>
                        <dgm:constr type="h" refType="userA" fact="0.015"/>
                      </dgm:constrLst>
                      <dgm:ruleLst/>
                    </dgm:layoutNode>
                  </dgm:forEach>
                </dgm:forEach>
              </dgm:layoutNode>
            </dgm:if>
            <dgm:else name="Name68"/>
          </dgm:choose>
        </dgm:layoutNode>
      </dgm:if>
      <dgm:else name="Name69"/>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B230DF-0B98-4360-9192-0F526372D4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10</Pages>
  <Words>3138</Words>
  <Characters>17889</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Andres Michel Pina (2442079)</cp:lastModifiedBy>
  <cp:revision>193</cp:revision>
  <dcterms:created xsi:type="dcterms:W3CDTF">2026-07-18T09:34:00Z</dcterms:created>
  <dcterms:modified xsi:type="dcterms:W3CDTF">2026-07-23T10:06:00Z</dcterms:modified>
</cp:coreProperties>
</file>