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9593" w14:textId="77777777" w:rsidR="00D96FD0" w:rsidRDefault="00000000">
      <w:pPr>
        <w:jc w:val="center"/>
        <w:rPr>
          <w:b/>
          <w:bCs/>
          <w:color w:val="000000"/>
        </w:rPr>
      </w:pPr>
      <w:r>
        <w:rPr>
          <w:b/>
          <w:bCs/>
          <w:noProof/>
          <w:color w:val="000000"/>
        </w:rPr>
        <w:drawing>
          <wp:inline distT="0" distB="0" distL="0" distR="0" wp14:anchorId="6BC4CB6B" wp14:editId="77BCA71A">
            <wp:extent cx="2501900" cy="1052830"/>
            <wp:effectExtent l="0" t="0" r="0" b="0"/>
            <wp:docPr id="1910876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876879" name="Picture 1"/>
                    <pic:cNvPicPr>
                      <a:picLocks noChangeAspect="1"/>
                    </pic:cNvPicPr>
                  </pic:nvPicPr>
                  <pic:blipFill>
                    <a:blip r:embed="rId8"/>
                    <a:stretch>
                      <a:fillRect/>
                    </a:stretch>
                  </pic:blipFill>
                  <pic:spPr>
                    <a:xfrm>
                      <a:off x="0" y="0"/>
                      <a:ext cx="2522479" cy="1061677"/>
                    </a:xfrm>
                    <a:prstGeom prst="rect">
                      <a:avLst/>
                    </a:prstGeom>
                  </pic:spPr>
                </pic:pic>
              </a:graphicData>
            </a:graphic>
          </wp:inline>
        </w:drawing>
      </w:r>
    </w:p>
    <w:p w14:paraId="032C0D69" w14:textId="77777777" w:rsidR="00D96FD0" w:rsidRDefault="00000000">
      <w:pPr>
        <w:pStyle w:val="Title"/>
        <w:jc w:val="center"/>
      </w:pPr>
      <w:r>
        <w:t>CERTIFICATE OF HIGHER EDUCATION SKILLS FOR THE WORKPLACE (HEALTH &amp; SOCIAL CARE)</w:t>
      </w:r>
    </w:p>
    <w:p w14:paraId="4C0B22ED" w14:textId="77777777" w:rsidR="00D96FD0" w:rsidRDefault="00000000">
      <w:pPr>
        <w:pStyle w:val="Title"/>
        <w:jc w:val="center"/>
      </w:pPr>
      <w:r>
        <w:t>INTRODUCTION TO HEALTH AND SOCIAL CARE</w:t>
      </w:r>
    </w:p>
    <w:p w14:paraId="6247B743" w14:textId="77777777" w:rsidR="00D96FD0" w:rsidRDefault="00000000">
      <w:pPr>
        <w:pStyle w:val="Title"/>
        <w:jc w:val="center"/>
      </w:pPr>
      <w:r>
        <w:t>LCHS4003</w:t>
      </w:r>
    </w:p>
    <w:p w14:paraId="744E7C06" w14:textId="77777777" w:rsidR="00D96FD0" w:rsidRDefault="00000000">
      <w:pPr>
        <w:pStyle w:val="Title"/>
        <w:jc w:val="center"/>
      </w:pPr>
      <w:r>
        <w:t>WRITTEN ASSESSMENT</w:t>
      </w:r>
    </w:p>
    <w:p w14:paraId="01F8E799" w14:textId="77777777" w:rsidR="00D96FD0" w:rsidRDefault="00D96FD0">
      <w:pPr>
        <w:jc w:val="center"/>
        <w:rPr>
          <w:b/>
          <w:bCs/>
          <w:i/>
          <w:iCs/>
          <w:sz w:val="32"/>
          <w:szCs w:val="32"/>
          <w:u w:val="single"/>
        </w:rPr>
      </w:pPr>
    </w:p>
    <w:p w14:paraId="44D97DF9" w14:textId="29672DC1" w:rsidR="00D96FD0" w:rsidRDefault="00000000">
      <w:pPr>
        <w:jc w:val="center"/>
        <w:rPr>
          <w:b/>
          <w:bCs/>
          <w:sz w:val="32"/>
          <w:szCs w:val="32"/>
        </w:rPr>
      </w:pPr>
      <w:r>
        <w:rPr>
          <w:b/>
          <w:bCs/>
          <w:sz w:val="32"/>
          <w:szCs w:val="32"/>
        </w:rPr>
        <w:t>STUDENT NAME:</w:t>
      </w:r>
      <w:r w:rsidR="00A127B5">
        <w:rPr>
          <w:b/>
          <w:bCs/>
          <w:sz w:val="32"/>
          <w:szCs w:val="32"/>
        </w:rPr>
        <w:t xml:space="preserve"> Nesrin Sami Shen</w:t>
      </w:r>
    </w:p>
    <w:p w14:paraId="66C2856F" w14:textId="03B94E9C" w:rsidR="00D96FD0" w:rsidRDefault="00000000">
      <w:pPr>
        <w:jc w:val="center"/>
        <w:rPr>
          <w:b/>
          <w:bCs/>
          <w:sz w:val="32"/>
          <w:szCs w:val="32"/>
        </w:rPr>
      </w:pPr>
      <w:r>
        <w:rPr>
          <w:b/>
          <w:bCs/>
          <w:sz w:val="32"/>
          <w:szCs w:val="32"/>
        </w:rPr>
        <w:t>STUDENT ID:</w:t>
      </w:r>
      <w:r w:rsidR="00A127B5">
        <w:rPr>
          <w:b/>
          <w:bCs/>
          <w:sz w:val="32"/>
          <w:szCs w:val="32"/>
        </w:rPr>
        <w:t xml:space="preserve"> 2512896</w:t>
      </w:r>
    </w:p>
    <w:p w14:paraId="4F85EB35" w14:textId="7932E88B" w:rsidR="00D96FD0" w:rsidRDefault="00000000">
      <w:pPr>
        <w:jc w:val="center"/>
        <w:rPr>
          <w:b/>
          <w:bCs/>
          <w:sz w:val="32"/>
          <w:szCs w:val="32"/>
        </w:rPr>
      </w:pPr>
      <w:r>
        <w:rPr>
          <w:b/>
          <w:bCs/>
          <w:sz w:val="32"/>
          <w:szCs w:val="32"/>
        </w:rPr>
        <w:t xml:space="preserve">DATE OF SUBMISSION: </w:t>
      </w:r>
      <w:r w:rsidR="00A127B5">
        <w:rPr>
          <w:b/>
          <w:bCs/>
          <w:sz w:val="32"/>
          <w:szCs w:val="32"/>
        </w:rPr>
        <w:t>21/04/2026</w:t>
      </w:r>
    </w:p>
    <w:sdt>
      <w:sdtPr>
        <w:rPr>
          <w:rFonts w:ascii="Arial" w:eastAsia="Arial" w:hAnsi="Arial" w:cs="Arial"/>
          <w:color w:val="auto"/>
          <w:sz w:val="22"/>
          <w:szCs w:val="22"/>
          <w:u w:val="none"/>
          <w:lang w:val="en-IN" w:eastAsia="en-IN"/>
        </w:rPr>
        <w:id w:val="-1"/>
        <w:docPartObj>
          <w:docPartGallery w:val="Table of Contents"/>
          <w:docPartUnique/>
        </w:docPartObj>
      </w:sdtPr>
      <w:sdtEndPr>
        <w:rPr>
          <w:b/>
          <w:bCs/>
        </w:rPr>
      </w:sdtEndPr>
      <w:sdtContent>
        <w:p w14:paraId="5F9D4212" w14:textId="77777777" w:rsidR="00D96FD0" w:rsidRDefault="00000000">
          <w:pPr>
            <w:pStyle w:val="TOCHeading1"/>
          </w:pPr>
          <w:r>
            <w:t>CONTENTS</w:t>
          </w:r>
        </w:p>
        <w:p w14:paraId="2EFC8302" w14:textId="77777777" w:rsidR="00D96FD0" w:rsidRDefault="00000000">
          <w:pPr>
            <w:pStyle w:val="TOC1"/>
            <w:tabs>
              <w:tab w:val="right" w:leader="dot" w:pos="9010"/>
            </w:tabs>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227402265" w:history="1">
            <w:r>
              <w:rPr>
                <w:rStyle w:val="Hyperlink"/>
              </w:rPr>
              <w:t>Introduction</w:t>
            </w:r>
            <w:r>
              <w:tab/>
            </w:r>
            <w:r>
              <w:fldChar w:fldCharType="begin"/>
            </w:r>
            <w:r>
              <w:instrText xml:space="preserve"> PAGEREF _Toc227402265 \h </w:instrText>
            </w:r>
            <w:r>
              <w:fldChar w:fldCharType="separate"/>
            </w:r>
            <w:r>
              <w:t>3</w:t>
            </w:r>
            <w:r>
              <w:fldChar w:fldCharType="end"/>
            </w:r>
          </w:hyperlink>
        </w:p>
        <w:p w14:paraId="283AAEBB" w14:textId="77777777" w:rsidR="00D96FD0" w:rsidRDefault="00000000">
          <w:pPr>
            <w:pStyle w:val="TOC1"/>
            <w:tabs>
              <w:tab w:val="right" w:leader="dot" w:pos="9010"/>
            </w:tabs>
            <w:rPr>
              <w:rFonts w:asciiTheme="minorHAnsi" w:eastAsiaTheme="minorEastAsia" w:hAnsiTheme="minorHAnsi" w:cstheme="minorBidi"/>
              <w:kern w:val="2"/>
              <w:sz w:val="24"/>
              <w:szCs w:val="24"/>
              <w14:ligatures w14:val="standardContextual"/>
            </w:rPr>
          </w:pPr>
          <w:hyperlink w:anchor="_Toc227402266" w:history="1">
            <w:r>
              <w:rPr>
                <w:rStyle w:val="Hyperlink"/>
              </w:rPr>
              <w:t>Importance of Effective Communication</w:t>
            </w:r>
            <w:r>
              <w:tab/>
            </w:r>
            <w:r>
              <w:fldChar w:fldCharType="begin"/>
            </w:r>
            <w:r>
              <w:instrText xml:space="preserve"> PAGEREF _Toc227402266 \h </w:instrText>
            </w:r>
            <w:r>
              <w:fldChar w:fldCharType="separate"/>
            </w:r>
            <w:r>
              <w:t>4</w:t>
            </w:r>
            <w:r>
              <w:fldChar w:fldCharType="end"/>
            </w:r>
          </w:hyperlink>
        </w:p>
        <w:p w14:paraId="6E4E0EF4" w14:textId="77777777" w:rsidR="00D96FD0" w:rsidRDefault="00000000">
          <w:pPr>
            <w:pStyle w:val="TOC2"/>
            <w:tabs>
              <w:tab w:val="right" w:leader="dot" w:pos="9010"/>
            </w:tabs>
            <w:rPr>
              <w:rFonts w:asciiTheme="minorHAnsi" w:eastAsiaTheme="minorEastAsia" w:hAnsiTheme="minorHAnsi" w:cstheme="minorBidi"/>
              <w:kern w:val="2"/>
              <w:sz w:val="24"/>
              <w:szCs w:val="24"/>
              <w14:ligatures w14:val="standardContextual"/>
            </w:rPr>
          </w:pPr>
          <w:hyperlink w:anchor="_Toc227402267" w:history="1">
            <w:r>
              <w:rPr>
                <w:rStyle w:val="Hyperlink"/>
              </w:rPr>
              <w:t>Equality Act 2010</w:t>
            </w:r>
            <w:r>
              <w:tab/>
            </w:r>
            <w:r>
              <w:fldChar w:fldCharType="begin"/>
            </w:r>
            <w:r>
              <w:instrText xml:space="preserve"> PAGEREF _Toc227402267 \h </w:instrText>
            </w:r>
            <w:r>
              <w:fldChar w:fldCharType="separate"/>
            </w:r>
            <w:r>
              <w:t>4</w:t>
            </w:r>
            <w:r>
              <w:fldChar w:fldCharType="end"/>
            </w:r>
          </w:hyperlink>
        </w:p>
        <w:p w14:paraId="43A08A5F" w14:textId="77777777" w:rsidR="00D96FD0" w:rsidRDefault="00000000">
          <w:pPr>
            <w:pStyle w:val="TOC2"/>
            <w:tabs>
              <w:tab w:val="right" w:leader="dot" w:pos="9010"/>
            </w:tabs>
            <w:rPr>
              <w:rFonts w:asciiTheme="minorHAnsi" w:eastAsiaTheme="minorEastAsia" w:hAnsiTheme="minorHAnsi" w:cstheme="minorBidi"/>
              <w:kern w:val="2"/>
              <w:sz w:val="24"/>
              <w:szCs w:val="24"/>
              <w14:ligatures w14:val="standardContextual"/>
            </w:rPr>
          </w:pPr>
          <w:hyperlink w:anchor="_Toc227402268" w:history="1">
            <w:r>
              <w:rPr>
                <w:rStyle w:val="Hyperlink"/>
              </w:rPr>
              <w:t>One Communication Model: Shannon and Weaver Model</w:t>
            </w:r>
            <w:r>
              <w:tab/>
            </w:r>
            <w:r>
              <w:fldChar w:fldCharType="begin"/>
            </w:r>
            <w:r>
              <w:instrText xml:space="preserve"> PAGEREF _Toc227402268 \h </w:instrText>
            </w:r>
            <w:r>
              <w:fldChar w:fldCharType="separate"/>
            </w:r>
            <w:r>
              <w:t>4</w:t>
            </w:r>
            <w:r>
              <w:fldChar w:fldCharType="end"/>
            </w:r>
          </w:hyperlink>
        </w:p>
        <w:p w14:paraId="00E92F5D" w14:textId="77777777" w:rsidR="00D96FD0" w:rsidRDefault="00000000">
          <w:pPr>
            <w:pStyle w:val="TOC1"/>
            <w:tabs>
              <w:tab w:val="right" w:leader="dot" w:pos="9010"/>
            </w:tabs>
            <w:rPr>
              <w:rFonts w:asciiTheme="minorHAnsi" w:eastAsiaTheme="minorEastAsia" w:hAnsiTheme="minorHAnsi" w:cstheme="minorBidi"/>
              <w:kern w:val="2"/>
              <w:sz w:val="24"/>
              <w:szCs w:val="24"/>
              <w14:ligatures w14:val="standardContextual"/>
            </w:rPr>
          </w:pPr>
          <w:hyperlink w:anchor="_Toc227402269" w:history="1">
            <w:r>
              <w:rPr>
                <w:rStyle w:val="Hyperlink"/>
              </w:rPr>
              <w:t>Importance of Good Administrative Skills</w:t>
            </w:r>
            <w:r>
              <w:tab/>
            </w:r>
            <w:r>
              <w:fldChar w:fldCharType="begin"/>
            </w:r>
            <w:r>
              <w:instrText xml:space="preserve"> PAGEREF _Toc227402269 \h </w:instrText>
            </w:r>
            <w:r>
              <w:fldChar w:fldCharType="separate"/>
            </w:r>
            <w:r>
              <w:t>5</w:t>
            </w:r>
            <w:r>
              <w:fldChar w:fldCharType="end"/>
            </w:r>
          </w:hyperlink>
        </w:p>
        <w:p w14:paraId="0CCAB5E4" w14:textId="77777777" w:rsidR="00D96FD0" w:rsidRDefault="00000000">
          <w:pPr>
            <w:pStyle w:val="TOC2"/>
            <w:tabs>
              <w:tab w:val="right" w:leader="dot" w:pos="9010"/>
            </w:tabs>
            <w:rPr>
              <w:rFonts w:asciiTheme="minorHAnsi" w:eastAsiaTheme="minorEastAsia" w:hAnsiTheme="minorHAnsi" w:cstheme="minorBidi"/>
              <w:kern w:val="2"/>
              <w:sz w:val="24"/>
              <w:szCs w:val="24"/>
              <w14:ligatures w14:val="standardContextual"/>
            </w:rPr>
          </w:pPr>
          <w:hyperlink w:anchor="_Toc227402270" w:history="1">
            <w:r>
              <w:rPr>
                <w:rStyle w:val="Hyperlink"/>
              </w:rPr>
              <w:t>Good Administrative Skills</w:t>
            </w:r>
            <w:r>
              <w:tab/>
            </w:r>
            <w:r>
              <w:fldChar w:fldCharType="begin"/>
            </w:r>
            <w:r>
              <w:instrText xml:space="preserve"> PAGEREF _Toc227402270 \h </w:instrText>
            </w:r>
            <w:r>
              <w:fldChar w:fldCharType="separate"/>
            </w:r>
            <w:r>
              <w:t>5</w:t>
            </w:r>
            <w:r>
              <w:fldChar w:fldCharType="end"/>
            </w:r>
          </w:hyperlink>
        </w:p>
        <w:p w14:paraId="57B09AA9" w14:textId="77777777" w:rsidR="00D96FD0" w:rsidRDefault="00000000">
          <w:pPr>
            <w:pStyle w:val="TOC2"/>
            <w:tabs>
              <w:tab w:val="right" w:leader="dot" w:pos="9010"/>
            </w:tabs>
            <w:rPr>
              <w:rFonts w:asciiTheme="minorHAnsi" w:eastAsiaTheme="minorEastAsia" w:hAnsiTheme="minorHAnsi" w:cstheme="minorBidi"/>
              <w:kern w:val="2"/>
              <w:sz w:val="24"/>
              <w:szCs w:val="24"/>
              <w14:ligatures w14:val="standardContextual"/>
            </w:rPr>
          </w:pPr>
          <w:hyperlink w:anchor="_Toc227402271" w:history="1">
            <w:r>
              <w:rPr>
                <w:rStyle w:val="Hyperlink"/>
              </w:rPr>
              <w:t>Relevant Legislation &amp; Any Policy Frameworks</w:t>
            </w:r>
            <w:r>
              <w:tab/>
            </w:r>
            <w:r>
              <w:fldChar w:fldCharType="begin"/>
            </w:r>
            <w:r>
              <w:instrText xml:space="preserve"> PAGEREF _Toc227402271 \h </w:instrText>
            </w:r>
            <w:r>
              <w:fldChar w:fldCharType="separate"/>
            </w:r>
            <w:r>
              <w:t>5</w:t>
            </w:r>
            <w:r>
              <w:fldChar w:fldCharType="end"/>
            </w:r>
          </w:hyperlink>
        </w:p>
        <w:p w14:paraId="2D2A1887" w14:textId="77777777" w:rsidR="00D96FD0" w:rsidRDefault="00000000">
          <w:pPr>
            <w:pStyle w:val="TOC1"/>
            <w:tabs>
              <w:tab w:val="right" w:leader="dot" w:pos="9010"/>
            </w:tabs>
            <w:rPr>
              <w:rFonts w:asciiTheme="minorHAnsi" w:eastAsiaTheme="minorEastAsia" w:hAnsiTheme="minorHAnsi" w:cstheme="minorBidi"/>
              <w:kern w:val="2"/>
              <w:sz w:val="24"/>
              <w:szCs w:val="24"/>
              <w14:ligatures w14:val="standardContextual"/>
            </w:rPr>
          </w:pPr>
          <w:hyperlink w:anchor="_Toc227402272" w:history="1">
            <w:r>
              <w:rPr>
                <w:rStyle w:val="Hyperlink"/>
              </w:rPr>
              <w:t>Importance of Working Collaboratively</w:t>
            </w:r>
            <w:r>
              <w:tab/>
            </w:r>
            <w:r>
              <w:fldChar w:fldCharType="begin"/>
            </w:r>
            <w:r>
              <w:instrText xml:space="preserve"> PAGEREF _Toc227402272 \h </w:instrText>
            </w:r>
            <w:r>
              <w:fldChar w:fldCharType="separate"/>
            </w:r>
            <w:r>
              <w:t>7</w:t>
            </w:r>
            <w:r>
              <w:fldChar w:fldCharType="end"/>
            </w:r>
          </w:hyperlink>
        </w:p>
        <w:p w14:paraId="42FBCE02" w14:textId="77777777" w:rsidR="00D96FD0" w:rsidRDefault="00000000">
          <w:pPr>
            <w:pStyle w:val="TOC1"/>
            <w:tabs>
              <w:tab w:val="right" w:leader="dot" w:pos="9010"/>
            </w:tabs>
            <w:rPr>
              <w:rFonts w:asciiTheme="minorHAnsi" w:eastAsiaTheme="minorEastAsia" w:hAnsiTheme="minorHAnsi" w:cstheme="minorBidi"/>
              <w:kern w:val="2"/>
              <w:sz w:val="24"/>
              <w:szCs w:val="24"/>
              <w14:ligatures w14:val="standardContextual"/>
            </w:rPr>
          </w:pPr>
          <w:hyperlink w:anchor="_Toc227402273" w:history="1">
            <w:r>
              <w:rPr>
                <w:rStyle w:val="Hyperlink"/>
              </w:rPr>
              <w:t>Conclusion</w:t>
            </w:r>
            <w:r>
              <w:tab/>
            </w:r>
            <w:r>
              <w:fldChar w:fldCharType="begin"/>
            </w:r>
            <w:r>
              <w:instrText xml:space="preserve"> PAGEREF _Toc227402273 \h </w:instrText>
            </w:r>
            <w:r>
              <w:fldChar w:fldCharType="separate"/>
            </w:r>
            <w:r>
              <w:t>8</w:t>
            </w:r>
            <w:r>
              <w:fldChar w:fldCharType="end"/>
            </w:r>
          </w:hyperlink>
        </w:p>
        <w:p w14:paraId="511AE9D5" w14:textId="77777777" w:rsidR="00D96FD0" w:rsidRDefault="00000000">
          <w:pPr>
            <w:pStyle w:val="TOC1"/>
            <w:tabs>
              <w:tab w:val="right" w:leader="dot" w:pos="9010"/>
            </w:tabs>
            <w:rPr>
              <w:rFonts w:asciiTheme="minorHAnsi" w:eastAsiaTheme="minorEastAsia" w:hAnsiTheme="minorHAnsi" w:cstheme="minorBidi"/>
              <w:kern w:val="2"/>
              <w:sz w:val="24"/>
              <w:szCs w:val="24"/>
              <w14:ligatures w14:val="standardContextual"/>
            </w:rPr>
          </w:pPr>
          <w:hyperlink w:anchor="_Toc227402274" w:history="1">
            <w:r>
              <w:rPr>
                <w:rStyle w:val="Hyperlink"/>
              </w:rPr>
              <w:t>References</w:t>
            </w:r>
            <w:r>
              <w:tab/>
            </w:r>
            <w:r>
              <w:fldChar w:fldCharType="begin"/>
            </w:r>
            <w:r>
              <w:instrText xml:space="preserve"> PAGEREF _Toc227402274 \h </w:instrText>
            </w:r>
            <w:r>
              <w:fldChar w:fldCharType="separate"/>
            </w:r>
            <w:r>
              <w:t>9</w:t>
            </w:r>
            <w:r>
              <w:fldChar w:fldCharType="end"/>
            </w:r>
          </w:hyperlink>
        </w:p>
        <w:p w14:paraId="108978AF" w14:textId="77777777" w:rsidR="00D96FD0" w:rsidRDefault="00000000">
          <w:r>
            <w:rPr>
              <w:b/>
              <w:bCs/>
            </w:rPr>
            <w:fldChar w:fldCharType="end"/>
          </w:r>
        </w:p>
      </w:sdtContent>
    </w:sdt>
    <w:p w14:paraId="04E77F0F" w14:textId="77777777" w:rsidR="00D96FD0" w:rsidRDefault="00000000">
      <w:pPr>
        <w:rPr>
          <w:b/>
          <w:bCs/>
          <w:color w:val="000000"/>
          <w:lang w:val="en-US"/>
        </w:rPr>
      </w:pPr>
      <w:r>
        <w:rPr>
          <w:b/>
          <w:bCs/>
          <w:color w:val="000000"/>
          <w:lang w:val="en-US"/>
        </w:rPr>
        <w:br w:type="page"/>
      </w:r>
    </w:p>
    <w:p w14:paraId="40021FBE" w14:textId="77777777" w:rsidR="00D96FD0" w:rsidRDefault="00000000">
      <w:pPr>
        <w:pStyle w:val="Heading1"/>
      </w:pPr>
      <w:bookmarkStart w:id="0" w:name="_Toc227402265"/>
      <w:r>
        <w:lastRenderedPageBreak/>
        <w:t>Introduction</w:t>
      </w:r>
      <w:bookmarkEnd w:id="0"/>
      <w:r>
        <w:t xml:space="preserve"> </w:t>
      </w:r>
    </w:p>
    <w:p w14:paraId="2C8885D4" w14:textId="77777777" w:rsidR="00D96FD0" w:rsidRDefault="00000000">
      <w:pPr>
        <w:rPr>
          <w:color w:val="1F1F1F"/>
        </w:rPr>
      </w:pPr>
      <w:r>
        <w:rPr>
          <w:color w:val="1F1F1F"/>
        </w:rPr>
        <w:t>Mr Ahmed is a 68-year-old man who had a stroke. After he left the hospital, he lived with his wife. Care workers visit him three times every day. They help him with care, medicine and food preparation. The problem is that Mr Ahmed's first language is Bengali. He cannot fully understand English. One day, a care worker missed a visit. Because of this, he missed his medication. This shows that there are problems with communication and care coordination.  Health and social care services play a role in supporting people who have an illness or disability. This report will discuss the case of Mr Ahmed, who recently suffered a stroke and requires support from healthcare professionals. Health and social care refer to the combined. This report will discuss the case of Mr Ahmed, who recently suffered a stroke and requires support from healthcare professionals. The report will explain the importance of communication, administrative skills such as record keeping and collaborative working in his care. It will also explain laws such as the Equality Act 2010 and the Data Protection Act 2018. Finally, the report will explain how teamwork helps in providing effective care.</w:t>
      </w:r>
    </w:p>
    <w:p w14:paraId="0C82ECA3" w14:textId="77777777" w:rsidR="00D96FD0" w:rsidRDefault="00000000">
      <w:r>
        <w:br w:type="page"/>
      </w:r>
    </w:p>
    <w:p w14:paraId="15BCDBCB" w14:textId="77777777" w:rsidR="00D96FD0" w:rsidRDefault="00000000">
      <w:pPr>
        <w:pStyle w:val="Heading1"/>
      </w:pPr>
      <w:bookmarkStart w:id="1" w:name="_Toc227402266"/>
      <w:r>
        <w:lastRenderedPageBreak/>
        <w:t>Importance of Effective Communication</w:t>
      </w:r>
      <w:bookmarkEnd w:id="1"/>
      <w:r>
        <w:t xml:space="preserve">  </w:t>
      </w:r>
    </w:p>
    <w:p w14:paraId="0948C587" w14:textId="77777777" w:rsidR="00D96FD0" w:rsidRDefault="00000000">
      <w:pPr>
        <w:rPr>
          <w:color w:val="222222"/>
        </w:rPr>
      </w:pPr>
      <w:r>
        <w:t xml:space="preserve">One communication model that can be applied is the Shannon and Weaver communication model. It is a crucial model that helps in understanding how information is obtained and transferred (Omojuwa, 2025). In Mr Ahmed's case, the nurse is the sender, and Mr Ahmed is the receiver. The message could be medication instructions. However, the language difference becomes noise, which can create misunderstanding. To reduce this problem, professionals can use words or interpreter support. Good administrative skills are essential in health and social care. In Mr Ahmed's case, records about his medication and missed visits are important to understand what went wrong and prevent mistakes. Good communication is done well so that the person sending the information and the person getting it understand the message in the same way (Omojuwa, 2025). </w:t>
      </w:r>
    </w:p>
    <w:p w14:paraId="47CE8A29" w14:textId="77777777" w:rsidR="00D96FD0" w:rsidRDefault="00000000">
      <w:pPr>
        <w:pStyle w:val="Heading2"/>
        <w:rPr>
          <w:b w:val="0"/>
          <w:bCs w:val="0"/>
          <w:szCs w:val="22"/>
        </w:rPr>
      </w:pPr>
      <w:bookmarkStart w:id="2" w:name="_Toc227402267"/>
      <w:r>
        <w:t>Equality Act 2010</w:t>
      </w:r>
      <w:bookmarkEnd w:id="2"/>
      <w:r>
        <w:rPr>
          <w:b w:val="0"/>
          <w:bCs w:val="0"/>
          <w:szCs w:val="22"/>
        </w:rPr>
        <w:t xml:space="preserve">  </w:t>
      </w:r>
    </w:p>
    <w:p w14:paraId="5997109F" w14:textId="77777777" w:rsidR="00D96FD0" w:rsidRDefault="00000000">
      <w:pPr>
        <w:rPr>
          <w:color w:val="FF0000"/>
          <w:lang w:val="en-US"/>
        </w:rPr>
      </w:pPr>
      <w:r>
        <w:t>The Equality Act protects people from being treated. This law says that everyone should be treated the same, no matter what their age, disability or language is (Pyper and Uwazuruike, 2024). Mr Ahmed could be treated unfairly because of his age, health and language problems. This law says that healthcare professionals have to make sure he gets the care he needs. For example, they might get an interpreter to help him understand what they are saying.</w:t>
      </w:r>
      <w:r>
        <w:rPr>
          <w:color w:val="222222"/>
        </w:rPr>
        <w:t xml:space="preserve"> It can be said that the main responsibility for discrimination in the workplace lies with the employers. All of the employers have to make sure that there is no sort of discrimination in the workplace. It can be said that this principle of the act is known as the duty of care, which is very important in the case of Mr Ahmed. In Ahmed’s case, his inability to speak English must not be a safety barrier. The care agency has a legal duty under this Act to provide an interpreter so he can understand his own health needs. This would be very helpful for Ahmed in making a difference. This is not appropriate as the medication team has forgotten to visit Mr Ahmed, so he has not taken the medication, which is appropriate for his health as well. Discrimination is not allowed here, as the vicarious liability cannot be ignored</w:t>
      </w:r>
      <w:r>
        <w:t xml:space="preserve"> (Pyper and Uwazuruike, 2024)</w:t>
      </w:r>
      <w:r>
        <w:rPr>
          <w:color w:val="FF0000"/>
        </w:rPr>
        <w:t>.</w:t>
      </w:r>
      <w:r>
        <w:rPr>
          <w:color w:val="222222"/>
        </w:rPr>
        <w:t xml:space="preserve"> </w:t>
      </w:r>
      <w:r>
        <w:rPr>
          <w:color w:val="222222"/>
          <w:lang w:val="en-US"/>
        </w:rPr>
        <w:t xml:space="preserve"> </w:t>
      </w:r>
    </w:p>
    <w:p w14:paraId="136599C7" w14:textId="77777777" w:rsidR="00D96FD0" w:rsidRDefault="00000000">
      <w:pPr>
        <w:pStyle w:val="Heading2"/>
      </w:pPr>
      <w:bookmarkStart w:id="3" w:name="_Toc227402268"/>
      <w:r>
        <w:t>One Communication Model: Shannon and Weaver Model</w:t>
      </w:r>
      <w:bookmarkEnd w:id="3"/>
      <w:r>
        <w:t xml:space="preserve"> </w:t>
      </w:r>
    </w:p>
    <w:p w14:paraId="3BC91DFE" w14:textId="77777777" w:rsidR="00D96FD0" w:rsidRDefault="00000000">
      <w:pPr>
        <w:rPr>
          <w:color w:val="222222"/>
          <w:lang w:val="en-US"/>
        </w:rPr>
      </w:pPr>
      <w:r>
        <w:t xml:space="preserve">There is also something called person-centred care. This means that healthcare professionals should care about the person they are helping, not their illness. For Mr Ahmed, this means that healthcare professionals should respect his culture and language. There is a model of communication that can help healthcare professionals talk to Mr Ahmed. This model is called the Shannon and Weaver model (Omojuwa, 2025). It says that when people communicate, there is a sender, a message, a channel, a receiver and noise. For Mr Ahmed, the sender is </w:t>
      </w:r>
      <w:r>
        <w:lastRenderedPageBreak/>
        <w:t>the healthcare professional, the message is what they are saying, and the channel is how they are saying it</w:t>
      </w:r>
      <w:r>
        <w:rPr>
          <w:color w:val="222222"/>
        </w:rPr>
        <w:t>.</w:t>
      </w:r>
      <w:r>
        <w:rPr>
          <w:color w:val="222222"/>
          <w:lang w:val="en-US"/>
        </w:rPr>
        <w:t xml:space="preserve"> </w:t>
      </w:r>
    </w:p>
    <w:p w14:paraId="2D9063AE" w14:textId="77777777" w:rsidR="00D96FD0" w:rsidRDefault="00000000">
      <w:pPr>
        <w:pStyle w:val="Heading1"/>
      </w:pPr>
      <w:bookmarkStart w:id="4" w:name="_Toc227402269"/>
      <w:r>
        <w:t>Importance of Good Administrative Skills</w:t>
      </w:r>
      <w:bookmarkEnd w:id="4"/>
      <w:r>
        <w:t xml:space="preserve"> </w:t>
      </w:r>
    </w:p>
    <w:p w14:paraId="174CCBDA" w14:textId="77777777" w:rsidR="00D96FD0" w:rsidRDefault="00000000">
      <w:pPr>
        <w:pStyle w:val="Heading2"/>
      </w:pPr>
      <w:bookmarkStart w:id="5" w:name="_Toc227402270"/>
      <w:r>
        <w:t>Good Administrative Skills</w:t>
      </w:r>
      <w:bookmarkEnd w:id="5"/>
    </w:p>
    <w:p w14:paraId="7835222A" w14:textId="77777777" w:rsidR="00D96FD0" w:rsidRDefault="00000000">
      <w:pPr>
        <w:numPr>
          <w:ilvl w:val="0"/>
          <w:numId w:val="1"/>
        </w:numPr>
        <w:rPr>
          <w:color w:val="FF0000"/>
          <w:lang w:val="en-US"/>
        </w:rPr>
      </w:pPr>
      <w:r>
        <w:t xml:space="preserve">Administrative skills are very important for healthcare professionals. They help them keep track of things and make sure patients get the care they need. Administrative skills include keeping good records. For Mr Ahmed, it is very important to have records because there are a lot of healthcare professionals who help him. If they all have records, they can see what care Mr Ahmed is getting and what care he needs. It can be said that the age, sex, experience, income, levels of education, as well as the knowledge of the health professionals, constitute the attitude and motivation. Further, the workload as well as training about the necessary documentation can be said as a factor which is connected with the routine practice documentation (Demsash et al., 2023). For example, if Mr Ahmed did not get his medication one day, this needs to be recorded so that all healthcare professionals can see what went wrong and try to prevent it from going wrong again. Keeping records also helps healthcare professionals be accountable. Hence, it is important to verify and check the record to understand the wrong aspects going on. In accordance with the Data Protection Act 2018, healthcare professionals have the authority to cross-verify the data. Only people allowed can adopt the process (Jones et al., 2023). </w:t>
      </w:r>
    </w:p>
    <w:p w14:paraId="296C9966" w14:textId="77777777" w:rsidR="00D96FD0" w:rsidRDefault="00000000">
      <w:pPr>
        <w:pStyle w:val="Heading2"/>
      </w:pPr>
      <w:bookmarkStart w:id="6" w:name="_Toc227402271"/>
      <w:r>
        <w:t>Relevant Legislation &amp; Any Policy Frameworks</w:t>
      </w:r>
      <w:bookmarkEnd w:id="6"/>
      <w:r>
        <w:t xml:space="preserve"> </w:t>
      </w:r>
    </w:p>
    <w:p w14:paraId="4645A683" w14:textId="77777777" w:rsidR="00D96FD0" w:rsidRDefault="00000000">
      <w:r>
        <w:t>Having administrative skills involves keeping good records. For Mr Ahmed, it is very important to have records because there are a lot of healthcare professionals who help him. If they all have records, they can see what care Mr Ahmed is getting and what care Mr Ahmed needs. For example, if Mr Ahmed did not get his medication one day. This needs to be recorded so that all healthcare professionals can see what went wrong and try to prevent it from going wrong. UK GDPR, which informs about the general data protection rule applies to most businesses and organisations in the UK in terms of processing data connecting to identifiable, living persons. As a guide, it defines data protection principles, with rights and obligations, is called the Data Protection Act 2018 (Jones et al., 2023).</w:t>
      </w:r>
      <w:r>
        <w:rPr>
          <w:lang w:val="en-US"/>
        </w:rPr>
        <w:t xml:space="preserve"> </w:t>
      </w:r>
      <w:r>
        <w:t xml:space="preserve">For example, standards 4 and 10 are for performance and ethics, whereas standards of proficiency are raised within standards 7 and 10. Furthermore, there are seven main principles, which are the lawfulness, fairness, and transparency (Haven, 2025). The data minimisation as well as purpose limitation are there with limited storage restrictions on the data. There is a factor of vulnerability as well as integrity </w:t>
      </w:r>
      <w:r>
        <w:lastRenderedPageBreak/>
        <w:t>and confidentiality, which is security (Haven, 2025). For Mr Ahmed, this means only his healthcare professionals should be able to see Mr Ahmed's records. Mr Ahmed’s good administrative skills are really about having good records and taking care of people, and a part of health and social care. Information about Mr Ahmed must not be shared without permission. This is to promote trust and professionalism. Patient data must be confidential information, must be secure, and authorised staff should access data.</w:t>
      </w:r>
    </w:p>
    <w:p w14:paraId="7911BBDD" w14:textId="77777777" w:rsidR="00D96FD0" w:rsidRDefault="00000000">
      <w:r>
        <w:rPr>
          <w:color w:val="FF0000"/>
        </w:rPr>
        <w:t xml:space="preserve"> </w:t>
      </w:r>
    </w:p>
    <w:p w14:paraId="38610A0B" w14:textId="77777777" w:rsidR="00D96FD0" w:rsidRDefault="00000000">
      <w:r>
        <w:br w:type="page"/>
      </w:r>
    </w:p>
    <w:p w14:paraId="7DCB0C1A" w14:textId="77777777" w:rsidR="00D96FD0" w:rsidRDefault="00000000">
      <w:pPr>
        <w:pStyle w:val="Heading1"/>
      </w:pPr>
      <w:bookmarkStart w:id="7" w:name="_Toc227402272"/>
      <w:r>
        <w:lastRenderedPageBreak/>
        <w:t>Importance of Working Collaboratively</w:t>
      </w:r>
      <w:bookmarkEnd w:id="7"/>
      <w:r>
        <w:t xml:space="preserve"> </w:t>
      </w:r>
    </w:p>
    <w:p w14:paraId="719C45EA" w14:textId="77777777" w:rsidR="00D96FD0" w:rsidRDefault="00000000">
      <w:r>
        <w:rPr>
          <w:b/>
          <w:bCs/>
        </w:rPr>
        <w:t>GP or General Practitioner</w:t>
      </w:r>
      <w:r>
        <w:t xml:space="preserve">: The GP or the general practitioner is in charge of their health. These can be said as they determine the prescription which is appropriate and in putting the plans for the monitoring of the place (Korylchuk et al., 2024). </w:t>
      </w:r>
    </w:p>
    <w:p w14:paraId="1333279C" w14:textId="77777777" w:rsidR="00D96FD0" w:rsidRDefault="00000000">
      <w:r>
        <w:rPr>
          <w:b/>
          <w:bCs/>
        </w:rPr>
        <w:t xml:space="preserve">District Nurse: </w:t>
      </w:r>
      <w:r>
        <w:t xml:space="preserve">The district nurse is responsible for monitoring blood pressure and wound care. </w:t>
      </w:r>
    </w:p>
    <w:p w14:paraId="2C833A0E" w14:textId="77777777" w:rsidR="00D96FD0" w:rsidRDefault="00000000">
      <w:r>
        <w:rPr>
          <w:b/>
          <w:bCs/>
        </w:rPr>
        <w:t>Domiciliary Care Workers:</w:t>
      </w:r>
      <w:r>
        <w:t xml:space="preserve"> These are the ones who provide vital daily support, for example, personal care, meal preparation, as this offers crucial daily observations regarding changes in the status of one's health.</w:t>
      </w:r>
    </w:p>
    <w:p w14:paraId="4156EF45" w14:textId="77777777" w:rsidR="00D96FD0" w:rsidRDefault="00000000">
      <w:r>
        <w:rPr>
          <w:b/>
          <w:bCs/>
        </w:rPr>
        <w:t>Speech and Language Therapist (SALT):</w:t>
      </w:r>
      <w:r>
        <w:t xml:space="preserve"> The speech therapist is responsible for communication and swallowing. This can be achieved by having more meetings, care plans, communication, and shared records. It can be reported that the physical therapists have the nutritional service use the ancillary services (Korylchuk et al., 2024). Further, the communication can be enhanced by this. However, there are also some challenges. These include communication problems, conflicting schedules, and role confusion. </w:t>
      </w:r>
    </w:p>
    <w:p w14:paraId="3F260F25" w14:textId="77777777" w:rsidR="00D96FD0" w:rsidRDefault="00000000">
      <w:r>
        <w:rPr>
          <w:b/>
          <w:bCs/>
        </w:rPr>
        <w:t>Building Trust &amp; Culture</w:t>
      </w:r>
      <w:r>
        <w:t xml:space="preserve"> is vital, as fostering a culture where different agency cultures are understood and respected is good for any sort of area. Successful relationships can be said to be those that are often driven by trust between individuals rather than just organisations. Trust can be said to have positive effects. Additionally, it can be said that the care which is centred on the viewpoint of patients in terms of the unique needs was considered important for the experience of safety (Azmi et al., 2024).</w:t>
      </w:r>
      <w:r>
        <w:rPr>
          <w:b/>
          <w:bCs/>
        </w:rPr>
        <w:t xml:space="preserve"> Integrated Technology &amp; Communication</w:t>
      </w:r>
      <w:r>
        <w:t xml:space="preserve"> is needed because the shared data platforms are necessary so that communication can be improved, and information can be shared. This includes the utilisation of the platforms based on the cloud for real-time collaboration, document sharing, and project management. The rapid expansion of Information and Communication Technologies (ICTs) has transformed learners into digital learners (Akram et al., 2022).</w:t>
      </w:r>
    </w:p>
    <w:p w14:paraId="321FD98E" w14:textId="77777777" w:rsidR="00D96FD0" w:rsidRDefault="00000000">
      <w:pPr>
        <w:pStyle w:val="ListParagraph"/>
        <w:ind w:left="360"/>
      </w:pPr>
      <w:r>
        <w:br w:type="page"/>
      </w:r>
    </w:p>
    <w:p w14:paraId="0AE9F1A2" w14:textId="77777777" w:rsidR="00D96FD0" w:rsidRDefault="00000000">
      <w:pPr>
        <w:pStyle w:val="Heading1"/>
        <w:rPr>
          <w:szCs w:val="22"/>
        </w:rPr>
      </w:pPr>
      <w:bookmarkStart w:id="8" w:name="_Toc227402273"/>
      <w:r>
        <w:rPr>
          <w:szCs w:val="22"/>
        </w:rPr>
        <w:lastRenderedPageBreak/>
        <w:t>Conclusion</w:t>
      </w:r>
      <w:bookmarkEnd w:id="8"/>
      <w:r>
        <w:rPr>
          <w:szCs w:val="22"/>
        </w:rPr>
        <w:t xml:space="preserve">  </w:t>
      </w:r>
    </w:p>
    <w:p w14:paraId="4BE78D8C" w14:textId="77777777" w:rsidR="00D96FD0" w:rsidRDefault="00000000">
      <w:r>
        <w:t xml:space="preserve">This is the report which has focused on Mr Ahmed, who is an old man who is aged around 68 and has recently been discharged from the hospital. He is the one who lives on the ground floor; however, the problem identified is the missed home visit by the care agency, as the nurse has not arrived to check him and provide the necessary medication. It can be said that effective communication, administrative skills and collaborative working are all very important for healthcare professionals. They help make sure that patients get the care they need and that healthcare professionals can work together to provide that care. The Data Protection Act 2018 ensures personal information is kept safe. Only professionals involved in Mr Ahmed's treatment need to access his medical records. This act and the model of one communication have been used for the analysis. For Mr Ahmed, these things are especially important. He needs healthcare professionals to communicate well with him, keep records, and work together as a team. At last some strategies have been advised for the betterment of the aspects. </w:t>
      </w:r>
    </w:p>
    <w:p w14:paraId="0D2E0875" w14:textId="77777777" w:rsidR="00D96FD0" w:rsidRDefault="00000000">
      <w:pPr>
        <w:rPr>
          <w:color w:val="467886"/>
          <w:u w:val="single"/>
        </w:rPr>
      </w:pPr>
      <w:r>
        <w:rPr>
          <w:color w:val="467886"/>
          <w:u w:val="single"/>
        </w:rPr>
        <w:br w:type="page"/>
      </w:r>
    </w:p>
    <w:p w14:paraId="3A0726C1" w14:textId="77777777" w:rsidR="00D96FD0" w:rsidRDefault="00000000">
      <w:pPr>
        <w:pStyle w:val="Heading1"/>
      </w:pPr>
      <w:bookmarkStart w:id="9" w:name="_Toc227402274"/>
      <w:r>
        <w:lastRenderedPageBreak/>
        <w:t>References</w:t>
      </w:r>
      <w:bookmarkEnd w:id="9"/>
      <w:r>
        <w:t xml:space="preserve">  </w:t>
      </w:r>
    </w:p>
    <w:p w14:paraId="3F668112" w14:textId="77777777" w:rsidR="00D96FD0" w:rsidRDefault="00000000">
      <w:pPr>
        <w:jc w:val="left"/>
        <w:rPr>
          <w:sz w:val="24"/>
          <w:szCs w:val="24"/>
          <w:shd w:val="clear" w:color="auto" w:fill="FFFFFF"/>
        </w:rPr>
      </w:pPr>
      <w:r>
        <w:rPr>
          <w:color w:val="000000" w:themeColor="text1"/>
          <w:shd w:val="clear" w:color="auto" w:fill="FFFFFF"/>
        </w:rPr>
        <w:t>Akram, H., Abdelrady, A.H., Al-Adwan, A.S. and Ramzan, M., 2022. Teachers’ perceptions of technology integration in teaching-learning practices: A systematic review. </w:t>
      </w:r>
      <w:r>
        <w:rPr>
          <w:i/>
          <w:iCs/>
          <w:color w:val="000000" w:themeColor="text1"/>
          <w:shd w:val="clear" w:color="auto" w:fill="FFFFFF"/>
        </w:rPr>
        <w:t>Frontiers in psychology</w:t>
      </w:r>
      <w:r>
        <w:rPr>
          <w:color w:val="000000" w:themeColor="text1"/>
          <w:shd w:val="clear" w:color="auto" w:fill="FFFFFF"/>
        </w:rPr>
        <w:t>, </w:t>
      </w:r>
      <w:r>
        <w:rPr>
          <w:i/>
          <w:iCs/>
          <w:color w:val="000000" w:themeColor="text1"/>
          <w:shd w:val="clear" w:color="auto" w:fill="FFFFFF"/>
        </w:rPr>
        <w:t>13</w:t>
      </w:r>
      <w:r>
        <w:rPr>
          <w:color w:val="000000" w:themeColor="text1"/>
          <w:shd w:val="clear" w:color="auto" w:fill="FFFFFF"/>
        </w:rPr>
        <w:t>, p.920317</w:t>
      </w:r>
      <w:r>
        <w:rPr>
          <w:color w:val="222222"/>
          <w:shd w:val="clear" w:color="auto" w:fill="FFFFFF"/>
        </w:rPr>
        <w:t xml:space="preserve">. </w:t>
      </w:r>
      <w:hyperlink r:id="rId9" w:history="1">
        <w:r>
          <w:rPr>
            <w:rStyle w:val="Hyperlink"/>
            <w:shd w:val="clear" w:color="auto" w:fill="FFFFFF"/>
          </w:rPr>
          <w:t>https://doi.org/10.3389/fpsyg.2022.920317</w:t>
        </w:r>
      </w:hyperlink>
      <w:r>
        <w:rPr>
          <w:color w:val="222222"/>
          <w:shd w:val="clear" w:color="auto" w:fill="FFFFFF"/>
        </w:rPr>
        <w:t xml:space="preserve"> </w:t>
      </w:r>
    </w:p>
    <w:p w14:paraId="5A7269E7" w14:textId="77777777" w:rsidR="00D96FD0" w:rsidRDefault="00000000">
      <w:pPr>
        <w:jc w:val="left"/>
      </w:pPr>
      <w:r>
        <w:rPr>
          <w:shd w:val="clear" w:color="auto" w:fill="FFFFFF"/>
        </w:rPr>
        <w:t>Azmi, H., Walter, B.L., Brooks, A., Richard, I.H., Amodeo, K. and Okun, M.S. (2024). Hospitalization and Parkinson's disease: safety, quality and outcomes. </w:t>
      </w:r>
      <w:r>
        <w:rPr>
          <w:i/>
          <w:iCs/>
          <w:shd w:val="clear" w:color="auto" w:fill="FFFFFF"/>
        </w:rPr>
        <w:t>Frontiers in Aging Neuroscience</w:t>
      </w:r>
      <w:r>
        <w:rPr>
          <w:shd w:val="clear" w:color="auto" w:fill="FFFFFF"/>
        </w:rPr>
        <w:t>, </w:t>
      </w:r>
      <w:r>
        <w:rPr>
          <w:i/>
          <w:iCs/>
          <w:shd w:val="clear" w:color="auto" w:fill="FFFFFF"/>
        </w:rPr>
        <w:t>16</w:t>
      </w:r>
      <w:r>
        <w:rPr>
          <w:shd w:val="clear" w:color="auto" w:fill="FFFFFF"/>
        </w:rPr>
        <w:t>, p.1398947.</w:t>
      </w:r>
      <w:r>
        <w:t xml:space="preserve"> </w:t>
      </w:r>
      <w:hyperlink r:id="rId10" w:history="1">
        <w:r>
          <w:rPr>
            <w:rStyle w:val="Hyperlink"/>
          </w:rPr>
          <w:t>https://doi.org/10.3389/fnagi.2024.1398947</w:t>
        </w:r>
      </w:hyperlink>
      <w:r>
        <w:t xml:space="preserve"> </w:t>
      </w:r>
    </w:p>
    <w:p w14:paraId="72559F01" w14:textId="77777777" w:rsidR="00D96FD0" w:rsidRDefault="00000000">
      <w:pPr>
        <w:jc w:val="left"/>
      </w:pPr>
      <w:r>
        <w:rPr>
          <w:shd w:val="clear" w:color="auto" w:fill="FFFFFF"/>
        </w:rPr>
        <w:t>Demsash, A.W., Kassie, S.Y., Dubale, A.T., Chereka, A.A., Ngusie, H.S., Hunde, M.K., Emanu, M.D., Shibabaw, A.A. and Walle, A.D. (2023). Health professionals’ routine practice documentation and its associated factors in a resource-limited setting: a cross-sectional study. </w:t>
      </w:r>
      <w:r>
        <w:rPr>
          <w:i/>
          <w:iCs/>
          <w:shd w:val="clear" w:color="auto" w:fill="FFFFFF"/>
        </w:rPr>
        <w:t>BMJ health &amp; care informatics</w:t>
      </w:r>
      <w:r>
        <w:rPr>
          <w:shd w:val="clear" w:color="auto" w:fill="FFFFFF"/>
        </w:rPr>
        <w:t>, </w:t>
      </w:r>
      <w:r>
        <w:rPr>
          <w:i/>
          <w:iCs/>
          <w:shd w:val="clear" w:color="auto" w:fill="FFFFFF"/>
        </w:rPr>
        <w:t>30</w:t>
      </w:r>
      <w:r>
        <w:rPr>
          <w:shd w:val="clear" w:color="auto" w:fill="FFFFFF"/>
        </w:rPr>
        <w:t>(1), p.e100699.</w:t>
      </w:r>
      <w:r>
        <w:t xml:space="preserve"> </w:t>
      </w:r>
      <w:hyperlink r:id="rId11" w:history="1">
        <w:r>
          <w:rPr>
            <w:rStyle w:val="Hyperlink"/>
          </w:rPr>
          <w:t>https://doi.org/10.1136/bmjhci-2022-100699</w:t>
        </w:r>
      </w:hyperlink>
      <w:r>
        <w:t xml:space="preserve"> </w:t>
      </w:r>
    </w:p>
    <w:p w14:paraId="59C1CC44" w14:textId="77777777" w:rsidR="00D96FD0" w:rsidRDefault="00000000">
      <w:pPr>
        <w:jc w:val="left"/>
      </w:pPr>
      <w:r>
        <w:t xml:space="preserve">Haven, A. (2025). The Role of GDPR in Protecting Patient Data in Health and Social Care.  [online] Available at: </w:t>
      </w:r>
      <w:hyperlink r:id="rId12" w:anchor=":~:text=Lawfulness%2C%20Fairness%2C%20and%20Transparency%20%E2%80%93,how%20they%20follow%20GDPR%20requirements" w:history="1">
        <w:r>
          <w:rPr>
            <w:rStyle w:val="Hyperlink"/>
          </w:rPr>
          <w:t>https://uk.hfonline.org/the-role-of-gdpr-in-protecting-patient-data-in-health-and-social-care/#:~:text=Lawfulness%2C%20Fairness%2C%20and%20Transparency%20%E2%80%93,how%20they%20follow%20GDPR%20requirements</w:t>
        </w:r>
      </w:hyperlink>
      <w:r>
        <w:t xml:space="preserve"> [Accessed on: 02 April 2026].</w:t>
      </w:r>
    </w:p>
    <w:p w14:paraId="7AC643E9" w14:textId="77777777" w:rsidR="00D96FD0" w:rsidRDefault="00000000">
      <w:pPr>
        <w:jc w:val="left"/>
      </w:pPr>
      <w:r>
        <w:rPr>
          <w:shd w:val="clear" w:color="auto" w:fill="FFFFFF"/>
        </w:rPr>
        <w:t>Jones, M.C., Stone, T., Mason, S.M., Eames, A. and Franklin, M., (2023). Navigating data governance associated with real-world data for public benefit: an overview in the UK and future considerations. </w:t>
      </w:r>
      <w:r>
        <w:rPr>
          <w:i/>
          <w:iCs/>
          <w:shd w:val="clear" w:color="auto" w:fill="FFFFFF"/>
        </w:rPr>
        <w:t>BMJ open</w:t>
      </w:r>
      <w:r>
        <w:rPr>
          <w:shd w:val="clear" w:color="auto" w:fill="FFFFFF"/>
        </w:rPr>
        <w:t>, </w:t>
      </w:r>
      <w:r>
        <w:rPr>
          <w:i/>
          <w:iCs/>
          <w:shd w:val="clear" w:color="auto" w:fill="FFFFFF"/>
        </w:rPr>
        <w:t>13</w:t>
      </w:r>
      <w:r>
        <w:rPr>
          <w:shd w:val="clear" w:color="auto" w:fill="FFFFFF"/>
        </w:rPr>
        <w:t>(10), p.e069925.</w:t>
      </w:r>
      <w:r>
        <w:t xml:space="preserve"> </w:t>
      </w:r>
      <w:hyperlink r:id="rId13" w:history="1">
        <w:r>
          <w:rPr>
            <w:rStyle w:val="Hyperlink"/>
          </w:rPr>
          <w:t>https://doi.org/10.1136/bmjopen-2022-069925</w:t>
        </w:r>
      </w:hyperlink>
      <w:r>
        <w:t xml:space="preserve"> </w:t>
      </w:r>
    </w:p>
    <w:p w14:paraId="23284179" w14:textId="77777777" w:rsidR="00D96FD0" w:rsidRDefault="00000000">
      <w:pPr>
        <w:jc w:val="left"/>
      </w:pPr>
      <w:r>
        <w:rPr>
          <w:shd w:val="clear" w:color="auto" w:fill="FFFFFF"/>
        </w:rPr>
        <w:t>Korylchuk, N., Pelykh, V., Nemyrovych, Y., Didyk, N. and Martsyniak, S., (2024). Challenges and benefits of a multidisciplinary approach to treatment in clinical medicine. </w:t>
      </w:r>
      <w:r>
        <w:rPr>
          <w:i/>
          <w:iCs/>
          <w:shd w:val="clear" w:color="auto" w:fill="FFFFFF"/>
        </w:rPr>
        <w:t>Journal of Pioneering Medical Sciences</w:t>
      </w:r>
      <w:r>
        <w:rPr>
          <w:shd w:val="clear" w:color="auto" w:fill="FFFFFF"/>
        </w:rPr>
        <w:t>, </w:t>
      </w:r>
      <w:r>
        <w:rPr>
          <w:i/>
          <w:iCs/>
          <w:shd w:val="clear" w:color="auto" w:fill="FFFFFF"/>
        </w:rPr>
        <w:t>13</w:t>
      </w:r>
      <w:r>
        <w:rPr>
          <w:shd w:val="clear" w:color="auto" w:fill="FFFFFF"/>
        </w:rPr>
        <w:t>, pp.1-9.</w:t>
      </w:r>
      <w:r>
        <w:t xml:space="preserve"> </w:t>
      </w:r>
      <w:hyperlink r:id="rId14" w:history="1">
        <w:r>
          <w:rPr>
            <w:rStyle w:val="Hyperlink"/>
          </w:rPr>
          <w:t>https://doi.org/10.61091/jpms202413301</w:t>
        </w:r>
      </w:hyperlink>
      <w:r>
        <w:t xml:space="preserve"> </w:t>
      </w:r>
    </w:p>
    <w:p w14:paraId="5A64944D" w14:textId="77777777" w:rsidR="00D96FD0" w:rsidRDefault="00000000">
      <w:pPr>
        <w:jc w:val="left"/>
      </w:pPr>
      <w:r>
        <w:t xml:space="preserve">Omojuwa, B.A., (2025). Exploring the Communication Process Model. Mount Saint Vincent University.  [online] Available at: </w:t>
      </w:r>
      <w:hyperlink r:id="rId15" w:history="1">
        <w:r>
          <w:rPr>
            <w:rStyle w:val="Hyperlink"/>
          </w:rPr>
          <w:t>https://ec.msvu.ca/server/api/core/bitstreams/a5a735ce-680e-4ac3-bb5a-af0196780dba/content</w:t>
        </w:r>
      </w:hyperlink>
      <w:r>
        <w:t xml:space="preserve"> [Accessed on: 01 April 2026].</w:t>
      </w:r>
    </w:p>
    <w:p w14:paraId="5F9A238A" w14:textId="77777777" w:rsidR="00D96FD0" w:rsidRDefault="00000000">
      <w:pPr>
        <w:jc w:val="left"/>
      </w:pPr>
      <w:r>
        <w:t xml:space="preserve">Pyper, D. and Uwazuruike, A., (2024). A short introduction to equality law and policy. [online] Available at: </w:t>
      </w:r>
      <w:hyperlink r:id="rId16" w:history="1">
        <w:r>
          <w:rPr>
            <w:rStyle w:val="Hyperlink"/>
          </w:rPr>
          <w:t>https://researchbriefings.files.parliament.uk/documents/CBP-9448/CBP-9448.pdf</w:t>
        </w:r>
      </w:hyperlink>
      <w:r>
        <w:t xml:space="preserve"> [Accessed on: 18 April 2026].</w:t>
      </w:r>
    </w:p>
    <w:p w14:paraId="37524F9B" w14:textId="77777777" w:rsidR="00D96FD0" w:rsidRDefault="00D96FD0">
      <w:pPr>
        <w:rPr>
          <w:color w:val="FF0000"/>
          <w:lang w:val="en-US"/>
        </w:rPr>
      </w:pPr>
    </w:p>
    <w:sectPr w:rsidR="00D96FD0">
      <w:headerReference w:type="default" r:id="rId17"/>
      <w:pgSz w:w="11900" w:h="16840"/>
      <w:pgMar w:top="1440" w:right="1440" w:bottom="1440" w:left="144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F2432" w14:textId="77777777" w:rsidR="00A36B10" w:rsidRDefault="00A36B10">
      <w:pPr>
        <w:spacing w:line="240" w:lineRule="auto"/>
      </w:pPr>
      <w:r>
        <w:separator/>
      </w:r>
    </w:p>
  </w:endnote>
  <w:endnote w:type="continuationSeparator" w:id="0">
    <w:p w14:paraId="4FCD520A" w14:textId="77777777" w:rsidR="00A36B10" w:rsidRDefault="00A36B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default"/>
    <w:sig w:usb0="00000287" w:usb1="00000000" w:usb2="00000000" w:usb3="00000000" w:csb0="2000009F" w:csb1="00000000"/>
    <w:embedItalic r:id="rId1" w:fontKey="{A2A2A6E9-0BCC-4328-9330-17CD258578A4}"/>
  </w:font>
  <w:font w:name="Calibri">
    <w:panose1 w:val="020F0502020204030204"/>
    <w:charset w:val="00"/>
    <w:family w:val="swiss"/>
    <w:pitch w:val="variable"/>
    <w:sig w:usb0="E4002EFF" w:usb1="C200247B" w:usb2="00000009" w:usb3="00000000" w:csb0="000001FF" w:csb1="00000000"/>
    <w:embedRegular r:id="rId2" w:fontKey="{21555A86-4D2C-4DE1-9FE7-28EC0BDC3601}"/>
  </w:font>
  <w:font w:name="Cambria">
    <w:panose1 w:val="02040503050406030204"/>
    <w:charset w:val="00"/>
    <w:family w:val="roman"/>
    <w:pitch w:val="variable"/>
    <w:sig w:usb0="E00006FF" w:usb1="420024FF" w:usb2="02000000" w:usb3="00000000" w:csb0="0000019F" w:csb1="00000000"/>
    <w:embedRegular r:id="rId3" w:fontKey="{7A466E14-0A5C-49B8-8B16-089DC6A8EE0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53E5C" w14:textId="77777777" w:rsidR="00A36B10" w:rsidRDefault="00A36B10">
      <w:r>
        <w:separator/>
      </w:r>
    </w:p>
  </w:footnote>
  <w:footnote w:type="continuationSeparator" w:id="0">
    <w:p w14:paraId="2B039132" w14:textId="77777777" w:rsidR="00A36B10" w:rsidRDefault="00A36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421082"/>
    </w:sdtPr>
    <w:sdtEndPr>
      <w:rPr>
        <w:color w:val="808080" w:themeColor="background1" w:themeShade="80"/>
        <w:spacing w:val="60"/>
      </w:rPr>
    </w:sdtEndPr>
    <w:sdtContent>
      <w:p w14:paraId="673B1B33" w14:textId="77777777" w:rsidR="00D96FD0" w:rsidRDefault="00D96FD0">
        <w:pPr>
          <w:pStyle w:val="Header"/>
          <w:pBdr>
            <w:bottom w:val="single" w:sz="4" w:space="31" w:color="D9D9D9" w:themeColor="background1" w:themeShade="D9"/>
          </w:pBdr>
        </w:pPr>
      </w:p>
      <w:p w14:paraId="618F58FB" w14:textId="77777777" w:rsidR="00D96FD0" w:rsidRDefault="00D96FD0">
        <w:pPr>
          <w:pStyle w:val="Header"/>
          <w:pBdr>
            <w:bottom w:val="single" w:sz="4" w:space="31" w:color="D9D9D9" w:themeColor="background1" w:themeShade="D9"/>
          </w:pBdr>
        </w:pPr>
      </w:p>
      <w:p w14:paraId="53556CC6" w14:textId="77777777" w:rsidR="00D96FD0" w:rsidRDefault="00000000">
        <w:pPr>
          <w:pStyle w:val="Header"/>
          <w:pBdr>
            <w:bottom w:val="single" w:sz="4" w:space="31" w:color="D9D9D9" w:themeColor="background1" w:themeShade="D9"/>
          </w:pBdr>
          <w:rPr>
            <w:b/>
            <w:bCs/>
          </w:rPr>
        </w:pPr>
        <w:r>
          <w:fldChar w:fldCharType="begin"/>
        </w:r>
        <w:r>
          <w:instrText xml:space="preserve"> PAGE   \* MERGEFORMAT </w:instrText>
        </w:r>
        <w:r>
          <w:fldChar w:fldCharType="separate"/>
        </w:r>
        <w:r>
          <w:rPr>
            <w:b/>
            <w:bCs/>
          </w:rPr>
          <w:t>2</w:t>
        </w:r>
        <w:r>
          <w:rPr>
            <w:b/>
            <w:bCs/>
          </w:rPr>
          <w:fldChar w:fldCharType="end"/>
        </w:r>
        <w:r>
          <w:rPr>
            <w:b/>
            <w:bCs/>
          </w:rPr>
          <w:t xml:space="preserve"> | </w:t>
        </w:r>
        <w:r>
          <w:rPr>
            <w:color w:val="808080" w:themeColor="background1" w:themeShade="80"/>
            <w:spacing w:val="60"/>
          </w:rPr>
          <w:t>Page</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E9C7A"/>
    <w:multiLevelType w:val="singleLevel"/>
    <w:tmpl w:val="55FE9C7A"/>
    <w:lvl w:ilvl="0">
      <w:start w:val="2"/>
      <w:numFmt w:val="decimal"/>
      <w:suff w:val="space"/>
      <w:lvlText w:val="%1."/>
      <w:lvlJc w:val="left"/>
    </w:lvl>
  </w:abstractNum>
  <w:num w:numId="1" w16cid:durableId="812528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DS1MDE0Njc1MTAxMDJU0lEKTi0uzszPAykwqwUAayHCdywAAAA="/>
  </w:docVars>
  <w:rsids>
    <w:rsidRoot w:val="001D4580"/>
    <w:rsid w:val="000337E5"/>
    <w:rsid w:val="00041F89"/>
    <w:rsid w:val="0004312D"/>
    <w:rsid w:val="00052D65"/>
    <w:rsid w:val="00056E8F"/>
    <w:rsid w:val="000658F5"/>
    <w:rsid w:val="00065ED8"/>
    <w:rsid w:val="0007571E"/>
    <w:rsid w:val="00083587"/>
    <w:rsid w:val="000943E9"/>
    <w:rsid w:val="00096E15"/>
    <w:rsid w:val="000A6374"/>
    <w:rsid w:val="000A6666"/>
    <w:rsid w:val="000B3E02"/>
    <w:rsid w:val="000C65DA"/>
    <w:rsid w:val="000D14A9"/>
    <w:rsid w:val="000D3081"/>
    <w:rsid w:val="000D3412"/>
    <w:rsid w:val="000D5590"/>
    <w:rsid w:val="000E68D6"/>
    <w:rsid w:val="00100037"/>
    <w:rsid w:val="00102C3F"/>
    <w:rsid w:val="0010595F"/>
    <w:rsid w:val="00136821"/>
    <w:rsid w:val="001652B5"/>
    <w:rsid w:val="00165B8A"/>
    <w:rsid w:val="00172328"/>
    <w:rsid w:val="00181704"/>
    <w:rsid w:val="001A349C"/>
    <w:rsid w:val="001B4374"/>
    <w:rsid w:val="001D4580"/>
    <w:rsid w:val="001E27E9"/>
    <w:rsid w:val="001F5006"/>
    <w:rsid w:val="001F6382"/>
    <w:rsid w:val="0024530D"/>
    <w:rsid w:val="002A1670"/>
    <w:rsid w:val="002A78B0"/>
    <w:rsid w:val="002B5808"/>
    <w:rsid w:val="002C544F"/>
    <w:rsid w:val="002D11DA"/>
    <w:rsid w:val="00314C34"/>
    <w:rsid w:val="00320087"/>
    <w:rsid w:val="00324EFE"/>
    <w:rsid w:val="003252AB"/>
    <w:rsid w:val="003445FF"/>
    <w:rsid w:val="00381630"/>
    <w:rsid w:val="003847C6"/>
    <w:rsid w:val="003869F0"/>
    <w:rsid w:val="003958FC"/>
    <w:rsid w:val="003B3523"/>
    <w:rsid w:val="003B47A9"/>
    <w:rsid w:val="003C1522"/>
    <w:rsid w:val="003C4A94"/>
    <w:rsid w:val="00403BAB"/>
    <w:rsid w:val="00410FF9"/>
    <w:rsid w:val="00421920"/>
    <w:rsid w:val="00441265"/>
    <w:rsid w:val="004660A4"/>
    <w:rsid w:val="004661FE"/>
    <w:rsid w:val="004670BB"/>
    <w:rsid w:val="00467DC6"/>
    <w:rsid w:val="004B5F82"/>
    <w:rsid w:val="004D1BA0"/>
    <w:rsid w:val="004E5FC1"/>
    <w:rsid w:val="004F46E5"/>
    <w:rsid w:val="004F518E"/>
    <w:rsid w:val="004F70AF"/>
    <w:rsid w:val="004F753E"/>
    <w:rsid w:val="00502B79"/>
    <w:rsid w:val="00546C3A"/>
    <w:rsid w:val="00587240"/>
    <w:rsid w:val="005C7DA5"/>
    <w:rsid w:val="005E0082"/>
    <w:rsid w:val="005E0EF1"/>
    <w:rsid w:val="005E3583"/>
    <w:rsid w:val="005F28B4"/>
    <w:rsid w:val="00602256"/>
    <w:rsid w:val="00616429"/>
    <w:rsid w:val="00624FB2"/>
    <w:rsid w:val="006702B6"/>
    <w:rsid w:val="006968B8"/>
    <w:rsid w:val="006D1108"/>
    <w:rsid w:val="006F71C7"/>
    <w:rsid w:val="00705AE6"/>
    <w:rsid w:val="00734851"/>
    <w:rsid w:val="00737A01"/>
    <w:rsid w:val="00741660"/>
    <w:rsid w:val="00744450"/>
    <w:rsid w:val="00746429"/>
    <w:rsid w:val="00756FE9"/>
    <w:rsid w:val="0076329E"/>
    <w:rsid w:val="00765D93"/>
    <w:rsid w:val="0077017A"/>
    <w:rsid w:val="007C4F60"/>
    <w:rsid w:val="007C6479"/>
    <w:rsid w:val="007F180D"/>
    <w:rsid w:val="00802B59"/>
    <w:rsid w:val="00820747"/>
    <w:rsid w:val="00825777"/>
    <w:rsid w:val="008377C2"/>
    <w:rsid w:val="00842439"/>
    <w:rsid w:val="00847917"/>
    <w:rsid w:val="00864F18"/>
    <w:rsid w:val="008737A1"/>
    <w:rsid w:val="00881E19"/>
    <w:rsid w:val="008B0552"/>
    <w:rsid w:val="008B620D"/>
    <w:rsid w:val="008C33CE"/>
    <w:rsid w:val="008E43C5"/>
    <w:rsid w:val="0090232A"/>
    <w:rsid w:val="009337A3"/>
    <w:rsid w:val="00933B79"/>
    <w:rsid w:val="00957D90"/>
    <w:rsid w:val="00962DDE"/>
    <w:rsid w:val="00972E12"/>
    <w:rsid w:val="009742F0"/>
    <w:rsid w:val="00980D7D"/>
    <w:rsid w:val="00993DC3"/>
    <w:rsid w:val="009A69AE"/>
    <w:rsid w:val="009A7111"/>
    <w:rsid w:val="009D1701"/>
    <w:rsid w:val="009E2DB1"/>
    <w:rsid w:val="009E32F0"/>
    <w:rsid w:val="00A050F1"/>
    <w:rsid w:val="00A127B5"/>
    <w:rsid w:val="00A1707F"/>
    <w:rsid w:val="00A36B10"/>
    <w:rsid w:val="00A41660"/>
    <w:rsid w:val="00A43659"/>
    <w:rsid w:val="00A464EF"/>
    <w:rsid w:val="00A72EEE"/>
    <w:rsid w:val="00A86CE4"/>
    <w:rsid w:val="00AB59BA"/>
    <w:rsid w:val="00AC44FA"/>
    <w:rsid w:val="00AF656D"/>
    <w:rsid w:val="00B33EE2"/>
    <w:rsid w:val="00B571A6"/>
    <w:rsid w:val="00B62E6B"/>
    <w:rsid w:val="00B64BB9"/>
    <w:rsid w:val="00B64FB8"/>
    <w:rsid w:val="00B81AEB"/>
    <w:rsid w:val="00BA136A"/>
    <w:rsid w:val="00BB4690"/>
    <w:rsid w:val="00BE7480"/>
    <w:rsid w:val="00C00E70"/>
    <w:rsid w:val="00C04A4D"/>
    <w:rsid w:val="00C24C22"/>
    <w:rsid w:val="00C3253B"/>
    <w:rsid w:val="00C47E6A"/>
    <w:rsid w:val="00C8323C"/>
    <w:rsid w:val="00C854EF"/>
    <w:rsid w:val="00C9437A"/>
    <w:rsid w:val="00CB7EE4"/>
    <w:rsid w:val="00CC613D"/>
    <w:rsid w:val="00CE5076"/>
    <w:rsid w:val="00CF2E94"/>
    <w:rsid w:val="00CF33DF"/>
    <w:rsid w:val="00CF5CD9"/>
    <w:rsid w:val="00D26766"/>
    <w:rsid w:val="00D27673"/>
    <w:rsid w:val="00D42C6A"/>
    <w:rsid w:val="00D7258C"/>
    <w:rsid w:val="00D81726"/>
    <w:rsid w:val="00D819C5"/>
    <w:rsid w:val="00D8282A"/>
    <w:rsid w:val="00D93F3E"/>
    <w:rsid w:val="00D96FD0"/>
    <w:rsid w:val="00DC081F"/>
    <w:rsid w:val="00DF4F64"/>
    <w:rsid w:val="00E72BD7"/>
    <w:rsid w:val="00E733A9"/>
    <w:rsid w:val="00EA0A25"/>
    <w:rsid w:val="00EB6BAE"/>
    <w:rsid w:val="00ED2FCB"/>
    <w:rsid w:val="00ED4787"/>
    <w:rsid w:val="00ED7B9F"/>
    <w:rsid w:val="00F01B50"/>
    <w:rsid w:val="00F05D45"/>
    <w:rsid w:val="00F0782B"/>
    <w:rsid w:val="00F104B9"/>
    <w:rsid w:val="00F11F23"/>
    <w:rsid w:val="00F124FE"/>
    <w:rsid w:val="00F52DF0"/>
    <w:rsid w:val="00F641A5"/>
    <w:rsid w:val="00F72A90"/>
    <w:rsid w:val="00F75F56"/>
    <w:rsid w:val="00F77999"/>
    <w:rsid w:val="00F858AC"/>
    <w:rsid w:val="00F95AA6"/>
    <w:rsid w:val="00FA32B5"/>
    <w:rsid w:val="00FB4E97"/>
    <w:rsid w:val="00FC34BB"/>
    <w:rsid w:val="00FD5631"/>
    <w:rsid w:val="00FF107E"/>
    <w:rsid w:val="57CA191B"/>
    <w:rsid w:val="DC8B19D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61F87"/>
  <w15:docId w15:val="{F08C054B-CCD3-4A9B-BE35-F74310C0F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Arial" w:eastAsia="Arial" w:hAnsi="Arial" w:cs="Arial"/>
      <w:sz w:val="22"/>
      <w:szCs w:val="22"/>
      <w:lang w:val="en-IN" w:eastAsia="en-IN"/>
    </w:rPr>
  </w:style>
  <w:style w:type="paragraph" w:styleId="Heading1">
    <w:name w:val="heading 1"/>
    <w:basedOn w:val="Normal"/>
    <w:next w:val="Normal"/>
    <w:uiPriority w:val="9"/>
    <w:qFormat/>
    <w:pPr>
      <w:keepNext/>
      <w:keepLines/>
      <w:spacing w:before="480" w:after="120"/>
      <w:outlineLvl w:val="0"/>
    </w:pPr>
    <w:rPr>
      <w:b/>
      <w:bCs/>
      <w:szCs w:val="48"/>
      <w:u w:val="single"/>
    </w:rPr>
  </w:style>
  <w:style w:type="paragraph" w:styleId="Heading2">
    <w:name w:val="heading 2"/>
    <w:basedOn w:val="Normal"/>
    <w:next w:val="Normal"/>
    <w:uiPriority w:val="9"/>
    <w:unhideWhenUsed/>
    <w:qFormat/>
    <w:pPr>
      <w:keepNext/>
      <w:keepLines/>
      <w:spacing w:before="360" w:after="80"/>
      <w:outlineLvl w:val="1"/>
    </w:pPr>
    <w:rPr>
      <w:b/>
      <w:bCs/>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Title">
    <w:name w:val="Title"/>
    <w:basedOn w:val="Normal"/>
    <w:next w:val="Normal"/>
    <w:uiPriority w:val="10"/>
    <w:qFormat/>
    <w:pPr>
      <w:keepNext/>
      <w:keepLines/>
      <w:spacing w:before="480" w:after="120"/>
    </w:pPr>
    <w:rPr>
      <w:b/>
      <w:bCs/>
      <w:sz w:val="56"/>
      <w:szCs w:val="7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table" w:customStyle="1" w:styleId="TableNormal0">
    <w:name w:val="TableNormal"/>
    <w:tblPr>
      <w:tblCellMar>
        <w:top w:w="100" w:type="dxa"/>
        <w:left w:w="100" w:type="dxa"/>
        <w:bottom w:w="100" w:type="dxa"/>
        <w:right w:w="100" w:type="dxa"/>
      </w:tblCellMar>
    </w:tblPr>
  </w:style>
  <w:style w:type="paragraph" w:customStyle="1" w:styleId="TOCHeading1">
    <w:name w:val="TOC Heading1"/>
    <w:basedOn w:val="Heading1"/>
    <w:next w:val="Normal"/>
    <w:uiPriority w:val="39"/>
    <w:unhideWhenUsed/>
    <w:qFormat/>
    <w:pPr>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customStyle="1" w:styleId="UnresolvedMention2">
    <w:name w:val="Unresolved Mention2"/>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36/bmjopen-2022-06992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hfonline.org/the-role-of-gdpr-in-protecting-patient-data-in-health-and-social-car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researchbriefings.files.parliament.uk/documents/CBP-9448/CBP-944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bmjhci-2022-100699" TargetMode="External"/><Relationship Id="rId5" Type="http://schemas.openxmlformats.org/officeDocument/2006/relationships/webSettings" Target="webSettings.xml"/><Relationship Id="rId15" Type="http://schemas.openxmlformats.org/officeDocument/2006/relationships/hyperlink" Target="https://ec.msvu.ca/server/api/core/bitstreams/a5a735ce-680e-4ac3-bb5a-af0196780dba/content" TargetMode="External"/><Relationship Id="rId10" Type="http://schemas.openxmlformats.org/officeDocument/2006/relationships/hyperlink" Target="https://doi.org/10.3389/fnagi.2024.139894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3389/fpsyg.2022.920317" TargetMode="External"/><Relationship Id="rId14" Type="http://schemas.openxmlformats.org/officeDocument/2006/relationships/hyperlink" Target="https://doi.org/10.61091/jpms20241330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4EC07004-2EE8-4B4E-A1A1-92E5806E8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9</Pages>
  <Words>2180</Words>
  <Characters>12432</Characters>
  <Application>Microsoft Office Word</Application>
  <DocSecurity>0</DocSecurity>
  <Lines>103</Lines>
  <Paragraphs>29</Paragraphs>
  <ScaleCrop>false</ScaleCrop>
  <Company/>
  <LinksUpToDate>false</LinksUpToDate>
  <CharactersWithSpaces>14583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Riza Guzel</cp:lastModifiedBy>
  <cp:revision>365</cp:revision>
  <dcterms:created xsi:type="dcterms:W3CDTF">2026-04-02T17:15:00Z</dcterms:created>
  <dcterms:modified xsi:type="dcterms:W3CDTF">2026-04-20T23:07:00Z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4b03616c-8208-4e43-b7e6-871b744f2cc6</vt:lpwstr>
  </property>
  <property fmtid="{D5CDD505-2E9C-101B-9397-08002B2CF9AE}" pid="3" name="KSOProductBuildVer">
    <vt:lpwstr>1033-12.1.23155.23155</vt:lpwstr>
  </property>
  <property fmtid="{D5CDD505-2E9C-101B-9397-08002B2CF9AE}" pid="4" name="ICV">
    <vt:lpwstr>BAAD26D3BB38DE2F9140E269C909D497_42</vt:lpwstr>
  </property>
</Properties>
</file>