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1812" w:rsidRPr="007D11D6" w:rsidRDefault="00FD1812" w:rsidP="00FD1812">
      <w:pPr>
        <w:rPr>
          <w:sz w:val="52"/>
          <w:szCs w:val="52"/>
        </w:rPr>
      </w:pPr>
      <w:r w:rsidRPr="007D11D6">
        <w:rPr>
          <w:sz w:val="52"/>
          <w:szCs w:val="52"/>
        </w:rPr>
        <w:t xml:space="preserve">Multilingual practice in the </w:t>
      </w:r>
      <w:proofErr w:type="gramStart"/>
      <w:r w:rsidRPr="007D11D6">
        <w:rPr>
          <w:sz w:val="52"/>
          <w:szCs w:val="52"/>
        </w:rPr>
        <w:t>Early</w:t>
      </w:r>
      <w:proofErr w:type="gramEnd"/>
      <w:r w:rsidRPr="007D11D6">
        <w:rPr>
          <w:sz w:val="52"/>
          <w:szCs w:val="52"/>
        </w:rPr>
        <w:t xml:space="preserve"> years</w:t>
      </w:r>
    </w:p>
    <w:p w:rsidR="00FD1812" w:rsidRPr="007D11D6" w:rsidRDefault="00FD1812" w:rsidP="00FD1812">
      <w:pPr>
        <w:rPr>
          <w:sz w:val="52"/>
          <w:szCs w:val="52"/>
        </w:rPr>
      </w:pPr>
      <w:r w:rsidRPr="007D11D6">
        <w:rPr>
          <w:sz w:val="52"/>
          <w:szCs w:val="52"/>
        </w:rPr>
        <w:t>(ECEY4010/C)</w:t>
      </w:r>
    </w:p>
    <w:p w:rsidR="00FD1812" w:rsidRDefault="00FD1812" w:rsidP="00FD1812"/>
    <w:p w:rsidR="00FD1812" w:rsidRDefault="00FD1812" w:rsidP="00FD1812"/>
    <w:p w:rsidR="00FD1812" w:rsidRDefault="00FD1812" w:rsidP="00FD1812"/>
    <w:p w:rsidR="00FD1812" w:rsidRPr="007D11D6" w:rsidRDefault="00FD1812" w:rsidP="00FD1812">
      <w:pPr>
        <w:rPr>
          <w:sz w:val="28"/>
          <w:szCs w:val="28"/>
        </w:rPr>
      </w:pPr>
      <w:r w:rsidRPr="007D11D6">
        <w:rPr>
          <w:sz w:val="28"/>
          <w:szCs w:val="28"/>
        </w:rPr>
        <w:t>PART 1</w:t>
      </w:r>
    </w:p>
    <w:p w:rsidR="00FD1812" w:rsidRDefault="00FD1812" w:rsidP="00FD1812"/>
    <w:p w:rsidR="00FD1812" w:rsidRDefault="00FD1812" w:rsidP="00FD1812">
      <w:pPr>
        <w:rPr>
          <w:lang w:val="en-GB"/>
        </w:rPr>
      </w:pPr>
      <w:hyperlink r:id="rId4" w:history="1">
        <w:r>
          <w:rPr>
            <w:rStyle w:val="Hyperlink"/>
          </w:rPr>
          <w:t>20250309_152911.mp4</w:t>
        </w:r>
      </w:hyperlink>
    </w:p>
    <w:p w:rsidR="00FD1812" w:rsidRPr="00486C37" w:rsidRDefault="00FD1812" w:rsidP="00FD1812">
      <w:hyperlink r:id="rId5" w:history="1">
        <w:r w:rsidRPr="00B80F92">
          <w:t>20250309</w:t>
        </w:r>
        <w:r>
          <w:rPr>
            <w:rStyle w:val="Hyperlink"/>
          </w:rPr>
          <w:t>_</w:t>
        </w:r>
        <w:r w:rsidRPr="00B80F92">
          <w:t>165307</w:t>
        </w:r>
        <w:r>
          <w:rPr>
            <w:rStyle w:val="Hyperlink"/>
          </w:rPr>
          <w:t>.mp4</w:t>
        </w:r>
      </w:hyperlink>
      <w:r>
        <w:t xml:space="preserve"> </w:t>
      </w:r>
    </w:p>
    <w:p w:rsidR="00FD1812" w:rsidRDefault="00FD1812" w:rsidP="00FD1812">
      <w:pPr>
        <w:spacing w:line="480" w:lineRule="auto"/>
        <w:rPr>
          <w:rFonts w:ascii="Times New Roman" w:hAnsi="Times New Roman" w:cs="Times New Roman"/>
          <w:b/>
          <w:bCs/>
          <w:sz w:val="24"/>
          <w:szCs w:val="24"/>
        </w:rPr>
      </w:pPr>
    </w:p>
    <w:p w:rsidR="00FD1812" w:rsidRDefault="00FD1812" w:rsidP="00FD1812">
      <w:pPr>
        <w:spacing w:line="480" w:lineRule="auto"/>
        <w:rPr>
          <w:rFonts w:ascii="Times New Roman" w:hAnsi="Times New Roman" w:cs="Times New Roman"/>
          <w:b/>
          <w:bCs/>
          <w:sz w:val="24"/>
          <w:szCs w:val="24"/>
        </w:rPr>
      </w:pPr>
      <w:r>
        <w:rPr>
          <w:rFonts w:ascii="Times New Roman" w:hAnsi="Times New Roman" w:cs="Times New Roman"/>
          <w:b/>
          <w:bCs/>
          <w:sz w:val="24"/>
          <w:szCs w:val="24"/>
        </w:rPr>
        <w:t>PART 2</w:t>
      </w:r>
    </w:p>
    <w:p w:rsidR="00FD1812" w:rsidRPr="00A013B0" w:rsidRDefault="00FD1812" w:rsidP="00FD1812">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Introduction</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This assignment will discuss the implications and benefits of bilingualism and multilingualism. Related concepts including the impact of multilingualism and bilingualism on brain development and divergent thinking are highlighted. The assignment will critically discuss English as an additional language and highlight links to early year’s frameworks and programmes. The exact definitions of bilingualism and multilingualism vary considerably (</w:t>
      </w:r>
      <w:proofErr w:type="spellStart"/>
      <w:r w:rsidRPr="00A013B0">
        <w:rPr>
          <w:rFonts w:ascii="Times New Roman" w:hAnsi="Times New Roman" w:cs="Times New Roman"/>
          <w:sz w:val="24"/>
          <w:szCs w:val="24"/>
        </w:rPr>
        <w:t>Landsberry</w:t>
      </w:r>
      <w:proofErr w:type="spellEnd"/>
      <w:r w:rsidRPr="00A013B0">
        <w:rPr>
          <w:rFonts w:ascii="Times New Roman" w:hAnsi="Times New Roman" w:cs="Times New Roman"/>
          <w:sz w:val="24"/>
          <w:szCs w:val="24"/>
        </w:rPr>
        <w:t>, 2019). These definitions are often based on the degree to which the individual can easily and simultaneously use two or more languages (De Angelis, 2021). Other factors that are important to the definition include the age at which the individual learns to use a second or third language, the degree to which they can both write and speak a second or third language (</w:t>
      </w:r>
      <w:proofErr w:type="spellStart"/>
      <w:r w:rsidRPr="00A013B0">
        <w:rPr>
          <w:rFonts w:ascii="Times New Roman" w:hAnsi="Times New Roman" w:cs="Times New Roman"/>
          <w:sz w:val="24"/>
          <w:szCs w:val="24"/>
        </w:rPr>
        <w:t>Lansberry</w:t>
      </w:r>
      <w:proofErr w:type="spellEnd"/>
      <w:r w:rsidRPr="00A013B0">
        <w:rPr>
          <w:rFonts w:ascii="Times New Roman" w:hAnsi="Times New Roman" w:cs="Times New Roman"/>
          <w:sz w:val="24"/>
          <w:szCs w:val="24"/>
        </w:rPr>
        <w:t>, 2019).  Bilingualism refers to the ability to alternate between two languages by a speaker. When individuals can alternate between more than two languages, they are referred to as multilinguals and this phenomenon is called multilingualism (</w:t>
      </w:r>
      <w:proofErr w:type="spellStart"/>
      <w:r w:rsidRPr="00A013B0">
        <w:rPr>
          <w:rFonts w:ascii="Times New Roman" w:hAnsi="Times New Roman" w:cs="Times New Roman"/>
          <w:sz w:val="24"/>
          <w:szCs w:val="24"/>
        </w:rPr>
        <w:t>Cenoz</w:t>
      </w:r>
      <w:proofErr w:type="spellEnd"/>
      <w:r w:rsidRPr="00A013B0">
        <w:rPr>
          <w:rFonts w:ascii="Times New Roman" w:hAnsi="Times New Roman" w:cs="Times New Roman"/>
          <w:sz w:val="24"/>
          <w:szCs w:val="24"/>
        </w:rPr>
        <w:t xml:space="preserve">, 2013). It can also be defined as the ability of individuals, groups, and societies to regularly </w:t>
      </w:r>
      <w:r w:rsidRPr="00A013B0">
        <w:rPr>
          <w:rFonts w:ascii="Times New Roman" w:hAnsi="Times New Roman" w:cs="Times New Roman"/>
          <w:sz w:val="24"/>
          <w:szCs w:val="24"/>
        </w:rPr>
        <w:lastRenderedPageBreak/>
        <w:t>engage with more than one language in their daily lives (</w:t>
      </w:r>
      <w:proofErr w:type="spellStart"/>
      <w:r w:rsidRPr="00A013B0">
        <w:rPr>
          <w:rFonts w:ascii="Times New Roman" w:hAnsi="Times New Roman" w:cs="Times New Roman"/>
          <w:sz w:val="24"/>
          <w:szCs w:val="24"/>
        </w:rPr>
        <w:t>Cenoz</w:t>
      </w:r>
      <w:proofErr w:type="spellEnd"/>
      <w:r w:rsidRPr="00A013B0">
        <w:rPr>
          <w:rFonts w:ascii="Times New Roman" w:hAnsi="Times New Roman" w:cs="Times New Roman"/>
          <w:sz w:val="24"/>
          <w:szCs w:val="24"/>
        </w:rPr>
        <w:t>, 2013; European Commission, 2007).</w:t>
      </w:r>
    </w:p>
    <w:p w:rsidR="00FD1812" w:rsidRPr="00A013B0" w:rsidRDefault="00FD1812" w:rsidP="00FD1812">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a) Benefits of bilingualism and/or multilingualism</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Bilingualism and multilingualism provide several cognitive, social and even educational benefits. Studies on the cognitive benefits of multilingualism and bilingualism have demonstrated that both can potentially improve attention, cognitive flexibility and even problem-solving abilities (</w:t>
      </w:r>
      <w:proofErr w:type="spellStart"/>
      <w:r w:rsidRPr="00A013B0">
        <w:rPr>
          <w:rFonts w:ascii="Times New Roman" w:hAnsi="Times New Roman" w:cs="Times New Roman"/>
          <w:sz w:val="24"/>
          <w:szCs w:val="24"/>
        </w:rPr>
        <w:t>Greve</w:t>
      </w:r>
      <w:proofErr w:type="spellEnd"/>
      <w:r w:rsidRPr="00A013B0">
        <w:rPr>
          <w:rFonts w:ascii="Times New Roman" w:hAnsi="Times New Roman" w:cs="Times New Roman"/>
          <w:sz w:val="24"/>
          <w:szCs w:val="24"/>
        </w:rPr>
        <w:t xml:space="preserve"> </w:t>
      </w:r>
      <w:r w:rsidRPr="00A013B0">
        <w:rPr>
          <w:rFonts w:ascii="Times New Roman" w:hAnsi="Times New Roman" w:cs="Times New Roman"/>
          <w:i/>
          <w:iCs/>
          <w:sz w:val="24"/>
          <w:szCs w:val="24"/>
        </w:rPr>
        <w:t xml:space="preserve">et al., </w:t>
      </w:r>
      <w:r w:rsidRPr="00A013B0">
        <w:rPr>
          <w:rFonts w:ascii="Times New Roman" w:hAnsi="Times New Roman" w:cs="Times New Roman"/>
          <w:sz w:val="24"/>
          <w:szCs w:val="24"/>
        </w:rPr>
        <w:t>2024); Marian and Shook, 2012). The link between multilingualism or bilingualism and improvement in cognitive function can be explained through the cognitive advantage hypothesis (</w:t>
      </w:r>
      <w:proofErr w:type="spellStart"/>
      <w:r w:rsidRPr="00A013B0">
        <w:rPr>
          <w:rFonts w:ascii="Times New Roman" w:hAnsi="Times New Roman" w:cs="Times New Roman"/>
          <w:sz w:val="24"/>
          <w:szCs w:val="24"/>
        </w:rPr>
        <w:t>Gnaoré</w:t>
      </w:r>
      <w:proofErr w:type="spellEnd"/>
      <w:r w:rsidRPr="00A013B0">
        <w:rPr>
          <w:rFonts w:ascii="Times New Roman" w:hAnsi="Times New Roman" w:cs="Times New Roman"/>
          <w:sz w:val="24"/>
          <w:szCs w:val="24"/>
        </w:rPr>
        <w:t>, 2024). This hypothesis states that the ability to manage multiple linguistic systems enhances ex</w:t>
      </w:r>
      <w:r>
        <w:rPr>
          <w:rFonts w:ascii="Times New Roman" w:hAnsi="Times New Roman" w:cs="Times New Roman"/>
          <w:sz w:val="24"/>
          <w:szCs w:val="24"/>
        </w:rPr>
        <w:t>ecutive functions.</w:t>
      </w:r>
      <w:r w:rsidRPr="00A013B0">
        <w:rPr>
          <w:rFonts w:ascii="Times New Roman" w:hAnsi="Times New Roman" w:cs="Times New Roman"/>
          <w:sz w:val="24"/>
          <w:szCs w:val="24"/>
        </w:rPr>
        <w:t xml:space="preserve">  These individuals also have higher cognitive reserve which potentially delays the onset of neurodege</w:t>
      </w:r>
      <w:r>
        <w:rPr>
          <w:rFonts w:ascii="Times New Roman" w:hAnsi="Times New Roman" w:cs="Times New Roman"/>
          <w:sz w:val="24"/>
          <w:szCs w:val="24"/>
        </w:rPr>
        <w:t>nerative diseases</w:t>
      </w:r>
      <w:r w:rsidRPr="00A013B0">
        <w:rPr>
          <w:rFonts w:ascii="Times New Roman" w:hAnsi="Times New Roman" w:cs="Times New Roman"/>
          <w:sz w:val="24"/>
          <w:szCs w:val="24"/>
        </w:rPr>
        <w:t>. This has been proposed by Bialystok in her examination of cognitive effects of multilingualism (Bialystok, 2017).</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In addition to cognitive benefits, multilingualism and bilingualism are associated with several social and emotional benefits (</w:t>
      </w:r>
      <w:proofErr w:type="spellStart"/>
      <w:r w:rsidRPr="00A013B0">
        <w:rPr>
          <w:rFonts w:ascii="Times New Roman" w:hAnsi="Times New Roman" w:cs="Times New Roman"/>
          <w:sz w:val="24"/>
          <w:szCs w:val="24"/>
        </w:rPr>
        <w:t>Chibaka</w:t>
      </w:r>
      <w:proofErr w:type="spellEnd"/>
      <w:r w:rsidRPr="00A013B0">
        <w:rPr>
          <w:rFonts w:ascii="Times New Roman" w:hAnsi="Times New Roman" w:cs="Times New Roman"/>
          <w:sz w:val="24"/>
          <w:szCs w:val="24"/>
        </w:rPr>
        <w:t xml:space="preserve">, 2018). Multilingual and bilinguals are better able to associate with those around them. The ability to communicate and socialize with others through a shared language can enhance empathy and improve interpersonal relations. As shown in the activity video, bilingualism helps the speakers to share in an activity with speakers of other languages (English). However, this correlation may be confounded by additional factors. The children can learn, communicate and socialize using terms in Farsi.  Shared languages frequently provide a mechanism for promoting shared identity. </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Multilingualism can enhance cultural and intercultural understanding. Individuals who speak various languages can perceive and understand the perspectives of other persons (Fan </w:t>
      </w:r>
      <w:r w:rsidRPr="00A013B0">
        <w:rPr>
          <w:rFonts w:ascii="Times New Roman" w:hAnsi="Times New Roman" w:cs="Times New Roman"/>
          <w:i/>
          <w:iCs/>
          <w:sz w:val="24"/>
          <w:szCs w:val="24"/>
        </w:rPr>
        <w:t xml:space="preserve">et al., </w:t>
      </w:r>
      <w:r w:rsidRPr="00A013B0">
        <w:rPr>
          <w:rFonts w:ascii="Times New Roman" w:hAnsi="Times New Roman" w:cs="Times New Roman"/>
          <w:sz w:val="24"/>
          <w:szCs w:val="24"/>
        </w:rPr>
        <w:t xml:space="preserve">2015). Multilingual children are better equipped to express emotions and otherwise engage in meaningful interactions (Back </w:t>
      </w:r>
      <w:r w:rsidRPr="00DA0885">
        <w:rPr>
          <w:rFonts w:ascii="Times New Roman" w:hAnsi="Times New Roman" w:cs="Times New Roman"/>
          <w:i/>
          <w:iCs/>
          <w:sz w:val="24"/>
          <w:szCs w:val="24"/>
        </w:rPr>
        <w:t>et al.,</w:t>
      </w:r>
      <w:r w:rsidRPr="00A013B0">
        <w:rPr>
          <w:rFonts w:ascii="Times New Roman" w:hAnsi="Times New Roman" w:cs="Times New Roman"/>
          <w:i/>
          <w:iCs/>
          <w:sz w:val="24"/>
          <w:szCs w:val="24"/>
        </w:rPr>
        <w:t xml:space="preserve"> </w:t>
      </w:r>
      <w:r w:rsidRPr="00A013B0">
        <w:rPr>
          <w:rFonts w:ascii="Times New Roman" w:hAnsi="Times New Roman" w:cs="Times New Roman"/>
          <w:sz w:val="24"/>
          <w:szCs w:val="24"/>
        </w:rPr>
        <w:t>2020).</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Finally, multilingualism and bilingualism are linked to several academic benefits. By enhancing cognitive flexibility, individuals who speak two or more languages may outperform their peers without such capabilities (</w:t>
      </w:r>
      <w:proofErr w:type="spellStart"/>
      <w:r w:rsidRPr="00A013B0">
        <w:rPr>
          <w:rFonts w:ascii="Times New Roman" w:hAnsi="Times New Roman" w:cs="Times New Roman"/>
          <w:sz w:val="24"/>
          <w:szCs w:val="24"/>
        </w:rPr>
        <w:t>Daud</w:t>
      </w:r>
      <w:proofErr w:type="spellEnd"/>
      <w:r w:rsidRPr="00A013B0">
        <w:rPr>
          <w:rFonts w:ascii="Times New Roman" w:hAnsi="Times New Roman" w:cs="Times New Roman"/>
          <w:sz w:val="24"/>
          <w:szCs w:val="24"/>
        </w:rPr>
        <w:t xml:space="preserve">, 2024). Multilingual learners can more rapidly achieve required learning outcomes when compared to their peers. These children are often more creative with a greater capacity for abstract thought and reasoning (Xia </w:t>
      </w:r>
      <w:r w:rsidRPr="00DA0885">
        <w:rPr>
          <w:rFonts w:ascii="Times New Roman" w:hAnsi="Times New Roman" w:cs="Times New Roman"/>
          <w:i/>
          <w:sz w:val="24"/>
          <w:szCs w:val="24"/>
        </w:rPr>
        <w:t>et al</w:t>
      </w:r>
      <w:r w:rsidRPr="00A013B0">
        <w:rPr>
          <w:rFonts w:ascii="Times New Roman" w:hAnsi="Times New Roman" w:cs="Times New Roman"/>
          <w:sz w:val="24"/>
          <w:szCs w:val="24"/>
        </w:rPr>
        <w:t xml:space="preserve">., 2022). They are better problem solvers which may enhance academic achievement </w:t>
      </w:r>
    </w:p>
    <w:p w:rsidR="00FD1812" w:rsidRPr="00A013B0" w:rsidRDefault="00FD1812" w:rsidP="00FD1812">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b) Welsh as an Additional Language/English as an Additional Language</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For many Welsh children, English or Welsh is frequently a second language. Schools and early-year practitioners are important in enhancing the acquisition of English or Welsh as a second language (Sword, 2021). For children learning English or Welsh as a second language, inadequate vocabulary can hinder expression and comprehension which makes it difficult to understand written materials and follow conversations. These children may initially find it difficult to communicate their needs. In the activity video, the children are taught basic vocabulary in Farsi. They may not understand all the terms initially and may have difficulty using Farsi terms at this stage. This difficulty adversely impacts their ability to interact with their practitioners and peers (EAL Hub, 2022). The child will usually experience difficulty participating in class activities and completing tasks. However, with time, the learner makes progress as they become more and more conversant with the language and its structure. The 5-stage model of WAL/EAL acquisition states that the child is first new to the language (Stage A) </w:t>
      </w:r>
      <w:r>
        <w:rPr>
          <w:rFonts w:ascii="Times New Roman" w:hAnsi="Times New Roman" w:cs="Times New Roman"/>
          <w:sz w:val="24"/>
          <w:szCs w:val="24"/>
        </w:rPr>
        <w:t>(Ve</w:t>
      </w:r>
      <w:r w:rsidRPr="00A013B0">
        <w:rPr>
          <w:rFonts w:ascii="Times New Roman" w:hAnsi="Times New Roman" w:cs="Times New Roman"/>
          <w:sz w:val="24"/>
          <w:szCs w:val="24"/>
        </w:rPr>
        <w:t>ronique, 2023). Stage B occurs during early acquisition, stage C involves development of competence, D is when the speaker is competent, and E when they are fluent (</w:t>
      </w:r>
      <w:proofErr w:type="spellStart"/>
      <w:r w:rsidRPr="00A013B0">
        <w:rPr>
          <w:rFonts w:ascii="Times New Roman" w:hAnsi="Times New Roman" w:cs="Times New Roman"/>
          <w:sz w:val="24"/>
          <w:szCs w:val="24"/>
        </w:rPr>
        <w:t>Limacher-Riebold</w:t>
      </w:r>
      <w:proofErr w:type="spellEnd"/>
      <w:r w:rsidRPr="00A013B0">
        <w:rPr>
          <w:rFonts w:ascii="Times New Roman" w:hAnsi="Times New Roman" w:cs="Times New Roman"/>
          <w:sz w:val="24"/>
          <w:szCs w:val="24"/>
        </w:rPr>
        <w:t>, 2019). Although learners will show characteristics dominant of one stage, they go through these stages at different rates.</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Observing the child interact with other persons can help practitioners determine the level of proficiency and to institute appropriate interventions to enhance the acquisition of the second language (Macy, 2019). The practitioner should continue speaking to the learner even when the learner does not respond. Practitioners can describe what they (the practitioners) are doing, explain to the child what the child is doing, ask questions, and even employ storytelling. As shown in the activity video, the practitioner asks questions and uses storytelling to encourage learning. This is consistent with Vygotsky’s proximal development method that allows the practitioner to support ESL or WAL learning by providing a scaffold for language learning (McLeod, 2024). Practitioners should make time for child talk allowing the child to practice what he or she has learnt (</w:t>
      </w:r>
      <w:proofErr w:type="spellStart"/>
      <w:r w:rsidRPr="00A013B0">
        <w:rPr>
          <w:rFonts w:ascii="Times New Roman" w:hAnsi="Times New Roman" w:cs="Times New Roman"/>
          <w:sz w:val="24"/>
          <w:szCs w:val="24"/>
        </w:rPr>
        <w:t>Luckenbill</w:t>
      </w:r>
      <w:proofErr w:type="spellEnd"/>
      <w:r w:rsidRPr="00A013B0">
        <w:rPr>
          <w:rFonts w:ascii="Times New Roman" w:hAnsi="Times New Roman" w:cs="Times New Roman"/>
          <w:sz w:val="24"/>
          <w:szCs w:val="24"/>
        </w:rPr>
        <w:t xml:space="preserve">, 2020). By building on prior knowledge to support WAL/EAL, learners may more rapidly acquire the second language than would be otherwise possible. </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By selectively using the child’s first language to communicate during the initial stages, practitioners can provide a scaffold for acquisition of WAL/EAL (Bell Foundation, 2024; </w:t>
      </w:r>
      <w:proofErr w:type="spellStart"/>
      <w:r w:rsidRPr="00A013B0">
        <w:rPr>
          <w:rFonts w:ascii="Times New Roman" w:hAnsi="Times New Roman" w:cs="Times New Roman"/>
          <w:sz w:val="24"/>
          <w:szCs w:val="24"/>
        </w:rPr>
        <w:t>Aithal</w:t>
      </w:r>
      <w:proofErr w:type="spellEnd"/>
      <w:r w:rsidRPr="00A013B0">
        <w:rPr>
          <w:rFonts w:ascii="Times New Roman" w:hAnsi="Times New Roman" w:cs="Times New Roman"/>
          <w:sz w:val="24"/>
          <w:szCs w:val="24"/>
        </w:rPr>
        <w:t>, 2023). Working with parents and caregivers can enhance collaboration and language learning outside the formal class environment (</w:t>
      </w:r>
      <w:proofErr w:type="spellStart"/>
      <w:r w:rsidRPr="00A013B0">
        <w:rPr>
          <w:rFonts w:ascii="Times New Roman" w:hAnsi="Times New Roman" w:cs="Times New Roman"/>
          <w:sz w:val="24"/>
          <w:szCs w:val="24"/>
        </w:rPr>
        <w:t>Jeong</w:t>
      </w:r>
      <w:proofErr w:type="spellEnd"/>
      <w:r w:rsidRPr="00A013B0">
        <w:rPr>
          <w:rFonts w:ascii="Times New Roman" w:hAnsi="Times New Roman" w:cs="Times New Roman"/>
          <w:sz w:val="24"/>
          <w:szCs w:val="24"/>
        </w:rPr>
        <w:t xml:space="preserve"> </w:t>
      </w:r>
      <w:r w:rsidRPr="00DA0885">
        <w:rPr>
          <w:rFonts w:ascii="Times New Roman" w:hAnsi="Times New Roman" w:cs="Times New Roman"/>
          <w:i/>
          <w:sz w:val="24"/>
          <w:szCs w:val="24"/>
        </w:rPr>
        <w:t>et al</w:t>
      </w:r>
      <w:r w:rsidRPr="00A013B0">
        <w:rPr>
          <w:rFonts w:ascii="Times New Roman" w:hAnsi="Times New Roman" w:cs="Times New Roman"/>
          <w:sz w:val="24"/>
          <w:szCs w:val="24"/>
        </w:rPr>
        <w:t>., 2021).</w:t>
      </w:r>
    </w:p>
    <w:p w:rsidR="00FD1812" w:rsidRDefault="00FD1812" w:rsidP="00FD1812">
      <w:pPr>
        <w:spacing w:line="480" w:lineRule="auto"/>
        <w:rPr>
          <w:rFonts w:ascii="Times New Roman" w:hAnsi="Times New Roman" w:cs="Times New Roman"/>
          <w:b/>
          <w:bCs/>
          <w:sz w:val="24"/>
          <w:szCs w:val="24"/>
        </w:rPr>
      </w:pPr>
    </w:p>
    <w:p w:rsidR="00FD1812" w:rsidRDefault="00FD1812" w:rsidP="00FD1812">
      <w:pPr>
        <w:spacing w:line="480" w:lineRule="auto"/>
        <w:rPr>
          <w:rFonts w:ascii="Times New Roman" w:hAnsi="Times New Roman" w:cs="Times New Roman"/>
          <w:b/>
          <w:bCs/>
          <w:sz w:val="24"/>
          <w:szCs w:val="24"/>
        </w:rPr>
      </w:pPr>
    </w:p>
    <w:p w:rsidR="00FD1812" w:rsidRDefault="00FD1812" w:rsidP="00FD1812">
      <w:pPr>
        <w:spacing w:line="480" w:lineRule="auto"/>
        <w:rPr>
          <w:rFonts w:ascii="Times New Roman" w:hAnsi="Times New Roman" w:cs="Times New Roman"/>
          <w:b/>
          <w:bCs/>
          <w:sz w:val="24"/>
          <w:szCs w:val="24"/>
        </w:rPr>
      </w:pPr>
    </w:p>
    <w:p w:rsidR="00FD1812" w:rsidRPr="00A013B0" w:rsidRDefault="00FD1812" w:rsidP="00FD1812">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c) Brain development</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Multilingualism is linked to certain neurochemical and neuroanatomical changes in the brain which can enhance brain development (</w:t>
      </w:r>
      <w:proofErr w:type="spellStart"/>
      <w:r w:rsidRPr="00A013B0">
        <w:rPr>
          <w:rFonts w:ascii="Times New Roman" w:hAnsi="Times New Roman" w:cs="Times New Roman"/>
          <w:sz w:val="24"/>
          <w:szCs w:val="24"/>
        </w:rPr>
        <w:t>Pliatsikas</w:t>
      </w:r>
      <w:proofErr w:type="spellEnd"/>
      <w:r w:rsidRPr="00A013B0">
        <w:rPr>
          <w:rFonts w:ascii="Times New Roman" w:hAnsi="Times New Roman" w:cs="Times New Roman"/>
          <w:sz w:val="24"/>
          <w:szCs w:val="24"/>
        </w:rPr>
        <w:t xml:space="preserve"> </w:t>
      </w:r>
      <w:r w:rsidRPr="00DA0885">
        <w:rPr>
          <w:rFonts w:ascii="Times New Roman" w:hAnsi="Times New Roman" w:cs="Times New Roman"/>
          <w:i/>
          <w:sz w:val="24"/>
          <w:szCs w:val="24"/>
        </w:rPr>
        <w:t>et al.,</w:t>
      </w:r>
      <w:r w:rsidRPr="00A013B0">
        <w:rPr>
          <w:rFonts w:ascii="Times New Roman" w:hAnsi="Times New Roman" w:cs="Times New Roman"/>
          <w:sz w:val="24"/>
          <w:szCs w:val="24"/>
        </w:rPr>
        <w:t xml:space="preserve"> 2020; (</w:t>
      </w:r>
      <w:proofErr w:type="spellStart"/>
      <w:r w:rsidRPr="00A013B0">
        <w:rPr>
          <w:rFonts w:ascii="Times New Roman" w:hAnsi="Times New Roman" w:cs="Times New Roman"/>
          <w:sz w:val="24"/>
          <w:szCs w:val="24"/>
        </w:rPr>
        <w:t>Korenar</w:t>
      </w:r>
      <w:proofErr w:type="spellEnd"/>
      <w:r w:rsidRPr="00A013B0">
        <w:rPr>
          <w:rFonts w:ascii="Times New Roman" w:hAnsi="Times New Roman" w:cs="Times New Roman"/>
          <w:sz w:val="24"/>
          <w:szCs w:val="24"/>
        </w:rPr>
        <w:t xml:space="preserve">, </w:t>
      </w:r>
      <w:proofErr w:type="spellStart"/>
      <w:r w:rsidRPr="00A013B0">
        <w:rPr>
          <w:rFonts w:ascii="Times New Roman" w:hAnsi="Times New Roman" w:cs="Times New Roman"/>
          <w:sz w:val="24"/>
          <w:szCs w:val="24"/>
        </w:rPr>
        <w:t>Treffers-Daller</w:t>
      </w:r>
      <w:proofErr w:type="spellEnd"/>
      <w:r w:rsidRPr="00A013B0">
        <w:rPr>
          <w:rFonts w:ascii="Times New Roman" w:hAnsi="Times New Roman" w:cs="Times New Roman"/>
          <w:sz w:val="24"/>
          <w:szCs w:val="24"/>
        </w:rPr>
        <w:t xml:space="preserve"> and </w:t>
      </w:r>
      <w:proofErr w:type="spellStart"/>
      <w:r w:rsidRPr="00A013B0">
        <w:rPr>
          <w:rFonts w:ascii="Times New Roman" w:hAnsi="Times New Roman" w:cs="Times New Roman"/>
          <w:sz w:val="24"/>
          <w:szCs w:val="24"/>
        </w:rPr>
        <w:t>Pliatsikas</w:t>
      </w:r>
      <w:proofErr w:type="spellEnd"/>
      <w:r w:rsidRPr="00A013B0">
        <w:rPr>
          <w:rFonts w:ascii="Times New Roman" w:hAnsi="Times New Roman" w:cs="Times New Roman"/>
          <w:sz w:val="24"/>
          <w:szCs w:val="24"/>
        </w:rPr>
        <w:t xml:space="preserve">, 2023). In general, changing between two or more languages has been shown to cause structural and functional changes in specific brain areas including the anterior temporal lobe, anterior cingulate cortex, the cerebellum, and even the caudate nucleus (Hayakawa &amp; Marian, 2019; </w:t>
      </w:r>
      <w:proofErr w:type="spellStart"/>
      <w:r w:rsidRPr="00A013B0">
        <w:rPr>
          <w:rFonts w:ascii="Times New Roman" w:hAnsi="Times New Roman" w:cs="Times New Roman"/>
          <w:sz w:val="24"/>
          <w:szCs w:val="24"/>
        </w:rPr>
        <w:t>eBruin</w:t>
      </w:r>
      <w:proofErr w:type="spellEnd"/>
      <w:r w:rsidRPr="00A013B0">
        <w:rPr>
          <w:rFonts w:ascii="Times New Roman" w:hAnsi="Times New Roman" w:cs="Times New Roman"/>
          <w:sz w:val="24"/>
          <w:szCs w:val="24"/>
        </w:rPr>
        <w:t xml:space="preserve">, </w:t>
      </w:r>
      <w:proofErr w:type="spellStart"/>
      <w:r w:rsidRPr="00A013B0">
        <w:rPr>
          <w:rFonts w:ascii="Times New Roman" w:hAnsi="Times New Roman" w:cs="Times New Roman"/>
          <w:sz w:val="24"/>
          <w:szCs w:val="24"/>
        </w:rPr>
        <w:t>Carreiras</w:t>
      </w:r>
      <w:proofErr w:type="spellEnd"/>
      <w:r w:rsidRPr="00A013B0">
        <w:rPr>
          <w:rFonts w:ascii="Times New Roman" w:hAnsi="Times New Roman" w:cs="Times New Roman"/>
          <w:sz w:val="24"/>
          <w:szCs w:val="24"/>
        </w:rPr>
        <w:t xml:space="preserve"> and </w:t>
      </w:r>
      <w:proofErr w:type="spellStart"/>
      <w:r w:rsidRPr="00A013B0">
        <w:rPr>
          <w:rFonts w:ascii="Times New Roman" w:hAnsi="Times New Roman" w:cs="Times New Roman"/>
          <w:sz w:val="24"/>
          <w:szCs w:val="24"/>
        </w:rPr>
        <w:t>Duñabeitia</w:t>
      </w:r>
      <w:proofErr w:type="spellEnd"/>
      <w:r w:rsidRPr="00A013B0">
        <w:rPr>
          <w:rFonts w:ascii="Times New Roman" w:hAnsi="Times New Roman" w:cs="Times New Roman"/>
          <w:sz w:val="24"/>
          <w:szCs w:val="24"/>
        </w:rPr>
        <w:t>, 2017). Wernicke’s area is associated with language production, comprehension and processing (Cherry, 2006). Individuals who speak two or more languages have increased brain activation and connectivity in Wernicke’s area potentially enhancing language production, processing, and comprehension (</w:t>
      </w:r>
      <w:proofErr w:type="spellStart"/>
      <w:r w:rsidRPr="00A013B0">
        <w:rPr>
          <w:rFonts w:ascii="Times New Roman" w:hAnsi="Times New Roman" w:cs="Times New Roman"/>
          <w:sz w:val="24"/>
          <w:szCs w:val="24"/>
        </w:rPr>
        <w:t>Wani</w:t>
      </w:r>
      <w:proofErr w:type="spellEnd"/>
      <w:r w:rsidRPr="00A013B0">
        <w:rPr>
          <w:rFonts w:ascii="Times New Roman" w:hAnsi="Times New Roman" w:cs="Times New Roman"/>
          <w:sz w:val="24"/>
          <w:szCs w:val="24"/>
        </w:rPr>
        <w:t xml:space="preserve">, 2024). </w:t>
      </w:r>
      <w:proofErr w:type="spellStart"/>
      <w:r w:rsidRPr="00A013B0">
        <w:rPr>
          <w:rFonts w:ascii="Times New Roman" w:hAnsi="Times New Roman" w:cs="Times New Roman"/>
          <w:sz w:val="24"/>
          <w:szCs w:val="24"/>
        </w:rPr>
        <w:t>Broca’s</w:t>
      </w:r>
      <w:proofErr w:type="spellEnd"/>
      <w:r w:rsidRPr="00A013B0">
        <w:rPr>
          <w:rFonts w:ascii="Times New Roman" w:hAnsi="Times New Roman" w:cs="Times New Roman"/>
          <w:sz w:val="24"/>
          <w:szCs w:val="24"/>
        </w:rPr>
        <w:t xml:space="preserve"> area typically receives information from Wernicke’s area. It controls the muscles of speech and, therefore, speech production. In multilingual and bilinguals, there is increased grey matter in </w:t>
      </w:r>
      <w:proofErr w:type="spellStart"/>
      <w:r w:rsidRPr="00A013B0">
        <w:rPr>
          <w:rFonts w:ascii="Times New Roman" w:hAnsi="Times New Roman" w:cs="Times New Roman"/>
          <w:sz w:val="24"/>
          <w:szCs w:val="24"/>
        </w:rPr>
        <w:t>Broca’s</w:t>
      </w:r>
      <w:proofErr w:type="spellEnd"/>
      <w:r w:rsidRPr="00A013B0">
        <w:rPr>
          <w:rFonts w:ascii="Times New Roman" w:hAnsi="Times New Roman" w:cs="Times New Roman"/>
          <w:sz w:val="24"/>
          <w:szCs w:val="24"/>
        </w:rPr>
        <w:t xml:space="preserve"> area when compared to monolinguals (Taylor </w:t>
      </w:r>
      <w:r w:rsidRPr="00DA0885">
        <w:rPr>
          <w:rFonts w:ascii="Times New Roman" w:hAnsi="Times New Roman" w:cs="Times New Roman"/>
          <w:i/>
          <w:sz w:val="24"/>
          <w:szCs w:val="24"/>
        </w:rPr>
        <w:t>et al.,</w:t>
      </w:r>
      <w:r w:rsidRPr="00A013B0">
        <w:rPr>
          <w:rFonts w:ascii="Times New Roman" w:hAnsi="Times New Roman" w:cs="Times New Roman"/>
          <w:sz w:val="24"/>
          <w:szCs w:val="24"/>
        </w:rPr>
        <w:t xml:space="preserve"> 2021). The motor cortex is another brain area involved in speech production as well as speech perception. In individuals who speech a second language, there is increased neuronal activity in motor cortex when compared to monolinguals (Costa and </w:t>
      </w:r>
      <w:proofErr w:type="spellStart"/>
      <w:r w:rsidRPr="00A013B0">
        <w:rPr>
          <w:rFonts w:ascii="Times New Roman" w:hAnsi="Times New Roman" w:cs="Times New Roman"/>
          <w:sz w:val="24"/>
          <w:szCs w:val="24"/>
        </w:rPr>
        <w:t>Sebastián-Gallés</w:t>
      </w:r>
      <w:proofErr w:type="spellEnd"/>
      <w:r w:rsidRPr="00A013B0">
        <w:rPr>
          <w:rFonts w:ascii="Times New Roman" w:hAnsi="Times New Roman" w:cs="Times New Roman"/>
          <w:sz w:val="24"/>
          <w:szCs w:val="24"/>
        </w:rPr>
        <w:t>, 2014). The auditory cortex is involved in the processing of auditory information. This area carries messages to the sensory speech area in the brain. Children who are bilingual have been shown to experience enhanced phonological awareness (</w:t>
      </w:r>
      <w:proofErr w:type="spellStart"/>
      <w:r w:rsidRPr="00A013B0">
        <w:rPr>
          <w:rFonts w:ascii="Times New Roman" w:hAnsi="Times New Roman" w:cs="Times New Roman"/>
          <w:sz w:val="24"/>
          <w:szCs w:val="24"/>
        </w:rPr>
        <w:t>Kuo</w:t>
      </w:r>
      <w:proofErr w:type="spellEnd"/>
      <w:r w:rsidRPr="00A013B0">
        <w:rPr>
          <w:rFonts w:ascii="Times New Roman" w:hAnsi="Times New Roman" w:cs="Times New Roman"/>
          <w:sz w:val="24"/>
          <w:szCs w:val="24"/>
        </w:rPr>
        <w:t xml:space="preserve"> </w:t>
      </w:r>
      <w:r w:rsidRPr="00DA0885">
        <w:rPr>
          <w:rFonts w:ascii="Times New Roman" w:hAnsi="Times New Roman" w:cs="Times New Roman"/>
          <w:i/>
          <w:sz w:val="24"/>
          <w:szCs w:val="24"/>
        </w:rPr>
        <w:t>et al.,</w:t>
      </w:r>
      <w:r w:rsidRPr="00A013B0">
        <w:rPr>
          <w:rFonts w:ascii="Times New Roman" w:hAnsi="Times New Roman" w:cs="Times New Roman"/>
          <w:sz w:val="24"/>
          <w:szCs w:val="24"/>
        </w:rPr>
        <w:t xml:space="preserve"> 2016). They are better able to learn new phonemes when compared to monolinguals and have increased attention to speech (</w:t>
      </w:r>
      <w:proofErr w:type="spellStart"/>
      <w:r w:rsidRPr="00A013B0">
        <w:rPr>
          <w:rFonts w:ascii="Times New Roman" w:hAnsi="Times New Roman" w:cs="Times New Roman"/>
          <w:sz w:val="24"/>
          <w:szCs w:val="24"/>
        </w:rPr>
        <w:t>Kuipers</w:t>
      </w:r>
      <w:proofErr w:type="spellEnd"/>
      <w:r w:rsidRPr="00A013B0">
        <w:rPr>
          <w:rFonts w:ascii="Times New Roman" w:hAnsi="Times New Roman" w:cs="Times New Roman"/>
          <w:sz w:val="24"/>
          <w:szCs w:val="24"/>
        </w:rPr>
        <w:t xml:space="preserve"> and Thierry, 2015). </w:t>
      </w:r>
    </w:p>
    <w:p w:rsidR="00FD1812" w:rsidRDefault="00FD1812" w:rsidP="00FD1812">
      <w:pPr>
        <w:spacing w:line="480" w:lineRule="auto"/>
        <w:rPr>
          <w:rFonts w:ascii="Times New Roman" w:hAnsi="Times New Roman" w:cs="Times New Roman"/>
          <w:b/>
          <w:bCs/>
          <w:sz w:val="24"/>
          <w:szCs w:val="24"/>
        </w:rPr>
      </w:pPr>
    </w:p>
    <w:p w:rsidR="00FD1812" w:rsidRDefault="00FD1812" w:rsidP="00FD1812">
      <w:pPr>
        <w:spacing w:line="480" w:lineRule="auto"/>
        <w:rPr>
          <w:rFonts w:ascii="Times New Roman" w:hAnsi="Times New Roman" w:cs="Times New Roman"/>
          <w:b/>
          <w:bCs/>
          <w:sz w:val="24"/>
          <w:szCs w:val="24"/>
        </w:rPr>
      </w:pPr>
    </w:p>
    <w:p w:rsidR="00FD1812" w:rsidRPr="00A013B0" w:rsidRDefault="00FD1812" w:rsidP="00FD1812">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d) Divergent thinking</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Divergent thinking refers to the ability to come up with several otherwise unique perspectives or solutions to a problem (Indeed Career Guide, 2024). It is also termed lateral thinking and will usually require one to rapidly consider several solutions to or paths towards a desirable outcome (The Interaction Design Foundation, 2016). Multilingualism and bilingualism have been linked to higher capacity for divergent thinking even though evidence for this correlation is still disputed (</w:t>
      </w:r>
      <w:proofErr w:type="spellStart"/>
      <w:r w:rsidRPr="00A013B0">
        <w:rPr>
          <w:rFonts w:ascii="Times New Roman" w:hAnsi="Times New Roman" w:cs="Times New Roman"/>
          <w:sz w:val="24"/>
          <w:szCs w:val="24"/>
        </w:rPr>
        <w:t>Kharkhurin</w:t>
      </w:r>
      <w:proofErr w:type="spellEnd"/>
      <w:r w:rsidRPr="00A013B0">
        <w:rPr>
          <w:rFonts w:ascii="Times New Roman" w:hAnsi="Times New Roman" w:cs="Times New Roman"/>
          <w:sz w:val="24"/>
          <w:szCs w:val="24"/>
        </w:rPr>
        <w:t xml:space="preserve">, </w:t>
      </w:r>
      <w:proofErr w:type="spellStart"/>
      <w:r w:rsidRPr="00A013B0">
        <w:rPr>
          <w:rFonts w:ascii="Times New Roman" w:hAnsi="Times New Roman" w:cs="Times New Roman"/>
          <w:sz w:val="24"/>
          <w:szCs w:val="24"/>
        </w:rPr>
        <w:t>Koncha</w:t>
      </w:r>
      <w:proofErr w:type="spellEnd"/>
      <w:r w:rsidRPr="00A013B0">
        <w:rPr>
          <w:rFonts w:ascii="Times New Roman" w:hAnsi="Times New Roman" w:cs="Times New Roman"/>
          <w:sz w:val="24"/>
          <w:szCs w:val="24"/>
        </w:rPr>
        <w:t xml:space="preserve"> and </w:t>
      </w:r>
      <w:proofErr w:type="spellStart"/>
      <w:r w:rsidRPr="00A013B0">
        <w:rPr>
          <w:rFonts w:ascii="Times New Roman" w:hAnsi="Times New Roman" w:cs="Times New Roman"/>
          <w:sz w:val="24"/>
          <w:szCs w:val="24"/>
        </w:rPr>
        <w:t>Charkhabi</w:t>
      </w:r>
      <w:proofErr w:type="spellEnd"/>
      <w:r w:rsidRPr="00A013B0">
        <w:rPr>
          <w:rFonts w:ascii="Times New Roman" w:hAnsi="Times New Roman" w:cs="Times New Roman"/>
          <w:sz w:val="24"/>
          <w:szCs w:val="24"/>
        </w:rPr>
        <w:t xml:space="preserve">, 2021). Individuals who speak multiple languages have to frequently change between languages and concepts (Chen and Padilla, 2019). </w:t>
      </w:r>
      <w:bookmarkStart w:id="0" w:name="_Hlk192764027"/>
      <w:r w:rsidRPr="00A013B0">
        <w:rPr>
          <w:rFonts w:ascii="Times New Roman" w:hAnsi="Times New Roman" w:cs="Times New Roman"/>
          <w:sz w:val="24"/>
          <w:szCs w:val="24"/>
        </w:rPr>
        <w:t>Multilingualism has been shown to enhance cognitive flexibility</w:t>
      </w:r>
      <w:bookmarkEnd w:id="0"/>
      <w:r w:rsidRPr="00A013B0">
        <w:rPr>
          <w:rFonts w:ascii="Times New Roman" w:hAnsi="Times New Roman" w:cs="Times New Roman"/>
          <w:sz w:val="24"/>
          <w:szCs w:val="24"/>
        </w:rPr>
        <w:t xml:space="preserve"> with individuals frequently requiring to modify their cognitive processing techniques to be able to respond to new and unexpected environmental circumstances (</w:t>
      </w:r>
      <w:proofErr w:type="spellStart"/>
      <w:r w:rsidRPr="00A013B0">
        <w:rPr>
          <w:rFonts w:ascii="Times New Roman" w:hAnsi="Times New Roman" w:cs="Times New Roman"/>
          <w:sz w:val="24"/>
          <w:szCs w:val="24"/>
        </w:rPr>
        <w:t>Rajan</w:t>
      </w:r>
      <w:proofErr w:type="spellEnd"/>
      <w:r w:rsidRPr="00A013B0">
        <w:rPr>
          <w:rFonts w:ascii="Times New Roman" w:hAnsi="Times New Roman" w:cs="Times New Roman"/>
          <w:sz w:val="24"/>
          <w:szCs w:val="24"/>
        </w:rPr>
        <w:t xml:space="preserve"> and </w:t>
      </w:r>
      <w:proofErr w:type="spellStart"/>
      <w:r w:rsidRPr="00A013B0">
        <w:rPr>
          <w:rFonts w:ascii="Times New Roman" w:hAnsi="Times New Roman" w:cs="Times New Roman"/>
          <w:sz w:val="24"/>
          <w:szCs w:val="24"/>
        </w:rPr>
        <w:t>Mukhija</w:t>
      </w:r>
      <w:proofErr w:type="spellEnd"/>
      <w:r w:rsidRPr="00A013B0">
        <w:rPr>
          <w:rFonts w:ascii="Times New Roman" w:hAnsi="Times New Roman" w:cs="Times New Roman"/>
          <w:sz w:val="24"/>
          <w:szCs w:val="24"/>
        </w:rPr>
        <w:t>, 2025). This process is called the Adaptive Control hypothesis and is thought to be central to divergent thinking among multilinguals (</w:t>
      </w:r>
      <w:proofErr w:type="spellStart"/>
      <w:r w:rsidRPr="00A013B0">
        <w:rPr>
          <w:rFonts w:ascii="Times New Roman" w:hAnsi="Times New Roman" w:cs="Times New Roman"/>
          <w:sz w:val="24"/>
          <w:szCs w:val="24"/>
        </w:rPr>
        <w:t>Rajan</w:t>
      </w:r>
      <w:proofErr w:type="spellEnd"/>
      <w:r w:rsidRPr="00A013B0">
        <w:rPr>
          <w:rFonts w:ascii="Times New Roman" w:hAnsi="Times New Roman" w:cs="Times New Roman"/>
          <w:sz w:val="24"/>
          <w:szCs w:val="24"/>
        </w:rPr>
        <w:t xml:space="preserve"> and </w:t>
      </w:r>
      <w:proofErr w:type="spellStart"/>
      <w:r w:rsidRPr="00A013B0">
        <w:rPr>
          <w:rFonts w:ascii="Times New Roman" w:hAnsi="Times New Roman" w:cs="Times New Roman"/>
          <w:sz w:val="24"/>
          <w:szCs w:val="24"/>
        </w:rPr>
        <w:t>Mukhija</w:t>
      </w:r>
      <w:proofErr w:type="spellEnd"/>
      <w:r w:rsidRPr="00A013B0">
        <w:rPr>
          <w:rFonts w:ascii="Times New Roman" w:hAnsi="Times New Roman" w:cs="Times New Roman"/>
          <w:sz w:val="24"/>
          <w:szCs w:val="24"/>
        </w:rPr>
        <w:t>, 2025).</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In general, individuals who speak multiple languages tend to have more labels and concepts at their disposal when compared to their monolingual counterparts (Chung-Fat-</w:t>
      </w:r>
      <w:proofErr w:type="spellStart"/>
      <w:r w:rsidRPr="00A013B0">
        <w:rPr>
          <w:rFonts w:ascii="Times New Roman" w:hAnsi="Times New Roman" w:cs="Times New Roman"/>
          <w:sz w:val="24"/>
          <w:szCs w:val="24"/>
        </w:rPr>
        <w:t>Yim</w:t>
      </w:r>
      <w:proofErr w:type="spellEnd"/>
      <w:r w:rsidRPr="00A013B0">
        <w:rPr>
          <w:rFonts w:ascii="Times New Roman" w:hAnsi="Times New Roman" w:cs="Times New Roman"/>
          <w:sz w:val="24"/>
          <w:szCs w:val="24"/>
        </w:rPr>
        <w:t>, Fernandez-Duque and Marian, 2024). The ability to rapidly form strong connections between otherwise unrelated concepts is linked to higher cognitive flexibility and, consequently, greater capacity for divergent thinking (Chung-Fat-</w:t>
      </w:r>
      <w:proofErr w:type="spellStart"/>
      <w:r w:rsidRPr="00A013B0">
        <w:rPr>
          <w:rFonts w:ascii="Times New Roman" w:hAnsi="Times New Roman" w:cs="Times New Roman"/>
          <w:sz w:val="24"/>
          <w:szCs w:val="24"/>
        </w:rPr>
        <w:t>Yim</w:t>
      </w:r>
      <w:proofErr w:type="spellEnd"/>
      <w:r w:rsidRPr="00A013B0">
        <w:rPr>
          <w:rFonts w:ascii="Times New Roman" w:hAnsi="Times New Roman" w:cs="Times New Roman"/>
          <w:sz w:val="24"/>
          <w:szCs w:val="24"/>
        </w:rPr>
        <w:t>, Fernandez-Duque, and Marian, 2024). Multilingual individuals frequently engage in code-switching as evident in the activity video when the speaker mixes Farsi within and between sentences. This process occurs in a highly systematic and frequently innovative manner. These individuals can produce many novel ideas (Chung-Fat-</w:t>
      </w:r>
      <w:proofErr w:type="spellStart"/>
      <w:r w:rsidRPr="00A013B0">
        <w:rPr>
          <w:rFonts w:ascii="Times New Roman" w:hAnsi="Times New Roman" w:cs="Times New Roman"/>
          <w:sz w:val="24"/>
          <w:szCs w:val="24"/>
        </w:rPr>
        <w:t>Yim</w:t>
      </w:r>
      <w:proofErr w:type="spellEnd"/>
      <w:r w:rsidRPr="00A013B0">
        <w:rPr>
          <w:rFonts w:ascii="Times New Roman" w:hAnsi="Times New Roman" w:cs="Times New Roman"/>
          <w:sz w:val="24"/>
          <w:szCs w:val="24"/>
        </w:rPr>
        <w:t xml:space="preserve">, Fernandez-Duque, and Marian, 2024). In effect, multilingualism can spark creativity and is associated with divergent thinking. </w:t>
      </w:r>
    </w:p>
    <w:p w:rsidR="00FD1812" w:rsidRPr="00A013B0" w:rsidRDefault="00FD1812" w:rsidP="00FD1812">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e) Links with early years’ frameworks and programmes</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Article 30 of UNCRC states that the child who comes from a minority group has the right to enjoy their own culture or cultures (The Children and Young People’s Commissioner Scotland, </w:t>
      </w:r>
      <w:proofErr w:type="spellStart"/>
      <w:r w:rsidRPr="00A013B0">
        <w:rPr>
          <w:rFonts w:ascii="Times New Roman" w:hAnsi="Times New Roman" w:cs="Times New Roman"/>
          <w:sz w:val="24"/>
          <w:szCs w:val="24"/>
        </w:rPr>
        <w:t>n.d.</w:t>
      </w:r>
      <w:proofErr w:type="spellEnd"/>
      <w:r w:rsidRPr="00A013B0">
        <w:rPr>
          <w:rFonts w:ascii="Times New Roman" w:hAnsi="Times New Roman" w:cs="Times New Roman"/>
          <w:sz w:val="24"/>
          <w:szCs w:val="24"/>
        </w:rPr>
        <w:t xml:space="preserve">). They must be allowed to practice their own religions and to use their own languages. These provisions acknowledge that language represents a cultural </w:t>
      </w:r>
      <w:proofErr w:type="spellStart"/>
      <w:r w:rsidRPr="00A013B0">
        <w:rPr>
          <w:rFonts w:ascii="Times New Roman" w:hAnsi="Times New Roman" w:cs="Times New Roman"/>
          <w:sz w:val="24"/>
          <w:szCs w:val="24"/>
        </w:rPr>
        <w:t>tool</w:t>
      </w:r>
      <w:r>
        <w:rPr>
          <w:rFonts w:ascii="Times New Roman" w:hAnsi="Times New Roman" w:cs="Times New Roman"/>
          <w:sz w:val="24"/>
          <w:szCs w:val="24"/>
        </w:rPr>
        <w:t>aq</w:t>
      </w:r>
      <w:proofErr w:type="spellEnd"/>
      <w:r w:rsidRPr="00A013B0">
        <w:rPr>
          <w:rFonts w:ascii="Times New Roman" w:hAnsi="Times New Roman" w:cs="Times New Roman"/>
          <w:sz w:val="24"/>
          <w:szCs w:val="24"/>
        </w:rPr>
        <w:t xml:space="preserve">. As a result, practitioners may help learners to appreciate their cultures by incorporating elements of culture in their conversations and play with children. This can be done through nursery rhymes, music, art, and fairy stories or myths. Practitioners can enhance bilingualism by planning to ensure that learners may make adequate progress in Welsh, English and/or other relevant languages. Children are to be encouraged to employ their </w:t>
      </w:r>
      <w:proofErr w:type="spellStart"/>
      <w:r w:rsidRPr="00A013B0">
        <w:rPr>
          <w:rFonts w:ascii="Times New Roman" w:hAnsi="Times New Roman" w:cs="Times New Roman"/>
          <w:sz w:val="24"/>
          <w:szCs w:val="24"/>
        </w:rPr>
        <w:t>plurilingual</w:t>
      </w:r>
      <w:proofErr w:type="spellEnd"/>
      <w:r w:rsidRPr="00A013B0">
        <w:rPr>
          <w:rFonts w:ascii="Times New Roman" w:hAnsi="Times New Roman" w:cs="Times New Roman"/>
          <w:sz w:val="24"/>
          <w:szCs w:val="24"/>
        </w:rPr>
        <w:t xml:space="preserve"> skills and to appreciate the value of multilingualism. </w:t>
      </w:r>
      <w:proofErr w:type="gramStart"/>
      <w:r w:rsidRPr="00A013B0">
        <w:rPr>
          <w:rFonts w:ascii="Times New Roman" w:hAnsi="Times New Roman" w:cs="Times New Roman"/>
          <w:sz w:val="24"/>
          <w:szCs w:val="24"/>
        </w:rPr>
        <w:t>language</w:t>
      </w:r>
      <w:proofErr w:type="gramEnd"/>
      <w:r w:rsidRPr="00A013B0">
        <w:rPr>
          <w:rFonts w:ascii="Times New Roman" w:hAnsi="Times New Roman" w:cs="Times New Roman"/>
          <w:sz w:val="24"/>
          <w:szCs w:val="24"/>
        </w:rPr>
        <w:t xml:space="preserve"> acquisition in some cases. As demonstrated in the activity video, the practitioner employs reward to encourage learning by asking the learners to name colours for reward. </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 xml:space="preserve">Practitioners can enhance language acquisition by leading the conversation, providing examples, and acting as a guide. This is in keeping with Vygotsky’s sociocultural theory of learning (Cherry, 2024). In this respect, the teacher or parent acts as the more knowledgeable other imparting learning. This is also consistent with Bruner’ theory requiring practitioners to provide a scaffold upon which learners may advance their language skills based on existing knowledge (McLeod, 2024). The Language Acquisition Support System or Lass encourages child-adult interactions enabling adults to provide a learning environment with adults encouraging the use of specific vocabulary (Finders, Wilson and Duncan, 2023). The dual language approach is a strategic bilingual technique involving code-switching, </w:t>
      </w:r>
      <w:proofErr w:type="spellStart"/>
      <w:r w:rsidRPr="00A013B0">
        <w:rPr>
          <w:rFonts w:ascii="Times New Roman" w:hAnsi="Times New Roman" w:cs="Times New Roman"/>
          <w:sz w:val="24"/>
          <w:szCs w:val="24"/>
        </w:rPr>
        <w:t>translanguaging</w:t>
      </w:r>
      <w:proofErr w:type="spellEnd"/>
      <w:r w:rsidRPr="00A013B0">
        <w:rPr>
          <w:rFonts w:ascii="Times New Roman" w:hAnsi="Times New Roman" w:cs="Times New Roman"/>
          <w:sz w:val="24"/>
          <w:szCs w:val="24"/>
        </w:rPr>
        <w:t>, and targeted translation all of which can enhance cultural awareness (</w:t>
      </w:r>
      <w:proofErr w:type="spellStart"/>
      <w:r w:rsidRPr="00A013B0">
        <w:rPr>
          <w:rFonts w:ascii="Times New Roman" w:hAnsi="Times New Roman" w:cs="Times New Roman"/>
          <w:sz w:val="24"/>
          <w:szCs w:val="24"/>
        </w:rPr>
        <w:t>García</w:t>
      </w:r>
      <w:proofErr w:type="spellEnd"/>
      <w:r w:rsidRPr="00A013B0">
        <w:rPr>
          <w:rFonts w:ascii="Times New Roman" w:hAnsi="Times New Roman" w:cs="Times New Roman"/>
          <w:sz w:val="24"/>
          <w:szCs w:val="24"/>
        </w:rPr>
        <w:t xml:space="preserve"> and Lin, 2016; </w:t>
      </w:r>
      <w:proofErr w:type="spellStart"/>
      <w:r w:rsidRPr="00A013B0">
        <w:rPr>
          <w:rFonts w:ascii="Times New Roman" w:hAnsi="Times New Roman" w:cs="Times New Roman"/>
          <w:sz w:val="24"/>
          <w:szCs w:val="24"/>
        </w:rPr>
        <w:t>Balam</w:t>
      </w:r>
      <w:proofErr w:type="spellEnd"/>
      <w:r w:rsidRPr="00A013B0">
        <w:rPr>
          <w:rFonts w:ascii="Times New Roman" w:hAnsi="Times New Roman" w:cs="Times New Roman"/>
          <w:sz w:val="24"/>
          <w:szCs w:val="24"/>
        </w:rPr>
        <w:t xml:space="preserve"> and Carroll, 2024). </w:t>
      </w:r>
    </w:p>
    <w:p w:rsidR="00FD1812" w:rsidRDefault="00FD1812" w:rsidP="00FD1812">
      <w:pPr>
        <w:spacing w:line="480" w:lineRule="auto"/>
        <w:rPr>
          <w:rFonts w:ascii="Times New Roman" w:hAnsi="Times New Roman" w:cs="Times New Roman"/>
          <w:b/>
          <w:bCs/>
          <w:sz w:val="24"/>
          <w:szCs w:val="24"/>
        </w:rPr>
      </w:pPr>
    </w:p>
    <w:p w:rsidR="00FD1812" w:rsidRPr="00A013B0" w:rsidRDefault="00FD1812" w:rsidP="00FD1812">
      <w:pPr>
        <w:spacing w:line="480" w:lineRule="auto"/>
        <w:rPr>
          <w:rFonts w:ascii="Times New Roman" w:hAnsi="Times New Roman" w:cs="Times New Roman"/>
          <w:b/>
          <w:bCs/>
          <w:sz w:val="24"/>
          <w:szCs w:val="24"/>
        </w:rPr>
      </w:pPr>
      <w:r w:rsidRPr="00A013B0">
        <w:rPr>
          <w:rFonts w:ascii="Times New Roman" w:hAnsi="Times New Roman" w:cs="Times New Roman"/>
          <w:b/>
          <w:bCs/>
          <w:sz w:val="24"/>
          <w:szCs w:val="24"/>
        </w:rPr>
        <w:t>Conclusion</w:t>
      </w:r>
    </w:p>
    <w:p w:rsidR="00FD1812" w:rsidRPr="00A013B0" w:rsidRDefault="00FD1812" w:rsidP="00FD1812">
      <w:pPr>
        <w:spacing w:line="480" w:lineRule="auto"/>
        <w:rPr>
          <w:rFonts w:ascii="Times New Roman" w:hAnsi="Times New Roman" w:cs="Times New Roman"/>
          <w:sz w:val="24"/>
          <w:szCs w:val="24"/>
        </w:rPr>
      </w:pPr>
      <w:r w:rsidRPr="00A013B0">
        <w:rPr>
          <w:rFonts w:ascii="Times New Roman" w:hAnsi="Times New Roman" w:cs="Times New Roman"/>
          <w:sz w:val="24"/>
          <w:szCs w:val="24"/>
        </w:rPr>
        <w:t>The foregoing discussion demonstrates the critical role of bilingualism and multilingualism in child development and early-year practice. Multilingualism and bilingualism provide several sociocultural, educational, and cognitive. Multilingual and bilingual individuals experience increased attention, greater problem-solving abilities, and i</w:t>
      </w:r>
      <w:r>
        <w:rPr>
          <w:rFonts w:ascii="Times New Roman" w:hAnsi="Times New Roman" w:cs="Times New Roman"/>
          <w:sz w:val="24"/>
          <w:szCs w:val="24"/>
        </w:rPr>
        <w:t>mproved cognitive flexibility. Moreover, t</w:t>
      </w:r>
      <w:r w:rsidRPr="00A013B0">
        <w:rPr>
          <w:rFonts w:ascii="Times New Roman" w:hAnsi="Times New Roman" w:cs="Times New Roman"/>
          <w:sz w:val="24"/>
          <w:szCs w:val="24"/>
        </w:rPr>
        <w:t xml:space="preserve">hese individuals can experience enhanced interpersonal connections and greater sense of belonging when they are able to more effectively communicate with those around them. </w:t>
      </w:r>
      <w:r>
        <w:rPr>
          <w:rFonts w:ascii="Times New Roman" w:hAnsi="Times New Roman" w:cs="Times New Roman"/>
          <w:sz w:val="24"/>
          <w:szCs w:val="24"/>
        </w:rPr>
        <w:t>However, c</w:t>
      </w:r>
      <w:r w:rsidRPr="00A013B0">
        <w:rPr>
          <w:rFonts w:ascii="Times New Roman" w:hAnsi="Times New Roman" w:cs="Times New Roman"/>
          <w:sz w:val="24"/>
          <w:szCs w:val="24"/>
        </w:rPr>
        <w:t>hildren frequently experience considerable difficulty in the classroom when learning English or Welsh as a second language. Practitioners can enhance EAL/WAL by observing and assessing the child’s capabilities, actively engaging the child, allowing them to practice and even selectively using the child’s first language during early stage</w:t>
      </w:r>
      <w:r>
        <w:rPr>
          <w:rFonts w:ascii="Times New Roman" w:hAnsi="Times New Roman" w:cs="Times New Roman"/>
          <w:sz w:val="24"/>
          <w:szCs w:val="24"/>
        </w:rPr>
        <w:t>s of learning. Furthermore, m</w:t>
      </w:r>
      <w:r w:rsidRPr="00A013B0">
        <w:rPr>
          <w:rFonts w:ascii="Times New Roman" w:hAnsi="Times New Roman" w:cs="Times New Roman"/>
          <w:sz w:val="24"/>
          <w:szCs w:val="24"/>
        </w:rPr>
        <w:t xml:space="preserve">ultilingualism is linked to neurochemical and neuroanatomical changes in selected brain areas including </w:t>
      </w:r>
      <w:proofErr w:type="spellStart"/>
      <w:r w:rsidRPr="00A013B0">
        <w:rPr>
          <w:rFonts w:ascii="Times New Roman" w:hAnsi="Times New Roman" w:cs="Times New Roman"/>
          <w:sz w:val="24"/>
          <w:szCs w:val="24"/>
        </w:rPr>
        <w:t>Broca’s</w:t>
      </w:r>
      <w:proofErr w:type="spellEnd"/>
      <w:r w:rsidRPr="00A013B0">
        <w:rPr>
          <w:rFonts w:ascii="Times New Roman" w:hAnsi="Times New Roman" w:cs="Times New Roman"/>
          <w:sz w:val="24"/>
          <w:szCs w:val="24"/>
        </w:rPr>
        <w:t xml:space="preserve"> and Wernicke’s areas. Multilingualism has been shown to enhance cognitive flexibility and, therefore, divergent thinking. </w:t>
      </w:r>
    </w:p>
    <w:p w:rsidR="00FD1812" w:rsidRPr="00A013B0" w:rsidRDefault="00FD1812" w:rsidP="00FD1812">
      <w:pPr>
        <w:spacing w:line="480" w:lineRule="auto"/>
        <w:rPr>
          <w:rFonts w:ascii="Times New Roman" w:hAnsi="Times New Roman" w:cs="Times New Roman"/>
          <w:sz w:val="24"/>
          <w:szCs w:val="24"/>
        </w:rPr>
      </w:pPr>
    </w:p>
    <w:p w:rsidR="00D52F6A" w:rsidRDefault="00FD1812" w:rsidP="00FD1812">
      <w:r w:rsidRPr="00A013B0">
        <w:rPr>
          <w:rFonts w:ascii="Times New Roman" w:hAnsi="Times New Roman" w:cs="Times New Roman"/>
          <w:sz w:val="24"/>
          <w:szCs w:val="24"/>
        </w:rPr>
        <w:br w:type="page"/>
      </w:r>
      <w:bookmarkStart w:id="1" w:name="_GoBack"/>
      <w:bookmarkEnd w:id="1"/>
    </w:p>
    <w:sectPr w:rsidR="00D52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1812"/>
    <w:rsid w:val="00D52F6A"/>
    <w:rsid w:val="00FD1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BC18A8-972D-4DF3-8341-295713958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1812"/>
    <w:rPr>
      <w:kern w:val="2"/>
      <w:lang w:val="en-AU"/>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18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owtsd-my.sharepoint.com/:v:/g/personal/2328612_student_uwtsd_ac_uk/EXlsjNFyAdtGto4IpTnutqQBo2rifYEhzw_WMmSfdLBQAg?nav=eyJyZWZlcnJhbEluZm8iOnsicmVmZXJyYWxBcHAiOiJPbmVEcml2ZUZvckJ1c2luZXNzIiwicmVmZXJyYWxBcHBQbGF0Zm9ybSI6IldlYiIsInJlZmVycmFsTW9kZSI6InZpZXciLCJyZWZlcnJhbFZpZXciOiJNeUZpbGVzTGlua0NvcHkifX0&amp;e=weahLi" TargetMode="External"/><Relationship Id="rId4" Type="http://schemas.openxmlformats.org/officeDocument/2006/relationships/hyperlink" Target="https://uowtsd-my.sharepoint.com/:v:/g/personal/2328612_student_uwtsd_ac_uk/Ed-aZMu8WRFCiszg3YG2bzcBzZICX8HAyUsYdwCcHoBG0g?nav=eyJyZWZlcnJhbEluZm8iOnsicmVmZXJyYWxBcHAiOiJPbmVEcml2ZUZvckJ1c2luZXNzIiwicmVmZXJyYWxBcHBQbGF0Zm9ybSI6IldlYiIsInJlZmVycmFsTW9kZSI6InZpZXciLCJyZWZlcnJhbFZpZXciOiJNeUZpbGVzTGlua0NvcHkifX0&amp;e=gXW3Q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JAM19851372 (Sharmin Amin Jamil)</dc:creator>
  <cp:keywords/>
  <dc:description/>
  <cp:lastModifiedBy>JAM19851372 (Sharmin Amin Jamil)</cp:lastModifiedBy>
  <cp:revision>1</cp:revision>
  <dcterms:created xsi:type="dcterms:W3CDTF">2025-03-25T21:19:00Z</dcterms:created>
  <dcterms:modified xsi:type="dcterms:W3CDTF">2025-03-25T21:19:00Z</dcterms:modified>
</cp:coreProperties>
</file>