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D9325D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C513D">
              <w:rPr>
                <w:rFonts w:ascii="Times New Roman" w:hAnsi="Times New Roman" w:cs="Times New Roman"/>
                <w:b/>
                <w:color w:val="auto"/>
                <w:sz w:val="48"/>
              </w:rPr>
              <w:t>Christine Ritter-Peake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CB789A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63DE3">
              <w:rPr>
                <w:rFonts w:ascii="Times New Roman" w:hAnsi="Times New Roman" w:cs="Times New Roman"/>
                <w:b/>
                <w:color w:val="auto"/>
                <w:sz w:val="48"/>
              </w:rPr>
              <w:t xml:space="preserve"> </w:t>
            </w:r>
            <w:hyperlink r:id="rId11" w:history="1">
              <w:r w:rsidR="00363DE3" w:rsidRPr="006607FD">
                <w:rPr>
                  <w:rStyle w:val="Hyperlink"/>
                  <w:rFonts w:ascii="Times New Roman" w:hAnsi="Times New Roman" w:cs="Times New Roman"/>
                  <w:b/>
                  <w:color w:val="auto"/>
                  <w:sz w:val="48"/>
                  <w:u w:val="none"/>
                </w:rPr>
                <w:t>2521892@student.uwtsd.ac.uk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83D725D" w14:textId="45932B95" w:rsidR="00363DE3" w:rsidRPr="005D3F07" w:rsidRDefault="00363DE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2521892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2F7F83CB" w14:textId="77777777" w:rsidR="00DE025B" w:rsidRPr="00DE025B" w:rsidRDefault="00DE025B" w:rsidP="00DE025B">
            <w:pPr>
              <w:spacing w:line="480" w:lineRule="auto"/>
              <w:rPr>
                <w:sz w:val="24"/>
                <w:szCs w:val="24"/>
              </w:rPr>
            </w:pPr>
            <w:r w:rsidRPr="00DE025B">
              <w:rPr>
                <w:sz w:val="24"/>
                <w:szCs w:val="24"/>
              </w:rPr>
              <w:t>The Social Services and Wellbeing (Wales) Act 2014 (SSWBA) is the primary safeguarding legislation in Wales and defines a child as anyone who is under the age of 18. The SSWBA which came into force in April 2016 underpins all social care practice in Wales, including safeguarding both children and adults (Welsh Government, 2014). Section 130 of the SSWBA places a duty on relevant partners to report children who are at risk of abuse, neglect or other harm and who also have care and support needs (Welsh Government, 2014).</w:t>
            </w:r>
          </w:p>
          <w:p w14:paraId="49EFC655" w14:textId="77777777" w:rsidR="00DE025B" w:rsidRPr="00DE025B" w:rsidRDefault="00DE025B" w:rsidP="00DE025B">
            <w:pPr>
              <w:spacing w:line="480" w:lineRule="auto"/>
              <w:rPr>
                <w:sz w:val="24"/>
                <w:szCs w:val="24"/>
              </w:rPr>
            </w:pPr>
            <w:r w:rsidRPr="00DE025B">
              <w:rPr>
                <w:sz w:val="24"/>
                <w:szCs w:val="24"/>
              </w:rPr>
              <w:t>The SSWBA promotes a person-centred and strengths-based approach and operates alongside the Children Act 1989 (CA). Both frameworks put the welfare of the child at the centre of safeguarding practice, with the SSWBA providing the framework for Welsh safeguarding and the CA providing the statutory powers and duties to intervene when a child is at risk of significant harm.</w:t>
            </w:r>
          </w:p>
          <w:p w14:paraId="0E987E94" w14:textId="77777777" w:rsidR="00DE025B" w:rsidRPr="00DE025B" w:rsidRDefault="00DE025B" w:rsidP="00DE025B">
            <w:pPr>
              <w:spacing w:line="480" w:lineRule="auto"/>
              <w:rPr>
                <w:sz w:val="24"/>
                <w:szCs w:val="24"/>
              </w:rPr>
            </w:pPr>
            <w:r w:rsidRPr="00DE025B">
              <w:rPr>
                <w:sz w:val="24"/>
                <w:szCs w:val="24"/>
              </w:rPr>
              <w:t xml:space="preserve">The CA (1989) is the key framework for Local Authorities to follow when caring for and protecting children in England and Wales. The key principles of The CA are to prioritise the </w:t>
            </w:r>
            <w:r w:rsidRPr="00DE025B">
              <w:rPr>
                <w:sz w:val="24"/>
                <w:szCs w:val="24"/>
              </w:rPr>
              <w:lastRenderedPageBreak/>
              <w:t>welfare of the child, with the local authorities being responsible for safeguarding children and to promote their welfare. Where there is reasonable cause to suspect a child is suffering or likely to suffer significant harm the local authority has a duty to investigate. Section 47 of The CA places the duty on the local authorities to make enquiries where it has:</w:t>
            </w:r>
          </w:p>
          <w:p w14:paraId="0B3CA320" w14:textId="77777777" w:rsidR="00DE025B" w:rsidRPr="00DE025B" w:rsidRDefault="00DE025B" w:rsidP="00DE025B">
            <w:pPr>
              <w:spacing w:line="480" w:lineRule="auto"/>
              <w:rPr>
                <w:i/>
                <w:iCs/>
                <w:sz w:val="24"/>
                <w:szCs w:val="24"/>
              </w:rPr>
            </w:pPr>
            <w:r w:rsidRPr="00DE025B">
              <w:rPr>
                <w:i/>
                <w:iCs/>
                <w:sz w:val="24"/>
                <w:szCs w:val="24"/>
              </w:rPr>
              <w:t>“reasonable cause to suspect that a child who lives, or is found, in their area is suffering, or is likely to suffer, significant harm”</w:t>
            </w:r>
          </w:p>
          <w:p w14:paraId="304AAE4F" w14:textId="77777777" w:rsidR="00DE025B" w:rsidRPr="00DE025B" w:rsidRDefault="00DE025B" w:rsidP="00DE025B">
            <w:pPr>
              <w:spacing w:line="480" w:lineRule="auto"/>
              <w:rPr>
                <w:sz w:val="24"/>
                <w:szCs w:val="24"/>
              </w:rPr>
            </w:pPr>
            <w:r w:rsidRPr="00DE025B">
              <w:rPr>
                <w:sz w:val="24"/>
                <w:szCs w:val="24"/>
              </w:rPr>
              <w:t xml:space="preserve">A section 47 enquiry is a multi-agency investigation undertaken by Children’s services to determine whether protective action is required to safeguard a child’s welfare. </w:t>
            </w:r>
          </w:p>
          <w:p w14:paraId="3C0DE291" w14:textId="77777777" w:rsidR="00DE025B" w:rsidRPr="00DE025B" w:rsidRDefault="00DE025B" w:rsidP="00DE025B">
            <w:pPr>
              <w:spacing w:line="480" w:lineRule="auto"/>
              <w:rPr>
                <w:i/>
                <w:iCs/>
                <w:sz w:val="24"/>
                <w:szCs w:val="24"/>
              </w:rPr>
            </w:pPr>
            <w:r w:rsidRPr="00DE025B">
              <w:rPr>
                <w:sz w:val="24"/>
                <w:szCs w:val="24"/>
              </w:rPr>
              <w:t>In addition, The United Nations Convention on the Rights of the Child 2009 (UNCRC) is an important piece of human rights legislation which places the child in the centre of the care. Article 3 of The UNCRC requires the best interests of the child to be prioritised by local authorities and professionals. Article 19 of The UNCRC requires the local authority to protect children from abuse, neglect, violence, and exploitation through identification, reporting, investigation and effective intervention. Local Authorities must also act in a way that supports human rights, in line with The Human Rights Act 1998 (HRA). Professionals must balance the individuals right to a family life with being protected from harm under the HRA.</w:t>
            </w:r>
          </w:p>
          <w:p w14:paraId="7BB9B4A8" w14:textId="77777777" w:rsidR="00DE025B" w:rsidRPr="00DE025B" w:rsidRDefault="00DE025B" w:rsidP="00DE025B">
            <w:pPr>
              <w:spacing w:line="480" w:lineRule="auto"/>
              <w:rPr>
                <w:sz w:val="24"/>
                <w:szCs w:val="24"/>
              </w:rPr>
            </w:pPr>
            <w:r w:rsidRPr="00DE025B">
              <w:rPr>
                <w:sz w:val="24"/>
                <w:szCs w:val="24"/>
              </w:rPr>
              <w:t xml:space="preserve">The Wales Safeguarding Procedures (2019)(WSP) provide a national framework for safeguarding practice in Wales, and sets out the roles and responsibilities of local authorities and other agencies in identifying, reporting, assessing and responding to concerns about children at risk of abuse or neglect. Similarly to the SSWBA, the WSP promote collaboration with multi-agencies, information sharing and timely intervention to protect children and promote their wellbeing. </w:t>
            </w:r>
          </w:p>
          <w:p w14:paraId="1E548506" w14:textId="77777777" w:rsidR="00DE025B" w:rsidRPr="00DE025B" w:rsidRDefault="00DE025B" w:rsidP="00DE025B">
            <w:pPr>
              <w:spacing w:line="480" w:lineRule="auto"/>
              <w:rPr>
                <w:sz w:val="24"/>
                <w:szCs w:val="24"/>
              </w:rPr>
            </w:pPr>
            <w:r w:rsidRPr="00DE025B">
              <w:rPr>
                <w:sz w:val="24"/>
                <w:szCs w:val="24"/>
              </w:rPr>
              <w:lastRenderedPageBreak/>
              <w:t>More Than Just Words (MTJW) is the Welsh Government’s framework for the use of the Welsh language within social care, and by using The Active Offer, workers are to use the Welsh language without being asked (Welsh Government, 2022). By utilising both The Active Offer and MTJW, this provides children with opportunities to effectively communicate their wishes and feelings, and by communicating in their language of need will be able to disclose any abuse or neglect better.</w:t>
            </w: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40D9E313" w:rsidR="00FC0334" w:rsidRDefault="00DE025B" w:rsidP="00FF7EBB">
            <w:pPr>
              <w:jc w:val="both"/>
              <w:rPr>
                <w:sz w:val="24"/>
                <w:szCs w:val="24"/>
              </w:rPr>
            </w:pPr>
            <w:r>
              <w:rPr>
                <w:sz w:val="24"/>
                <w:szCs w:val="24"/>
              </w:rPr>
              <w:t>547</w:t>
            </w: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Pr="009B48D3" w:rsidRDefault="00FC0334" w:rsidP="009B48D3">
            <w:pPr>
              <w:spacing w:line="480" w:lineRule="auto"/>
              <w:jc w:val="both"/>
              <w:rPr>
                <w:sz w:val="24"/>
                <w:szCs w:val="24"/>
              </w:rPr>
            </w:pPr>
          </w:p>
          <w:p w14:paraId="6C6B5DAE" w14:textId="77777777" w:rsidR="009B48D3" w:rsidRPr="009B48D3" w:rsidRDefault="009B48D3" w:rsidP="009B48D3">
            <w:pPr>
              <w:pBdr>
                <w:bottom w:val="single" w:sz="12" w:space="1" w:color="auto"/>
              </w:pBdr>
              <w:spacing w:line="480" w:lineRule="auto"/>
              <w:rPr>
                <w:sz w:val="24"/>
                <w:szCs w:val="24"/>
              </w:rPr>
            </w:pPr>
            <w:r w:rsidRPr="009B48D3">
              <w:rPr>
                <w:sz w:val="24"/>
                <w:szCs w:val="24"/>
              </w:rPr>
              <w:t xml:space="preserve">Although both adults and children’s safeguarding practices aim to prevent people from harm and abuse, there are some key differences in the way in which safeguarding is undertaken in both. When working with children, the work is underpinned by The Children Act 1989, and due to their vulnerability and dependence on adults, the local authority can intervene in the decision making even when the child does not agree. Social workers are often required to make decisions on behalf of children at risk to ensure that they are safeguarded from harm. (UK Government, 1989). Furthermore, the United Nations Convention on the Rights of the </w:t>
            </w:r>
            <w:r w:rsidRPr="009B48D3">
              <w:rPr>
                <w:sz w:val="24"/>
                <w:szCs w:val="24"/>
              </w:rPr>
              <w:lastRenderedPageBreak/>
              <w:t>Child, in Article 3 states that the child’s best interests should be considered throughout all decision making (United Nations, 1989).</w:t>
            </w:r>
          </w:p>
          <w:p w14:paraId="6DF5BC57" w14:textId="77777777" w:rsidR="009B48D3" w:rsidRPr="009B48D3" w:rsidRDefault="009B48D3" w:rsidP="009B48D3">
            <w:pPr>
              <w:pBdr>
                <w:bottom w:val="single" w:sz="12" w:space="1" w:color="auto"/>
              </w:pBdr>
              <w:spacing w:line="480" w:lineRule="auto"/>
              <w:rPr>
                <w:sz w:val="24"/>
                <w:szCs w:val="24"/>
              </w:rPr>
            </w:pPr>
            <w:r w:rsidRPr="009B48D3">
              <w:rPr>
                <w:sz w:val="24"/>
                <w:szCs w:val="24"/>
              </w:rPr>
              <w:t>When working with adults, the local authority is governed by the SSWBA and all adults must be presumed to have capacity over their decisions unless proven otherwise (Welsh Government, 2019). Professionals must understand that adults may make what they deem to be unwise decisions, and another key piece of legislation when assessing capacity is the Mental Capacity Act (2005). When an adult has been deemed to lack capacity for a specific decision, the professionals can decide in their best interests. It is important to note that the MCA does not apply to children under 16. Children under 16 may be assessed using the Gillick competence principle which considers the child’s maturity to make a decision about their care resulting in increased participation in decision making (</w:t>
            </w:r>
            <w:r w:rsidRPr="009B48D3">
              <w:rPr>
                <w:i/>
                <w:iCs/>
                <w:sz w:val="24"/>
                <w:szCs w:val="24"/>
              </w:rPr>
              <w:t>Gillick v West Norfolk and Wisbech Area Health Authority</w:t>
            </w:r>
            <w:r w:rsidRPr="009B48D3">
              <w:rPr>
                <w:sz w:val="24"/>
                <w:szCs w:val="24"/>
              </w:rPr>
              <w:t xml:space="preserve">, 1986). Professionals do still, however have a duty to intervene if the child is in risk or danger (Alderson and Montgomery, 1997). </w:t>
            </w:r>
          </w:p>
          <w:p w14:paraId="0747579C" w14:textId="77777777" w:rsidR="009B48D3" w:rsidRPr="009B48D3" w:rsidRDefault="009B48D3" w:rsidP="009B48D3">
            <w:pPr>
              <w:pBdr>
                <w:bottom w:val="single" w:sz="12" w:space="1" w:color="auto"/>
              </w:pBdr>
              <w:spacing w:line="480" w:lineRule="auto"/>
              <w:rPr>
                <w:sz w:val="24"/>
                <w:szCs w:val="24"/>
              </w:rPr>
            </w:pPr>
            <w:r w:rsidRPr="009B48D3">
              <w:rPr>
                <w:sz w:val="24"/>
                <w:szCs w:val="24"/>
              </w:rPr>
              <w:t xml:space="preserve">Another important element to consider is the threshold for intervention in adult and children’s safeguarding. Under the Children Act 1989, professionals can initiate child protection enquiries under Section 47 if deemed necessary. In contrast, adult safeguarding in Wales is underpinned by The SSWBA principles of voice, choice and control leaving safeguarding interventions for adults being guided by the wishes of the individual. </w:t>
            </w:r>
          </w:p>
          <w:p w14:paraId="56F8B4D7" w14:textId="77777777" w:rsidR="009B48D3" w:rsidRPr="009B48D3" w:rsidRDefault="009B48D3" w:rsidP="009B48D3">
            <w:pPr>
              <w:pBdr>
                <w:bottom w:val="single" w:sz="12" w:space="1" w:color="auto"/>
              </w:pBdr>
              <w:spacing w:line="480" w:lineRule="auto"/>
              <w:rPr>
                <w:sz w:val="24"/>
                <w:szCs w:val="24"/>
              </w:rPr>
            </w:pPr>
            <w:r w:rsidRPr="009B48D3">
              <w:rPr>
                <w:sz w:val="24"/>
                <w:szCs w:val="24"/>
              </w:rPr>
              <w:t xml:space="preserve">Overall, this reflection has highlighted that children’s safeguarding is underpinned by the principle that the welfare of the child is paramount, therefore professionals may intervene to safeguard the child even if the parent, guardian or child disagrees. Child safeguarding practice should remain child-centred, ensuring that children are listened to and encouraged to participating in decision-making in accordance with their age and understanding. Adult </w:t>
            </w:r>
            <w:r w:rsidRPr="009B48D3">
              <w:rPr>
                <w:sz w:val="24"/>
                <w:szCs w:val="24"/>
              </w:rPr>
              <w:lastRenderedPageBreak/>
              <w:t xml:space="preserve">safeguarding is generally more focussed on collaboration, empowerment and is person-centred whereas the key principle of children’s safeguarding is to protect children from harm whilst enabling them to participate in decisions that affect their lives. </w:t>
            </w:r>
          </w:p>
          <w:p w14:paraId="145A445C" w14:textId="77777777" w:rsidR="009B48D3" w:rsidRDefault="009B48D3" w:rsidP="009B48D3">
            <w:pPr>
              <w:pBdr>
                <w:bottom w:val="single" w:sz="12" w:space="1" w:color="auto"/>
              </w:pBdr>
            </w:pP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6B12C29C" w:rsidR="00FC0334" w:rsidRDefault="00834149" w:rsidP="00FC0334">
            <w:pPr>
              <w:jc w:val="both"/>
              <w:rPr>
                <w:sz w:val="24"/>
                <w:szCs w:val="24"/>
              </w:rPr>
            </w:pPr>
            <w:r>
              <w:rPr>
                <w:sz w:val="24"/>
                <w:szCs w:val="24"/>
              </w:rPr>
              <w:t>439</w:t>
            </w: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DE122" w14:textId="77777777" w:rsidR="00FE40A5" w:rsidRDefault="00FE40A5">
      <w:r>
        <w:separator/>
      </w:r>
    </w:p>
  </w:endnote>
  <w:endnote w:type="continuationSeparator" w:id="0">
    <w:p w14:paraId="3D833BF5" w14:textId="77777777" w:rsidR="00FE40A5" w:rsidRDefault="00FE4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5DC66" w14:textId="77777777" w:rsidR="00FE40A5" w:rsidRDefault="00FE40A5">
      <w:r>
        <w:separator/>
      </w:r>
    </w:p>
  </w:footnote>
  <w:footnote w:type="continuationSeparator" w:id="0">
    <w:p w14:paraId="67776CB4" w14:textId="77777777" w:rsidR="00FE40A5" w:rsidRDefault="00FE4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7A6"/>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DE3"/>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513D"/>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149"/>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8D3"/>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025B"/>
    <w:rsid w:val="00DE4296"/>
    <w:rsid w:val="00DF2469"/>
    <w:rsid w:val="00DF7899"/>
    <w:rsid w:val="00E03D92"/>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0A5"/>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52%318%39%32@%73%74ude%6e%74.uw%74s%64%2e%61%63.%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1155</Words>
  <Characters>6590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Christine Ritter-Peake (OEDOLION)</cp:lastModifiedBy>
  <cp:revision>7</cp:revision>
  <cp:lastPrinted>2020-02-11T19:20:00Z</cp:lastPrinted>
  <dcterms:created xsi:type="dcterms:W3CDTF">2026-10-06T09:28:00Z</dcterms:created>
  <dcterms:modified xsi:type="dcterms:W3CDTF">2026-10-06T09:31:00Z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