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704A27" w14:textId="057D9FFA" w:rsidR="00B62048" w:rsidRDefault="004D5EBD" w:rsidP="009F4F9E">
      <w:pPr>
        <w:pStyle w:val="COVERPAGETEXT"/>
      </w:pPr>
      <w:r>
        <w:rPr>
          <w:noProof/>
        </w:rPr>
        <w:drawing>
          <wp:inline distT="0" distB="0" distL="0" distR="0" wp14:anchorId="3F6EE368" wp14:editId="4D679B2E">
            <wp:extent cx="1572768" cy="1554845"/>
            <wp:effectExtent l="0" t="0" r="2540" b="0"/>
            <wp:docPr id="1146962345" name="Picture 1146962345"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589588" cy="1571474"/>
                    </a:xfrm>
                    <a:prstGeom prst="rect">
                      <a:avLst/>
                    </a:prstGeom>
                  </pic:spPr>
                </pic:pic>
              </a:graphicData>
            </a:graphic>
          </wp:inline>
        </w:drawing>
      </w:r>
    </w:p>
    <w:p w14:paraId="560742C9" w14:textId="77777777" w:rsidR="00B62048" w:rsidRPr="004727CF" w:rsidRDefault="00B62048" w:rsidP="009F4F9E">
      <w:pPr>
        <w:pStyle w:val="COVERPAGETEXT"/>
        <w:rPr>
          <w:rFonts w:asciiTheme="majorBidi" w:hAnsiTheme="majorBidi" w:cstheme="majorBidi"/>
        </w:rPr>
      </w:pPr>
    </w:p>
    <w:p w14:paraId="4B11A8C4" w14:textId="77777777" w:rsidR="00AD6D75" w:rsidRPr="004727CF" w:rsidRDefault="00AD6D75" w:rsidP="009F4F9E">
      <w:pPr>
        <w:pStyle w:val="COVERPAGETEXT"/>
        <w:rPr>
          <w:rFonts w:asciiTheme="majorBidi" w:hAnsiTheme="majorBidi" w:cstheme="majorBidi"/>
        </w:rPr>
      </w:pPr>
    </w:p>
    <w:p w14:paraId="7F84539F" w14:textId="49C3B873" w:rsidR="00AD6D75" w:rsidRPr="004727CF" w:rsidRDefault="004727CF" w:rsidP="009F4F9E">
      <w:pPr>
        <w:pStyle w:val="COVERPAGETEXT"/>
        <w:rPr>
          <w:rFonts w:asciiTheme="majorBidi" w:hAnsiTheme="majorBidi" w:cstheme="majorBidi"/>
        </w:rPr>
      </w:pPr>
      <w:r>
        <w:rPr>
          <w:rFonts w:asciiTheme="majorBidi" w:hAnsiTheme="majorBidi" w:cstheme="majorBidi"/>
        </w:rPr>
        <w:t>University of Wales Trinity Saint Davids</w:t>
      </w:r>
    </w:p>
    <w:p w14:paraId="1288F499" w14:textId="6A620587" w:rsidR="00AD6D75" w:rsidRPr="004727CF" w:rsidRDefault="004727CF" w:rsidP="009F4F9E">
      <w:pPr>
        <w:pStyle w:val="COVERPAGETEXT"/>
        <w:rPr>
          <w:rFonts w:asciiTheme="majorBidi" w:hAnsiTheme="majorBidi" w:cstheme="majorBidi"/>
        </w:rPr>
      </w:pPr>
      <w:r>
        <w:rPr>
          <w:rFonts w:asciiTheme="majorBidi" w:hAnsiTheme="majorBidi" w:cstheme="majorBidi"/>
        </w:rPr>
        <w:t xml:space="preserve">Ordnance, Munitions and Explosives Principals </w:t>
      </w:r>
    </w:p>
    <w:p w14:paraId="6CAC073B" w14:textId="77777777" w:rsidR="00AD6D75" w:rsidRPr="004727CF" w:rsidRDefault="00AD6D75" w:rsidP="004727CF">
      <w:pPr>
        <w:pStyle w:val="COVERPAGETEXT"/>
        <w:jc w:val="both"/>
        <w:rPr>
          <w:rFonts w:asciiTheme="majorBidi" w:hAnsiTheme="majorBidi" w:cstheme="majorBidi"/>
        </w:rPr>
      </w:pPr>
    </w:p>
    <w:p w14:paraId="1E9E5CF2" w14:textId="27F97888" w:rsidR="00AD6D75" w:rsidRPr="004727CF" w:rsidRDefault="00AD6D75" w:rsidP="009F4F9E">
      <w:pPr>
        <w:pStyle w:val="COVERPAGETEXT"/>
        <w:rPr>
          <w:rFonts w:asciiTheme="majorBidi" w:hAnsiTheme="majorBidi" w:cstheme="majorBidi"/>
        </w:rPr>
      </w:pPr>
      <w:r w:rsidRPr="004727CF">
        <w:rPr>
          <w:rFonts w:asciiTheme="majorBidi" w:hAnsiTheme="majorBidi" w:cstheme="majorBidi"/>
        </w:rPr>
        <w:t xml:space="preserve">Academic Year </w:t>
      </w:r>
      <w:r w:rsidR="004727CF">
        <w:rPr>
          <w:rFonts w:asciiTheme="majorBidi" w:hAnsiTheme="majorBidi" w:cstheme="majorBidi"/>
        </w:rPr>
        <w:t>2025</w:t>
      </w:r>
    </w:p>
    <w:p w14:paraId="3C6062CA" w14:textId="77777777" w:rsidR="00AD6D75" w:rsidRPr="004727CF" w:rsidRDefault="00AD6D75" w:rsidP="009F4F9E">
      <w:pPr>
        <w:pStyle w:val="COVERPAGETEXT"/>
        <w:rPr>
          <w:rFonts w:asciiTheme="majorBidi" w:hAnsiTheme="majorBidi" w:cstheme="majorBidi"/>
        </w:rPr>
      </w:pPr>
    </w:p>
    <w:p w14:paraId="58BAC609" w14:textId="77777777" w:rsidR="00AD6D75" w:rsidRPr="004727CF" w:rsidRDefault="00AD6D75" w:rsidP="009F4F9E">
      <w:pPr>
        <w:pStyle w:val="COVERPAGETEXT"/>
        <w:rPr>
          <w:rFonts w:asciiTheme="majorBidi" w:hAnsiTheme="majorBidi" w:cstheme="majorBidi"/>
        </w:rPr>
      </w:pPr>
    </w:p>
    <w:p w14:paraId="75AEB9F6" w14:textId="1B3DAC1B" w:rsidR="004A1164" w:rsidRPr="004727CF" w:rsidRDefault="004727CF" w:rsidP="004A1164">
      <w:pPr>
        <w:pStyle w:val="COVERPAGETEXT"/>
        <w:rPr>
          <w:rFonts w:asciiTheme="majorBidi" w:hAnsiTheme="majorBidi" w:cstheme="majorBidi"/>
        </w:rPr>
      </w:pPr>
      <w:r>
        <w:rPr>
          <w:rFonts w:asciiTheme="majorBidi" w:hAnsiTheme="majorBidi" w:cstheme="majorBidi"/>
        </w:rPr>
        <w:t>Eryn Legg</w:t>
      </w:r>
    </w:p>
    <w:p w14:paraId="52BECAEE" w14:textId="77777777" w:rsidR="00AD6D75" w:rsidRPr="004727CF" w:rsidRDefault="00AD6D75" w:rsidP="009F4F9E">
      <w:pPr>
        <w:pStyle w:val="COVERPAGETEXT"/>
        <w:rPr>
          <w:rFonts w:asciiTheme="majorBidi" w:hAnsiTheme="majorBidi" w:cstheme="majorBidi"/>
        </w:rPr>
      </w:pPr>
    </w:p>
    <w:p w14:paraId="7C7BF462" w14:textId="77777777" w:rsidR="00AD6D75" w:rsidRPr="004727CF" w:rsidRDefault="00AD6D75" w:rsidP="009F4F9E">
      <w:pPr>
        <w:pStyle w:val="COVERPAGETEXT"/>
        <w:rPr>
          <w:rFonts w:asciiTheme="majorBidi" w:hAnsiTheme="majorBidi" w:cstheme="majorBidi"/>
        </w:rPr>
      </w:pPr>
    </w:p>
    <w:p w14:paraId="0D73CD81" w14:textId="3E1A9F11" w:rsidR="004727CF" w:rsidRPr="004727CF" w:rsidRDefault="004727CF" w:rsidP="004727CF">
      <w:pPr>
        <w:pStyle w:val="COVERPAGETEXT"/>
        <w:rPr>
          <w:rFonts w:asciiTheme="majorBidi" w:hAnsiTheme="majorBidi" w:cstheme="majorBidi"/>
        </w:rPr>
      </w:pPr>
      <w:r w:rsidRPr="004727CF">
        <w:rPr>
          <w:rFonts w:asciiTheme="majorBidi" w:hAnsiTheme="majorBidi" w:cstheme="majorBidi"/>
        </w:rPr>
        <w:t xml:space="preserve">The importance of critical diameters and densities in relation to </w:t>
      </w:r>
      <w:r w:rsidR="00AC5C78">
        <w:rPr>
          <w:rFonts w:asciiTheme="majorBidi" w:hAnsiTheme="majorBidi" w:cstheme="majorBidi"/>
        </w:rPr>
        <w:t>TNT</w:t>
      </w:r>
      <w:r w:rsidRPr="004727CF">
        <w:rPr>
          <w:rFonts w:asciiTheme="majorBidi" w:hAnsiTheme="majorBidi" w:cstheme="majorBidi"/>
        </w:rPr>
        <w:t xml:space="preserve">, a secondary explosive, and </w:t>
      </w:r>
      <w:r w:rsidR="00C927D8">
        <w:rPr>
          <w:rFonts w:asciiTheme="majorBidi" w:hAnsiTheme="majorBidi" w:cstheme="majorBidi"/>
        </w:rPr>
        <w:t>Lead Azide</w:t>
      </w:r>
      <w:r w:rsidRPr="004727CF">
        <w:rPr>
          <w:rFonts w:asciiTheme="majorBidi" w:hAnsiTheme="majorBidi" w:cstheme="majorBidi"/>
        </w:rPr>
        <w:t xml:space="preserve">, a primary explosive. </w:t>
      </w:r>
    </w:p>
    <w:p w14:paraId="5C4BFBED" w14:textId="77777777" w:rsidR="00AD6D75" w:rsidRPr="004727CF" w:rsidRDefault="00AD6D75" w:rsidP="009F4F9E">
      <w:pPr>
        <w:pStyle w:val="COVERPAGETEXT"/>
        <w:rPr>
          <w:rFonts w:asciiTheme="majorBidi" w:hAnsiTheme="majorBidi" w:cstheme="majorBidi"/>
        </w:rPr>
      </w:pPr>
    </w:p>
    <w:p w14:paraId="6A0C88F7" w14:textId="77777777" w:rsidR="00AD6D75" w:rsidRPr="004727CF" w:rsidRDefault="00AD6D75" w:rsidP="009F4F9E">
      <w:pPr>
        <w:pStyle w:val="COVERPAGETEXT"/>
        <w:rPr>
          <w:rFonts w:asciiTheme="majorBidi" w:hAnsiTheme="majorBidi" w:cstheme="majorBidi"/>
        </w:rPr>
      </w:pPr>
    </w:p>
    <w:p w14:paraId="7DEF4BB6" w14:textId="1F3ED012" w:rsidR="00AD6D75" w:rsidRPr="004727CF" w:rsidRDefault="00AD6D75" w:rsidP="009F4F9E">
      <w:pPr>
        <w:pStyle w:val="COVERPAGETEXT"/>
        <w:rPr>
          <w:rFonts w:asciiTheme="majorBidi" w:hAnsiTheme="majorBidi" w:cstheme="majorBidi"/>
        </w:rPr>
      </w:pPr>
      <w:r w:rsidRPr="004727CF">
        <w:rPr>
          <w:rFonts w:asciiTheme="majorBidi" w:hAnsiTheme="majorBidi" w:cstheme="majorBidi"/>
        </w:rPr>
        <w:t>Supervisor:</w:t>
      </w:r>
      <w:r w:rsidRPr="004727CF">
        <w:rPr>
          <w:rFonts w:asciiTheme="majorBidi" w:hAnsiTheme="majorBidi" w:cstheme="majorBidi"/>
        </w:rPr>
        <w:tab/>
      </w:r>
      <w:bookmarkStart w:id="0" w:name="Text1"/>
      <w:r w:rsidRPr="004727CF">
        <w:rPr>
          <w:rFonts w:asciiTheme="majorBidi" w:hAnsiTheme="majorBidi" w:cstheme="majorBidi"/>
        </w:rPr>
        <w:t xml:space="preserve"> </w:t>
      </w:r>
      <w:bookmarkEnd w:id="0"/>
      <w:r w:rsidR="004727CF" w:rsidRPr="004727CF">
        <w:rPr>
          <w:rFonts w:asciiTheme="majorBidi" w:hAnsiTheme="majorBidi" w:cstheme="majorBidi"/>
        </w:rPr>
        <w:t>Dr Gareth Collett CBE</w:t>
      </w:r>
    </w:p>
    <w:p w14:paraId="006ED54E" w14:textId="77777777" w:rsidR="00AD6D75" w:rsidRPr="004727CF" w:rsidRDefault="00AD6D75" w:rsidP="00E71C90">
      <w:pPr>
        <w:pStyle w:val="COVERPAGETEXT"/>
        <w:rPr>
          <w:rFonts w:asciiTheme="majorBidi" w:hAnsiTheme="majorBidi" w:cstheme="majorBidi"/>
        </w:rPr>
      </w:pPr>
    </w:p>
    <w:p w14:paraId="25FC419B" w14:textId="77777777" w:rsidR="00404309" w:rsidRPr="004727CF" w:rsidRDefault="00404309" w:rsidP="00E71C90">
      <w:pPr>
        <w:pStyle w:val="COVERPAGETEXT"/>
        <w:rPr>
          <w:rFonts w:asciiTheme="majorBidi" w:hAnsiTheme="majorBidi" w:cstheme="majorBidi"/>
        </w:rPr>
      </w:pPr>
    </w:p>
    <w:p w14:paraId="36F9C350" w14:textId="717494DE" w:rsidR="00AD6D75" w:rsidRPr="004727CF" w:rsidRDefault="00AD6D75" w:rsidP="009F4F9E">
      <w:pPr>
        <w:pStyle w:val="COVERPAGETEXT"/>
        <w:rPr>
          <w:rFonts w:asciiTheme="majorBidi" w:hAnsiTheme="majorBidi" w:cstheme="majorBidi"/>
        </w:rPr>
      </w:pPr>
      <w:r w:rsidRPr="004727CF">
        <w:rPr>
          <w:rFonts w:asciiTheme="majorBidi" w:hAnsiTheme="majorBidi" w:cstheme="majorBidi"/>
        </w:rPr>
        <w:t xml:space="preserve">This thesis is submitted in partial fulfilment of the requirements for the degree of </w:t>
      </w:r>
      <w:r w:rsidR="00EE6208">
        <w:rPr>
          <w:rFonts w:asciiTheme="majorBidi" w:hAnsiTheme="majorBidi" w:cstheme="majorBidi"/>
        </w:rPr>
        <w:t>Ordnance, Munitions and Explosives BEng</w:t>
      </w:r>
    </w:p>
    <w:p w14:paraId="26C6B3D3" w14:textId="207FED6E" w:rsidR="00AD6D75" w:rsidRPr="004727CF" w:rsidRDefault="00AD6D75" w:rsidP="009F4F9E">
      <w:pPr>
        <w:pStyle w:val="COVERPAGETEXT"/>
        <w:rPr>
          <w:rFonts w:asciiTheme="majorBidi" w:hAnsiTheme="majorBidi" w:cstheme="majorBidi"/>
          <w:b/>
          <w:i/>
          <w:sz w:val="22"/>
          <w:szCs w:val="22"/>
        </w:rPr>
      </w:pPr>
    </w:p>
    <w:p w14:paraId="2FED69D7" w14:textId="77777777" w:rsidR="00AD6D75" w:rsidRPr="004727CF" w:rsidRDefault="00AD6D75" w:rsidP="009F4F9E">
      <w:pPr>
        <w:pStyle w:val="COVERPAGETEXT"/>
        <w:rPr>
          <w:rFonts w:asciiTheme="majorBidi" w:hAnsiTheme="majorBidi" w:cstheme="majorBidi"/>
        </w:rPr>
      </w:pPr>
    </w:p>
    <w:p w14:paraId="42021BD2" w14:textId="5CFD6E6F" w:rsidR="00AD6D75" w:rsidRPr="004727CF" w:rsidRDefault="00AD6D75" w:rsidP="009F4F9E">
      <w:pPr>
        <w:pStyle w:val="COVERPAGETEXT"/>
        <w:rPr>
          <w:rFonts w:asciiTheme="majorBidi" w:hAnsiTheme="majorBidi" w:cstheme="majorBidi"/>
        </w:rPr>
      </w:pPr>
      <w:r w:rsidRPr="004727CF">
        <w:rPr>
          <w:rFonts w:asciiTheme="majorBidi" w:hAnsiTheme="majorBidi" w:cstheme="majorBidi"/>
        </w:rPr>
        <w:t xml:space="preserve">© </w:t>
      </w:r>
      <w:r w:rsidR="004D5EBD" w:rsidRPr="004727CF">
        <w:rPr>
          <w:rFonts w:asciiTheme="majorBidi" w:hAnsiTheme="majorBidi" w:cstheme="majorBidi"/>
        </w:rPr>
        <w:t>UWTSD</w:t>
      </w:r>
      <w:r w:rsidRPr="004727CF">
        <w:rPr>
          <w:rFonts w:asciiTheme="majorBidi" w:hAnsiTheme="majorBidi" w:cstheme="majorBidi"/>
        </w:rPr>
        <w:t xml:space="preserve"> </w:t>
      </w:r>
      <w:r w:rsidR="00EE6208">
        <w:rPr>
          <w:rFonts w:asciiTheme="majorBidi" w:hAnsiTheme="majorBidi" w:cstheme="majorBidi"/>
        </w:rPr>
        <w:t>2025</w:t>
      </w:r>
      <w:r w:rsidRPr="004727CF">
        <w:rPr>
          <w:rFonts w:asciiTheme="majorBidi" w:hAnsiTheme="majorBidi" w:cstheme="majorBidi"/>
        </w:rPr>
        <w:t>. All rights reserved. No part of this publication may be reproduced without the written permission of the copyright owner.</w:t>
      </w:r>
    </w:p>
    <w:p w14:paraId="52B1F4ED" w14:textId="77777777" w:rsidR="00DA28B2" w:rsidRPr="004727CF" w:rsidRDefault="00DA28B2" w:rsidP="00DA28B2">
      <w:pPr>
        <w:pStyle w:val="Heading1nonumber"/>
        <w:rPr>
          <w:rFonts w:asciiTheme="majorBidi" w:hAnsiTheme="majorBidi" w:cstheme="majorBidi"/>
        </w:rPr>
        <w:sectPr w:rsidR="00DA28B2" w:rsidRPr="004727CF" w:rsidSect="00623A81">
          <w:headerReference w:type="even" r:id="rId13"/>
          <w:headerReference w:type="default" r:id="rId14"/>
          <w:footerReference w:type="even" r:id="rId15"/>
          <w:footerReference w:type="default" r:id="rId16"/>
          <w:headerReference w:type="first" r:id="rId17"/>
          <w:footerReference w:type="first" r:id="rId18"/>
          <w:pgSz w:w="11906" w:h="16838" w:code="9"/>
          <w:pgMar w:top="1701" w:right="1701" w:bottom="1701" w:left="1701" w:header="709" w:footer="851" w:gutter="0"/>
          <w:pgNumType w:fmt="lowerRoman" w:start="1"/>
          <w:cols w:space="708"/>
          <w:docGrid w:linePitch="360"/>
        </w:sectPr>
      </w:pPr>
    </w:p>
    <w:p w14:paraId="75F08DD5" w14:textId="474A0FE4" w:rsidR="0088087A" w:rsidRPr="004727CF" w:rsidRDefault="005C6FA2" w:rsidP="0088087A">
      <w:pPr>
        <w:pStyle w:val="Heading1nonumber"/>
        <w:rPr>
          <w:rFonts w:asciiTheme="majorBidi" w:hAnsiTheme="majorBidi" w:cstheme="majorBidi"/>
        </w:rPr>
      </w:pPr>
      <w:bookmarkStart w:id="1" w:name="_Toc129338450"/>
      <w:bookmarkStart w:id="2" w:name="_Toc290554218"/>
      <w:bookmarkStart w:id="3" w:name="_Toc299621183"/>
      <w:bookmarkStart w:id="4" w:name="_Toc299631411"/>
      <w:bookmarkStart w:id="5" w:name="_Toc299631471"/>
      <w:bookmarkStart w:id="6" w:name="_Toc299631561"/>
      <w:bookmarkStart w:id="7" w:name="_Toc299631638"/>
      <w:bookmarkStart w:id="8" w:name="_Toc216938113"/>
      <w:r w:rsidRPr="004727CF">
        <w:rPr>
          <w:rFonts w:asciiTheme="majorBidi" w:hAnsiTheme="majorBidi" w:cstheme="majorBidi"/>
        </w:rPr>
        <w:lastRenderedPageBreak/>
        <w:t>A</w:t>
      </w:r>
      <w:r w:rsidR="005E3ACA" w:rsidRPr="004727CF">
        <w:rPr>
          <w:rFonts w:asciiTheme="majorBidi" w:hAnsiTheme="majorBidi" w:cstheme="majorBidi"/>
        </w:rPr>
        <w:t>cademic integrity declaration</w:t>
      </w:r>
      <w:bookmarkEnd w:id="1"/>
      <w:bookmarkEnd w:id="8"/>
    </w:p>
    <w:p w14:paraId="287E2C73" w14:textId="77777777" w:rsidR="0088087A" w:rsidRPr="004727CF" w:rsidRDefault="0088087A" w:rsidP="0088087A">
      <w:pPr>
        <w:rPr>
          <w:rFonts w:asciiTheme="majorBidi" w:hAnsiTheme="majorBidi" w:cstheme="majorBidi"/>
        </w:rPr>
      </w:pPr>
      <w:r w:rsidRPr="004727CF">
        <w:rPr>
          <w:rFonts w:asciiTheme="majorBidi" w:hAnsiTheme="majorBidi" w:cstheme="majorBidi"/>
        </w:rPr>
        <w:t>I declare that:</w:t>
      </w:r>
    </w:p>
    <w:p w14:paraId="0B7C0C3A" w14:textId="77777777" w:rsidR="0088087A" w:rsidRPr="004727CF" w:rsidRDefault="0088087A" w:rsidP="0088087A">
      <w:pPr>
        <w:pStyle w:val="ListParagraph"/>
        <w:numPr>
          <w:ilvl w:val="0"/>
          <w:numId w:val="26"/>
        </w:numPr>
        <w:rPr>
          <w:rFonts w:asciiTheme="majorBidi" w:hAnsiTheme="majorBidi" w:cstheme="majorBidi"/>
        </w:rPr>
      </w:pPr>
      <w:r w:rsidRPr="004727CF">
        <w:rPr>
          <w:rFonts w:asciiTheme="majorBidi" w:hAnsiTheme="majorBidi" w:cstheme="majorBidi"/>
        </w:rPr>
        <w:t>the thesis submitted has been written by me alone.</w:t>
      </w:r>
    </w:p>
    <w:p w14:paraId="30EDB562" w14:textId="77777777" w:rsidR="0088087A" w:rsidRPr="004727CF" w:rsidRDefault="0088087A" w:rsidP="0088087A">
      <w:pPr>
        <w:pStyle w:val="ListParagraph"/>
        <w:numPr>
          <w:ilvl w:val="0"/>
          <w:numId w:val="26"/>
        </w:numPr>
        <w:rPr>
          <w:rFonts w:asciiTheme="majorBidi" w:hAnsiTheme="majorBidi" w:cstheme="majorBidi"/>
        </w:rPr>
      </w:pPr>
      <w:r w:rsidRPr="004727CF">
        <w:rPr>
          <w:rFonts w:asciiTheme="majorBidi" w:hAnsiTheme="majorBidi" w:cstheme="majorBidi"/>
        </w:rPr>
        <w:t>the thesis submitted has not been previously submitted to this university or any other.</w:t>
      </w:r>
    </w:p>
    <w:p w14:paraId="2A543FCD" w14:textId="77777777" w:rsidR="0088087A" w:rsidRPr="004727CF" w:rsidRDefault="0088087A" w:rsidP="0088087A">
      <w:pPr>
        <w:pStyle w:val="ListParagraph"/>
        <w:numPr>
          <w:ilvl w:val="0"/>
          <w:numId w:val="26"/>
        </w:numPr>
        <w:rPr>
          <w:rFonts w:asciiTheme="majorBidi" w:hAnsiTheme="majorBidi" w:cstheme="majorBidi"/>
        </w:rPr>
      </w:pPr>
      <w:r w:rsidRPr="004727CF">
        <w:rPr>
          <w:rFonts w:asciiTheme="majorBidi" w:hAnsiTheme="majorBidi" w:cstheme="majorBidi"/>
        </w:rPr>
        <w:t>that all content, including primary and/or secondary data, is true to the best of my knowledge.</w:t>
      </w:r>
    </w:p>
    <w:p w14:paraId="7D207515" w14:textId="77777777" w:rsidR="0088087A" w:rsidRPr="004727CF" w:rsidRDefault="0088087A" w:rsidP="0088087A">
      <w:pPr>
        <w:pStyle w:val="ListParagraph"/>
        <w:numPr>
          <w:ilvl w:val="0"/>
          <w:numId w:val="26"/>
        </w:numPr>
        <w:rPr>
          <w:rFonts w:asciiTheme="majorBidi" w:hAnsiTheme="majorBidi" w:cstheme="majorBidi"/>
        </w:rPr>
      </w:pPr>
      <w:r w:rsidRPr="004727CF">
        <w:rPr>
          <w:rFonts w:asciiTheme="majorBidi" w:hAnsiTheme="majorBidi" w:cstheme="majorBidi"/>
        </w:rPr>
        <w:t>that all quotations and references have been duly acknowledged according to the requirements of academic research.</w:t>
      </w:r>
    </w:p>
    <w:p w14:paraId="6138B01F" w14:textId="77777777" w:rsidR="0088087A" w:rsidRPr="004727CF" w:rsidRDefault="0088087A" w:rsidP="0088087A">
      <w:pPr>
        <w:rPr>
          <w:rFonts w:asciiTheme="majorBidi" w:hAnsiTheme="majorBidi" w:cstheme="majorBidi"/>
        </w:rPr>
      </w:pPr>
      <w:r w:rsidRPr="004727CF">
        <w:rPr>
          <w:rFonts w:asciiTheme="majorBidi" w:hAnsiTheme="majorBidi" w:cstheme="majorBidi"/>
        </w:rPr>
        <w:t>I understand that to knowingly submit work in violation of the above statement will be considered by examiners as academic misconduct.</w:t>
      </w:r>
    </w:p>
    <w:p w14:paraId="7D96CE18" w14:textId="6963B039" w:rsidR="001B0633" w:rsidRPr="004727CF" w:rsidRDefault="001B0633" w:rsidP="001B0633">
      <w:pPr>
        <w:rPr>
          <w:rFonts w:asciiTheme="majorBidi" w:hAnsiTheme="majorBidi" w:cstheme="majorBidi"/>
        </w:rPr>
      </w:pPr>
    </w:p>
    <w:p w14:paraId="002A004E" w14:textId="77777777" w:rsidR="001B0633" w:rsidRPr="004727CF" w:rsidRDefault="001B0633" w:rsidP="001B0633">
      <w:pPr>
        <w:rPr>
          <w:rFonts w:asciiTheme="majorBidi" w:hAnsiTheme="majorBidi" w:cstheme="majorBidi"/>
        </w:rPr>
        <w:sectPr w:rsidR="001B0633" w:rsidRPr="004727CF" w:rsidSect="00623A81">
          <w:footerReference w:type="default" r:id="rId19"/>
          <w:pgSz w:w="11906" w:h="16838" w:code="9"/>
          <w:pgMar w:top="1701" w:right="1701" w:bottom="1701" w:left="1701" w:header="709" w:footer="851" w:gutter="0"/>
          <w:pgNumType w:fmt="lowerRoman" w:start="1"/>
          <w:cols w:space="708"/>
          <w:docGrid w:linePitch="360"/>
        </w:sectPr>
      </w:pPr>
    </w:p>
    <w:p w14:paraId="100DFCB2" w14:textId="4AFAC497" w:rsidR="00DA28B2" w:rsidRPr="004727CF" w:rsidRDefault="005E3ACA" w:rsidP="00DA28B2">
      <w:pPr>
        <w:pStyle w:val="Heading1nonumber"/>
        <w:rPr>
          <w:rFonts w:asciiTheme="majorBidi" w:hAnsiTheme="majorBidi" w:cstheme="majorBidi"/>
        </w:rPr>
      </w:pPr>
      <w:bookmarkStart w:id="9" w:name="_Toc216938114"/>
      <w:r w:rsidRPr="004727CF">
        <w:rPr>
          <w:rFonts w:asciiTheme="majorBidi" w:hAnsiTheme="majorBidi" w:cstheme="majorBidi"/>
        </w:rPr>
        <w:lastRenderedPageBreak/>
        <w:t>Abstract</w:t>
      </w:r>
      <w:bookmarkEnd w:id="2"/>
      <w:bookmarkEnd w:id="3"/>
      <w:bookmarkEnd w:id="4"/>
      <w:bookmarkEnd w:id="5"/>
      <w:bookmarkEnd w:id="6"/>
      <w:bookmarkEnd w:id="7"/>
      <w:bookmarkEnd w:id="9"/>
    </w:p>
    <w:p w14:paraId="44908FCE" w14:textId="08081AE2" w:rsidR="00DA28B2" w:rsidRPr="00DA1B85" w:rsidRDefault="00DA1B85" w:rsidP="00941D35">
      <w:pPr>
        <w:rPr>
          <w:rFonts w:asciiTheme="majorBidi" w:hAnsiTheme="majorBidi" w:cstheme="majorBidi"/>
          <w:sz w:val="22"/>
          <w:szCs w:val="22"/>
        </w:rPr>
      </w:pPr>
      <w:r w:rsidRPr="00DA1B85">
        <w:rPr>
          <w:rFonts w:asciiTheme="majorBidi" w:hAnsiTheme="majorBidi" w:cstheme="majorBidi"/>
          <w:sz w:val="22"/>
          <w:szCs w:val="22"/>
        </w:rPr>
        <w:t xml:space="preserve">Confinement and unconfinement of Lead Azide is important in design due to confinement offering safe handling and storage as well as minimising storage requirements however the immediate detonation after ignition means for little to no effect of ranging critical densities and diameters. The density of Lead Azide has a low variation due to the materials ability to be Dead Pressed which thus allows for minimal design variation of the critical diameter. </w:t>
      </w:r>
    </w:p>
    <w:p w14:paraId="0660F225" w14:textId="0690FF5C" w:rsidR="00DA1B85" w:rsidRPr="00DA1B85" w:rsidRDefault="00DA1B85" w:rsidP="00941D35">
      <w:pPr>
        <w:rPr>
          <w:rFonts w:asciiTheme="majorBidi" w:hAnsiTheme="majorBidi" w:cstheme="majorBidi"/>
          <w:sz w:val="22"/>
          <w:szCs w:val="22"/>
        </w:rPr>
      </w:pPr>
      <w:r w:rsidRPr="00DA1B85">
        <w:rPr>
          <w:rFonts w:asciiTheme="majorBidi" w:hAnsiTheme="majorBidi" w:cstheme="majorBidi"/>
          <w:sz w:val="22"/>
          <w:szCs w:val="22"/>
        </w:rPr>
        <w:t xml:space="preserve">Confinement and unconfinement of TNT is important due to TNT being a secondary explosive. Where confinement offers advantages, such as increasing the temperature and pressure internally, the material can be under and over confined either resulting in confinement failure or energy absorption/waste. There is a greater critical diameter variation due to TNT’s vast manufacturing techniques all resulting in a vast ranging density which can cause detonation. </w:t>
      </w:r>
    </w:p>
    <w:p w14:paraId="4836B30C" w14:textId="77777777" w:rsidR="00DA1B85" w:rsidRDefault="00DA1B85" w:rsidP="00941D35">
      <w:pPr>
        <w:rPr>
          <w:rFonts w:asciiTheme="majorBidi" w:hAnsiTheme="majorBidi" w:cstheme="majorBidi"/>
        </w:rPr>
      </w:pPr>
    </w:p>
    <w:p w14:paraId="3E3E2E09" w14:textId="77777777" w:rsidR="00DA1B85" w:rsidRPr="005B365C" w:rsidRDefault="00DA1B85" w:rsidP="00941D35">
      <w:pPr>
        <w:rPr>
          <w:rFonts w:asciiTheme="majorBidi" w:hAnsiTheme="majorBidi" w:cstheme="majorBidi"/>
        </w:rPr>
      </w:pPr>
    </w:p>
    <w:p w14:paraId="78E9B4BD" w14:textId="77777777" w:rsidR="00DA28B2" w:rsidRPr="005B365C" w:rsidRDefault="00DA28B2" w:rsidP="00DA1B85">
      <w:pPr>
        <w:pStyle w:val="Heading1"/>
        <w:numPr>
          <w:ilvl w:val="0"/>
          <w:numId w:val="0"/>
        </w:numPr>
        <w:ind w:left="432" w:hanging="432"/>
        <w:rPr>
          <w:rFonts w:asciiTheme="majorBidi" w:hAnsiTheme="majorBidi" w:cstheme="majorBidi"/>
        </w:rPr>
      </w:pPr>
      <w:bookmarkStart w:id="10" w:name="_Toc216938115"/>
      <w:r w:rsidRPr="005B365C">
        <w:rPr>
          <w:rFonts w:asciiTheme="majorBidi" w:hAnsiTheme="majorBidi" w:cstheme="majorBidi"/>
        </w:rPr>
        <w:t>Keywords:</w:t>
      </w:r>
      <w:bookmarkEnd w:id="10"/>
      <w:r w:rsidRPr="005B365C">
        <w:rPr>
          <w:rFonts w:asciiTheme="majorBidi" w:hAnsiTheme="majorBidi" w:cstheme="majorBidi"/>
        </w:rPr>
        <w:tab/>
      </w:r>
    </w:p>
    <w:p w14:paraId="38C7ADDF" w14:textId="3D26A78B" w:rsidR="00DA28B2" w:rsidRDefault="00124E49" w:rsidP="00941D35">
      <w:pPr>
        <w:rPr>
          <w:rFonts w:asciiTheme="majorBidi" w:hAnsiTheme="majorBidi" w:cstheme="majorBidi"/>
        </w:rPr>
      </w:pPr>
      <w:r>
        <w:rPr>
          <w:rFonts w:asciiTheme="majorBidi" w:hAnsiTheme="majorBidi" w:cstheme="majorBidi"/>
        </w:rPr>
        <w:t>TNT</w:t>
      </w:r>
    </w:p>
    <w:p w14:paraId="02647977" w14:textId="6FFCC5CF" w:rsidR="00EE6208" w:rsidRDefault="00C927D8" w:rsidP="00941D35">
      <w:pPr>
        <w:rPr>
          <w:rFonts w:asciiTheme="majorBidi" w:hAnsiTheme="majorBidi" w:cstheme="majorBidi"/>
        </w:rPr>
      </w:pPr>
      <w:r>
        <w:rPr>
          <w:rFonts w:asciiTheme="majorBidi" w:hAnsiTheme="majorBidi" w:cstheme="majorBidi"/>
        </w:rPr>
        <w:t>Lead Azide</w:t>
      </w:r>
    </w:p>
    <w:p w14:paraId="6B328C4B" w14:textId="31CF6434" w:rsidR="00EE6208" w:rsidRDefault="00EE6208" w:rsidP="00941D35">
      <w:pPr>
        <w:rPr>
          <w:rFonts w:asciiTheme="majorBidi" w:hAnsiTheme="majorBidi" w:cstheme="majorBidi"/>
        </w:rPr>
      </w:pPr>
      <w:r>
        <w:rPr>
          <w:rFonts w:asciiTheme="majorBidi" w:hAnsiTheme="majorBidi" w:cstheme="majorBidi"/>
        </w:rPr>
        <w:t xml:space="preserve">Confined </w:t>
      </w:r>
    </w:p>
    <w:p w14:paraId="576D66CF" w14:textId="77E46419" w:rsidR="00EE6208" w:rsidRDefault="00EE6208" w:rsidP="00941D35">
      <w:pPr>
        <w:rPr>
          <w:rFonts w:asciiTheme="majorBidi" w:hAnsiTheme="majorBidi" w:cstheme="majorBidi"/>
        </w:rPr>
      </w:pPr>
      <w:r>
        <w:rPr>
          <w:rFonts w:asciiTheme="majorBidi" w:hAnsiTheme="majorBidi" w:cstheme="majorBidi"/>
        </w:rPr>
        <w:t xml:space="preserve">Unconfined </w:t>
      </w:r>
    </w:p>
    <w:p w14:paraId="464F247B" w14:textId="77777777" w:rsidR="00EE6208" w:rsidRPr="004727CF" w:rsidRDefault="00EE6208" w:rsidP="00941D35">
      <w:pPr>
        <w:rPr>
          <w:rFonts w:asciiTheme="majorBidi" w:hAnsiTheme="majorBidi" w:cstheme="majorBidi"/>
        </w:rPr>
      </w:pPr>
    </w:p>
    <w:p w14:paraId="5F661D8D" w14:textId="77777777" w:rsidR="00DA28B2" w:rsidRPr="004727CF" w:rsidRDefault="00DA28B2" w:rsidP="00941D35">
      <w:pPr>
        <w:rPr>
          <w:rFonts w:asciiTheme="majorBidi" w:hAnsiTheme="majorBidi" w:cstheme="majorBidi"/>
        </w:rPr>
      </w:pPr>
    </w:p>
    <w:p w14:paraId="6B888662" w14:textId="77777777" w:rsidR="00F2159F" w:rsidRPr="004727CF" w:rsidRDefault="00F2159F" w:rsidP="00AE480E">
      <w:pPr>
        <w:rPr>
          <w:rFonts w:asciiTheme="majorBidi" w:hAnsiTheme="majorBidi" w:cstheme="majorBidi"/>
        </w:rPr>
      </w:pPr>
      <w:bookmarkStart w:id="11" w:name="_Toc290554219"/>
      <w:bookmarkStart w:id="12" w:name="_Toc299621184"/>
      <w:bookmarkStart w:id="13" w:name="_Toc299631412"/>
      <w:bookmarkStart w:id="14" w:name="_Toc299631472"/>
      <w:bookmarkStart w:id="15" w:name="_Toc299631562"/>
      <w:bookmarkStart w:id="16" w:name="_Toc299631639"/>
      <w:r w:rsidRPr="004727CF">
        <w:rPr>
          <w:rFonts w:asciiTheme="majorBidi" w:hAnsiTheme="majorBidi" w:cstheme="majorBidi"/>
        </w:rPr>
        <w:br w:type="page"/>
      </w:r>
    </w:p>
    <w:bookmarkEnd w:id="11"/>
    <w:bookmarkEnd w:id="12"/>
    <w:bookmarkEnd w:id="13"/>
    <w:bookmarkEnd w:id="14"/>
    <w:bookmarkEnd w:id="15"/>
    <w:bookmarkEnd w:id="16"/>
    <w:p w14:paraId="348ECC03" w14:textId="0E51CD5B" w:rsidR="00DA28B2" w:rsidRPr="004727CF" w:rsidRDefault="00F65825" w:rsidP="006454D8">
      <w:pPr>
        <w:pStyle w:val="TABLEOFCONTENTSHEADING"/>
        <w:spacing w:line="276" w:lineRule="auto"/>
        <w:rPr>
          <w:rFonts w:asciiTheme="majorBidi" w:hAnsiTheme="majorBidi" w:cstheme="majorBidi"/>
        </w:rPr>
      </w:pPr>
      <w:r w:rsidRPr="004727CF">
        <w:rPr>
          <w:rFonts w:asciiTheme="majorBidi" w:hAnsiTheme="majorBidi" w:cstheme="majorBidi"/>
        </w:rPr>
        <w:lastRenderedPageBreak/>
        <w:t>Table of Contents</w:t>
      </w:r>
    </w:p>
    <w:p w14:paraId="62934297" w14:textId="66EE79B5" w:rsidR="005B365C" w:rsidRDefault="00B765F2">
      <w:pPr>
        <w:pStyle w:val="TOC1"/>
        <w:rPr>
          <w:rFonts w:asciiTheme="minorHAnsi" w:eastAsiaTheme="minorEastAsia" w:hAnsiTheme="minorHAnsi" w:cstheme="minorBidi"/>
          <w:kern w:val="2"/>
          <w:lang w:eastAsia="en-GB"/>
          <w14:ligatures w14:val="standardContextual"/>
        </w:rPr>
      </w:pPr>
      <w:r w:rsidRPr="004727CF">
        <w:rPr>
          <w:rFonts w:asciiTheme="majorBidi" w:hAnsiTheme="majorBidi" w:cstheme="majorBidi"/>
        </w:rPr>
        <w:fldChar w:fldCharType="begin"/>
      </w:r>
      <w:r w:rsidR="00CC21F1" w:rsidRPr="004727CF">
        <w:rPr>
          <w:rFonts w:asciiTheme="majorBidi" w:hAnsiTheme="majorBidi" w:cstheme="majorBidi"/>
        </w:rPr>
        <w:instrText xml:space="preserve"> TOC \o "1-3" \h \z \u \t "Heading 7,2" </w:instrText>
      </w:r>
      <w:r w:rsidRPr="004727CF">
        <w:rPr>
          <w:rFonts w:asciiTheme="majorBidi" w:hAnsiTheme="majorBidi" w:cstheme="majorBidi"/>
        </w:rPr>
        <w:fldChar w:fldCharType="separate"/>
      </w:r>
      <w:hyperlink w:anchor="_Toc216938113" w:history="1">
        <w:r w:rsidR="005B365C" w:rsidRPr="008F2EAB">
          <w:rPr>
            <w:rStyle w:val="Hyperlink"/>
            <w:rFonts w:asciiTheme="majorBidi" w:hAnsiTheme="majorBidi" w:cstheme="majorBidi"/>
          </w:rPr>
          <w:t>Academic integrity declaration</w:t>
        </w:r>
        <w:r w:rsidR="005B365C">
          <w:rPr>
            <w:webHidden/>
          </w:rPr>
          <w:tab/>
        </w:r>
        <w:r w:rsidR="005B365C">
          <w:rPr>
            <w:webHidden/>
          </w:rPr>
          <w:fldChar w:fldCharType="begin"/>
        </w:r>
        <w:r w:rsidR="005B365C">
          <w:rPr>
            <w:webHidden/>
          </w:rPr>
          <w:instrText xml:space="preserve"> PAGEREF _Toc216938113 \h </w:instrText>
        </w:r>
        <w:r w:rsidR="005B365C">
          <w:rPr>
            <w:webHidden/>
          </w:rPr>
        </w:r>
        <w:r w:rsidR="005B365C">
          <w:rPr>
            <w:webHidden/>
          </w:rPr>
          <w:fldChar w:fldCharType="separate"/>
        </w:r>
        <w:r w:rsidR="005B365C">
          <w:rPr>
            <w:webHidden/>
          </w:rPr>
          <w:t>i</w:t>
        </w:r>
        <w:r w:rsidR="005B365C">
          <w:rPr>
            <w:webHidden/>
          </w:rPr>
          <w:fldChar w:fldCharType="end"/>
        </w:r>
      </w:hyperlink>
    </w:p>
    <w:p w14:paraId="466E7DB0" w14:textId="5DD7F741" w:rsidR="005B365C" w:rsidRDefault="005B365C">
      <w:pPr>
        <w:pStyle w:val="TOC1"/>
        <w:rPr>
          <w:rFonts w:asciiTheme="minorHAnsi" w:eastAsiaTheme="minorEastAsia" w:hAnsiTheme="minorHAnsi" w:cstheme="minorBidi"/>
          <w:kern w:val="2"/>
          <w:lang w:eastAsia="en-GB"/>
          <w14:ligatures w14:val="standardContextual"/>
        </w:rPr>
      </w:pPr>
      <w:hyperlink w:anchor="_Toc216938114" w:history="1">
        <w:r w:rsidRPr="008F2EAB">
          <w:rPr>
            <w:rStyle w:val="Hyperlink"/>
            <w:rFonts w:asciiTheme="majorBidi" w:hAnsiTheme="majorBidi" w:cstheme="majorBidi"/>
          </w:rPr>
          <w:t>Abstract</w:t>
        </w:r>
        <w:r>
          <w:rPr>
            <w:webHidden/>
          </w:rPr>
          <w:tab/>
        </w:r>
        <w:r>
          <w:rPr>
            <w:webHidden/>
          </w:rPr>
          <w:fldChar w:fldCharType="begin"/>
        </w:r>
        <w:r>
          <w:rPr>
            <w:webHidden/>
          </w:rPr>
          <w:instrText xml:space="preserve"> PAGEREF _Toc216938114 \h </w:instrText>
        </w:r>
        <w:r>
          <w:rPr>
            <w:webHidden/>
          </w:rPr>
        </w:r>
        <w:r>
          <w:rPr>
            <w:webHidden/>
          </w:rPr>
          <w:fldChar w:fldCharType="separate"/>
        </w:r>
        <w:r>
          <w:rPr>
            <w:webHidden/>
          </w:rPr>
          <w:t>ii</w:t>
        </w:r>
        <w:r>
          <w:rPr>
            <w:webHidden/>
          </w:rPr>
          <w:fldChar w:fldCharType="end"/>
        </w:r>
      </w:hyperlink>
    </w:p>
    <w:p w14:paraId="17D892D2" w14:textId="2A765A14" w:rsidR="005B365C" w:rsidRDefault="005B365C">
      <w:pPr>
        <w:pStyle w:val="TOC1"/>
        <w:rPr>
          <w:rFonts w:asciiTheme="minorHAnsi" w:eastAsiaTheme="minorEastAsia" w:hAnsiTheme="minorHAnsi" w:cstheme="minorBidi"/>
          <w:kern w:val="2"/>
          <w:lang w:eastAsia="en-GB"/>
          <w14:ligatures w14:val="standardContextual"/>
        </w:rPr>
      </w:pPr>
      <w:hyperlink w:anchor="_Toc216938115" w:history="1">
        <w:r w:rsidRPr="008F2EAB">
          <w:rPr>
            <w:rStyle w:val="Hyperlink"/>
            <w:rFonts w:asciiTheme="majorBidi" w:hAnsiTheme="majorBidi" w:cstheme="majorBidi"/>
          </w:rPr>
          <w:t>Keywords:</w:t>
        </w:r>
        <w:r>
          <w:rPr>
            <w:webHidden/>
          </w:rPr>
          <w:tab/>
        </w:r>
        <w:r>
          <w:rPr>
            <w:webHidden/>
          </w:rPr>
          <w:fldChar w:fldCharType="begin"/>
        </w:r>
        <w:r>
          <w:rPr>
            <w:webHidden/>
          </w:rPr>
          <w:instrText xml:space="preserve"> PAGEREF _Toc216938115 \h </w:instrText>
        </w:r>
        <w:r>
          <w:rPr>
            <w:webHidden/>
          </w:rPr>
        </w:r>
        <w:r>
          <w:rPr>
            <w:webHidden/>
          </w:rPr>
          <w:fldChar w:fldCharType="separate"/>
        </w:r>
        <w:r>
          <w:rPr>
            <w:webHidden/>
          </w:rPr>
          <w:t>ii</w:t>
        </w:r>
        <w:r>
          <w:rPr>
            <w:webHidden/>
          </w:rPr>
          <w:fldChar w:fldCharType="end"/>
        </w:r>
      </w:hyperlink>
    </w:p>
    <w:p w14:paraId="6A853982" w14:textId="341C9390" w:rsidR="005B365C" w:rsidRDefault="005B365C">
      <w:pPr>
        <w:pStyle w:val="TOC1"/>
        <w:rPr>
          <w:rFonts w:asciiTheme="minorHAnsi" w:eastAsiaTheme="minorEastAsia" w:hAnsiTheme="minorHAnsi" w:cstheme="minorBidi"/>
          <w:kern w:val="2"/>
          <w:lang w:eastAsia="en-GB"/>
          <w14:ligatures w14:val="standardContextual"/>
        </w:rPr>
      </w:pPr>
      <w:hyperlink w:anchor="_Toc216938116" w:history="1">
        <w:r w:rsidRPr="008F2EAB">
          <w:rPr>
            <w:rStyle w:val="Hyperlink"/>
            <w:rFonts w:asciiTheme="majorBidi" w:hAnsiTheme="majorBidi" w:cstheme="majorBidi"/>
          </w:rPr>
          <w:t>List of Figures</w:t>
        </w:r>
        <w:r>
          <w:rPr>
            <w:webHidden/>
          </w:rPr>
          <w:tab/>
        </w:r>
        <w:r>
          <w:rPr>
            <w:webHidden/>
          </w:rPr>
          <w:fldChar w:fldCharType="begin"/>
        </w:r>
        <w:r>
          <w:rPr>
            <w:webHidden/>
          </w:rPr>
          <w:instrText xml:space="preserve"> PAGEREF _Toc216938116 \h </w:instrText>
        </w:r>
        <w:r>
          <w:rPr>
            <w:webHidden/>
          </w:rPr>
        </w:r>
        <w:r>
          <w:rPr>
            <w:webHidden/>
          </w:rPr>
          <w:fldChar w:fldCharType="separate"/>
        </w:r>
        <w:r>
          <w:rPr>
            <w:webHidden/>
          </w:rPr>
          <w:t>iv</w:t>
        </w:r>
        <w:r>
          <w:rPr>
            <w:webHidden/>
          </w:rPr>
          <w:fldChar w:fldCharType="end"/>
        </w:r>
      </w:hyperlink>
    </w:p>
    <w:p w14:paraId="13FC2B69" w14:textId="17754BF3" w:rsidR="005B365C" w:rsidRDefault="005B365C">
      <w:pPr>
        <w:pStyle w:val="TOC1"/>
        <w:rPr>
          <w:rFonts w:asciiTheme="minorHAnsi" w:eastAsiaTheme="minorEastAsia" w:hAnsiTheme="minorHAnsi" w:cstheme="minorBidi"/>
          <w:kern w:val="2"/>
          <w:lang w:eastAsia="en-GB"/>
          <w14:ligatures w14:val="standardContextual"/>
        </w:rPr>
      </w:pPr>
      <w:hyperlink w:anchor="_Toc216938117" w:history="1">
        <w:r w:rsidRPr="008F2EAB">
          <w:rPr>
            <w:rStyle w:val="Hyperlink"/>
            <w:rFonts w:asciiTheme="majorBidi" w:eastAsia="Microsoft GothicNeo" w:hAnsiTheme="majorBidi" w:cstheme="majorBidi"/>
          </w:rPr>
          <w:t>List of Tables</w:t>
        </w:r>
        <w:r>
          <w:rPr>
            <w:webHidden/>
          </w:rPr>
          <w:tab/>
        </w:r>
        <w:r>
          <w:rPr>
            <w:webHidden/>
          </w:rPr>
          <w:fldChar w:fldCharType="begin"/>
        </w:r>
        <w:r>
          <w:rPr>
            <w:webHidden/>
          </w:rPr>
          <w:instrText xml:space="preserve"> PAGEREF _Toc216938117 \h </w:instrText>
        </w:r>
        <w:r>
          <w:rPr>
            <w:webHidden/>
          </w:rPr>
        </w:r>
        <w:r>
          <w:rPr>
            <w:webHidden/>
          </w:rPr>
          <w:fldChar w:fldCharType="separate"/>
        </w:r>
        <w:r>
          <w:rPr>
            <w:webHidden/>
          </w:rPr>
          <w:t>v</w:t>
        </w:r>
        <w:r>
          <w:rPr>
            <w:webHidden/>
          </w:rPr>
          <w:fldChar w:fldCharType="end"/>
        </w:r>
      </w:hyperlink>
    </w:p>
    <w:p w14:paraId="4C1A264C" w14:textId="084B82A2" w:rsidR="005B365C" w:rsidRDefault="005B365C">
      <w:pPr>
        <w:pStyle w:val="TOC1"/>
        <w:rPr>
          <w:rFonts w:asciiTheme="minorHAnsi" w:eastAsiaTheme="minorEastAsia" w:hAnsiTheme="minorHAnsi" w:cstheme="minorBidi"/>
          <w:kern w:val="2"/>
          <w:lang w:eastAsia="en-GB"/>
          <w14:ligatures w14:val="standardContextual"/>
        </w:rPr>
      </w:pPr>
      <w:hyperlink w:anchor="_Toc216938118" w:history="1">
        <w:r w:rsidRPr="008F2EAB">
          <w:rPr>
            <w:rStyle w:val="Hyperlink"/>
            <w:rFonts w:asciiTheme="majorBidi" w:hAnsiTheme="majorBidi" w:cstheme="majorBidi"/>
          </w:rPr>
          <w:t>List of Abbreviations</w:t>
        </w:r>
        <w:r>
          <w:rPr>
            <w:webHidden/>
          </w:rPr>
          <w:tab/>
        </w:r>
        <w:r>
          <w:rPr>
            <w:webHidden/>
          </w:rPr>
          <w:fldChar w:fldCharType="begin"/>
        </w:r>
        <w:r>
          <w:rPr>
            <w:webHidden/>
          </w:rPr>
          <w:instrText xml:space="preserve"> PAGEREF _Toc216938118 \h </w:instrText>
        </w:r>
        <w:r>
          <w:rPr>
            <w:webHidden/>
          </w:rPr>
        </w:r>
        <w:r>
          <w:rPr>
            <w:webHidden/>
          </w:rPr>
          <w:fldChar w:fldCharType="separate"/>
        </w:r>
        <w:r>
          <w:rPr>
            <w:webHidden/>
          </w:rPr>
          <w:t>vi</w:t>
        </w:r>
        <w:r>
          <w:rPr>
            <w:webHidden/>
          </w:rPr>
          <w:fldChar w:fldCharType="end"/>
        </w:r>
      </w:hyperlink>
    </w:p>
    <w:p w14:paraId="223C1292" w14:textId="6D04C3E1" w:rsidR="005B365C" w:rsidRDefault="005B365C">
      <w:pPr>
        <w:pStyle w:val="TOC1"/>
        <w:rPr>
          <w:rFonts w:asciiTheme="minorHAnsi" w:eastAsiaTheme="minorEastAsia" w:hAnsiTheme="minorHAnsi" w:cstheme="minorBidi"/>
          <w:kern w:val="2"/>
          <w:lang w:eastAsia="en-GB"/>
          <w14:ligatures w14:val="standardContextual"/>
        </w:rPr>
      </w:pPr>
      <w:hyperlink w:anchor="_Toc216938119" w:history="1">
        <w:r w:rsidRPr="008F2EAB">
          <w:rPr>
            <w:rStyle w:val="Hyperlink"/>
            <w:rFonts w:asciiTheme="majorBidi" w:hAnsiTheme="majorBidi"/>
          </w:rPr>
          <w:t>1</w:t>
        </w:r>
        <w:r w:rsidRPr="008F2EAB">
          <w:rPr>
            <w:rStyle w:val="Hyperlink"/>
            <w:rFonts w:asciiTheme="majorBidi" w:hAnsiTheme="majorBidi" w:cstheme="majorBidi"/>
          </w:rPr>
          <w:t xml:space="preserve"> Literature review and information summarisation of Lead Azide's critical diameter and density</w:t>
        </w:r>
        <w:r>
          <w:rPr>
            <w:webHidden/>
          </w:rPr>
          <w:tab/>
        </w:r>
        <w:r>
          <w:rPr>
            <w:webHidden/>
          </w:rPr>
          <w:fldChar w:fldCharType="begin"/>
        </w:r>
        <w:r>
          <w:rPr>
            <w:webHidden/>
          </w:rPr>
          <w:instrText xml:space="preserve"> PAGEREF _Toc216938119 \h </w:instrText>
        </w:r>
        <w:r>
          <w:rPr>
            <w:webHidden/>
          </w:rPr>
        </w:r>
        <w:r>
          <w:rPr>
            <w:webHidden/>
          </w:rPr>
          <w:fldChar w:fldCharType="separate"/>
        </w:r>
        <w:r>
          <w:rPr>
            <w:webHidden/>
          </w:rPr>
          <w:t>7</w:t>
        </w:r>
        <w:r>
          <w:rPr>
            <w:webHidden/>
          </w:rPr>
          <w:fldChar w:fldCharType="end"/>
        </w:r>
      </w:hyperlink>
    </w:p>
    <w:p w14:paraId="75A12029" w14:textId="28727937" w:rsidR="005B365C" w:rsidRDefault="005B365C">
      <w:pPr>
        <w:pStyle w:val="TOC2"/>
        <w:rPr>
          <w:rFonts w:asciiTheme="minorHAnsi" w:eastAsiaTheme="minorEastAsia" w:hAnsiTheme="minorHAnsi" w:cstheme="minorBidi"/>
          <w:noProof/>
          <w:kern w:val="2"/>
          <w:lang w:eastAsia="en-GB"/>
          <w14:ligatures w14:val="standardContextual"/>
        </w:rPr>
      </w:pPr>
      <w:hyperlink w:anchor="_Toc216938120" w:history="1">
        <w:r w:rsidRPr="008F2EAB">
          <w:rPr>
            <w:rStyle w:val="Hyperlink"/>
            <w:rFonts w:asciiTheme="majorBidi" w:hAnsiTheme="majorBidi"/>
            <w:noProof/>
          </w:rPr>
          <w:t>1.1</w:t>
        </w:r>
        <w:r w:rsidRPr="008F2EAB">
          <w:rPr>
            <w:rStyle w:val="Hyperlink"/>
            <w:rFonts w:asciiTheme="majorBidi" w:hAnsiTheme="majorBidi" w:cstheme="majorBidi"/>
            <w:noProof/>
          </w:rPr>
          <w:t xml:space="preserve"> Primary understanding of Lead Azide and properties</w:t>
        </w:r>
        <w:r>
          <w:rPr>
            <w:noProof/>
            <w:webHidden/>
          </w:rPr>
          <w:tab/>
        </w:r>
        <w:r>
          <w:rPr>
            <w:noProof/>
            <w:webHidden/>
          </w:rPr>
          <w:fldChar w:fldCharType="begin"/>
        </w:r>
        <w:r>
          <w:rPr>
            <w:noProof/>
            <w:webHidden/>
          </w:rPr>
          <w:instrText xml:space="preserve"> PAGEREF _Toc216938120 \h </w:instrText>
        </w:r>
        <w:r>
          <w:rPr>
            <w:noProof/>
            <w:webHidden/>
          </w:rPr>
        </w:r>
        <w:r>
          <w:rPr>
            <w:noProof/>
            <w:webHidden/>
          </w:rPr>
          <w:fldChar w:fldCharType="separate"/>
        </w:r>
        <w:r>
          <w:rPr>
            <w:noProof/>
            <w:webHidden/>
          </w:rPr>
          <w:t>7</w:t>
        </w:r>
        <w:r>
          <w:rPr>
            <w:noProof/>
            <w:webHidden/>
          </w:rPr>
          <w:fldChar w:fldCharType="end"/>
        </w:r>
      </w:hyperlink>
    </w:p>
    <w:p w14:paraId="415BBCC8" w14:textId="17384162" w:rsidR="005B365C" w:rsidRDefault="005B365C">
      <w:pPr>
        <w:pStyle w:val="TOC3"/>
        <w:tabs>
          <w:tab w:val="right" w:leader="dot" w:pos="8494"/>
        </w:tabs>
        <w:rPr>
          <w:rFonts w:asciiTheme="minorHAnsi" w:eastAsiaTheme="minorEastAsia" w:hAnsiTheme="minorHAnsi" w:cstheme="minorBidi"/>
          <w:noProof/>
          <w:kern w:val="2"/>
          <w:lang w:eastAsia="en-GB"/>
          <w14:ligatures w14:val="standardContextual"/>
        </w:rPr>
      </w:pPr>
      <w:hyperlink w:anchor="_Toc216938121" w:history="1">
        <w:r w:rsidRPr="008F2EAB">
          <w:rPr>
            <w:rStyle w:val="Hyperlink"/>
            <w:rFonts w:asciiTheme="majorBidi" w:hAnsiTheme="majorBidi"/>
            <w:noProof/>
          </w:rPr>
          <w:t>1.1.1</w:t>
        </w:r>
        <w:r w:rsidRPr="008F2EAB">
          <w:rPr>
            <w:rStyle w:val="Hyperlink"/>
            <w:rFonts w:asciiTheme="majorBidi" w:hAnsiTheme="majorBidi" w:cstheme="majorBidi"/>
            <w:noProof/>
          </w:rPr>
          <w:t xml:space="preserve"> Influence of critical diameter of Lead Azide and following detonation transition</w:t>
        </w:r>
        <w:r>
          <w:rPr>
            <w:noProof/>
            <w:webHidden/>
          </w:rPr>
          <w:tab/>
        </w:r>
        <w:r>
          <w:rPr>
            <w:noProof/>
            <w:webHidden/>
          </w:rPr>
          <w:fldChar w:fldCharType="begin"/>
        </w:r>
        <w:r>
          <w:rPr>
            <w:noProof/>
            <w:webHidden/>
          </w:rPr>
          <w:instrText xml:space="preserve"> PAGEREF _Toc216938121 \h </w:instrText>
        </w:r>
        <w:r>
          <w:rPr>
            <w:noProof/>
            <w:webHidden/>
          </w:rPr>
        </w:r>
        <w:r>
          <w:rPr>
            <w:noProof/>
            <w:webHidden/>
          </w:rPr>
          <w:fldChar w:fldCharType="separate"/>
        </w:r>
        <w:r>
          <w:rPr>
            <w:noProof/>
            <w:webHidden/>
          </w:rPr>
          <w:t>7</w:t>
        </w:r>
        <w:r>
          <w:rPr>
            <w:noProof/>
            <w:webHidden/>
          </w:rPr>
          <w:fldChar w:fldCharType="end"/>
        </w:r>
      </w:hyperlink>
    </w:p>
    <w:p w14:paraId="7766101B" w14:textId="5F740BA6" w:rsidR="005B365C" w:rsidRDefault="005B365C">
      <w:pPr>
        <w:pStyle w:val="TOC3"/>
        <w:tabs>
          <w:tab w:val="right" w:leader="dot" w:pos="8494"/>
        </w:tabs>
        <w:rPr>
          <w:rFonts w:asciiTheme="minorHAnsi" w:eastAsiaTheme="minorEastAsia" w:hAnsiTheme="minorHAnsi" w:cstheme="minorBidi"/>
          <w:noProof/>
          <w:kern w:val="2"/>
          <w:lang w:eastAsia="en-GB"/>
          <w14:ligatures w14:val="standardContextual"/>
        </w:rPr>
      </w:pPr>
      <w:hyperlink w:anchor="_Toc216938122" w:history="1">
        <w:r w:rsidRPr="008F2EAB">
          <w:rPr>
            <w:rStyle w:val="Hyperlink"/>
            <w:rFonts w:asciiTheme="majorBidi" w:hAnsiTheme="majorBidi"/>
            <w:noProof/>
          </w:rPr>
          <w:t>1.1.2</w:t>
        </w:r>
        <w:r w:rsidRPr="008F2EAB">
          <w:rPr>
            <w:rStyle w:val="Hyperlink"/>
            <w:rFonts w:asciiTheme="majorBidi" w:hAnsiTheme="majorBidi" w:cstheme="majorBidi"/>
            <w:noProof/>
          </w:rPr>
          <w:t xml:space="preserve"> Influence of critical density of Lead Azide and following detonation transition</w:t>
        </w:r>
        <w:r>
          <w:rPr>
            <w:noProof/>
            <w:webHidden/>
          </w:rPr>
          <w:tab/>
        </w:r>
        <w:r>
          <w:rPr>
            <w:noProof/>
            <w:webHidden/>
          </w:rPr>
          <w:fldChar w:fldCharType="begin"/>
        </w:r>
        <w:r>
          <w:rPr>
            <w:noProof/>
            <w:webHidden/>
          </w:rPr>
          <w:instrText xml:space="preserve"> PAGEREF _Toc216938122 \h </w:instrText>
        </w:r>
        <w:r>
          <w:rPr>
            <w:noProof/>
            <w:webHidden/>
          </w:rPr>
        </w:r>
        <w:r>
          <w:rPr>
            <w:noProof/>
            <w:webHidden/>
          </w:rPr>
          <w:fldChar w:fldCharType="separate"/>
        </w:r>
        <w:r>
          <w:rPr>
            <w:noProof/>
            <w:webHidden/>
          </w:rPr>
          <w:t>7</w:t>
        </w:r>
        <w:r>
          <w:rPr>
            <w:noProof/>
            <w:webHidden/>
          </w:rPr>
          <w:fldChar w:fldCharType="end"/>
        </w:r>
      </w:hyperlink>
    </w:p>
    <w:p w14:paraId="2184D8A4" w14:textId="4338064A" w:rsidR="005B365C" w:rsidRDefault="005B365C">
      <w:pPr>
        <w:pStyle w:val="TOC2"/>
        <w:rPr>
          <w:rFonts w:asciiTheme="minorHAnsi" w:eastAsiaTheme="minorEastAsia" w:hAnsiTheme="minorHAnsi" w:cstheme="minorBidi"/>
          <w:noProof/>
          <w:kern w:val="2"/>
          <w:lang w:eastAsia="en-GB"/>
          <w14:ligatures w14:val="standardContextual"/>
        </w:rPr>
      </w:pPr>
      <w:hyperlink w:anchor="_Toc216938123" w:history="1">
        <w:r w:rsidRPr="008F2EAB">
          <w:rPr>
            <w:rStyle w:val="Hyperlink"/>
            <w:rFonts w:asciiTheme="majorBidi" w:hAnsiTheme="majorBidi"/>
            <w:noProof/>
          </w:rPr>
          <w:t>1.2</w:t>
        </w:r>
        <w:r w:rsidRPr="008F2EAB">
          <w:rPr>
            <w:rStyle w:val="Hyperlink"/>
            <w:rFonts w:asciiTheme="majorBidi" w:hAnsiTheme="majorBidi" w:cstheme="majorBidi"/>
            <w:noProof/>
          </w:rPr>
          <w:t xml:space="preserve"> Comparison of unconfined and confinement of Lead Azide design in reference to critical diameters and density</w:t>
        </w:r>
        <w:r>
          <w:rPr>
            <w:noProof/>
            <w:webHidden/>
          </w:rPr>
          <w:tab/>
        </w:r>
        <w:r>
          <w:rPr>
            <w:noProof/>
            <w:webHidden/>
          </w:rPr>
          <w:fldChar w:fldCharType="begin"/>
        </w:r>
        <w:r>
          <w:rPr>
            <w:noProof/>
            <w:webHidden/>
          </w:rPr>
          <w:instrText xml:space="preserve"> PAGEREF _Toc216938123 \h </w:instrText>
        </w:r>
        <w:r>
          <w:rPr>
            <w:noProof/>
            <w:webHidden/>
          </w:rPr>
        </w:r>
        <w:r>
          <w:rPr>
            <w:noProof/>
            <w:webHidden/>
          </w:rPr>
          <w:fldChar w:fldCharType="separate"/>
        </w:r>
        <w:r>
          <w:rPr>
            <w:noProof/>
            <w:webHidden/>
          </w:rPr>
          <w:t>8</w:t>
        </w:r>
        <w:r>
          <w:rPr>
            <w:noProof/>
            <w:webHidden/>
          </w:rPr>
          <w:fldChar w:fldCharType="end"/>
        </w:r>
      </w:hyperlink>
    </w:p>
    <w:p w14:paraId="0077D6BC" w14:textId="14332C38" w:rsidR="005B365C" w:rsidRDefault="005B365C">
      <w:pPr>
        <w:pStyle w:val="TOC3"/>
        <w:tabs>
          <w:tab w:val="right" w:leader="dot" w:pos="8494"/>
        </w:tabs>
        <w:rPr>
          <w:rFonts w:asciiTheme="minorHAnsi" w:eastAsiaTheme="minorEastAsia" w:hAnsiTheme="minorHAnsi" w:cstheme="minorBidi"/>
          <w:noProof/>
          <w:kern w:val="2"/>
          <w:lang w:eastAsia="en-GB"/>
          <w14:ligatures w14:val="standardContextual"/>
        </w:rPr>
      </w:pPr>
      <w:hyperlink w:anchor="_Toc216938124" w:history="1">
        <w:r w:rsidRPr="008F2EAB">
          <w:rPr>
            <w:rStyle w:val="Hyperlink"/>
            <w:rFonts w:asciiTheme="majorBidi" w:hAnsiTheme="majorBidi"/>
            <w:noProof/>
          </w:rPr>
          <w:t>1.2.1</w:t>
        </w:r>
        <w:r w:rsidRPr="008F2EAB">
          <w:rPr>
            <w:rStyle w:val="Hyperlink"/>
            <w:rFonts w:asciiTheme="majorBidi" w:hAnsiTheme="majorBidi" w:cstheme="majorBidi"/>
            <w:noProof/>
          </w:rPr>
          <w:t xml:space="preserve"> The importance of stimulus applied to Lead Azide and interaction with confinement</w:t>
        </w:r>
        <w:r>
          <w:rPr>
            <w:noProof/>
            <w:webHidden/>
          </w:rPr>
          <w:tab/>
        </w:r>
        <w:r>
          <w:rPr>
            <w:noProof/>
            <w:webHidden/>
          </w:rPr>
          <w:fldChar w:fldCharType="begin"/>
        </w:r>
        <w:r>
          <w:rPr>
            <w:noProof/>
            <w:webHidden/>
          </w:rPr>
          <w:instrText xml:space="preserve"> PAGEREF _Toc216938124 \h </w:instrText>
        </w:r>
        <w:r>
          <w:rPr>
            <w:noProof/>
            <w:webHidden/>
          </w:rPr>
        </w:r>
        <w:r>
          <w:rPr>
            <w:noProof/>
            <w:webHidden/>
          </w:rPr>
          <w:fldChar w:fldCharType="separate"/>
        </w:r>
        <w:r>
          <w:rPr>
            <w:noProof/>
            <w:webHidden/>
          </w:rPr>
          <w:t>8</w:t>
        </w:r>
        <w:r>
          <w:rPr>
            <w:noProof/>
            <w:webHidden/>
          </w:rPr>
          <w:fldChar w:fldCharType="end"/>
        </w:r>
      </w:hyperlink>
    </w:p>
    <w:p w14:paraId="1075A4E5" w14:textId="4A44312F" w:rsidR="005B365C" w:rsidRDefault="005B365C">
      <w:pPr>
        <w:pStyle w:val="TOC2"/>
        <w:rPr>
          <w:rFonts w:asciiTheme="minorHAnsi" w:eastAsiaTheme="minorEastAsia" w:hAnsiTheme="minorHAnsi" w:cstheme="minorBidi"/>
          <w:noProof/>
          <w:kern w:val="2"/>
          <w:lang w:eastAsia="en-GB"/>
          <w14:ligatures w14:val="standardContextual"/>
        </w:rPr>
      </w:pPr>
      <w:hyperlink w:anchor="_Toc216938125" w:history="1">
        <w:r w:rsidRPr="008F2EAB">
          <w:rPr>
            <w:rStyle w:val="Hyperlink"/>
            <w:rFonts w:asciiTheme="majorBidi" w:hAnsiTheme="majorBidi"/>
            <w:noProof/>
          </w:rPr>
          <w:t>1.3</w:t>
        </w:r>
        <w:r w:rsidRPr="008F2EAB">
          <w:rPr>
            <w:rStyle w:val="Hyperlink"/>
            <w:rFonts w:asciiTheme="majorBidi" w:hAnsiTheme="majorBidi" w:cstheme="majorBidi"/>
            <w:noProof/>
          </w:rPr>
          <w:t xml:space="preserve"> Theorisation of the effect of alterations of critical diameters and industry benefits</w:t>
        </w:r>
        <w:r>
          <w:rPr>
            <w:noProof/>
            <w:webHidden/>
          </w:rPr>
          <w:tab/>
        </w:r>
        <w:r>
          <w:rPr>
            <w:noProof/>
            <w:webHidden/>
          </w:rPr>
          <w:fldChar w:fldCharType="begin"/>
        </w:r>
        <w:r>
          <w:rPr>
            <w:noProof/>
            <w:webHidden/>
          </w:rPr>
          <w:instrText xml:space="preserve"> PAGEREF _Toc216938125 \h </w:instrText>
        </w:r>
        <w:r>
          <w:rPr>
            <w:noProof/>
            <w:webHidden/>
          </w:rPr>
        </w:r>
        <w:r>
          <w:rPr>
            <w:noProof/>
            <w:webHidden/>
          </w:rPr>
          <w:fldChar w:fldCharType="separate"/>
        </w:r>
        <w:r>
          <w:rPr>
            <w:noProof/>
            <w:webHidden/>
          </w:rPr>
          <w:t>8</w:t>
        </w:r>
        <w:r>
          <w:rPr>
            <w:noProof/>
            <w:webHidden/>
          </w:rPr>
          <w:fldChar w:fldCharType="end"/>
        </w:r>
      </w:hyperlink>
    </w:p>
    <w:p w14:paraId="0C439A52" w14:textId="785D4EAB" w:rsidR="005B365C" w:rsidRDefault="005B365C">
      <w:pPr>
        <w:pStyle w:val="TOC1"/>
        <w:rPr>
          <w:rFonts w:asciiTheme="minorHAnsi" w:eastAsiaTheme="minorEastAsia" w:hAnsiTheme="minorHAnsi" w:cstheme="minorBidi"/>
          <w:kern w:val="2"/>
          <w:lang w:eastAsia="en-GB"/>
          <w14:ligatures w14:val="standardContextual"/>
        </w:rPr>
      </w:pPr>
      <w:hyperlink w:anchor="_Toc216938126" w:history="1">
        <w:r w:rsidRPr="008F2EAB">
          <w:rPr>
            <w:rStyle w:val="Hyperlink"/>
            <w:rFonts w:asciiTheme="majorBidi" w:hAnsiTheme="majorBidi"/>
          </w:rPr>
          <w:t>2</w:t>
        </w:r>
        <w:r w:rsidRPr="008F2EAB">
          <w:rPr>
            <w:rStyle w:val="Hyperlink"/>
            <w:rFonts w:asciiTheme="majorBidi" w:hAnsiTheme="majorBidi" w:cstheme="majorBidi"/>
          </w:rPr>
          <w:t xml:space="preserve"> Literature review and information summarisation of TNT 's critical diameter and density</w:t>
        </w:r>
        <w:r>
          <w:rPr>
            <w:webHidden/>
          </w:rPr>
          <w:tab/>
        </w:r>
        <w:r>
          <w:rPr>
            <w:webHidden/>
          </w:rPr>
          <w:fldChar w:fldCharType="begin"/>
        </w:r>
        <w:r>
          <w:rPr>
            <w:webHidden/>
          </w:rPr>
          <w:instrText xml:space="preserve"> PAGEREF _Toc216938126 \h </w:instrText>
        </w:r>
        <w:r>
          <w:rPr>
            <w:webHidden/>
          </w:rPr>
        </w:r>
        <w:r>
          <w:rPr>
            <w:webHidden/>
          </w:rPr>
          <w:fldChar w:fldCharType="separate"/>
        </w:r>
        <w:r>
          <w:rPr>
            <w:webHidden/>
          </w:rPr>
          <w:t>9</w:t>
        </w:r>
        <w:r>
          <w:rPr>
            <w:webHidden/>
          </w:rPr>
          <w:fldChar w:fldCharType="end"/>
        </w:r>
      </w:hyperlink>
    </w:p>
    <w:p w14:paraId="1883F274" w14:textId="247B194F" w:rsidR="005B365C" w:rsidRDefault="005B365C">
      <w:pPr>
        <w:pStyle w:val="TOC2"/>
        <w:rPr>
          <w:rFonts w:asciiTheme="minorHAnsi" w:eastAsiaTheme="minorEastAsia" w:hAnsiTheme="minorHAnsi" w:cstheme="minorBidi"/>
          <w:noProof/>
          <w:kern w:val="2"/>
          <w:lang w:eastAsia="en-GB"/>
          <w14:ligatures w14:val="standardContextual"/>
        </w:rPr>
      </w:pPr>
      <w:hyperlink w:anchor="_Toc216938127" w:history="1">
        <w:r w:rsidRPr="008F2EAB">
          <w:rPr>
            <w:rStyle w:val="Hyperlink"/>
            <w:rFonts w:asciiTheme="majorBidi" w:hAnsiTheme="majorBidi"/>
            <w:noProof/>
          </w:rPr>
          <w:t>2.1</w:t>
        </w:r>
        <w:r w:rsidRPr="008F2EAB">
          <w:rPr>
            <w:rStyle w:val="Hyperlink"/>
            <w:rFonts w:asciiTheme="majorBidi" w:hAnsiTheme="majorBidi" w:cstheme="majorBidi"/>
            <w:noProof/>
          </w:rPr>
          <w:t xml:space="preserve"> Primary understanding of TNT and properties</w:t>
        </w:r>
        <w:r>
          <w:rPr>
            <w:noProof/>
            <w:webHidden/>
          </w:rPr>
          <w:tab/>
        </w:r>
        <w:r>
          <w:rPr>
            <w:noProof/>
            <w:webHidden/>
          </w:rPr>
          <w:fldChar w:fldCharType="begin"/>
        </w:r>
        <w:r>
          <w:rPr>
            <w:noProof/>
            <w:webHidden/>
          </w:rPr>
          <w:instrText xml:space="preserve"> PAGEREF _Toc216938127 \h </w:instrText>
        </w:r>
        <w:r>
          <w:rPr>
            <w:noProof/>
            <w:webHidden/>
          </w:rPr>
        </w:r>
        <w:r>
          <w:rPr>
            <w:noProof/>
            <w:webHidden/>
          </w:rPr>
          <w:fldChar w:fldCharType="separate"/>
        </w:r>
        <w:r>
          <w:rPr>
            <w:noProof/>
            <w:webHidden/>
          </w:rPr>
          <w:t>9</w:t>
        </w:r>
        <w:r>
          <w:rPr>
            <w:noProof/>
            <w:webHidden/>
          </w:rPr>
          <w:fldChar w:fldCharType="end"/>
        </w:r>
      </w:hyperlink>
    </w:p>
    <w:p w14:paraId="18F8FFE2" w14:textId="782DC27D" w:rsidR="005B365C" w:rsidRDefault="005B365C">
      <w:pPr>
        <w:pStyle w:val="TOC3"/>
        <w:tabs>
          <w:tab w:val="right" w:leader="dot" w:pos="8494"/>
        </w:tabs>
        <w:rPr>
          <w:rFonts w:asciiTheme="minorHAnsi" w:eastAsiaTheme="minorEastAsia" w:hAnsiTheme="minorHAnsi" w:cstheme="minorBidi"/>
          <w:noProof/>
          <w:kern w:val="2"/>
          <w:lang w:eastAsia="en-GB"/>
          <w14:ligatures w14:val="standardContextual"/>
        </w:rPr>
      </w:pPr>
      <w:hyperlink w:anchor="_Toc216938128" w:history="1">
        <w:r w:rsidRPr="008F2EAB">
          <w:rPr>
            <w:rStyle w:val="Hyperlink"/>
            <w:rFonts w:asciiTheme="majorBidi" w:hAnsiTheme="majorBidi"/>
            <w:noProof/>
          </w:rPr>
          <w:t>2.1.1</w:t>
        </w:r>
        <w:r w:rsidRPr="008F2EAB">
          <w:rPr>
            <w:rStyle w:val="Hyperlink"/>
            <w:rFonts w:asciiTheme="majorBidi" w:hAnsiTheme="majorBidi" w:cstheme="majorBidi"/>
            <w:noProof/>
          </w:rPr>
          <w:t xml:space="preserve"> Influence of critical diameter of TNT and following detonation transition</w:t>
        </w:r>
        <w:r>
          <w:rPr>
            <w:noProof/>
            <w:webHidden/>
          </w:rPr>
          <w:tab/>
        </w:r>
        <w:r>
          <w:rPr>
            <w:noProof/>
            <w:webHidden/>
          </w:rPr>
          <w:fldChar w:fldCharType="begin"/>
        </w:r>
        <w:r>
          <w:rPr>
            <w:noProof/>
            <w:webHidden/>
          </w:rPr>
          <w:instrText xml:space="preserve"> PAGEREF _Toc216938128 \h </w:instrText>
        </w:r>
        <w:r>
          <w:rPr>
            <w:noProof/>
            <w:webHidden/>
          </w:rPr>
        </w:r>
        <w:r>
          <w:rPr>
            <w:noProof/>
            <w:webHidden/>
          </w:rPr>
          <w:fldChar w:fldCharType="separate"/>
        </w:r>
        <w:r>
          <w:rPr>
            <w:noProof/>
            <w:webHidden/>
          </w:rPr>
          <w:t>9</w:t>
        </w:r>
        <w:r>
          <w:rPr>
            <w:noProof/>
            <w:webHidden/>
          </w:rPr>
          <w:fldChar w:fldCharType="end"/>
        </w:r>
      </w:hyperlink>
    </w:p>
    <w:p w14:paraId="237D319F" w14:textId="32347440" w:rsidR="005B365C" w:rsidRDefault="005B365C">
      <w:pPr>
        <w:pStyle w:val="TOC3"/>
        <w:tabs>
          <w:tab w:val="right" w:leader="dot" w:pos="8494"/>
        </w:tabs>
        <w:rPr>
          <w:rFonts w:asciiTheme="minorHAnsi" w:eastAsiaTheme="minorEastAsia" w:hAnsiTheme="minorHAnsi" w:cstheme="minorBidi"/>
          <w:noProof/>
          <w:kern w:val="2"/>
          <w:lang w:eastAsia="en-GB"/>
          <w14:ligatures w14:val="standardContextual"/>
        </w:rPr>
      </w:pPr>
      <w:hyperlink w:anchor="_Toc216938129" w:history="1">
        <w:r w:rsidRPr="008F2EAB">
          <w:rPr>
            <w:rStyle w:val="Hyperlink"/>
            <w:rFonts w:asciiTheme="majorBidi" w:hAnsiTheme="majorBidi"/>
            <w:noProof/>
          </w:rPr>
          <w:t>2.1.2</w:t>
        </w:r>
        <w:r w:rsidRPr="008F2EAB">
          <w:rPr>
            <w:rStyle w:val="Hyperlink"/>
            <w:rFonts w:asciiTheme="majorBidi" w:hAnsiTheme="majorBidi" w:cstheme="majorBidi"/>
            <w:noProof/>
          </w:rPr>
          <w:t xml:space="preserve"> Influence of critical density of TNT and following detonation transition</w:t>
        </w:r>
        <w:r>
          <w:rPr>
            <w:noProof/>
            <w:webHidden/>
          </w:rPr>
          <w:tab/>
        </w:r>
        <w:r>
          <w:rPr>
            <w:noProof/>
            <w:webHidden/>
          </w:rPr>
          <w:fldChar w:fldCharType="begin"/>
        </w:r>
        <w:r>
          <w:rPr>
            <w:noProof/>
            <w:webHidden/>
          </w:rPr>
          <w:instrText xml:space="preserve"> PAGEREF _Toc216938129 \h </w:instrText>
        </w:r>
        <w:r>
          <w:rPr>
            <w:noProof/>
            <w:webHidden/>
          </w:rPr>
        </w:r>
        <w:r>
          <w:rPr>
            <w:noProof/>
            <w:webHidden/>
          </w:rPr>
          <w:fldChar w:fldCharType="separate"/>
        </w:r>
        <w:r>
          <w:rPr>
            <w:noProof/>
            <w:webHidden/>
          </w:rPr>
          <w:t>9</w:t>
        </w:r>
        <w:r>
          <w:rPr>
            <w:noProof/>
            <w:webHidden/>
          </w:rPr>
          <w:fldChar w:fldCharType="end"/>
        </w:r>
      </w:hyperlink>
    </w:p>
    <w:p w14:paraId="14E5588C" w14:textId="5BB2F1B6" w:rsidR="005B365C" w:rsidRDefault="005B365C">
      <w:pPr>
        <w:pStyle w:val="TOC2"/>
        <w:rPr>
          <w:rFonts w:asciiTheme="minorHAnsi" w:eastAsiaTheme="minorEastAsia" w:hAnsiTheme="minorHAnsi" w:cstheme="minorBidi"/>
          <w:noProof/>
          <w:kern w:val="2"/>
          <w:lang w:eastAsia="en-GB"/>
          <w14:ligatures w14:val="standardContextual"/>
        </w:rPr>
      </w:pPr>
      <w:hyperlink w:anchor="_Toc216938130" w:history="1">
        <w:r w:rsidRPr="008F2EAB">
          <w:rPr>
            <w:rStyle w:val="Hyperlink"/>
            <w:rFonts w:asciiTheme="majorBidi" w:hAnsiTheme="majorBidi"/>
            <w:noProof/>
          </w:rPr>
          <w:t>2.2</w:t>
        </w:r>
        <w:r w:rsidRPr="008F2EAB">
          <w:rPr>
            <w:rStyle w:val="Hyperlink"/>
            <w:rFonts w:asciiTheme="majorBidi" w:hAnsiTheme="majorBidi" w:cstheme="majorBidi"/>
            <w:noProof/>
          </w:rPr>
          <w:t xml:space="preserve"> Comparison of unconfined and confinement of TNT design in reference to critical diameters and density</w:t>
        </w:r>
        <w:r>
          <w:rPr>
            <w:noProof/>
            <w:webHidden/>
          </w:rPr>
          <w:tab/>
        </w:r>
        <w:r>
          <w:rPr>
            <w:noProof/>
            <w:webHidden/>
          </w:rPr>
          <w:fldChar w:fldCharType="begin"/>
        </w:r>
        <w:r>
          <w:rPr>
            <w:noProof/>
            <w:webHidden/>
          </w:rPr>
          <w:instrText xml:space="preserve"> PAGEREF _Toc216938130 \h </w:instrText>
        </w:r>
        <w:r>
          <w:rPr>
            <w:noProof/>
            <w:webHidden/>
          </w:rPr>
        </w:r>
        <w:r>
          <w:rPr>
            <w:noProof/>
            <w:webHidden/>
          </w:rPr>
          <w:fldChar w:fldCharType="separate"/>
        </w:r>
        <w:r>
          <w:rPr>
            <w:noProof/>
            <w:webHidden/>
          </w:rPr>
          <w:t>9</w:t>
        </w:r>
        <w:r>
          <w:rPr>
            <w:noProof/>
            <w:webHidden/>
          </w:rPr>
          <w:fldChar w:fldCharType="end"/>
        </w:r>
      </w:hyperlink>
    </w:p>
    <w:p w14:paraId="3D82C265" w14:textId="4FB31523" w:rsidR="005B365C" w:rsidRDefault="005B365C">
      <w:pPr>
        <w:pStyle w:val="TOC3"/>
        <w:tabs>
          <w:tab w:val="right" w:leader="dot" w:pos="8494"/>
        </w:tabs>
        <w:rPr>
          <w:rFonts w:asciiTheme="minorHAnsi" w:eastAsiaTheme="minorEastAsia" w:hAnsiTheme="minorHAnsi" w:cstheme="minorBidi"/>
          <w:noProof/>
          <w:kern w:val="2"/>
          <w:lang w:eastAsia="en-GB"/>
          <w14:ligatures w14:val="standardContextual"/>
        </w:rPr>
      </w:pPr>
      <w:hyperlink w:anchor="_Toc216938131" w:history="1">
        <w:r w:rsidRPr="008F2EAB">
          <w:rPr>
            <w:rStyle w:val="Hyperlink"/>
            <w:rFonts w:asciiTheme="majorBidi" w:hAnsiTheme="majorBidi"/>
            <w:noProof/>
          </w:rPr>
          <w:t>2.2.1</w:t>
        </w:r>
        <w:r w:rsidRPr="008F2EAB">
          <w:rPr>
            <w:rStyle w:val="Hyperlink"/>
            <w:rFonts w:asciiTheme="majorBidi" w:hAnsiTheme="majorBidi" w:cstheme="majorBidi"/>
            <w:noProof/>
          </w:rPr>
          <w:t xml:space="preserve"> Velocity of detonation theoretically achieved from minimum to maximum density</w:t>
        </w:r>
        <w:r>
          <w:rPr>
            <w:noProof/>
            <w:webHidden/>
          </w:rPr>
          <w:tab/>
        </w:r>
        <w:r>
          <w:rPr>
            <w:noProof/>
            <w:webHidden/>
          </w:rPr>
          <w:fldChar w:fldCharType="begin"/>
        </w:r>
        <w:r>
          <w:rPr>
            <w:noProof/>
            <w:webHidden/>
          </w:rPr>
          <w:instrText xml:space="preserve"> PAGEREF _Toc216938131 \h </w:instrText>
        </w:r>
        <w:r>
          <w:rPr>
            <w:noProof/>
            <w:webHidden/>
          </w:rPr>
        </w:r>
        <w:r>
          <w:rPr>
            <w:noProof/>
            <w:webHidden/>
          </w:rPr>
          <w:fldChar w:fldCharType="separate"/>
        </w:r>
        <w:r>
          <w:rPr>
            <w:noProof/>
            <w:webHidden/>
          </w:rPr>
          <w:t>10</w:t>
        </w:r>
        <w:r>
          <w:rPr>
            <w:noProof/>
            <w:webHidden/>
          </w:rPr>
          <w:fldChar w:fldCharType="end"/>
        </w:r>
      </w:hyperlink>
    </w:p>
    <w:p w14:paraId="5C68827B" w14:textId="0D8E2BBD" w:rsidR="005B365C" w:rsidRDefault="005B365C">
      <w:pPr>
        <w:pStyle w:val="TOC2"/>
        <w:rPr>
          <w:rFonts w:asciiTheme="minorHAnsi" w:eastAsiaTheme="minorEastAsia" w:hAnsiTheme="minorHAnsi" w:cstheme="minorBidi"/>
          <w:noProof/>
          <w:kern w:val="2"/>
          <w:lang w:eastAsia="en-GB"/>
          <w14:ligatures w14:val="standardContextual"/>
        </w:rPr>
      </w:pPr>
      <w:hyperlink w:anchor="_Toc216938132" w:history="1">
        <w:r w:rsidRPr="008F2EAB">
          <w:rPr>
            <w:rStyle w:val="Hyperlink"/>
            <w:rFonts w:asciiTheme="majorBidi" w:hAnsiTheme="majorBidi"/>
            <w:noProof/>
          </w:rPr>
          <w:t>2.3</w:t>
        </w:r>
        <w:r w:rsidRPr="008F2EAB">
          <w:rPr>
            <w:rStyle w:val="Hyperlink"/>
            <w:rFonts w:asciiTheme="majorBidi" w:hAnsiTheme="majorBidi" w:cstheme="majorBidi"/>
            <w:noProof/>
          </w:rPr>
          <w:t xml:space="preserve"> Theorisation of the effect of alterations of critical diameters and industry benefits</w:t>
        </w:r>
        <w:r>
          <w:rPr>
            <w:noProof/>
            <w:webHidden/>
          </w:rPr>
          <w:tab/>
        </w:r>
        <w:r>
          <w:rPr>
            <w:noProof/>
            <w:webHidden/>
          </w:rPr>
          <w:fldChar w:fldCharType="begin"/>
        </w:r>
        <w:r>
          <w:rPr>
            <w:noProof/>
            <w:webHidden/>
          </w:rPr>
          <w:instrText xml:space="preserve"> PAGEREF _Toc216938132 \h </w:instrText>
        </w:r>
        <w:r>
          <w:rPr>
            <w:noProof/>
            <w:webHidden/>
          </w:rPr>
        </w:r>
        <w:r>
          <w:rPr>
            <w:noProof/>
            <w:webHidden/>
          </w:rPr>
          <w:fldChar w:fldCharType="separate"/>
        </w:r>
        <w:r>
          <w:rPr>
            <w:noProof/>
            <w:webHidden/>
          </w:rPr>
          <w:t>11</w:t>
        </w:r>
        <w:r>
          <w:rPr>
            <w:noProof/>
            <w:webHidden/>
          </w:rPr>
          <w:fldChar w:fldCharType="end"/>
        </w:r>
      </w:hyperlink>
    </w:p>
    <w:p w14:paraId="30628C7D" w14:textId="4C76D91C" w:rsidR="005B365C" w:rsidRDefault="005B365C">
      <w:pPr>
        <w:pStyle w:val="TOC1"/>
        <w:rPr>
          <w:rFonts w:asciiTheme="minorHAnsi" w:eastAsiaTheme="minorEastAsia" w:hAnsiTheme="minorHAnsi" w:cstheme="minorBidi"/>
          <w:kern w:val="2"/>
          <w:lang w:eastAsia="en-GB"/>
          <w14:ligatures w14:val="standardContextual"/>
        </w:rPr>
      </w:pPr>
      <w:hyperlink w:anchor="_Toc216938133" w:history="1">
        <w:r w:rsidRPr="008F2EAB">
          <w:rPr>
            <w:rStyle w:val="Hyperlink"/>
            <w:rFonts w:asciiTheme="majorBidi" w:hAnsiTheme="majorBidi"/>
          </w:rPr>
          <w:t>3</w:t>
        </w:r>
        <w:r w:rsidRPr="008F2EAB">
          <w:rPr>
            <w:rStyle w:val="Hyperlink"/>
            <w:rFonts w:asciiTheme="majorBidi" w:hAnsiTheme="majorBidi" w:cstheme="majorBidi"/>
          </w:rPr>
          <w:t xml:space="preserve"> Summarisation and overall comparison of both secondary and primary explosives</w:t>
        </w:r>
        <w:r>
          <w:rPr>
            <w:webHidden/>
          </w:rPr>
          <w:tab/>
        </w:r>
        <w:r>
          <w:rPr>
            <w:webHidden/>
          </w:rPr>
          <w:fldChar w:fldCharType="begin"/>
        </w:r>
        <w:r>
          <w:rPr>
            <w:webHidden/>
          </w:rPr>
          <w:instrText xml:space="preserve"> PAGEREF _Toc216938133 \h </w:instrText>
        </w:r>
        <w:r>
          <w:rPr>
            <w:webHidden/>
          </w:rPr>
        </w:r>
        <w:r>
          <w:rPr>
            <w:webHidden/>
          </w:rPr>
          <w:fldChar w:fldCharType="separate"/>
        </w:r>
        <w:r>
          <w:rPr>
            <w:webHidden/>
          </w:rPr>
          <w:t>11</w:t>
        </w:r>
        <w:r>
          <w:rPr>
            <w:webHidden/>
          </w:rPr>
          <w:fldChar w:fldCharType="end"/>
        </w:r>
      </w:hyperlink>
    </w:p>
    <w:p w14:paraId="4FB46F27" w14:textId="24C289F1" w:rsidR="005B365C" w:rsidRDefault="005B365C">
      <w:pPr>
        <w:pStyle w:val="TOC2"/>
        <w:rPr>
          <w:rFonts w:asciiTheme="minorHAnsi" w:eastAsiaTheme="minorEastAsia" w:hAnsiTheme="minorHAnsi" w:cstheme="minorBidi"/>
          <w:noProof/>
          <w:kern w:val="2"/>
          <w:lang w:eastAsia="en-GB"/>
          <w14:ligatures w14:val="standardContextual"/>
        </w:rPr>
      </w:pPr>
      <w:hyperlink w:anchor="_Toc216938134" w:history="1">
        <w:r w:rsidRPr="008F2EAB">
          <w:rPr>
            <w:rStyle w:val="Hyperlink"/>
            <w:rFonts w:asciiTheme="majorBidi" w:hAnsiTheme="majorBidi"/>
            <w:noProof/>
          </w:rPr>
          <w:t>3.1</w:t>
        </w:r>
        <w:r w:rsidRPr="008F2EAB">
          <w:rPr>
            <w:rStyle w:val="Hyperlink"/>
            <w:rFonts w:asciiTheme="majorBidi" w:hAnsiTheme="majorBidi" w:cstheme="majorBidi"/>
            <w:noProof/>
          </w:rPr>
          <w:t xml:space="preserve"> Visual Comparison of the densities, diameters, and velocities that can achieve successful detonation with TNT and Lead Azide</w:t>
        </w:r>
        <w:r>
          <w:rPr>
            <w:noProof/>
            <w:webHidden/>
          </w:rPr>
          <w:tab/>
        </w:r>
        <w:r>
          <w:rPr>
            <w:noProof/>
            <w:webHidden/>
          </w:rPr>
          <w:fldChar w:fldCharType="begin"/>
        </w:r>
        <w:r>
          <w:rPr>
            <w:noProof/>
            <w:webHidden/>
          </w:rPr>
          <w:instrText xml:space="preserve"> PAGEREF _Toc216938134 \h </w:instrText>
        </w:r>
        <w:r>
          <w:rPr>
            <w:noProof/>
            <w:webHidden/>
          </w:rPr>
        </w:r>
        <w:r>
          <w:rPr>
            <w:noProof/>
            <w:webHidden/>
          </w:rPr>
          <w:fldChar w:fldCharType="separate"/>
        </w:r>
        <w:r>
          <w:rPr>
            <w:noProof/>
            <w:webHidden/>
          </w:rPr>
          <w:t>12</w:t>
        </w:r>
        <w:r>
          <w:rPr>
            <w:noProof/>
            <w:webHidden/>
          </w:rPr>
          <w:fldChar w:fldCharType="end"/>
        </w:r>
      </w:hyperlink>
    </w:p>
    <w:p w14:paraId="5818F98B" w14:textId="600123DA" w:rsidR="005B365C" w:rsidRDefault="005B365C">
      <w:pPr>
        <w:pStyle w:val="TOC1"/>
        <w:rPr>
          <w:rFonts w:asciiTheme="minorHAnsi" w:eastAsiaTheme="minorEastAsia" w:hAnsiTheme="minorHAnsi" w:cstheme="minorBidi"/>
          <w:kern w:val="2"/>
          <w:lang w:eastAsia="en-GB"/>
          <w14:ligatures w14:val="standardContextual"/>
        </w:rPr>
      </w:pPr>
      <w:hyperlink w:anchor="_Toc216938135" w:history="1">
        <w:r w:rsidRPr="008F2EAB">
          <w:rPr>
            <w:rStyle w:val="Hyperlink"/>
            <w:rFonts w:asciiTheme="majorBidi" w:hAnsiTheme="majorBidi" w:cstheme="majorBidi"/>
          </w:rPr>
          <w:t>References</w:t>
        </w:r>
        <w:r>
          <w:rPr>
            <w:webHidden/>
          </w:rPr>
          <w:tab/>
        </w:r>
        <w:r>
          <w:rPr>
            <w:webHidden/>
          </w:rPr>
          <w:fldChar w:fldCharType="begin"/>
        </w:r>
        <w:r>
          <w:rPr>
            <w:webHidden/>
          </w:rPr>
          <w:instrText xml:space="preserve"> PAGEREF _Toc216938135 \h </w:instrText>
        </w:r>
        <w:r>
          <w:rPr>
            <w:webHidden/>
          </w:rPr>
        </w:r>
        <w:r>
          <w:rPr>
            <w:webHidden/>
          </w:rPr>
          <w:fldChar w:fldCharType="separate"/>
        </w:r>
        <w:r>
          <w:rPr>
            <w:webHidden/>
          </w:rPr>
          <w:t>14</w:t>
        </w:r>
        <w:r>
          <w:rPr>
            <w:webHidden/>
          </w:rPr>
          <w:fldChar w:fldCharType="end"/>
        </w:r>
      </w:hyperlink>
    </w:p>
    <w:p w14:paraId="56B84C9D" w14:textId="512A232F" w:rsidR="00F2159F" w:rsidRPr="004727CF" w:rsidRDefault="00B765F2" w:rsidP="00B518ED">
      <w:pPr>
        <w:rPr>
          <w:rFonts w:asciiTheme="majorBidi" w:hAnsiTheme="majorBidi" w:cstheme="majorBidi"/>
        </w:rPr>
      </w:pPr>
      <w:r w:rsidRPr="004727CF">
        <w:rPr>
          <w:rFonts w:asciiTheme="majorBidi" w:hAnsiTheme="majorBidi" w:cstheme="majorBidi"/>
        </w:rPr>
        <w:fldChar w:fldCharType="end"/>
      </w:r>
      <w:bookmarkStart w:id="17" w:name="_Toc51833371"/>
      <w:bookmarkStart w:id="18" w:name="_Toc290554220"/>
      <w:bookmarkStart w:id="19" w:name="_Toc299621185"/>
      <w:bookmarkStart w:id="20" w:name="_Toc299631413"/>
      <w:bookmarkStart w:id="21" w:name="_Toc299631473"/>
      <w:bookmarkStart w:id="22" w:name="_Toc299631563"/>
      <w:bookmarkStart w:id="23" w:name="_Toc299631640"/>
    </w:p>
    <w:p w14:paraId="6C7C80A2" w14:textId="67335236" w:rsidR="00BE6F0E" w:rsidRPr="00BE6F0E" w:rsidRDefault="005E3ACA" w:rsidP="00BE6F0E">
      <w:pPr>
        <w:pStyle w:val="Heading1"/>
        <w:numPr>
          <w:ilvl w:val="0"/>
          <w:numId w:val="0"/>
        </w:numPr>
        <w:rPr>
          <w:rFonts w:asciiTheme="majorBidi" w:hAnsiTheme="majorBidi" w:cstheme="majorBidi"/>
        </w:rPr>
      </w:pPr>
      <w:bookmarkStart w:id="24" w:name="_Ref137801750"/>
      <w:bookmarkStart w:id="25" w:name="_Toc216938116"/>
      <w:r w:rsidRPr="004727CF">
        <w:rPr>
          <w:rFonts w:asciiTheme="majorBidi" w:hAnsiTheme="majorBidi" w:cstheme="majorBidi"/>
        </w:rPr>
        <w:lastRenderedPageBreak/>
        <w:t xml:space="preserve">List of </w:t>
      </w:r>
      <w:r w:rsidR="004C2C9C" w:rsidRPr="004727CF">
        <w:rPr>
          <w:rFonts w:asciiTheme="majorBidi" w:hAnsiTheme="majorBidi" w:cstheme="majorBidi"/>
        </w:rPr>
        <w:t>F</w:t>
      </w:r>
      <w:r w:rsidRPr="004727CF">
        <w:rPr>
          <w:rFonts w:asciiTheme="majorBidi" w:hAnsiTheme="majorBidi" w:cstheme="majorBidi"/>
        </w:rPr>
        <w:t>igures</w:t>
      </w:r>
      <w:bookmarkEnd w:id="17"/>
      <w:bookmarkEnd w:id="18"/>
      <w:bookmarkEnd w:id="19"/>
      <w:bookmarkEnd w:id="20"/>
      <w:bookmarkEnd w:id="21"/>
      <w:bookmarkEnd w:id="22"/>
      <w:bookmarkEnd w:id="23"/>
      <w:bookmarkEnd w:id="24"/>
      <w:r w:rsidR="00BE6F0E">
        <w:rPr>
          <w:noProof/>
        </w:rPr>
        <w:drawing>
          <wp:anchor distT="0" distB="0" distL="114300" distR="114300" simplePos="0" relativeHeight="251662336" behindDoc="0" locked="0" layoutInCell="1" allowOverlap="1" wp14:anchorId="5ED692E2" wp14:editId="68CDC649">
            <wp:simplePos x="0" y="0"/>
            <wp:positionH relativeFrom="margin">
              <wp:posOffset>-635</wp:posOffset>
            </wp:positionH>
            <wp:positionV relativeFrom="paragraph">
              <wp:posOffset>387985</wp:posOffset>
            </wp:positionV>
            <wp:extent cx="3606800" cy="2279650"/>
            <wp:effectExtent l="0" t="0" r="12700" b="6350"/>
            <wp:wrapTopAndBottom/>
            <wp:docPr id="18398579" name="Chart 1">
              <a:extLst xmlns:a="http://schemas.openxmlformats.org/drawingml/2006/main">
                <a:ext uri="{FF2B5EF4-FFF2-40B4-BE49-F238E27FC236}">
                  <a16:creationId xmlns:a16="http://schemas.microsoft.com/office/drawing/2014/main" id="{5664DF8F-3542-14F4-84E6-DA57821C09F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14:sizeRelH relativeFrom="margin">
              <wp14:pctWidth>0</wp14:pctWidth>
            </wp14:sizeRelH>
            <wp14:sizeRelV relativeFrom="margin">
              <wp14:pctHeight>0</wp14:pctHeight>
            </wp14:sizeRelV>
          </wp:anchor>
        </w:drawing>
      </w:r>
      <w:bookmarkEnd w:id="25"/>
    </w:p>
    <w:p w14:paraId="7F5FAD46" w14:textId="77777777" w:rsidR="00BE6F0E" w:rsidRDefault="00BE6F0E" w:rsidP="00BE6F0E">
      <w:pPr>
        <w:spacing w:line="240" w:lineRule="auto"/>
        <w:rPr>
          <w:rFonts w:asciiTheme="majorBidi" w:eastAsia="Microsoft GothicNeo" w:hAnsiTheme="majorBidi" w:cstheme="majorBidi"/>
          <w:sz w:val="22"/>
          <w:szCs w:val="22"/>
        </w:rPr>
      </w:pPr>
      <w:r>
        <w:rPr>
          <w:rFonts w:asciiTheme="majorBidi" w:eastAsia="Microsoft GothicNeo" w:hAnsiTheme="majorBidi" w:cstheme="majorBidi"/>
          <w:sz w:val="22"/>
          <w:szCs w:val="22"/>
        </w:rPr>
        <w:t xml:space="preserve">Figure 1; Density increase of pressed TNT and following mathematical effect on Detonation Velocity </w:t>
      </w:r>
    </w:p>
    <w:p w14:paraId="0651F60B" w14:textId="77777777" w:rsidR="00AC5C78" w:rsidRDefault="00AC5C78" w:rsidP="00BE6F0E">
      <w:pPr>
        <w:spacing w:line="240" w:lineRule="auto"/>
        <w:rPr>
          <w:rFonts w:asciiTheme="majorBidi" w:eastAsia="Microsoft GothicNeo" w:hAnsiTheme="majorBidi" w:cstheme="majorBidi"/>
          <w:sz w:val="22"/>
          <w:szCs w:val="22"/>
        </w:rPr>
      </w:pPr>
    </w:p>
    <w:p w14:paraId="3DBA6433" w14:textId="77777777" w:rsidR="00AC5C78" w:rsidRDefault="00AC5C78" w:rsidP="00AC5C78">
      <w:pPr>
        <w:spacing w:line="240" w:lineRule="auto"/>
        <w:rPr>
          <w:rFonts w:asciiTheme="majorBidi" w:hAnsiTheme="majorBidi" w:cstheme="majorBidi"/>
          <w:sz w:val="22"/>
          <w:szCs w:val="22"/>
        </w:rPr>
      </w:pPr>
      <w:r>
        <w:rPr>
          <w:noProof/>
        </w:rPr>
        <w:drawing>
          <wp:inline distT="0" distB="0" distL="0" distR="0" wp14:anchorId="284B35E7" wp14:editId="6516DA8E">
            <wp:extent cx="5400040" cy="4028440"/>
            <wp:effectExtent l="0" t="0" r="0" b="0"/>
            <wp:docPr id="58943730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r:link="rId22" cstate="print">
                      <a:extLst>
                        <a:ext uri="{28A0092B-C50C-407E-A947-70E740481C1C}">
                          <a14:useLocalDpi xmlns:a14="http://schemas.microsoft.com/office/drawing/2010/main" val="0"/>
                        </a:ext>
                      </a:extLst>
                    </a:blip>
                    <a:srcRect/>
                    <a:stretch>
                      <a:fillRect/>
                    </a:stretch>
                  </pic:blipFill>
                  <pic:spPr bwMode="auto">
                    <a:xfrm>
                      <a:off x="0" y="0"/>
                      <a:ext cx="5400040" cy="4028440"/>
                    </a:xfrm>
                    <a:prstGeom prst="rect">
                      <a:avLst/>
                    </a:prstGeom>
                    <a:noFill/>
                    <a:ln>
                      <a:noFill/>
                    </a:ln>
                  </pic:spPr>
                </pic:pic>
              </a:graphicData>
            </a:graphic>
          </wp:inline>
        </w:drawing>
      </w:r>
    </w:p>
    <w:p w14:paraId="32A2BD76" w14:textId="77777777" w:rsidR="00AC5C78" w:rsidRDefault="00AC5C78" w:rsidP="00AC5C78">
      <w:pPr>
        <w:spacing w:line="240" w:lineRule="auto"/>
        <w:rPr>
          <w:rFonts w:asciiTheme="majorBidi" w:hAnsiTheme="majorBidi" w:cstheme="majorBidi"/>
          <w:sz w:val="22"/>
          <w:szCs w:val="22"/>
        </w:rPr>
      </w:pPr>
      <w:r>
        <w:rPr>
          <w:rFonts w:asciiTheme="majorBidi" w:hAnsiTheme="majorBidi" w:cstheme="majorBidi"/>
          <w:sz w:val="22"/>
          <w:szCs w:val="22"/>
        </w:rPr>
        <w:t>Figure 2 – Representative Figure Demonstrating TNT and Lead Azide’s density difference and diameter change based on confinement</w:t>
      </w:r>
    </w:p>
    <w:p w14:paraId="1588D75A" w14:textId="77777777" w:rsidR="00AC5C78" w:rsidRDefault="00AC5C78" w:rsidP="00BE6F0E">
      <w:pPr>
        <w:spacing w:line="240" w:lineRule="auto"/>
        <w:rPr>
          <w:rFonts w:asciiTheme="majorBidi" w:eastAsia="Microsoft GothicNeo" w:hAnsiTheme="majorBidi" w:cstheme="majorBidi"/>
          <w:sz w:val="22"/>
          <w:szCs w:val="22"/>
        </w:rPr>
      </w:pPr>
    </w:p>
    <w:p w14:paraId="5E0F7312" w14:textId="77777777" w:rsidR="00BE6F0E" w:rsidRDefault="00BE6F0E" w:rsidP="00BE6F0E">
      <w:pPr>
        <w:spacing w:line="240" w:lineRule="auto"/>
        <w:rPr>
          <w:rFonts w:asciiTheme="majorBidi" w:eastAsia="Microsoft GothicNeo" w:hAnsiTheme="majorBidi" w:cstheme="majorBidi"/>
          <w:sz w:val="22"/>
          <w:szCs w:val="22"/>
        </w:rPr>
      </w:pPr>
    </w:p>
    <w:p w14:paraId="4D86026D" w14:textId="77777777" w:rsidR="00BE6F0E" w:rsidRDefault="00BE6F0E" w:rsidP="00BE6F0E">
      <w:pPr>
        <w:spacing w:line="240" w:lineRule="auto"/>
        <w:rPr>
          <w:rFonts w:asciiTheme="majorBidi" w:eastAsia="Microsoft GothicNeo" w:hAnsiTheme="majorBidi" w:cstheme="majorBidi"/>
          <w:sz w:val="22"/>
          <w:szCs w:val="22"/>
        </w:rPr>
      </w:pPr>
    </w:p>
    <w:p w14:paraId="28CD180E" w14:textId="57206CFA" w:rsidR="00BE6F0E" w:rsidRPr="00BE6F0E" w:rsidRDefault="00BE6F0E" w:rsidP="00BE6F0E">
      <w:pPr>
        <w:pStyle w:val="Heading1"/>
        <w:numPr>
          <w:ilvl w:val="0"/>
          <w:numId w:val="0"/>
        </w:numPr>
        <w:rPr>
          <w:rFonts w:asciiTheme="majorBidi" w:eastAsia="Microsoft GothicNeo" w:hAnsiTheme="majorBidi" w:cstheme="majorBidi"/>
        </w:rPr>
      </w:pPr>
      <w:bookmarkStart w:id="26" w:name="_Toc216938117"/>
      <w:r w:rsidRPr="00BE6F0E">
        <w:rPr>
          <w:rFonts w:asciiTheme="majorBidi" w:eastAsia="Microsoft GothicNeo" w:hAnsiTheme="majorBidi" w:cstheme="majorBidi"/>
        </w:rPr>
        <w:t>List of Tables</w:t>
      </w:r>
      <w:bookmarkEnd w:id="26"/>
      <w:r w:rsidRPr="00BE6F0E">
        <w:rPr>
          <w:rFonts w:asciiTheme="majorBidi" w:eastAsia="Microsoft GothicNeo" w:hAnsiTheme="majorBidi" w:cstheme="majorBidi"/>
        </w:rPr>
        <w:t xml:space="preserve"> </w:t>
      </w:r>
    </w:p>
    <w:p w14:paraId="14876253" w14:textId="77777777" w:rsidR="00BE6F0E" w:rsidRDefault="00BE6F0E" w:rsidP="00BE6F0E">
      <w:pPr>
        <w:spacing w:line="240" w:lineRule="auto"/>
        <w:rPr>
          <w:rFonts w:asciiTheme="majorBidi" w:eastAsia="Microsoft GothicNeo" w:hAnsiTheme="majorBidi" w:cstheme="majorBidi"/>
          <w:sz w:val="22"/>
          <w:szCs w:val="22"/>
        </w:rPr>
      </w:pPr>
      <w:r w:rsidRPr="003E41E0">
        <w:rPr>
          <w:rFonts w:eastAsia="Microsoft GothicNeo"/>
        </w:rPr>
        <w:drawing>
          <wp:anchor distT="0" distB="0" distL="114300" distR="114300" simplePos="0" relativeHeight="251663360" behindDoc="1" locked="0" layoutInCell="1" allowOverlap="1" wp14:anchorId="393CC4B9" wp14:editId="6B53BDC1">
            <wp:simplePos x="0" y="0"/>
            <wp:positionH relativeFrom="margin">
              <wp:posOffset>0</wp:posOffset>
            </wp:positionH>
            <wp:positionV relativeFrom="paragraph">
              <wp:posOffset>158750</wp:posOffset>
            </wp:positionV>
            <wp:extent cx="1936750" cy="1308100"/>
            <wp:effectExtent l="0" t="0" r="6350" b="6350"/>
            <wp:wrapTopAndBottom/>
            <wp:docPr id="372978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936750" cy="1308100"/>
                    </a:xfrm>
                    <a:prstGeom prst="rect">
                      <a:avLst/>
                    </a:prstGeom>
                    <a:noFill/>
                    <a:ln>
                      <a:noFill/>
                    </a:ln>
                  </pic:spPr>
                </pic:pic>
              </a:graphicData>
            </a:graphic>
          </wp:anchor>
        </w:drawing>
      </w:r>
      <w:r>
        <w:rPr>
          <w:rFonts w:asciiTheme="majorBidi" w:eastAsia="Microsoft GothicNeo" w:hAnsiTheme="majorBidi" w:cstheme="majorBidi"/>
          <w:sz w:val="22"/>
          <w:szCs w:val="22"/>
        </w:rPr>
        <w:t>Table 1; Calculated values of Density and Velocity with velocity converted to m/s for clarity</w:t>
      </w:r>
    </w:p>
    <w:p w14:paraId="56DB9F22" w14:textId="28D3C26D" w:rsidR="00DA28B2" w:rsidRPr="004727CF" w:rsidRDefault="00DA28B2" w:rsidP="00941D35">
      <w:pPr>
        <w:rPr>
          <w:rFonts w:asciiTheme="majorBidi" w:hAnsiTheme="majorBidi" w:cstheme="majorBidi"/>
        </w:rPr>
      </w:pPr>
    </w:p>
    <w:p w14:paraId="4274C573" w14:textId="77777777" w:rsidR="00DA28B2" w:rsidRPr="004727CF" w:rsidRDefault="00DA28B2" w:rsidP="00941D35">
      <w:pPr>
        <w:rPr>
          <w:rFonts w:asciiTheme="majorBidi" w:hAnsiTheme="majorBidi" w:cstheme="majorBidi"/>
        </w:rPr>
      </w:pPr>
    </w:p>
    <w:p w14:paraId="14C7AE69" w14:textId="77777777" w:rsidR="005C0AF1" w:rsidRPr="004727CF" w:rsidRDefault="005C0AF1" w:rsidP="00AE480E">
      <w:pPr>
        <w:rPr>
          <w:rFonts w:asciiTheme="majorBidi" w:hAnsiTheme="majorBidi" w:cstheme="majorBidi"/>
        </w:rPr>
      </w:pPr>
      <w:bookmarkStart w:id="27" w:name="_Toc51833372"/>
      <w:bookmarkStart w:id="28" w:name="_Toc290554221"/>
      <w:bookmarkStart w:id="29" w:name="_Toc299621186"/>
      <w:bookmarkStart w:id="30" w:name="_Toc299631414"/>
      <w:bookmarkStart w:id="31" w:name="_Toc299631474"/>
      <w:bookmarkStart w:id="32" w:name="_Toc299631564"/>
      <w:bookmarkStart w:id="33" w:name="_Toc299631641"/>
      <w:r w:rsidRPr="004727CF">
        <w:rPr>
          <w:rFonts w:asciiTheme="majorBidi" w:hAnsiTheme="majorBidi" w:cstheme="majorBidi"/>
        </w:rPr>
        <w:br w:type="page"/>
      </w:r>
    </w:p>
    <w:p w14:paraId="28AA6BF1" w14:textId="18A77FB9" w:rsidR="00DA28B2" w:rsidRPr="004727CF" w:rsidRDefault="007F0255" w:rsidP="00361EFD">
      <w:pPr>
        <w:pStyle w:val="Heading1nonumber"/>
        <w:rPr>
          <w:rFonts w:asciiTheme="majorBidi" w:hAnsiTheme="majorBidi" w:cstheme="majorBidi"/>
        </w:rPr>
      </w:pPr>
      <w:bookmarkStart w:id="34" w:name="_Toc216938118"/>
      <w:bookmarkEnd w:id="27"/>
      <w:bookmarkEnd w:id="28"/>
      <w:bookmarkEnd w:id="29"/>
      <w:bookmarkEnd w:id="30"/>
      <w:bookmarkEnd w:id="31"/>
      <w:bookmarkEnd w:id="32"/>
      <w:bookmarkEnd w:id="33"/>
      <w:r w:rsidRPr="004727CF">
        <w:rPr>
          <w:rFonts w:asciiTheme="majorBidi" w:hAnsiTheme="majorBidi" w:cstheme="majorBidi"/>
        </w:rPr>
        <w:lastRenderedPageBreak/>
        <w:t xml:space="preserve">List of </w:t>
      </w:r>
      <w:r w:rsidR="004C2C9C" w:rsidRPr="004727CF">
        <w:rPr>
          <w:rFonts w:asciiTheme="majorBidi" w:hAnsiTheme="majorBidi" w:cstheme="majorBidi"/>
        </w:rPr>
        <w:t>A</w:t>
      </w:r>
      <w:r w:rsidRPr="004727CF">
        <w:rPr>
          <w:rFonts w:asciiTheme="majorBidi" w:hAnsiTheme="majorBidi" w:cstheme="majorBidi"/>
        </w:rPr>
        <w:t>bbreviations</w:t>
      </w:r>
      <w:bookmarkEnd w:id="34"/>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63"/>
        <w:gridCol w:w="7141"/>
      </w:tblGrid>
      <w:tr w:rsidR="00212D6E" w:rsidRPr="004727CF" w14:paraId="0AC8891D" w14:textId="77777777" w:rsidTr="00507FA4">
        <w:tc>
          <w:tcPr>
            <w:tcW w:w="1363" w:type="dxa"/>
          </w:tcPr>
          <w:p w14:paraId="2C7EBA2A" w14:textId="4D0476CF" w:rsidR="00212D6E" w:rsidRDefault="00212D6E" w:rsidP="00361EFD">
            <w:pPr>
              <w:pStyle w:val="TableText"/>
              <w:rPr>
                <w:rFonts w:asciiTheme="majorBidi" w:hAnsiTheme="majorBidi" w:cstheme="majorBidi"/>
              </w:rPr>
            </w:pPr>
            <w:r>
              <w:rPr>
                <w:rFonts w:asciiTheme="majorBidi" w:hAnsiTheme="majorBidi" w:cstheme="majorBidi"/>
              </w:rPr>
              <w:t>ESD</w:t>
            </w:r>
          </w:p>
        </w:tc>
        <w:tc>
          <w:tcPr>
            <w:tcW w:w="7141" w:type="dxa"/>
          </w:tcPr>
          <w:p w14:paraId="14B8A617" w14:textId="297F197C" w:rsidR="00212D6E" w:rsidRPr="00EE6208" w:rsidRDefault="001A79F9" w:rsidP="00361EFD">
            <w:pPr>
              <w:pStyle w:val="TableText"/>
              <w:rPr>
                <w:rFonts w:asciiTheme="majorBidi" w:hAnsiTheme="majorBidi" w:cstheme="majorBidi"/>
              </w:rPr>
            </w:pPr>
            <w:r w:rsidRPr="001A79F9">
              <w:rPr>
                <w:rFonts w:asciiTheme="majorBidi" w:hAnsiTheme="majorBidi" w:cstheme="majorBidi"/>
              </w:rPr>
              <w:t>Electro-Static Discharge</w:t>
            </w:r>
          </w:p>
        </w:tc>
      </w:tr>
      <w:tr w:rsidR="00212D6E" w:rsidRPr="004727CF" w14:paraId="2F37D6A0" w14:textId="77777777" w:rsidTr="00507FA4">
        <w:tc>
          <w:tcPr>
            <w:tcW w:w="1363" w:type="dxa"/>
          </w:tcPr>
          <w:p w14:paraId="43CDE059" w14:textId="748DC2B7" w:rsidR="00212D6E" w:rsidRDefault="003F36E7" w:rsidP="00361EFD">
            <w:pPr>
              <w:pStyle w:val="TableText"/>
              <w:rPr>
                <w:rFonts w:asciiTheme="majorBidi" w:hAnsiTheme="majorBidi" w:cstheme="majorBidi"/>
              </w:rPr>
            </w:pPr>
            <w:r>
              <w:rPr>
                <w:rFonts w:asciiTheme="majorBidi" w:hAnsiTheme="majorBidi" w:cstheme="majorBidi"/>
              </w:rPr>
              <w:t>TDM</w:t>
            </w:r>
          </w:p>
        </w:tc>
        <w:tc>
          <w:tcPr>
            <w:tcW w:w="7141" w:type="dxa"/>
          </w:tcPr>
          <w:p w14:paraId="4C247F63" w14:textId="31A54451" w:rsidR="00212D6E" w:rsidRPr="00EE6208" w:rsidRDefault="003F36E7" w:rsidP="00361EFD">
            <w:pPr>
              <w:pStyle w:val="TableText"/>
              <w:rPr>
                <w:rFonts w:asciiTheme="majorBidi" w:hAnsiTheme="majorBidi" w:cstheme="majorBidi"/>
              </w:rPr>
            </w:pPr>
            <w:r w:rsidRPr="003F36E7">
              <w:rPr>
                <w:rFonts w:asciiTheme="majorBidi" w:hAnsiTheme="majorBidi" w:cstheme="majorBidi"/>
              </w:rPr>
              <w:t>Theoretical maximum density</w:t>
            </w:r>
          </w:p>
        </w:tc>
      </w:tr>
      <w:tr w:rsidR="00212D6E" w:rsidRPr="004727CF" w14:paraId="153CBA19" w14:textId="77777777" w:rsidTr="00507FA4">
        <w:tc>
          <w:tcPr>
            <w:tcW w:w="1363" w:type="dxa"/>
          </w:tcPr>
          <w:p w14:paraId="6EF343F6" w14:textId="2FB1B198" w:rsidR="00212D6E" w:rsidRDefault="003F36E7" w:rsidP="00361EFD">
            <w:pPr>
              <w:pStyle w:val="TableText"/>
              <w:rPr>
                <w:rFonts w:asciiTheme="majorBidi" w:hAnsiTheme="majorBidi" w:cstheme="majorBidi"/>
              </w:rPr>
            </w:pPr>
            <w:r>
              <w:rPr>
                <w:rFonts w:asciiTheme="majorBidi" w:hAnsiTheme="majorBidi" w:cstheme="majorBidi"/>
              </w:rPr>
              <w:t>STD</w:t>
            </w:r>
          </w:p>
        </w:tc>
        <w:tc>
          <w:tcPr>
            <w:tcW w:w="7141" w:type="dxa"/>
          </w:tcPr>
          <w:p w14:paraId="058332B3" w14:textId="1F1FCD36" w:rsidR="00212D6E" w:rsidRPr="00EE6208" w:rsidRDefault="003F36E7" w:rsidP="00361EFD">
            <w:pPr>
              <w:pStyle w:val="TableText"/>
              <w:rPr>
                <w:rFonts w:asciiTheme="majorBidi" w:hAnsiTheme="majorBidi" w:cstheme="majorBidi"/>
              </w:rPr>
            </w:pPr>
            <w:r w:rsidRPr="003F36E7">
              <w:rPr>
                <w:rFonts w:asciiTheme="majorBidi" w:hAnsiTheme="majorBidi" w:cstheme="majorBidi"/>
              </w:rPr>
              <w:t>Shock-to-Detonation transition</w:t>
            </w:r>
          </w:p>
        </w:tc>
      </w:tr>
      <w:tr w:rsidR="00212D6E" w:rsidRPr="004727CF" w14:paraId="03F98C75" w14:textId="77777777" w:rsidTr="00507FA4">
        <w:tc>
          <w:tcPr>
            <w:tcW w:w="1363" w:type="dxa"/>
          </w:tcPr>
          <w:p w14:paraId="56BC9013" w14:textId="58CF7368" w:rsidR="00212D6E" w:rsidRDefault="00CB789F" w:rsidP="00361EFD">
            <w:pPr>
              <w:pStyle w:val="TableText"/>
              <w:rPr>
                <w:rFonts w:asciiTheme="majorBidi" w:hAnsiTheme="majorBidi" w:cstheme="majorBidi"/>
              </w:rPr>
            </w:pPr>
            <w:r>
              <w:rPr>
                <w:rFonts w:asciiTheme="majorBidi" w:hAnsiTheme="majorBidi" w:cstheme="majorBidi"/>
              </w:rPr>
              <w:t xml:space="preserve">TNT </w:t>
            </w:r>
          </w:p>
        </w:tc>
        <w:tc>
          <w:tcPr>
            <w:tcW w:w="7141" w:type="dxa"/>
          </w:tcPr>
          <w:p w14:paraId="1AEFFE40" w14:textId="520E3B19" w:rsidR="00212D6E" w:rsidRPr="00EE6208" w:rsidRDefault="00CB789F" w:rsidP="00361EFD">
            <w:pPr>
              <w:pStyle w:val="TableText"/>
              <w:rPr>
                <w:rFonts w:asciiTheme="majorBidi" w:hAnsiTheme="majorBidi" w:cstheme="majorBidi"/>
              </w:rPr>
            </w:pPr>
            <w:r w:rsidRPr="00CB789F">
              <w:rPr>
                <w:rFonts w:asciiTheme="majorBidi" w:hAnsiTheme="majorBidi" w:cstheme="majorBidi"/>
              </w:rPr>
              <w:t>2,4,6-trinitrotoluene</w:t>
            </w:r>
          </w:p>
        </w:tc>
      </w:tr>
      <w:tr w:rsidR="00212D6E" w:rsidRPr="004727CF" w14:paraId="4B56A388" w14:textId="77777777" w:rsidTr="00507FA4">
        <w:tc>
          <w:tcPr>
            <w:tcW w:w="1363" w:type="dxa"/>
          </w:tcPr>
          <w:p w14:paraId="286E83AD" w14:textId="77777777" w:rsidR="00212D6E" w:rsidRDefault="00212D6E" w:rsidP="00361EFD">
            <w:pPr>
              <w:pStyle w:val="TableText"/>
              <w:rPr>
                <w:rFonts w:asciiTheme="majorBidi" w:hAnsiTheme="majorBidi" w:cstheme="majorBidi"/>
              </w:rPr>
            </w:pPr>
          </w:p>
        </w:tc>
        <w:tc>
          <w:tcPr>
            <w:tcW w:w="7141" w:type="dxa"/>
          </w:tcPr>
          <w:p w14:paraId="32BE5885" w14:textId="77777777" w:rsidR="00212D6E" w:rsidRPr="00EE6208" w:rsidRDefault="00212D6E" w:rsidP="00361EFD">
            <w:pPr>
              <w:pStyle w:val="TableText"/>
              <w:rPr>
                <w:rFonts w:asciiTheme="majorBidi" w:hAnsiTheme="majorBidi" w:cstheme="majorBidi"/>
              </w:rPr>
            </w:pPr>
          </w:p>
        </w:tc>
      </w:tr>
      <w:tr w:rsidR="00212D6E" w:rsidRPr="004727CF" w14:paraId="0C6163C7" w14:textId="77777777" w:rsidTr="00507FA4">
        <w:tc>
          <w:tcPr>
            <w:tcW w:w="1363" w:type="dxa"/>
          </w:tcPr>
          <w:p w14:paraId="6A168EEC" w14:textId="77777777" w:rsidR="00212D6E" w:rsidRDefault="00212D6E" w:rsidP="00361EFD">
            <w:pPr>
              <w:pStyle w:val="TableText"/>
              <w:rPr>
                <w:rFonts w:asciiTheme="majorBidi" w:hAnsiTheme="majorBidi" w:cstheme="majorBidi"/>
              </w:rPr>
            </w:pPr>
          </w:p>
        </w:tc>
        <w:tc>
          <w:tcPr>
            <w:tcW w:w="7141" w:type="dxa"/>
          </w:tcPr>
          <w:p w14:paraId="7E75E865" w14:textId="77777777" w:rsidR="00212D6E" w:rsidRPr="00EE6208" w:rsidRDefault="00212D6E" w:rsidP="00361EFD">
            <w:pPr>
              <w:pStyle w:val="TableText"/>
              <w:rPr>
                <w:rFonts w:asciiTheme="majorBidi" w:hAnsiTheme="majorBidi" w:cstheme="majorBidi"/>
              </w:rPr>
            </w:pPr>
          </w:p>
        </w:tc>
      </w:tr>
      <w:tr w:rsidR="00361EFD" w:rsidRPr="004727CF" w14:paraId="0FA31D44" w14:textId="77777777" w:rsidTr="00507FA4">
        <w:tc>
          <w:tcPr>
            <w:tcW w:w="1363" w:type="dxa"/>
          </w:tcPr>
          <w:p w14:paraId="02214EBF" w14:textId="77777777" w:rsidR="00361EFD" w:rsidRPr="004727CF" w:rsidRDefault="00361EFD" w:rsidP="00361EFD">
            <w:pPr>
              <w:pStyle w:val="TableText"/>
              <w:rPr>
                <w:rFonts w:asciiTheme="majorBidi" w:hAnsiTheme="majorBidi" w:cstheme="majorBidi"/>
              </w:rPr>
            </w:pPr>
          </w:p>
        </w:tc>
        <w:tc>
          <w:tcPr>
            <w:tcW w:w="7141" w:type="dxa"/>
          </w:tcPr>
          <w:p w14:paraId="52D6A5CA" w14:textId="77777777" w:rsidR="00361EFD" w:rsidRPr="004727CF" w:rsidRDefault="00361EFD" w:rsidP="00361EFD">
            <w:pPr>
              <w:pStyle w:val="TableText"/>
              <w:rPr>
                <w:rFonts w:asciiTheme="majorBidi" w:hAnsiTheme="majorBidi" w:cstheme="majorBidi"/>
              </w:rPr>
            </w:pPr>
          </w:p>
        </w:tc>
      </w:tr>
      <w:tr w:rsidR="00361EFD" w:rsidRPr="004727CF" w14:paraId="10539495" w14:textId="77777777" w:rsidTr="00507FA4">
        <w:tc>
          <w:tcPr>
            <w:tcW w:w="1363" w:type="dxa"/>
          </w:tcPr>
          <w:p w14:paraId="7FA66CE0" w14:textId="77777777" w:rsidR="00361EFD" w:rsidRPr="004727CF" w:rsidRDefault="00361EFD" w:rsidP="00361EFD">
            <w:pPr>
              <w:pStyle w:val="TableText"/>
              <w:rPr>
                <w:rFonts w:asciiTheme="majorBidi" w:hAnsiTheme="majorBidi" w:cstheme="majorBidi"/>
              </w:rPr>
            </w:pPr>
          </w:p>
        </w:tc>
        <w:tc>
          <w:tcPr>
            <w:tcW w:w="7141" w:type="dxa"/>
          </w:tcPr>
          <w:p w14:paraId="2EABCFE7" w14:textId="77777777" w:rsidR="00361EFD" w:rsidRPr="004727CF" w:rsidRDefault="00361EFD" w:rsidP="00361EFD">
            <w:pPr>
              <w:pStyle w:val="TableText"/>
              <w:rPr>
                <w:rFonts w:asciiTheme="majorBidi" w:hAnsiTheme="majorBidi" w:cstheme="majorBidi"/>
              </w:rPr>
            </w:pPr>
          </w:p>
        </w:tc>
      </w:tr>
      <w:tr w:rsidR="00361EFD" w:rsidRPr="004727CF" w14:paraId="0AE06573" w14:textId="77777777" w:rsidTr="00507FA4">
        <w:tc>
          <w:tcPr>
            <w:tcW w:w="1363" w:type="dxa"/>
          </w:tcPr>
          <w:p w14:paraId="7177CC6D" w14:textId="77777777" w:rsidR="00361EFD" w:rsidRPr="004727CF" w:rsidRDefault="00361EFD" w:rsidP="00361EFD">
            <w:pPr>
              <w:pStyle w:val="TableText"/>
              <w:rPr>
                <w:rFonts w:asciiTheme="majorBidi" w:hAnsiTheme="majorBidi" w:cstheme="majorBidi"/>
              </w:rPr>
            </w:pPr>
          </w:p>
        </w:tc>
        <w:tc>
          <w:tcPr>
            <w:tcW w:w="7141" w:type="dxa"/>
          </w:tcPr>
          <w:p w14:paraId="1BEA698F" w14:textId="77777777" w:rsidR="00361EFD" w:rsidRPr="004727CF" w:rsidRDefault="00361EFD" w:rsidP="00361EFD">
            <w:pPr>
              <w:pStyle w:val="TableText"/>
              <w:rPr>
                <w:rFonts w:asciiTheme="majorBidi" w:hAnsiTheme="majorBidi" w:cstheme="majorBidi"/>
              </w:rPr>
            </w:pPr>
          </w:p>
        </w:tc>
      </w:tr>
      <w:tr w:rsidR="00361EFD" w:rsidRPr="004727CF" w14:paraId="40D477AD" w14:textId="77777777" w:rsidTr="00507FA4">
        <w:tc>
          <w:tcPr>
            <w:tcW w:w="1363" w:type="dxa"/>
          </w:tcPr>
          <w:p w14:paraId="5DA09FBA" w14:textId="77777777" w:rsidR="00361EFD" w:rsidRPr="004727CF" w:rsidRDefault="00361EFD" w:rsidP="00361EFD">
            <w:pPr>
              <w:pStyle w:val="TableText"/>
              <w:rPr>
                <w:rFonts w:asciiTheme="majorBidi" w:hAnsiTheme="majorBidi" w:cstheme="majorBidi"/>
              </w:rPr>
            </w:pPr>
          </w:p>
        </w:tc>
        <w:tc>
          <w:tcPr>
            <w:tcW w:w="7141" w:type="dxa"/>
          </w:tcPr>
          <w:p w14:paraId="761C9030" w14:textId="77777777" w:rsidR="00361EFD" w:rsidRPr="004727CF" w:rsidRDefault="00361EFD" w:rsidP="00361EFD">
            <w:pPr>
              <w:pStyle w:val="TableText"/>
              <w:rPr>
                <w:rFonts w:asciiTheme="majorBidi" w:hAnsiTheme="majorBidi" w:cstheme="majorBidi"/>
              </w:rPr>
            </w:pPr>
          </w:p>
        </w:tc>
      </w:tr>
    </w:tbl>
    <w:p w14:paraId="31FFF39A" w14:textId="77777777" w:rsidR="00361EFD" w:rsidRPr="004727CF" w:rsidRDefault="00361EFD" w:rsidP="00941D35">
      <w:pPr>
        <w:rPr>
          <w:rFonts w:asciiTheme="majorBidi" w:hAnsiTheme="majorBidi" w:cstheme="majorBidi"/>
        </w:rPr>
      </w:pPr>
    </w:p>
    <w:p w14:paraId="433126EC" w14:textId="77777777" w:rsidR="00DA28B2" w:rsidRPr="004727CF" w:rsidRDefault="00DA28B2" w:rsidP="00941D35">
      <w:pPr>
        <w:rPr>
          <w:rFonts w:asciiTheme="majorBidi" w:hAnsiTheme="majorBidi" w:cstheme="majorBidi"/>
        </w:rPr>
      </w:pPr>
    </w:p>
    <w:p w14:paraId="22E55604" w14:textId="77777777" w:rsidR="00DA28B2" w:rsidRPr="004727CF" w:rsidRDefault="00DA28B2" w:rsidP="00DA28B2">
      <w:pPr>
        <w:pStyle w:val="Heading1"/>
        <w:rPr>
          <w:rFonts w:asciiTheme="majorBidi" w:hAnsiTheme="majorBidi" w:cstheme="majorBidi"/>
        </w:rPr>
        <w:sectPr w:rsidR="00DA28B2" w:rsidRPr="004727CF" w:rsidSect="003B1C9F">
          <w:pgSz w:w="11906" w:h="16838" w:code="9"/>
          <w:pgMar w:top="1701" w:right="1701" w:bottom="1701" w:left="1701" w:header="709" w:footer="851" w:gutter="0"/>
          <w:pgNumType w:fmt="lowerRoman"/>
          <w:cols w:space="708"/>
          <w:docGrid w:linePitch="360"/>
        </w:sectPr>
      </w:pPr>
    </w:p>
    <w:p w14:paraId="52BAF2B6" w14:textId="77777777" w:rsidR="00B518ED" w:rsidRPr="00212D6E" w:rsidRDefault="00B518ED" w:rsidP="00B518ED">
      <w:pPr>
        <w:pStyle w:val="Heading1"/>
        <w:rPr>
          <w:rFonts w:asciiTheme="majorBidi" w:hAnsiTheme="majorBidi" w:cstheme="majorBidi"/>
          <w:b w:val="0"/>
          <w:bCs w:val="0"/>
          <w:sz w:val="28"/>
          <w:szCs w:val="28"/>
        </w:rPr>
      </w:pPr>
      <w:bookmarkStart w:id="35" w:name="_Toc216938119"/>
      <w:r w:rsidRPr="00212D6E">
        <w:rPr>
          <w:rFonts w:asciiTheme="majorBidi" w:hAnsiTheme="majorBidi" w:cstheme="majorBidi"/>
          <w:b w:val="0"/>
          <w:bCs w:val="0"/>
          <w:sz w:val="28"/>
          <w:szCs w:val="28"/>
        </w:rPr>
        <w:lastRenderedPageBreak/>
        <w:t>Literature review and information summarisation of Lead Azide's critical diameter and density</w:t>
      </w:r>
      <w:bookmarkEnd w:id="35"/>
      <w:r w:rsidRPr="00212D6E">
        <w:rPr>
          <w:rFonts w:asciiTheme="majorBidi" w:hAnsiTheme="majorBidi" w:cstheme="majorBidi"/>
          <w:b w:val="0"/>
          <w:bCs w:val="0"/>
          <w:sz w:val="28"/>
          <w:szCs w:val="28"/>
        </w:rPr>
        <w:t xml:space="preserve"> </w:t>
      </w:r>
    </w:p>
    <w:p w14:paraId="68FE11F9" w14:textId="77777777" w:rsidR="00B518ED" w:rsidRPr="00212D6E" w:rsidRDefault="00B518ED" w:rsidP="00B518ED">
      <w:pPr>
        <w:pStyle w:val="Heading2"/>
        <w:rPr>
          <w:rFonts w:asciiTheme="majorBidi" w:hAnsiTheme="majorBidi" w:cstheme="majorBidi"/>
          <w:b w:val="0"/>
          <w:bCs w:val="0"/>
        </w:rPr>
      </w:pPr>
      <w:bookmarkStart w:id="36" w:name="_Toc216938120"/>
      <w:r w:rsidRPr="00212D6E">
        <w:rPr>
          <w:rFonts w:asciiTheme="majorBidi" w:hAnsiTheme="majorBidi" w:cstheme="majorBidi"/>
          <w:b w:val="0"/>
          <w:bCs w:val="0"/>
        </w:rPr>
        <w:t>Primary understanding of Lead Azide and properties</w:t>
      </w:r>
      <w:bookmarkEnd w:id="36"/>
    </w:p>
    <w:p w14:paraId="005EEB02" w14:textId="77777777" w:rsidR="00B518ED" w:rsidRPr="00212D6E" w:rsidRDefault="00B518ED" w:rsidP="00B518ED">
      <w:pPr>
        <w:pStyle w:val="NormalWeb"/>
        <w:spacing w:before="0" w:beforeAutospacing="0" w:after="0" w:afterAutospacing="0"/>
        <w:rPr>
          <w:rFonts w:asciiTheme="majorBidi" w:hAnsiTheme="majorBidi" w:cstheme="majorBidi"/>
          <w:sz w:val="22"/>
          <w:szCs w:val="22"/>
        </w:rPr>
      </w:pPr>
    </w:p>
    <w:p w14:paraId="38115F8B" w14:textId="548B5594" w:rsidR="00B518ED" w:rsidRPr="00212D6E" w:rsidRDefault="00B518ED" w:rsidP="00B518ED">
      <w:pPr>
        <w:pStyle w:val="NormalWeb"/>
        <w:spacing w:before="0" w:beforeAutospacing="0" w:after="0" w:afterAutospacing="0"/>
        <w:rPr>
          <w:rFonts w:asciiTheme="majorBidi" w:hAnsiTheme="majorBidi" w:cstheme="majorBidi"/>
          <w:sz w:val="22"/>
          <w:szCs w:val="22"/>
        </w:rPr>
      </w:pPr>
      <w:r w:rsidRPr="00212D6E">
        <w:rPr>
          <w:rFonts w:asciiTheme="majorBidi" w:hAnsiTheme="majorBidi" w:cstheme="majorBidi"/>
          <w:sz w:val="22"/>
          <w:szCs w:val="22"/>
        </w:rPr>
        <w:t xml:space="preserve">Critical Diamer is commonly defined as; the minimum diameter needed to sustain stable detonation of an energetic material [2]. This diameter can be formed in either a confined vessel or an unconfined vessel, both of which determine the substances rate of reaction, velocity achieved, total substance used and material efficiency. </w:t>
      </w:r>
    </w:p>
    <w:p w14:paraId="0D8B2D84" w14:textId="77777777" w:rsidR="00B518ED" w:rsidRPr="00212D6E" w:rsidRDefault="00B518ED" w:rsidP="00B518ED">
      <w:pPr>
        <w:pStyle w:val="NormalWeb"/>
        <w:spacing w:before="0" w:beforeAutospacing="0" w:after="0" w:afterAutospacing="0"/>
        <w:rPr>
          <w:rFonts w:asciiTheme="majorBidi" w:hAnsiTheme="majorBidi" w:cstheme="majorBidi"/>
          <w:sz w:val="22"/>
          <w:szCs w:val="22"/>
        </w:rPr>
      </w:pPr>
      <w:r w:rsidRPr="00212D6E">
        <w:rPr>
          <w:rFonts w:asciiTheme="majorBidi" w:hAnsiTheme="majorBidi" w:cstheme="majorBidi"/>
          <w:sz w:val="22"/>
          <w:szCs w:val="22"/>
        </w:rPr>
        <w:t> </w:t>
      </w:r>
    </w:p>
    <w:p w14:paraId="2F5DE883" w14:textId="77777777" w:rsidR="00B518ED" w:rsidRPr="00212D6E" w:rsidRDefault="00B518ED" w:rsidP="00B518ED">
      <w:pPr>
        <w:pStyle w:val="NormalWeb"/>
        <w:spacing w:before="0" w:beforeAutospacing="0" w:after="0" w:afterAutospacing="0"/>
        <w:rPr>
          <w:rFonts w:asciiTheme="majorBidi" w:hAnsiTheme="majorBidi" w:cstheme="majorBidi"/>
          <w:sz w:val="22"/>
          <w:szCs w:val="22"/>
        </w:rPr>
      </w:pPr>
      <w:r w:rsidRPr="00212D6E">
        <w:rPr>
          <w:rFonts w:asciiTheme="majorBidi" w:hAnsiTheme="majorBidi" w:cstheme="majorBidi"/>
          <w:sz w:val="22"/>
          <w:szCs w:val="22"/>
        </w:rPr>
        <w:t xml:space="preserve">Critical density is defined commonly as; the minimum density required to sustain a detonation of a substance [2]. The density of a material can be affected by impurities of substance, manufacturing quality, manufacturing techniques and storage/handling techniques. The critical density is affected by the molecular makeup of the material. </w:t>
      </w:r>
    </w:p>
    <w:p w14:paraId="40ADAEF9" w14:textId="77777777" w:rsidR="00B518ED" w:rsidRPr="00212D6E" w:rsidRDefault="00B518ED" w:rsidP="00B518ED">
      <w:pPr>
        <w:pStyle w:val="NormalWeb"/>
        <w:spacing w:before="0" w:beforeAutospacing="0" w:after="0" w:afterAutospacing="0"/>
        <w:rPr>
          <w:rFonts w:asciiTheme="majorBidi" w:hAnsiTheme="majorBidi" w:cstheme="majorBidi"/>
          <w:sz w:val="22"/>
          <w:szCs w:val="22"/>
        </w:rPr>
      </w:pPr>
      <w:r w:rsidRPr="00212D6E">
        <w:rPr>
          <w:rFonts w:asciiTheme="majorBidi" w:hAnsiTheme="majorBidi" w:cstheme="majorBidi"/>
          <w:sz w:val="22"/>
          <w:szCs w:val="22"/>
        </w:rPr>
        <w:t> </w:t>
      </w:r>
    </w:p>
    <w:p w14:paraId="564669FA" w14:textId="27D9964D" w:rsidR="00B518ED" w:rsidRPr="00212D6E" w:rsidRDefault="00B518ED" w:rsidP="004E4648">
      <w:pPr>
        <w:pStyle w:val="NormalWeb"/>
        <w:spacing w:before="0" w:beforeAutospacing="0" w:after="0" w:afterAutospacing="0"/>
        <w:rPr>
          <w:rFonts w:asciiTheme="majorBidi" w:hAnsiTheme="majorBidi" w:cstheme="majorBidi"/>
          <w:sz w:val="22"/>
          <w:szCs w:val="22"/>
        </w:rPr>
      </w:pPr>
      <w:r w:rsidRPr="00212D6E">
        <w:rPr>
          <w:rFonts w:asciiTheme="majorBidi" w:hAnsiTheme="majorBidi" w:cstheme="majorBidi"/>
          <w:sz w:val="22"/>
          <w:szCs w:val="22"/>
        </w:rPr>
        <w:t>Lead Azide is a highly sensitive, primary explosive which has applications in detonators and procession caps. Lead Azide is toxic and a carcinogen meaning specialised handling</w:t>
      </w:r>
      <w:r w:rsidR="004E4648" w:rsidRPr="00212D6E">
        <w:rPr>
          <w:rFonts w:asciiTheme="majorBidi" w:hAnsiTheme="majorBidi" w:cstheme="majorBidi"/>
          <w:sz w:val="22"/>
          <w:szCs w:val="22"/>
        </w:rPr>
        <w:t>, storage and trackability</w:t>
      </w:r>
      <w:r w:rsidRPr="00212D6E">
        <w:rPr>
          <w:rFonts w:asciiTheme="majorBidi" w:hAnsiTheme="majorBidi" w:cstheme="majorBidi"/>
          <w:sz w:val="22"/>
          <w:szCs w:val="22"/>
        </w:rPr>
        <w:t xml:space="preserve"> is required.  </w:t>
      </w:r>
    </w:p>
    <w:p w14:paraId="76045FD6" w14:textId="77777777" w:rsidR="00B518ED" w:rsidRPr="00212D6E" w:rsidRDefault="00B518ED" w:rsidP="00B518ED">
      <w:pPr>
        <w:pStyle w:val="Heading3"/>
        <w:rPr>
          <w:rFonts w:asciiTheme="majorBidi" w:hAnsiTheme="majorBidi" w:cstheme="majorBidi"/>
          <w:b w:val="0"/>
          <w:bCs w:val="0"/>
          <w:sz w:val="28"/>
          <w:szCs w:val="28"/>
        </w:rPr>
      </w:pPr>
      <w:bookmarkStart w:id="37" w:name="_Toc216938121"/>
      <w:r w:rsidRPr="00212D6E">
        <w:rPr>
          <w:rFonts w:asciiTheme="majorBidi" w:hAnsiTheme="majorBidi" w:cstheme="majorBidi"/>
          <w:b w:val="0"/>
          <w:bCs w:val="0"/>
          <w:sz w:val="28"/>
          <w:szCs w:val="28"/>
        </w:rPr>
        <w:t>Influence of critical diameter of Lead Azide and following detonation transition</w:t>
      </w:r>
      <w:bookmarkEnd w:id="37"/>
      <w:r w:rsidRPr="00212D6E">
        <w:rPr>
          <w:rFonts w:asciiTheme="majorBidi" w:hAnsiTheme="majorBidi" w:cstheme="majorBidi"/>
          <w:b w:val="0"/>
          <w:bCs w:val="0"/>
          <w:sz w:val="28"/>
          <w:szCs w:val="28"/>
        </w:rPr>
        <w:t xml:space="preserve"> </w:t>
      </w:r>
    </w:p>
    <w:p w14:paraId="13417E4C" w14:textId="19E1EA9B" w:rsidR="00B518ED" w:rsidRPr="00212D6E" w:rsidRDefault="00013C55" w:rsidP="00527575">
      <w:pPr>
        <w:spacing w:line="240" w:lineRule="auto"/>
        <w:rPr>
          <w:rFonts w:asciiTheme="majorBidi" w:hAnsiTheme="majorBidi" w:cstheme="majorBidi"/>
          <w:sz w:val="22"/>
          <w:szCs w:val="22"/>
        </w:rPr>
      </w:pPr>
      <w:r w:rsidRPr="00212D6E">
        <w:rPr>
          <w:rFonts w:asciiTheme="majorBidi" w:hAnsiTheme="majorBidi" w:cstheme="majorBidi"/>
          <w:sz w:val="22"/>
          <w:szCs w:val="22"/>
        </w:rPr>
        <w:t>The influence of critical diameter of Lead Azide is</w:t>
      </w:r>
      <w:r w:rsidR="00881A26">
        <w:rPr>
          <w:rFonts w:asciiTheme="majorBidi" w:hAnsiTheme="majorBidi" w:cstheme="majorBidi"/>
          <w:sz w:val="22"/>
          <w:szCs w:val="22"/>
        </w:rPr>
        <w:t>; under the general understanding that as you decrease the critical diameter of an energetic, the reactivity and sensitivity increases. Lead Azide specifically has a comparatively small critical diameter, a factor which is determined by the charge density and crystal size, from 0.01mm to 0.1mm. [5]</w:t>
      </w:r>
      <w:r w:rsidR="00527575">
        <w:rPr>
          <w:rFonts w:asciiTheme="majorBidi" w:hAnsiTheme="majorBidi" w:cstheme="majorBidi"/>
          <w:sz w:val="22"/>
          <w:szCs w:val="22"/>
        </w:rPr>
        <w:t xml:space="preserve"> Due to the minor diameter, this greatly effects the detonation transition as, although variant with what stimuli is used, the deflagration to detonation transition is practically immediate. </w:t>
      </w:r>
    </w:p>
    <w:p w14:paraId="20DD818A" w14:textId="77777777" w:rsidR="00B518ED" w:rsidRPr="00212D6E" w:rsidRDefault="00B518ED" w:rsidP="00B518ED">
      <w:pPr>
        <w:pStyle w:val="Heading3"/>
        <w:rPr>
          <w:rFonts w:asciiTheme="majorBidi" w:hAnsiTheme="majorBidi" w:cstheme="majorBidi"/>
          <w:b w:val="0"/>
          <w:bCs w:val="0"/>
          <w:sz w:val="28"/>
          <w:szCs w:val="28"/>
        </w:rPr>
      </w:pPr>
      <w:bookmarkStart w:id="38" w:name="_Toc216938122"/>
      <w:r w:rsidRPr="00212D6E">
        <w:rPr>
          <w:rFonts w:asciiTheme="majorBidi" w:hAnsiTheme="majorBidi" w:cstheme="majorBidi"/>
          <w:b w:val="0"/>
          <w:bCs w:val="0"/>
          <w:sz w:val="28"/>
          <w:szCs w:val="28"/>
        </w:rPr>
        <w:t>Influence of critical density of Lead Azide and following detonation transition</w:t>
      </w:r>
      <w:bookmarkEnd w:id="38"/>
    </w:p>
    <w:p w14:paraId="5069A700" w14:textId="036E59F0" w:rsidR="00B518ED" w:rsidRDefault="007B01AA" w:rsidP="003F36E7">
      <w:pPr>
        <w:spacing w:line="240" w:lineRule="auto"/>
        <w:rPr>
          <w:rFonts w:asciiTheme="majorBidi" w:hAnsiTheme="majorBidi" w:cstheme="majorBidi"/>
          <w:sz w:val="22"/>
          <w:szCs w:val="22"/>
        </w:rPr>
      </w:pPr>
      <w:r>
        <w:rPr>
          <w:rFonts w:asciiTheme="majorBidi" w:hAnsiTheme="majorBidi" w:cstheme="majorBidi"/>
          <w:sz w:val="22"/>
          <w:szCs w:val="22"/>
        </w:rPr>
        <w:t>As Lead Azide is a primary explosive, ‘Dead Pressing’ can occur where the density is so great the material will not ignite due to the interactions between the tightly packed crystalised structures. However [6], Lead Azide is not easily Dead Pressed instead, it is more common to occur in peroxides.</w:t>
      </w:r>
    </w:p>
    <w:p w14:paraId="7D023838" w14:textId="73B8EE0A" w:rsidR="007B01AA" w:rsidRDefault="007B01AA" w:rsidP="003F36E7">
      <w:pPr>
        <w:spacing w:line="240" w:lineRule="auto"/>
        <w:rPr>
          <w:rFonts w:asciiTheme="majorBidi" w:hAnsiTheme="majorBidi" w:cstheme="majorBidi"/>
          <w:sz w:val="22"/>
          <w:szCs w:val="22"/>
        </w:rPr>
      </w:pPr>
      <w:r>
        <w:rPr>
          <w:rFonts w:asciiTheme="majorBidi" w:hAnsiTheme="majorBidi" w:cstheme="majorBidi"/>
          <w:sz w:val="22"/>
          <w:szCs w:val="22"/>
        </w:rPr>
        <w:t xml:space="preserve">If the Lead Azide has a density below the critical density for that diameter, propagation can occur inefficiently, resulting on a slower detonation transition (depending on the ignition method) and further detonation velocity. </w:t>
      </w:r>
    </w:p>
    <w:p w14:paraId="4D8EA45D" w14:textId="67390EF8" w:rsidR="002941E8" w:rsidRPr="00212D6E" w:rsidRDefault="002941E8" w:rsidP="003F36E7">
      <w:pPr>
        <w:spacing w:line="240" w:lineRule="auto"/>
        <w:rPr>
          <w:rFonts w:asciiTheme="majorBidi" w:hAnsiTheme="majorBidi" w:cstheme="majorBidi"/>
          <w:sz w:val="22"/>
          <w:szCs w:val="22"/>
        </w:rPr>
      </w:pPr>
      <w:r>
        <w:rPr>
          <w:rFonts w:asciiTheme="majorBidi" w:hAnsiTheme="majorBidi" w:cstheme="majorBidi"/>
          <w:sz w:val="22"/>
          <w:szCs w:val="22"/>
        </w:rPr>
        <w:t>An important aspect of understanding de</w:t>
      </w:r>
      <w:r w:rsidR="003F36E7">
        <w:rPr>
          <w:rFonts w:asciiTheme="majorBidi" w:hAnsiTheme="majorBidi" w:cstheme="majorBidi"/>
          <w:sz w:val="22"/>
          <w:szCs w:val="22"/>
        </w:rPr>
        <w:t xml:space="preserve">nsity is manufacturing error in the form of voids, temperature fluctuations, the assumption of a complete homogenous fill, and impurities of the material. All these must be considered of the material as they can affect the overall density. </w:t>
      </w:r>
    </w:p>
    <w:p w14:paraId="6CBF5B14" w14:textId="77777777" w:rsidR="00B518ED" w:rsidRPr="00212D6E" w:rsidRDefault="00B518ED" w:rsidP="00B518ED">
      <w:pPr>
        <w:pStyle w:val="Heading2"/>
        <w:rPr>
          <w:rFonts w:asciiTheme="majorBidi" w:hAnsiTheme="majorBidi" w:cstheme="majorBidi"/>
          <w:b w:val="0"/>
          <w:bCs w:val="0"/>
        </w:rPr>
      </w:pPr>
      <w:bookmarkStart w:id="39" w:name="_Toc216938123"/>
      <w:r w:rsidRPr="00212D6E">
        <w:rPr>
          <w:rFonts w:asciiTheme="majorBidi" w:hAnsiTheme="majorBidi" w:cstheme="majorBidi"/>
          <w:b w:val="0"/>
          <w:bCs w:val="0"/>
        </w:rPr>
        <w:lastRenderedPageBreak/>
        <w:t>Comparison of unconfined and confinement of Lead Azide design in reference to critical diameters and density</w:t>
      </w:r>
      <w:bookmarkEnd w:id="39"/>
      <w:r w:rsidRPr="00212D6E">
        <w:rPr>
          <w:rFonts w:asciiTheme="majorBidi" w:hAnsiTheme="majorBidi" w:cstheme="majorBidi"/>
          <w:b w:val="0"/>
          <w:bCs w:val="0"/>
        </w:rPr>
        <w:t xml:space="preserve"> </w:t>
      </w:r>
    </w:p>
    <w:p w14:paraId="4E8749DD" w14:textId="79604B10" w:rsidR="00B518ED" w:rsidRDefault="00212D6E" w:rsidP="00B9393F">
      <w:pPr>
        <w:spacing w:line="240" w:lineRule="auto"/>
        <w:rPr>
          <w:rFonts w:asciiTheme="majorBidi" w:hAnsiTheme="majorBidi" w:cstheme="majorBidi"/>
          <w:sz w:val="22"/>
          <w:szCs w:val="22"/>
        </w:rPr>
      </w:pPr>
      <w:r>
        <w:rPr>
          <w:rFonts w:asciiTheme="majorBidi" w:hAnsiTheme="majorBidi" w:cstheme="majorBidi"/>
          <w:sz w:val="22"/>
          <w:szCs w:val="22"/>
        </w:rPr>
        <w:t xml:space="preserve">Confinement of a primary explosive </w:t>
      </w:r>
      <w:r w:rsidR="003175DD">
        <w:rPr>
          <w:rFonts w:asciiTheme="majorBidi" w:hAnsiTheme="majorBidi" w:cstheme="majorBidi"/>
          <w:sz w:val="22"/>
          <w:szCs w:val="22"/>
        </w:rPr>
        <w:t>affects the initiation efficiency however</w:t>
      </w:r>
      <w:r>
        <w:rPr>
          <w:rFonts w:asciiTheme="majorBidi" w:hAnsiTheme="majorBidi" w:cstheme="majorBidi"/>
          <w:sz w:val="22"/>
          <w:szCs w:val="22"/>
        </w:rPr>
        <w:t xml:space="preserve">, in Lead Azide it is observed that </w:t>
      </w:r>
      <w:r w:rsidR="003175DD">
        <w:rPr>
          <w:rFonts w:asciiTheme="majorBidi" w:hAnsiTheme="majorBidi" w:cstheme="majorBidi"/>
          <w:sz w:val="22"/>
          <w:szCs w:val="22"/>
        </w:rPr>
        <w:t>due to the instantaneous detonation after ignition, the effect of confinement and confinement design variations has minimal affect and variation</w:t>
      </w:r>
      <w:r w:rsidR="00B9393F">
        <w:rPr>
          <w:rFonts w:asciiTheme="majorBidi" w:hAnsiTheme="majorBidi" w:cstheme="majorBidi"/>
          <w:sz w:val="22"/>
          <w:szCs w:val="22"/>
        </w:rPr>
        <w:t xml:space="preserve"> regardless of critical density and diameter. </w:t>
      </w:r>
      <w:r w:rsidR="003175DD">
        <w:rPr>
          <w:rFonts w:asciiTheme="majorBidi" w:hAnsiTheme="majorBidi" w:cstheme="majorBidi"/>
          <w:sz w:val="22"/>
          <w:szCs w:val="22"/>
        </w:rPr>
        <w:t>Furthermore, even the increased density of the confining material [7], usually would affect chance of detonation but does not with Lead Azide.</w:t>
      </w:r>
    </w:p>
    <w:p w14:paraId="63B8F7D8" w14:textId="7B288B82" w:rsidR="0029721E" w:rsidRDefault="0029721E" w:rsidP="00B9393F">
      <w:pPr>
        <w:spacing w:line="240" w:lineRule="auto"/>
        <w:rPr>
          <w:rFonts w:asciiTheme="majorBidi" w:hAnsiTheme="majorBidi" w:cstheme="majorBidi"/>
          <w:sz w:val="22"/>
          <w:szCs w:val="22"/>
        </w:rPr>
      </w:pPr>
      <w:r>
        <w:rPr>
          <w:rFonts w:asciiTheme="majorBidi" w:hAnsiTheme="majorBidi" w:cstheme="majorBidi"/>
          <w:sz w:val="22"/>
          <w:szCs w:val="22"/>
        </w:rPr>
        <w:t xml:space="preserve">This conversely means that unconfined design of Lead Azide does not influence the critical diameter and density however due to Lead Azide high sensitivity, confinement offers other advantages such as storage safety and handling. </w:t>
      </w:r>
    </w:p>
    <w:p w14:paraId="04160734" w14:textId="77777777" w:rsidR="00B518ED" w:rsidRPr="00212D6E" w:rsidRDefault="00B518ED" w:rsidP="00B518ED">
      <w:pPr>
        <w:pStyle w:val="Heading3"/>
        <w:rPr>
          <w:rFonts w:asciiTheme="majorBidi" w:hAnsiTheme="majorBidi" w:cstheme="majorBidi"/>
          <w:b w:val="0"/>
          <w:bCs w:val="0"/>
          <w:sz w:val="28"/>
          <w:szCs w:val="28"/>
        </w:rPr>
      </w:pPr>
      <w:bookmarkStart w:id="40" w:name="_Toc216938124"/>
      <w:r w:rsidRPr="00212D6E">
        <w:rPr>
          <w:rFonts w:asciiTheme="majorBidi" w:hAnsiTheme="majorBidi" w:cstheme="majorBidi"/>
          <w:b w:val="0"/>
          <w:bCs w:val="0"/>
          <w:sz w:val="28"/>
          <w:szCs w:val="28"/>
        </w:rPr>
        <w:t>The importance of stimulus applied to Lead Azide and interaction with confinement</w:t>
      </w:r>
      <w:bookmarkEnd w:id="40"/>
      <w:r w:rsidRPr="00212D6E">
        <w:rPr>
          <w:rFonts w:asciiTheme="majorBidi" w:hAnsiTheme="majorBidi" w:cstheme="majorBidi"/>
          <w:b w:val="0"/>
          <w:bCs w:val="0"/>
          <w:sz w:val="28"/>
          <w:szCs w:val="28"/>
        </w:rPr>
        <w:t xml:space="preserve"> </w:t>
      </w:r>
    </w:p>
    <w:p w14:paraId="61CEAEC7" w14:textId="5FDFB80E" w:rsidR="00B93965" w:rsidRDefault="00B93965" w:rsidP="001E609B">
      <w:pPr>
        <w:spacing w:line="240" w:lineRule="auto"/>
        <w:rPr>
          <w:rFonts w:asciiTheme="majorBidi" w:hAnsiTheme="majorBidi" w:cstheme="majorBidi"/>
          <w:sz w:val="22"/>
          <w:szCs w:val="22"/>
        </w:rPr>
      </w:pPr>
      <w:r w:rsidRPr="00B93965">
        <w:rPr>
          <w:rFonts w:asciiTheme="majorBidi" w:hAnsiTheme="majorBidi" w:cstheme="majorBidi"/>
          <w:sz w:val="22"/>
          <w:szCs w:val="22"/>
        </w:rPr>
        <w:t xml:space="preserve">Contextually, the stimulus applied to Lead Azide is critical in the understanding of the critical density and diameter as different stimulus will cause different detonation effect. The four variants </w:t>
      </w:r>
      <w:r w:rsidR="00A238BE" w:rsidRPr="00B93965">
        <w:rPr>
          <w:rFonts w:asciiTheme="majorBidi" w:hAnsiTheme="majorBidi" w:cstheme="majorBidi"/>
          <w:sz w:val="22"/>
          <w:szCs w:val="22"/>
        </w:rPr>
        <w:t>are</w:t>
      </w:r>
      <w:r w:rsidRPr="00B93965">
        <w:rPr>
          <w:rFonts w:asciiTheme="majorBidi" w:hAnsiTheme="majorBidi" w:cstheme="majorBidi"/>
          <w:sz w:val="22"/>
          <w:szCs w:val="22"/>
        </w:rPr>
        <w:t xml:space="preserve"> heat, friction, ESD or spark</w:t>
      </w:r>
      <w:r>
        <w:rPr>
          <w:rFonts w:asciiTheme="majorBidi" w:hAnsiTheme="majorBidi" w:cstheme="majorBidi"/>
          <w:sz w:val="22"/>
          <w:szCs w:val="22"/>
        </w:rPr>
        <w:t>.</w:t>
      </w:r>
    </w:p>
    <w:p w14:paraId="6965627A" w14:textId="328286D0" w:rsidR="00B518ED" w:rsidRDefault="00A238BE" w:rsidP="00831E12">
      <w:pPr>
        <w:spacing w:line="240" w:lineRule="auto"/>
        <w:rPr>
          <w:rFonts w:asciiTheme="majorBidi" w:hAnsiTheme="majorBidi" w:cstheme="majorBidi"/>
          <w:sz w:val="22"/>
          <w:szCs w:val="22"/>
        </w:rPr>
      </w:pPr>
      <w:r w:rsidRPr="00831E12">
        <w:rPr>
          <w:rFonts w:asciiTheme="majorBidi" w:hAnsiTheme="majorBidi" w:cstheme="majorBidi"/>
          <w:sz w:val="22"/>
          <w:szCs w:val="22"/>
        </w:rPr>
        <w:t>Heat</w:t>
      </w:r>
      <w:r w:rsidR="00212D6E" w:rsidRPr="00831E12">
        <w:rPr>
          <w:rFonts w:asciiTheme="majorBidi" w:hAnsiTheme="majorBidi" w:cstheme="majorBidi"/>
          <w:sz w:val="22"/>
          <w:szCs w:val="22"/>
        </w:rPr>
        <w:t xml:space="preserve"> </w:t>
      </w:r>
      <w:r w:rsidR="00831E12">
        <w:rPr>
          <w:rFonts w:asciiTheme="majorBidi" w:hAnsiTheme="majorBidi" w:cstheme="majorBidi"/>
          <w:sz w:val="22"/>
          <w:szCs w:val="22"/>
        </w:rPr>
        <w:t>can cause rapid decomposition to deflagration as Lead Azide is thermally unstable, this will release energy and gas [10]</w:t>
      </w:r>
      <w:r w:rsidR="00212D6E" w:rsidRPr="00831E12">
        <w:rPr>
          <w:rFonts w:asciiTheme="majorBidi" w:hAnsiTheme="majorBidi" w:cstheme="majorBidi"/>
          <w:sz w:val="22"/>
          <w:szCs w:val="22"/>
        </w:rPr>
        <w:t xml:space="preserve">. </w:t>
      </w:r>
      <w:r w:rsidR="00831E12">
        <w:rPr>
          <w:rFonts w:asciiTheme="majorBidi" w:hAnsiTheme="majorBidi" w:cstheme="majorBidi"/>
          <w:sz w:val="22"/>
          <w:szCs w:val="22"/>
        </w:rPr>
        <w:t>Shock</w:t>
      </w:r>
      <w:r w:rsidR="00212D6E" w:rsidRPr="00831E12">
        <w:rPr>
          <w:rFonts w:asciiTheme="majorBidi" w:hAnsiTheme="majorBidi" w:cstheme="majorBidi"/>
          <w:sz w:val="22"/>
          <w:szCs w:val="22"/>
        </w:rPr>
        <w:t xml:space="preserve"> alternatively has </w:t>
      </w:r>
      <w:r w:rsidR="00831E12">
        <w:rPr>
          <w:rFonts w:asciiTheme="majorBidi" w:hAnsiTheme="majorBidi" w:cstheme="majorBidi"/>
          <w:sz w:val="22"/>
          <w:szCs w:val="22"/>
        </w:rPr>
        <w:t>a similar effect of immediate detonation as the crystal structure compresses causing high-energy regions [11]</w:t>
      </w:r>
      <w:r w:rsidR="00212D6E" w:rsidRPr="00831E12">
        <w:rPr>
          <w:rFonts w:asciiTheme="majorBidi" w:hAnsiTheme="majorBidi" w:cstheme="majorBidi"/>
          <w:sz w:val="22"/>
          <w:szCs w:val="22"/>
        </w:rPr>
        <w:t xml:space="preserve">. Friction, usually produced via </w:t>
      </w:r>
      <w:r>
        <w:rPr>
          <w:rFonts w:asciiTheme="majorBidi" w:hAnsiTheme="majorBidi" w:cstheme="majorBidi"/>
          <w:sz w:val="22"/>
          <w:szCs w:val="22"/>
        </w:rPr>
        <w:t>mechanical rubbing</w:t>
      </w:r>
      <w:r w:rsidR="00212D6E" w:rsidRPr="00831E12">
        <w:rPr>
          <w:rFonts w:asciiTheme="majorBidi" w:hAnsiTheme="majorBidi" w:cstheme="majorBidi"/>
          <w:sz w:val="22"/>
          <w:szCs w:val="22"/>
        </w:rPr>
        <w:t xml:space="preserve">, has the effect of </w:t>
      </w:r>
      <w:r>
        <w:rPr>
          <w:rFonts w:asciiTheme="majorBidi" w:hAnsiTheme="majorBidi" w:cstheme="majorBidi"/>
          <w:sz w:val="22"/>
          <w:szCs w:val="22"/>
        </w:rPr>
        <w:t>initiation as localised heat and pressure can break down the chemical bonds in the azide [10]</w:t>
      </w:r>
      <w:r w:rsidR="00212D6E" w:rsidRPr="00831E12">
        <w:rPr>
          <w:rFonts w:asciiTheme="majorBidi" w:hAnsiTheme="majorBidi" w:cstheme="majorBidi"/>
          <w:sz w:val="22"/>
          <w:szCs w:val="22"/>
        </w:rPr>
        <w:t xml:space="preserve">. Finally, ESD, meaning Electro-Static Discharge, interacts by </w:t>
      </w:r>
      <w:r>
        <w:rPr>
          <w:rFonts w:asciiTheme="majorBidi" w:hAnsiTheme="majorBidi" w:cstheme="majorBidi"/>
          <w:sz w:val="22"/>
          <w:szCs w:val="22"/>
        </w:rPr>
        <w:t>a static spark delivers localised energy causing a chain reaction between the crystals [10]</w:t>
      </w:r>
      <w:r w:rsidR="00212D6E" w:rsidRPr="00831E12">
        <w:rPr>
          <w:rFonts w:asciiTheme="majorBidi" w:hAnsiTheme="majorBidi" w:cstheme="majorBidi"/>
          <w:sz w:val="22"/>
          <w:szCs w:val="22"/>
        </w:rPr>
        <w:t>.</w:t>
      </w:r>
      <w:r w:rsidR="00212D6E">
        <w:rPr>
          <w:rFonts w:asciiTheme="majorBidi" w:hAnsiTheme="majorBidi" w:cstheme="majorBidi"/>
          <w:sz w:val="22"/>
          <w:szCs w:val="22"/>
        </w:rPr>
        <w:t xml:space="preserve"> </w:t>
      </w:r>
    </w:p>
    <w:p w14:paraId="214BABCF" w14:textId="7CDB30C4" w:rsidR="00B9393F" w:rsidRDefault="00212D6E" w:rsidP="009D6DA4">
      <w:pPr>
        <w:spacing w:line="240" w:lineRule="auto"/>
        <w:rPr>
          <w:rFonts w:asciiTheme="majorBidi" w:hAnsiTheme="majorBidi" w:cstheme="majorBidi"/>
          <w:sz w:val="22"/>
          <w:szCs w:val="22"/>
        </w:rPr>
      </w:pPr>
      <w:r>
        <w:rPr>
          <w:rFonts w:asciiTheme="majorBidi" w:hAnsiTheme="majorBidi" w:cstheme="majorBidi"/>
          <w:sz w:val="22"/>
          <w:szCs w:val="22"/>
        </w:rPr>
        <w:t xml:space="preserve">Stimulus applied can also be influenced by the confinement of the material, contextually Lead Azide, </w:t>
      </w:r>
      <w:r w:rsidR="00635EF3">
        <w:rPr>
          <w:rFonts w:asciiTheme="majorBidi" w:hAnsiTheme="majorBidi" w:cstheme="majorBidi"/>
          <w:sz w:val="22"/>
          <w:szCs w:val="22"/>
        </w:rPr>
        <w:t>undergoes deflagration to detonation transition is practically immediate with a comparatively low explosion heat temperature</w:t>
      </w:r>
      <w:r w:rsidR="009D6DA4">
        <w:rPr>
          <w:rFonts w:asciiTheme="majorBidi" w:hAnsiTheme="majorBidi" w:cstheme="majorBidi"/>
          <w:sz w:val="22"/>
          <w:szCs w:val="22"/>
        </w:rPr>
        <w:t>, making confinement and unconfinement have minimal effect.</w:t>
      </w:r>
    </w:p>
    <w:p w14:paraId="6DDB1D48" w14:textId="044E42EE" w:rsidR="00E31BDA" w:rsidRPr="00212D6E" w:rsidRDefault="00E31BDA" w:rsidP="00B9393F">
      <w:pPr>
        <w:spacing w:line="240" w:lineRule="auto"/>
        <w:rPr>
          <w:rFonts w:asciiTheme="majorBidi" w:hAnsiTheme="majorBidi" w:cstheme="majorBidi"/>
          <w:sz w:val="22"/>
          <w:szCs w:val="22"/>
        </w:rPr>
      </w:pPr>
      <w:r>
        <w:rPr>
          <w:rFonts w:asciiTheme="majorBidi" w:hAnsiTheme="majorBidi" w:cstheme="majorBidi"/>
          <w:sz w:val="22"/>
          <w:szCs w:val="22"/>
        </w:rPr>
        <w:t>Stimuli is crucial as Primary explosives are used to ignite secondary</w:t>
      </w:r>
      <w:r w:rsidR="009D6DA4">
        <w:rPr>
          <w:rFonts w:asciiTheme="majorBidi" w:hAnsiTheme="majorBidi" w:cstheme="majorBidi"/>
          <w:sz w:val="22"/>
          <w:szCs w:val="22"/>
        </w:rPr>
        <w:t>, due to secondary explosives being far less sensitive and therefore requiring far more stimuli</w:t>
      </w:r>
      <w:r>
        <w:rPr>
          <w:rFonts w:asciiTheme="majorBidi" w:hAnsiTheme="majorBidi" w:cstheme="majorBidi"/>
          <w:sz w:val="22"/>
          <w:szCs w:val="22"/>
        </w:rPr>
        <w:t xml:space="preserve">, usually in the form of a shock wave, to cause successful ignition and detonation. Shock waves cause internal friction, increase pressure and temperature and adiabatic heating. </w:t>
      </w:r>
    </w:p>
    <w:p w14:paraId="4F73B40E" w14:textId="77777777" w:rsidR="00B518ED" w:rsidRPr="00212D6E" w:rsidRDefault="00B518ED" w:rsidP="00B518ED">
      <w:pPr>
        <w:pStyle w:val="Heading2"/>
        <w:rPr>
          <w:rFonts w:asciiTheme="majorBidi" w:hAnsiTheme="majorBidi" w:cstheme="majorBidi"/>
          <w:b w:val="0"/>
          <w:bCs w:val="0"/>
        </w:rPr>
      </w:pPr>
      <w:bookmarkStart w:id="41" w:name="_Toc216938125"/>
      <w:r w:rsidRPr="00212D6E">
        <w:rPr>
          <w:rFonts w:asciiTheme="majorBidi" w:hAnsiTheme="majorBidi" w:cstheme="majorBidi"/>
          <w:b w:val="0"/>
          <w:bCs w:val="0"/>
        </w:rPr>
        <w:t>Theorisation of the effect of alterations of critical diameters and industry benefits</w:t>
      </w:r>
      <w:bookmarkEnd w:id="41"/>
      <w:r w:rsidRPr="00212D6E">
        <w:rPr>
          <w:rFonts w:asciiTheme="majorBidi" w:hAnsiTheme="majorBidi" w:cstheme="majorBidi"/>
          <w:b w:val="0"/>
          <w:bCs w:val="0"/>
        </w:rPr>
        <w:t xml:space="preserve"> </w:t>
      </w:r>
    </w:p>
    <w:p w14:paraId="65252B2B" w14:textId="30E3E338" w:rsidR="00B518ED" w:rsidRDefault="004E78DD" w:rsidP="004E78DD">
      <w:pPr>
        <w:spacing w:line="240" w:lineRule="auto"/>
        <w:rPr>
          <w:rFonts w:asciiTheme="majorBidi" w:hAnsiTheme="majorBidi" w:cstheme="majorBidi"/>
          <w:sz w:val="22"/>
          <w:szCs w:val="22"/>
        </w:rPr>
      </w:pPr>
      <w:r>
        <w:rPr>
          <w:rFonts w:asciiTheme="majorBidi" w:hAnsiTheme="majorBidi" w:cstheme="majorBidi"/>
          <w:sz w:val="22"/>
          <w:szCs w:val="22"/>
        </w:rPr>
        <w:t>Due to Lead Azide having minimal variation regardless of its confinement, this allows for vast creative design options, the length, geometry, mass and other factors can be altered whilst still able to reach maximum detonation velocity.</w:t>
      </w:r>
    </w:p>
    <w:p w14:paraId="4AA70543" w14:textId="3190A825" w:rsidR="004E78DD" w:rsidRDefault="004E78DD" w:rsidP="004E78DD">
      <w:pPr>
        <w:spacing w:line="240" w:lineRule="auto"/>
        <w:rPr>
          <w:rFonts w:asciiTheme="majorBidi" w:hAnsiTheme="majorBidi" w:cstheme="majorBidi"/>
          <w:sz w:val="22"/>
          <w:szCs w:val="22"/>
        </w:rPr>
      </w:pPr>
      <w:r>
        <w:rPr>
          <w:rFonts w:asciiTheme="majorBidi" w:hAnsiTheme="majorBidi" w:cstheme="majorBidi"/>
          <w:sz w:val="22"/>
          <w:szCs w:val="22"/>
        </w:rPr>
        <w:t>An important considering however, due to lead being toxic, the use is heavily restricted to protect the British countryside and therefore the design has been phased out. [8]</w:t>
      </w:r>
    </w:p>
    <w:p w14:paraId="3B6B88CD" w14:textId="77777777" w:rsidR="004E78DD" w:rsidRPr="004B2CA9" w:rsidRDefault="004E78DD" w:rsidP="004E78DD">
      <w:pPr>
        <w:spacing w:line="240" w:lineRule="auto"/>
        <w:rPr>
          <w:rFonts w:asciiTheme="majorBidi" w:hAnsiTheme="majorBidi" w:cstheme="majorBidi"/>
          <w:sz w:val="22"/>
          <w:szCs w:val="22"/>
        </w:rPr>
      </w:pPr>
    </w:p>
    <w:p w14:paraId="24C0C68D" w14:textId="235E9437" w:rsidR="00B518ED" w:rsidRPr="000F5DF6" w:rsidRDefault="00B518ED" w:rsidP="000F5DF6">
      <w:pPr>
        <w:pStyle w:val="Heading1"/>
        <w:rPr>
          <w:rFonts w:asciiTheme="majorBidi" w:hAnsiTheme="majorBidi" w:cstheme="majorBidi"/>
          <w:b w:val="0"/>
          <w:bCs w:val="0"/>
          <w:sz w:val="28"/>
          <w:szCs w:val="28"/>
        </w:rPr>
      </w:pPr>
      <w:bookmarkStart w:id="42" w:name="_Toc216938126"/>
      <w:r w:rsidRPr="00212D6E">
        <w:rPr>
          <w:rFonts w:asciiTheme="majorBidi" w:hAnsiTheme="majorBidi" w:cstheme="majorBidi"/>
          <w:b w:val="0"/>
          <w:bCs w:val="0"/>
          <w:sz w:val="28"/>
          <w:szCs w:val="28"/>
        </w:rPr>
        <w:lastRenderedPageBreak/>
        <w:t xml:space="preserve">Literature review and information summarisation of </w:t>
      </w:r>
      <w:r w:rsidR="00124E49">
        <w:rPr>
          <w:rFonts w:asciiTheme="majorBidi" w:hAnsiTheme="majorBidi" w:cstheme="majorBidi"/>
          <w:b w:val="0"/>
          <w:bCs w:val="0"/>
          <w:sz w:val="28"/>
          <w:szCs w:val="28"/>
        </w:rPr>
        <w:t>TNT</w:t>
      </w:r>
      <w:r w:rsidR="0098340A" w:rsidRPr="0098340A">
        <w:rPr>
          <w:rFonts w:asciiTheme="majorBidi" w:hAnsiTheme="majorBidi" w:cstheme="majorBidi"/>
          <w:b w:val="0"/>
          <w:bCs w:val="0"/>
          <w:sz w:val="28"/>
          <w:szCs w:val="28"/>
        </w:rPr>
        <w:t xml:space="preserve"> </w:t>
      </w:r>
      <w:r w:rsidRPr="00212D6E">
        <w:rPr>
          <w:rFonts w:asciiTheme="majorBidi" w:hAnsiTheme="majorBidi" w:cstheme="majorBidi"/>
          <w:b w:val="0"/>
          <w:bCs w:val="0"/>
          <w:sz w:val="28"/>
          <w:szCs w:val="28"/>
        </w:rPr>
        <w:t>'s critical diameter and density</w:t>
      </w:r>
      <w:bookmarkEnd w:id="42"/>
      <w:r w:rsidRPr="00212D6E">
        <w:rPr>
          <w:rFonts w:asciiTheme="majorBidi" w:hAnsiTheme="majorBidi" w:cstheme="majorBidi"/>
          <w:b w:val="0"/>
          <w:bCs w:val="0"/>
          <w:sz w:val="28"/>
          <w:szCs w:val="28"/>
        </w:rPr>
        <w:t xml:space="preserve"> </w:t>
      </w:r>
    </w:p>
    <w:p w14:paraId="4479CEE9" w14:textId="0D22312C" w:rsidR="00B518ED" w:rsidRDefault="00B518ED" w:rsidP="00B518ED">
      <w:pPr>
        <w:pStyle w:val="Heading2"/>
        <w:rPr>
          <w:rFonts w:asciiTheme="majorBidi" w:hAnsiTheme="majorBidi" w:cstheme="majorBidi"/>
          <w:b w:val="0"/>
          <w:bCs w:val="0"/>
        </w:rPr>
      </w:pPr>
      <w:bookmarkStart w:id="43" w:name="_Toc216938127"/>
      <w:r w:rsidRPr="00212D6E">
        <w:rPr>
          <w:rFonts w:asciiTheme="majorBidi" w:hAnsiTheme="majorBidi" w:cstheme="majorBidi"/>
          <w:b w:val="0"/>
          <w:bCs w:val="0"/>
        </w:rPr>
        <w:t xml:space="preserve">Primary understanding of </w:t>
      </w:r>
      <w:r w:rsidR="00124E49">
        <w:rPr>
          <w:rFonts w:asciiTheme="majorBidi" w:hAnsiTheme="majorBidi" w:cstheme="majorBidi"/>
          <w:b w:val="0"/>
          <w:bCs w:val="0"/>
        </w:rPr>
        <w:t>TNT</w:t>
      </w:r>
      <w:r w:rsidR="0098340A" w:rsidRPr="0098340A">
        <w:rPr>
          <w:rFonts w:asciiTheme="majorBidi" w:hAnsiTheme="majorBidi" w:cstheme="majorBidi"/>
          <w:b w:val="0"/>
          <w:bCs w:val="0"/>
        </w:rPr>
        <w:t xml:space="preserve"> </w:t>
      </w:r>
      <w:r w:rsidRPr="00212D6E">
        <w:rPr>
          <w:rFonts w:asciiTheme="majorBidi" w:hAnsiTheme="majorBidi" w:cstheme="majorBidi"/>
          <w:b w:val="0"/>
          <w:bCs w:val="0"/>
        </w:rPr>
        <w:t>and propertie</w:t>
      </w:r>
      <w:r w:rsidR="000F5DF6">
        <w:rPr>
          <w:rFonts w:asciiTheme="majorBidi" w:hAnsiTheme="majorBidi" w:cstheme="majorBidi"/>
          <w:b w:val="0"/>
          <w:bCs w:val="0"/>
        </w:rPr>
        <w:t>s</w:t>
      </w:r>
      <w:bookmarkEnd w:id="43"/>
    </w:p>
    <w:p w14:paraId="2F80781B" w14:textId="154CEB4E" w:rsidR="004B2CA9" w:rsidRDefault="00124E49" w:rsidP="00A922D7">
      <w:pPr>
        <w:spacing w:line="240" w:lineRule="auto"/>
        <w:rPr>
          <w:rFonts w:asciiTheme="majorBidi" w:hAnsiTheme="majorBidi" w:cstheme="majorBidi"/>
          <w:sz w:val="22"/>
          <w:szCs w:val="22"/>
        </w:rPr>
      </w:pPr>
      <w:r>
        <w:rPr>
          <w:rFonts w:asciiTheme="majorBidi" w:hAnsiTheme="majorBidi" w:cstheme="majorBidi"/>
          <w:sz w:val="22"/>
          <w:szCs w:val="22"/>
        </w:rPr>
        <w:t>TNT</w:t>
      </w:r>
      <w:r w:rsidR="0098340A" w:rsidRPr="0098340A">
        <w:rPr>
          <w:rFonts w:asciiTheme="majorBidi" w:hAnsiTheme="majorBidi" w:cstheme="majorBidi"/>
          <w:sz w:val="22"/>
          <w:szCs w:val="22"/>
        </w:rPr>
        <w:t xml:space="preserve"> </w:t>
      </w:r>
      <w:r w:rsidR="00C229CA" w:rsidRPr="004B2CA9">
        <w:rPr>
          <w:rFonts w:asciiTheme="majorBidi" w:hAnsiTheme="majorBidi" w:cstheme="majorBidi"/>
          <w:sz w:val="22"/>
          <w:szCs w:val="22"/>
        </w:rPr>
        <w:t xml:space="preserve">is </w:t>
      </w:r>
      <w:r w:rsidR="004B2CA9">
        <w:rPr>
          <w:rFonts w:asciiTheme="majorBidi" w:hAnsiTheme="majorBidi" w:cstheme="majorBidi"/>
          <w:sz w:val="22"/>
          <w:szCs w:val="22"/>
        </w:rPr>
        <w:t>a secondary explosive,</w:t>
      </w:r>
      <w:r w:rsidR="00A57740">
        <w:rPr>
          <w:rFonts w:asciiTheme="majorBidi" w:hAnsiTheme="majorBidi" w:cstheme="majorBidi"/>
          <w:sz w:val="22"/>
          <w:szCs w:val="22"/>
        </w:rPr>
        <w:t xml:space="preserve"> known to be chemically stable and relatively insensitive compared to many other high explosives [1</w:t>
      </w:r>
      <w:r w:rsidR="0045132C">
        <w:rPr>
          <w:rFonts w:asciiTheme="majorBidi" w:hAnsiTheme="majorBidi" w:cstheme="majorBidi"/>
          <w:sz w:val="22"/>
          <w:szCs w:val="22"/>
        </w:rPr>
        <w:t>1</w:t>
      </w:r>
      <w:r w:rsidR="00A57740">
        <w:rPr>
          <w:rFonts w:asciiTheme="majorBidi" w:hAnsiTheme="majorBidi" w:cstheme="majorBidi"/>
          <w:sz w:val="22"/>
          <w:szCs w:val="22"/>
        </w:rPr>
        <w:t xml:space="preserve">], </w:t>
      </w:r>
      <w:r w:rsidR="0045132C">
        <w:rPr>
          <w:rFonts w:asciiTheme="majorBidi" w:hAnsiTheme="majorBidi" w:cstheme="majorBidi"/>
          <w:sz w:val="22"/>
          <w:szCs w:val="22"/>
        </w:rPr>
        <w:t xml:space="preserve">has been used in both civil and defence industries. Since the 1890s, the material has been used in artillery as its incredibly low sensitivity meant safe storage and transport of the munitions was now possible. </w:t>
      </w:r>
    </w:p>
    <w:p w14:paraId="0DB808CF" w14:textId="7DBED1B2" w:rsidR="00CB789F" w:rsidRDefault="0029166E" w:rsidP="00CB789F">
      <w:pPr>
        <w:spacing w:line="240" w:lineRule="auto"/>
        <w:rPr>
          <w:rFonts w:asciiTheme="majorBidi" w:hAnsiTheme="majorBidi" w:cstheme="majorBidi"/>
          <w:sz w:val="22"/>
          <w:szCs w:val="22"/>
        </w:rPr>
      </w:pPr>
      <w:r>
        <w:rPr>
          <w:rFonts w:asciiTheme="majorBidi" w:hAnsiTheme="majorBidi" w:cstheme="majorBidi"/>
          <w:sz w:val="22"/>
          <w:szCs w:val="22"/>
        </w:rPr>
        <w:t xml:space="preserve">The density of TNT at room temperature, 20ͦC, when pressed is 1.62 g/cc with a critical diameter </w:t>
      </w:r>
      <w:r w:rsidR="00CB789F">
        <w:rPr>
          <w:rFonts w:asciiTheme="majorBidi" w:hAnsiTheme="majorBidi" w:cstheme="majorBidi"/>
          <w:sz w:val="22"/>
          <w:szCs w:val="22"/>
        </w:rPr>
        <w:t>that ranges depending on the manufacturing technic for example, a diameter of</w:t>
      </w:r>
      <w:r w:rsidR="000F3237" w:rsidRPr="000F3237">
        <w:t xml:space="preserve"> </w:t>
      </w:r>
      <w:r w:rsidR="000F3237" w:rsidRPr="000F3237">
        <w:rPr>
          <w:rFonts w:asciiTheme="majorBidi" w:hAnsiTheme="majorBidi" w:cstheme="majorBidi"/>
          <w:sz w:val="22"/>
          <w:szCs w:val="22"/>
        </w:rPr>
        <w:t>2.62±0.56</w:t>
      </w:r>
      <w:r w:rsidR="000F3237">
        <w:rPr>
          <w:rFonts w:asciiTheme="majorBidi" w:hAnsiTheme="majorBidi" w:cstheme="majorBidi"/>
          <w:sz w:val="22"/>
          <w:szCs w:val="22"/>
        </w:rPr>
        <w:t xml:space="preserve"> mm when pressed or a diameter of </w:t>
      </w:r>
      <w:r w:rsidR="000F3237" w:rsidRPr="000F3237">
        <w:rPr>
          <w:rFonts w:asciiTheme="majorBidi" w:hAnsiTheme="majorBidi" w:cstheme="majorBidi"/>
          <w:sz w:val="22"/>
          <w:szCs w:val="22"/>
        </w:rPr>
        <w:t>14.6±2.0</w:t>
      </w:r>
      <w:r w:rsidR="000F3237">
        <w:rPr>
          <w:rFonts w:asciiTheme="majorBidi" w:hAnsiTheme="majorBidi" w:cstheme="majorBidi"/>
          <w:sz w:val="22"/>
          <w:szCs w:val="22"/>
        </w:rPr>
        <w:t xml:space="preserve"> mm when c</w:t>
      </w:r>
      <w:r w:rsidR="000F3237" w:rsidRPr="000F3237">
        <w:rPr>
          <w:rFonts w:asciiTheme="majorBidi" w:hAnsiTheme="majorBidi" w:cstheme="majorBidi"/>
          <w:sz w:val="22"/>
          <w:szCs w:val="22"/>
        </w:rPr>
        <w:t>reaming and casting</w:t>
      </w:r>
      <w:r w:rsidR="000F3237">
        <w:rPr>
          <w:rFonts w:asciiTheme="majorBidi" w:hAnsiTheme="majorBidi" w:cstheme="majorBidi"/>
          <w:sz w:val="22"/>
          <w:szCs w:val="22"/>
        </w:rPr>
        <w:t xml:space="preserve"> [12],</w:t>
      </w:r>
      <w:r w:rsidR="00CB789F">
        <w:rPr>
          <w:rFonts w:asciiTheme="majorBidi" w:hAnsiTheme="majorBidi" w:cstheme="majorBidi"/>
          <w:sz w:val="22"/>
          <w:szCs w:val="22"/>
        </w:rPr>
        <w:t xml:space="preserve"> </w:t>
      </w:r>
      <w:r>
        <w:rPr>
          <w:rFonts w:asciiTheme="majorBidi" w:hAnsiTheme="majorBidi" w:cstheme="majorBidi"/>
          <w:sz w:val="22"/>
          <w:szCs w:val="22"/>
        </w:rPr>
        <w:t>This results in an average detonation velocity of 6,900 m/s,</w:t>
      </w:r>
      <w:r w:rsidR="00CB789F">
        <w:rPr>
          <w:rFonts w:asciiTheme="majorBidi" w:hAnsiTheme="majorBidi" w:cstheme="majorBidi"/>
          <w:sz w:val="22"/>
          <w:szCs w:val="22"/>
        </w:rPr>
        <w:t xml:space="preserve"> the density and diameter greatly influencing these properties as density increases so does the detonation velocity. </w:t>
      </w:r>
    </w:p>
    <w:p w14:paraId="1003A8CC" w14:textId="738BC6E4" w:rsidR="00B518ED" w:rsidRPr="00212D6E" w:rsidRDefault="00B518ED" w:rsidP="00B518ED">
      <w:pPr>
        <w:pStyle w:val="Heading3"/>
        <w:rPr>
          <w:rFonts w:asciiTheme="majorBidi" w:hAnsiTheme="majorBidi" w:cstheme="majorBidi"/>
          <w:b w:val="0"/>
          <w:bCs w:val="0"/>
          <w:sz w:val="28"/>
          <w:szCs w:val="28"/>
        </w:rPr>
      </w:pPr>
      <w:bookmarkStart w:id="44" w:name="_Toc216938128"/>
      <w:r w:rsidRPr="00212D6E">
        <w:rPr>
          <w:rFonts w:asciiTheme="majorBidi" w:hAnsiTheme="majorBidi" w:cstheme="majorBidi"/>
          <w:b w:val="0"/>
          <w:bCs w:val="0"/>
          <w:sz w:val="28"/>
          <w:szCs w:val="28"/>
        </w:rPr>
        <w:t xml:space="preserve">Influence of critical diameter of </w:t>
      </w:r>
      <w:r w:rsidR="00124E49">
        <w:rPr>
          <w:rFonts w:asciiTheme="majorBidi" w:hAnsiTheme="majorBidi" w:cstheme="majorBidi"/>
          <w:b w:val="0"/>
          <w:bCs w:val="0"/>
          <w:sz w:val="28"/>
          <w:szCs w:val="28"/>
        </w:rPr>
        <w:t>TNT</w:t>
      </w:r>
      <w:r w:rsidR="0098340A" w:rsidRPr="0098340A">
        <w:rPr>
          <w:rFonts w:asciiTheme="majorBidi" w:hAnsiTheme="majorBidi" w:cstheme="majorBidi"/>
          <w:b w:val="0"/>
          <w:bCs w:val="0"/>
          <w:sz w:val="28"/>
          <w:szCs w:val="28"/>
        </w:rPr>
        <w:t xml:space="preserve"> </w:t>
      </w:r>
      <w:r w:rsidRPr="00212D6E">
        <w:rPr>
          <w:rFonts w:asciiTheme="majorBidi" w:hAnsiTheme="majorBidi" w:cstheme="majorBidi"/>
          <w:b w:val="0"/>
          <w:bCs w:val="0"/>
          <w:sz w:val="28"/>
          <w:szCs w:val="28"/>
        </w:rPr>
        <w:t>and following detonation transition</w:t>
      </w:r>
      <w:bookmarkEnd w:id="44"/>
      <w:r w:rsidRPr="00212D6E">
        <w:rPr>
          <w:rFonts w:asciiTheme="majorBidi" w:hAnsiTheme="majorBidi" w:cstheme="majorBidi"/>
          <w:b w:val="0"/>
          <w:bCs w:val="0"/>
          <w:sz w:val="28"/>
          <w:szCs w:val="28"/>
        </w:rPr>
        <w:t xml:space="preserve"> </w:t>
      </w:r>
    </w:p>
    <w:p w14:paraId="5BABDEEA" w14:textId="3EA3A67A" w:rsidR="00180A95" w:rsidRPr="004D796A" w:rsidRDefault="004D796A" w:rsidP="00180A95">
      <w:pPr>
        <w:spacing w:line="240" w:lineRule="auto"/>
        <w:rPr>
          <w:rFonts w:asciiTheme="majorBidi" w:hAnsiTheme="majorBidi" w:cstheme="majorBidi"/>
          <w:sz w:val="22"/>
          <w:szCs w:val="22"/>
        </w:rPr>
      </w:pPr>
      <w:r>
        <w:rPr>
          <w:rFonts w:asciiTheme="majorBidi" w:hAnsiTheme="majorBidi" w:cstheme="majorBidi"/>
          <w:sz w:val="22"/>
          <w:szCs w:val="22"/>
        </w:rPr>
        <w:t xml:space="preserve">The influence of critical diameter of </w:t>
      </w:r>
      <w:r w:rsidR="00124E49">
        <w:rPr>
          <w:rFonts w:asciiTheme="majorBidi" w:hAnsiTheme="majorBidi" w:cstheme="majorBidi"/>
          <w:sz w:val="22"/>
          <w:szCs w:val="22"/>
        </w:rPr>
        <w:t>TNT</w:t>
      </w:r>
      <w:r w:rsidR="0098340A" w:rsidRPr="0098340A">
        <w:rPr>
          <w:rFonts w:asciiTheme="majorBidi" w:hAnsiTheme="majorBidi" w:cstheme="majorBidi"/>
          <w:sz w:val="22"/>
          <w:szCs w:val="22"/>
        </w:rPr>
        <w:t xml:space="preserve"> </w:t>
      </w:r>
      <w:r>
        <w:rPr>
          <w:rFonts w:asciiTheme="majorBidi" w:hAnsiTheme="majorBidi" w:cstheme="majorBidi"/>
          <w:sz w:val="22"/>
          <w:szCs w:val="22"/>
        </w:rPr>
        <w:t xml:space="preserve">is </w:t>
      </w:r>
      <w:r w:rsidR="00CB789F">
        <w:rPr>
          <w:rFonts w:asciiTheme="majorBidi" w:hAnsiTheme="majorBidi" w:cstheme="majorBidi"/>
          <w:sz w:val="22"/>
          <w:szCs w:val="22"/>
        </w:rPr>
        <w:t>that TNT has a comparatively high critical diameter comparatively to other secondary explosives, this effects the design configurations as the TNT requires a large diameter charge or booster to achieve complete detonation. [13]</w:t>
      </w:r>
    </w:p>
    <w:p w14:paraId="776F6004" w14:textId="453A0CBE" w:rsidR="00B518ED" w:rsidRPr="00212D6E" w:rsidRDefault="00B518ED" w:rsidP="00B518ED">
      <w:pPr>
        <w:pStyle w:val="Heading3"/>
        <w:rPr>
          <w:rFonts w:asciiTheme="majorBidi" w:hAnsiTheme="majorBidi" w:cstheme="majorBidi"/>
          <w:b w:val="0"/>
          <w:bCs w:val="0"/>
          <w:sz w:val="28"/>
          <w:szCs w:val="28"/>
        </w:rPr>
      </w:pPr>
      <w:bookmarkStart w:id="45" w:name="_Toc216938129"/>
      <w:r w:rsidRPr="00212D6E">
        <w:rPr>
          <w:rFonts w:asciiTheme="majorBidi" w:hAnsiTheme="majorBidi" w:cstheme="majorBidi"/>
          <w:b w:val="0"/>
          <w:bCs w:val="0"/>
          <w:sz w:val="28"/>
          <w:szCs w:val="28"/>
        </w:rPr>
        <w:t xml:space="preserve">Influence of critical density of </w:t>
      </w:r>
      <w:r w:rsidR="00124E49">
        <w:rPr>
          <w:rFonts w:asciiTheme="majorBidi" w:hAnsiTheme="majorBidi" w:cstheme="majorBidi"/>
          <w:b w:val="0"/>
          <w:bCs w:val="0"/>
          <w:sz w:val="28"/>
          <w:szCs w:val="28"/>
        </w:rPr>
        <w:t>TNT</w:t>
      </w:r>
      <w:r w:rsidR="0098340A" w:rsidRPr="0098340A">
        <w:rPr>
          <w:rFonts w:asciiTheme="majorBidi" w:hAnsiTheme="majorBidi" w:cstheme="majorBidi"/>
          <w:b w:val="0"/>
          <w:bCs w:val="0"/>
          <w:sz w:val="28"/>
          <w:szCs w:val="28"/>
        </w:rPr>
        <w:t xml:space="preserve"> </w:t>
      </w:r>
      <w:r w:rsidRPr="00212D6E">
        <w:rPr>
          <w:rFonts w:asciiTheme="majorBidi" w:hAnsiTheme="majorBidi" w:cstheme="majorBidi"/>
          <w:b w:val="0"/>
          <w:bCs w:val="0"/>
          <w:sz w:val="28"/>
          <w:szCs w:val="28"/>
        </w:rPr>
        <w:t>and following detonation transition</w:t>
      </w:r>
      <w:bookmarkEnd w:id="45"/>
    </w:p>
    <w:p w14:paraId="53E3C6D1" w14:textId="24A3157F" w:rsidR="00B518ED" w:rsidRDefault="004D796A" w:rsidP="000F3237">
      <w:pPr>
        <w:spacing w:line="240" w:lineRule="auto"/>
        <w:rPr>
          <w:rFonts w:asciiTheme="majorBidi" w:hAnsiTheme="majorBidi" w:cstheme="majorBidi"/>
          <w:sz w:val="22"/>
          <w:szCs w:val="22"/>
        </w:rPr>
      </w:pPr>
      <w:r w:rsidRPr="000F3237">
        <w:rPr>
          <w:rFonts w:asciiTheme="majorBidi" w:hAnsiTheme="majorBidi" w:cstheme="majorBidi"/>
          <w:sz w:val="22"/>
          <w:szCs w:val="22"/>
        </w:rPr>
        <w:t xml:space="preserve">The influence of critical density of </w:t>
      </w:r>
      <w:r w:rsidR="00124E49" w:rsidRPr="000F3237">
        <w:rPr>
          <w:rFonts w:asciiTheme="majorBidi" w:hAnsiTheme="majorBidi" w:cstheme="majorBidi"/>
          <w:sz w:val="22"/>
          <w:szCs w:val="22"/>
        </w:rPr>
        <w:t>TNT</w:t>
      </w:r>
      <w:r w:rsidR="0098340A" w:rsidRPr="000F3237">
        <w:rPr>
          <w:rFonts w:asciiTheme="majorBidi" w:hAnsiTheme="majorBidi" w:cstheme="majorBidi"/>
          <w:sz w:val="22"/>
          <w:szCs w:val="22"/>
        </w:rPr>
        <w:t xml:space="preserve"> </w:t>
      </w:r>
      <w:r w:rsidRPr="000F3237">
        <w:rPr>
          <w:rFonts w:asciiTheme="majorBidi" w:hAnsiTheme="majorBidi" w:cstheme="majorBidi"/>
          <w:sz w:val="22"/>
          <w:szCs w:val="22"/>
        </w:rPr>
        <w:t xml:space="preserve">is </w:t>
      </w:r>
      <w:r w:rsidR="000F3237" w:rsidRPr="000F3237">
        <w:rPr>
          <w:rFonts w:asciiTheme="majorBidi" w:hAnsiTheme="majorBidi" w:cstheme="majorBidi"/>
          <w:sz w:val="22"/>
          <w:szCs w:val="22"/>
        </w:rPr>
        <w:t xml:space="preserve">as density increases the critical diameter decreases, this can allow for more ranging designs </w:t>
      </w:r>
      <w:r w:rsidR="000F3237">
        <w:rPr>
          <w:rFonts w:asciiTheme="majorBidi" w:hAnsiTheme="majorBidi" w:cstheme="majorBidi"/>
          <w:sz w:val="22"/>
          <w:szCs w:val="22"/>
        </w:rPr>
        <w:t>[14]. This higher density also results in an increased detonation velocity and shock propagation efficiency.</w:t>
      </w:r>
    </w:p>
    <w:p w14:paraId="4109CC78" w14:textId="03BAD3C4" w:rsidR="00180A95" w:rsidRPr="000F3237" w:rsidRDefault="000F3237" w:rsidP="00180A95">
      <w:pPr>
        <w:spacing w:line="240" w:lineRule="auto"/>
        <w:rPr>
          <w:rFonts w:asciiTheme="majorBidi" w:hAnsiTheme="majorBidi" w:cstheme="majorBidi"/>
          <w:sz w:val="22"/>
          <w:szCs w:val="22"/>
        </w:rPr>
      </w:pPr>
      <w:r>
        <w:rPr>
          <w:rFonts w:asciiTheme="majorBidi" w:hAnsiTheme="majorBidi" w:cstheme="majorBidi"/>
          <w:sz w:val="22"/>
          <w:szCs w:val="22"/>
        </w:rPr>
        <w:t>Unlike with primary explosives, TNT cannot be Dead Pressed and therefore the maximum density is due to the homogenous nature, mixed chemical compositions, and manufacturing technics</w:t>
      </w:r>
      <w:r w:rsidR="00180A95">
        <w:rPr>
          <w:rFonts w:asciiTheme="majorBidi" w:hAnsiTheme="majorBidi" w:cstheme="majorBidi"/>
          <w:sz w:val="22"/>
          <w:szCs w:val="22"/>
        </w:rPr>
        <w:t xml:space="preserve"> and what is appropriate for the design and usage of the material at the time.</w:t>
      </w:r>
    </w:p>
    <w:p w14:paraId="06C3655B" w14:textId="7F5794F6" w:rsidR="00B518ED" w:rsidRPr="00212D6E" w:rsidRDefault="00B518ED" w:rsidP="00B518ED">
      <w:pPr>
        <w:pStyle w:val="Heading2"/>
        <w:rPr>
          <w:rFonts w:asciiTheme="majorBidi" w:hAnsiTheme="majorBidi" w:cstheme="majorBidi"/>
          <w:b w:val="0"/>
          <w:bCs w:val="0"/>
        </w:rPr>
      </w:pPr>
      <w:bookmarkStart w:id="46" w:name="_Toc216938130"/>
      <w:r w:rsidRPr="00212D6E">
        <w:rPr>
          <w:rFonts w:asciiTheme="majorBidi" w:hAnsiTheme="majorBidi" w:cstheme="majorBidi"/>
          <w:b w:val="0"/>
          <w:bCs w:val="0"/>
        </w:rPr>
        <w:t xml:space="preserve">Comparison of unconfined and confinement of </w:t>
      </w:r>
      <w:r w:rsidR="00124E49">
        <w:rPr>
          <w:rFonts w:asciiTheme="majorBidi" w:hAnsiTheme="majorBidi" w:cstheme="majorBidi"/>
          <w:b w:val="0"/>
          <w:bCs w:val="0"/>
        </w:rPr>
        <w:t>TNT</w:t>
      </w:r>
      <w:r w:rsidRPr="00212D6E">
        <w:rPr>
          <w:rFonts w:asciiTheme="majorBidi" w:hAnsiTheme="majorBidi" w:cstheme="majorBidi"/>
          <w:b w:val="0"/>
          <w:bCs w:val="0"/>
        </w:rPr>
        <w:t xml:space="preserve"> design in reference to critical diameters and density</w:t>
      </w:r>
      <w:bookmarkEnd w:id="46"/>
      <w:r w:rsidRPr="00212D6E">
        <w:rPr>
          <w:rFonts w:asciiTheme="majorBidi" w:hAnsiTheme="majorBidi" w:cstheme="majorBidi"/>
          <w:b w:val="0"/>
          <w:bCs w:val="0"/>
        </w:rPr>
        <w:t xml:space="preserve"> </w:t>
      </w:r>
    </w:p>
    <w:p w14:paraId="02C6042B" w14:textId="55C46B94" w:rsidR="004D796A" w:rsidRDefault="004D796A" w:rsidP="001E609B">
      <w:pPr>
        <w:spacing w:line="240" w:lineRule="auto"/>
        <w:rPr>
          <w:rFonts w:asciiTheme="majorBidi" w:hAnsiTheme="majorBidi" w:cstheme="majorBidi"/>
          <w:sz w:val="22"/>
          <w:szCs w:val="22"/>
        </w:rPr>
      </w:pPr>
      <w:r w:rsidRPr="00116E57">
        <w:rPr>
          <w:rFonts w:asciiTheme="majorBidi" w:hAnsiTheme="majorBidi" w:cstheme="majorBidi"/>
          <w:sz w:val="22"/>
          <w:szCs w:val="22"/>
        </w:rPr>
        <w:t xml:space="preserve">Confinement of a secondary explosive is expected to have the effect of </w:t>
      </w:r>
      <w:r w:rsidR="00180A95">
        <w:rPr>
          <w:rFonts w:asciiTheme="majorBidi" w:hAnsiTheme="majorBidi" w:cstheme="majorBidi"/>
          <w:sz w:val="22"/>
          <w:szCs w:val="22"/>
        </w:rPr>
        <w:t>peak pressure experienced externally increases, delays expansion, allows for fragmentation, alters local pressure and causes greater structural damage to the munitions</w:t>
      </w:r>
      <w:r w:rsidR="0003240B">
        <w:rPr>
          <w:rFonts w:asciiTheme="majorBidi" w:hAnsiTheme="majorBidi" w:cstheme="majorBidi"/>
          <w:sz w:val="22"/>
          <w:szCs w:val="22"/>
        </w:rPr>
        <w:t>. In TNT it is observed that when in confinement, TNT can sustain detonation at a smaller critical diameter [</w:t>
      </w:r>
      <w:r w:rsidR="00DD31A4">
        <w:rPr>
          <w:rFonts w:asciiTheme="majorBidi" w:hAnsiTheme="majorBidi" w:cstheme="majorBidi"/>
          <w:sz w:val="22"/>
          <w:szCs w:val="22"/>
        </w:rPr>
        <w:t>14</w:t>
      </w:r>
      <w:r w:rsidR="0003240B">
        <w:rPr>
          <w:rFonts w:asciiTheme="majorBidi" w:hAnsiTheme="majorBidi" w:cstheme="majorBidi"/>
          <w:sz w:val="22"/>
          <w:szCs w:val="22"/>
        </w:rPr>
        <w:t>], there is a direct negative correlation between strength of confinement and critical diameter, whereas strength increases, critical diameter decreases.</w:t>
      </w:r>
    </w:p>
    <w:p w14:paraId="52E11003" w14:textId="5D1B0C11" w:rsidR="0003240B" w:rsidRPr="00116E57" w:rsidRDefault="0003240B" w:rsidP="001E609B">
      <w:pPr>
        <w:spacing w:line="240" w:lineRule="auto"/>
        <w:rPr>
          <w:rFonts w:asciiTheme="majorBidi" w:hAnsiTheme="majorBidi" w:cstheme="majorBidi"/>
          <w:sz w:val="22"/>
          <w:szCs w:val="22"/>
        </w:rPr>
      </w:pPr>
      <w:r>
        <w:rPr>
          <w:rFonts w:asciiTheme="majorBidi" w:hAnsiTheme="majorBidi" w:cstheme="majorBidi"/>
          <w:sz w:val="22"/>
          <w:szCs w:val="22"/>
        </w:rPr>
        <w:t>Confinement of TNT also results in a lower critical density where the lower shock impedance and slower reaction-zone [</w:t>
      </w:r>
      <w:r w:rsidR="00DD31A4">
        <w:rPr>
          <w:rFonts w:asciiTheme="majorBidi" w:hAnsiTheme="majorBidi" w:cstheme="majorBidi"/>
          <w:sz w:val="22"/>
          <w:szCs w:val="22"/>
        </w:rPr>
        <w:t>15</w:t>
      </w:r>
      <w:r>
        <w:rPr>
          <w:rFonts w:asciiTheme="majorBidi" w:hAnsiTheme="majorBidi" w:cstheme="majorBidi"/>
          <w:sz w:val="22"/>
          <w:szCs w:val="22"/>
        </w:rPr>
        <w:t>] can be countered by the confinement increasing pressure and temperature behind the shock.</w:t>
      </w:r>
    </w:p>
    <w:p w14:paraId="019A95BB" w14:textId="4E41C3DF" w:rsidR="004D796A" w:rsidRPr="00116E57" w:rsidRDefault="004D796A" w:rsidP="001E609B">
      <w:pPr>
        <w:spacing w:line="240" w:lineRule="auto"/>
        <w:rPr>
          <w:rFonts w:asciiTheme="majorBidi" w:hAnsiTheme="majorBidi" w:cstheme="majorBidi"/>
          <w:sz w:val="22"/>
          <w:szCs w:val="22"/>
        </w:rPr>
      </w:pPr>
      <w:r w:rsidRPr="00116E57">
        <w:rPr>
          <w:rFonts w:asciiTheme="majorBidi" w:hAnsiTheme="majorBidi" w:cstheme="majorBidi"/>
          <w:sz w:val="22"/>
          <w:szCs w:val="22"/>
        </w:rPr>
        <w:lastRenderedPageBreak/>
        <w:t xml:space="preserve">Unconfined designing of </w:t>
      </w:r>
      <w:r w:rsidR="00124E49">
        <w:rPr>
          <w:rFonts w:asciiTheme="majorBidi" w:hAnsiTheme="majorBidi" w:cstheme="majorBidi"/>
          <w:sz w:val="22"/>
          <w:szCs w:val="22"/>
        </w:rPr>
        <w:t>TNT</w:t>
      </w:r>
      <w:r w:rsidR="0098340A" w:rsidRPr="0098340A">
        <w:rPr>
          <w:rFonts w:asciiTheme="majorBidi" w:hAnsiTheme="majorBidi" w:cstheme="majorBidi"/>
          <w:sz w:val="22"/>
          <w:szCs w:val="22"/>
        </w:rPr>
        <w:t xml:space="preserve"> </w:t>
      </w:r>
      <w:r w:rsidRPr="00116E57">
        <w:rPr>
          <w:rFonts w:asciiTheme="majorBidi" w:hAnsiTheme="majorBidi" w:cstheme="majorBidi"/>
          <w:sz w:val="22"/>
          <w:szCs w:val="22"/>
        </w:rPr>
        <w:t xml:space="preserve">usually results in </w:t>
      </w:r>
      <w:r w:rsidR="0003240B">
        <w:rPr>
          <w:rFonts w:asciiTheme="majorBidi" w:hAnsiTheme="majorBidi" w:cstheme="majorBidi"/>
          <w:sz w:val="22"/>
          <w:szCs w:val="22"/>
        </w:rPr>
        <w:t>the TNT needing to be closer to the ideal crystalline density as the material is comparatively insensitive and non-ideal</w:t>
      </w:r>
      <w:r w:rsidRPr="00116E57">
        <w:rPr>
          <w:rFonts w:asciiTheme="majorBidi" w:hAnsiTheme="majorBidi" w:cstheme="majorBidi"/>
          <w:sz w:val="22"/>
          <w:szCs w:val="22"/>
        </w:rPr>
        <w:t xml:space="preserve">, </w:t>
      </w:r>
      <w:r w:rsidR="0003240B">
        <w:rPr>
          <w:rFonts w:asciiTheme="majorBidi" w:hAnsiTheme="majorBidi" w:cstheme="majorBidi"/>
          <w:sz w:val="22"/>
          <w:szCs w:val="22"/>
        </w:rPr>
        <w:t xml:space="preserve">making its critical density and diameter greater than its confined counterpart. </w:t>
      </w:r>
    </w:p>
    <w:p w14:paraId="2DCA4085" w14:textId="20E6F565" w:rsidR="00B518ED" w:rsidRPr="00116E57" w:rsidRDefault="004D796A" w:rsidP="001E609B">
      <w:pPr>
        <w:spacing w:line="240" w:lineRule="auto"/>
        <w:rPr>
          <w:rFonts w:asciiTheme="majorBidi" w:hAnsiTheme="majorBidi" w:cstheme="majorBidi"/>
          <w:sz w:val="22"/>
          <w:szCs w:val="22"/>
        </w:rPr>
      </w:pPr>
      <w:r w:rsidRPr="00116E57">
        <w:rPr>
          <w:rFonts w:asciiTheme="majorBidi" w:hAnsiTheme="majorBidi" w:cstheme="majorBidi"/>
          <w:sz w:val="22"/>
          <w:szCs w:val="22"/>
        </w:rPr>
        <w:t xml:space="preserve">In design confinement is more suited for munition and ordnance design as </w:t>
      </w:r>
      <w:r w:rsidR="00DD31A4">
        <w:rPr>
          <w:rFonts w:asciiTheme="majorBidi" w:hAnsiTheme="majorBidi" w:cstheme="majorBidi"/>
          <w:sz w:val="22"/>
          <w:szCs w:val="22"/>
        </w:rPr>
        <w:t xml:space="preserve">confinement offers higher temperature and pressure of the material through detonation resulting in a faster and more efficient end result. Over confinement can occur where energy becomes wasted due to being used on the destruction of the confinement, under confinement occurs when the material cannot sufficiently store the increasing temperature and pressure. </w:t>
      </w:r>
    </w:p>
    <w:p w14:paraId="56B8F4EE" w14:textId="77777777" w:rsidR="00B518ED" w:rsidRPr="00212D6E" w:rsidRDefault="00B518ED" w:rsidP="00B518ED">
      <w:pPr>
        <w:pStyle w:val="Heading3"/>
        <w:rPr>
          <w:rFonts w:asciiTheme="majorBidi" w:hAnsiTheme="majorBidi" w:cstheme="majorBidi"/>
          <w:b w:val="0"/>
          <w:bCs w:val="0"/>
          <w:sz w:val="28"/>
          <w:szCs w:val="28"/>
        </w:rPr>
      </w:pPr>
      <w:bookmarkStart w:id="47" w:name="_Toc216938131"/>
      <w:r w:rsidRPr="00212D6E">
        <w:rPr>
          <w:rFonts w:asciiTheme="majorBidi" w:hAnsiTheme="majorBidi" w:cstheme="majorBidi"/>
          <w:b w:val="0"/>
          <w:bCs w:val="0"/>
          <w:sz w:val="28"/>
          <w:szCs w:val="28"/>
        </w:rPr>
        <w:t>Velocity of detonation theoretically achieved from minimum to maximum density</w:t>
      </w:r>
      <w:bookmarkEnd w:id="47"/>
      <w:r w:rsidRPr="00212D6E">
        <w:rPr>
          <w:rFonts w:asciiTheme="majorBidi" w:hAnsiTheme="majorBidi" w:cstheme="majorBidi"/>
          <w:b w:val="0"/>
          <w:bCs w:val="0"/>
          <w:sz w:val="28"/>
          <w:szCs w:val="28"/>
        </w:rPr>
        <w:t xml:space="preserve"> </w:t>
      </w:r>
    </w:p>
    <w:p w14:paraId="392FBD79" w14:textId="43CCEC7B" w:rsidR="00B518ED" w:rsidRDefault="004D796A" w:rsidP="001E609B">
      <w:pPr>
        <w:spacing w:line="240" w:lineRule="auto"/>
        <w:rPr>
          <w:rFonts w:asciiTheme="majorBidi" w:hAnsiTheme="majorBidi" w:cstheme="majorBidi"/>
          <w:sz w:val="22"/>
          <w:szCs w:val="22"/>
        </w:rPr>
      </w:pPr>
      <w:r w:rsidRPr="00706A9E">
        <w:rPr>
          <w:rFonts w:asciiTheme="majorBidi" w:hAnsiTheme="majorBidi" w:cstheme="majorBidi"/>
          <w:sz w:val="22"/>
          <w:szCs w:val="22"/>
        </w:rPr>
        <w:t xml:space="preserve">The velocity of detonation </w:t>
      </w:r>
      <w:r w:rsidR="009242A6">
        <w:rPr>
          <w:rFonts w:asciiTheme="majorBidi" w:hAnsiTheme="majorBidi" w:cstheme="majorBidi"/>
          <w:sz w:val="22"/>
          <w:szCs w:val="22"/>
        </w:rPr>
        <w:t>is determined on several factors, including density. There are three primary ways to find this value; experimentation, calculation and simulation. When looking at the calculation side there are multiple factors which include error [</w:t>
      </w:r>
      <w:r w:rsidR="00DD31A4">
        <w:rPr>
          <w:rFonts w:asciiTheme="majorBidi" w:hAnsiTheme="majorBidi" w:cstheme="majorBidi"/>
          <w:sz w:val="22"/>
          <w:szCs w:val="22"/>
        </w:rPr>
        <w:t>15</w:t>
      </w:r>
      <w:r w:rsidR="009242A6">
        <w:rPr>
          <w:rFonts w:asciiTheme="majorBidi" w:hAnsiTheme="majorBidi" w:cstheme="majorBidi"/>
          <w:sz w:val="22"/>
          <w:szCs w:val="22"/>
        </w:rPr>
        <w:t>], such as critical diameter, confinement, temperature, humidity, initiation method and manufacturing method.</w:t>
      </w:r>
    </w:p>
    <w:p w14:paraId="4F8B63E0" w14:textId="2CE96DC4" w:rsidR="009242A6" w:rsidRDefault="009242A6" w:rsidP="009242A6">
      <w:pPr>
        <w:spacing w:line="240" w:lineRule="auto"/>
        <w:rPr>
          <w:rFonts w:asciiTheme="majorBidi" w:hAnsiTheme="majorBidi" w:cstheme="majorBidi"/>
          <w:sz w:val="22"/>
          <w:szCs w:val="22"/>
        </w:rPr>
      </w:pPr>
      <w:r>
        <w:rPr>
          <w:rFonts w:asciiTheme="majorBidi" w:hAnsiTheme="majorBidi" w:cstheme="majorBidi"/>
          <w:sz w:val="22"/>
          <w:szCs w:val="22"/>
        </w:rPr>
        <w:t>The density of TNT is greatly varied, pressed offering a density of as low as 1.35 g/cm</w:t>
      </w:r>
      <w:r>
        <w:rPr>
          <w:rFonts w:asciiTheme="majorBidi" w:hAnsiTheme="majorBidi" w:cstheme="majorBidi"/>
          <w:sz w:val="22"/>
          <w:szCs w:val="22"/>
          <w:vertAlign w:val="superscript"/>
        </w:rPr>
        <w:t>3</w:t>
      </w:r>
      <w:r>
        <w:rPr>
          <w:rFonts w:asciiTheme="majorBidi" w:hAnsiTheme="majorBidi" w:cstheme="majorBidi"/>
          <w:sz w:val="22"/>
          <w:szCs w:val="22"/>
        </w:rPr>
        <w:t xml:space="preserve"> and up to 1.6 g/cm</w:t>
      </w:r>
      <w:r>
        <w:rPr>
          <w:rFonts w:asciiTheme="majorBidi" w:hAnsiTheme="majorBidi" w:cstheme="majorBidi"/>
          <w:sz w:val="22"/>
          <w:szCs w:val="22"/>
          <w:vertAlign w:val="superscript"/>
        </w:rPr>
        <w:t>3</w:t>
      </w:r>
      <w:r>
        <w:rPr>
          <w:rFonts w:asciiTheme="majorBidi" w:hAnsiTheme="majorBidi" w:cstheme="majorBidi"/>
          <w:sz w:val="22"/>
          <w:szCs w:val="22"/>
        </w:rPr>
        <w:t>. When looking at pressed TNT the minimum velocity and theoretical maximum can be calculated by;</w:t>
      </w:r>
    </w:p>
    <w:p w14:paraId="26E320F7" w14:textId="01C5CED7" w:rsidR="009242A6" w:rsidRDefault="009242A6" w:rsidP="009242A6">
      <w:pPr>
        <w:spacing w:line="240" w:lineRule="auto"/>
        <w:rPr>
          <w:rFonts w:asciiTheme="majorBidi" w:hAnsiTheme="majorBidi" w:cstheme="majorBidi"/>
          <w:sz w:val="22"/>
          <w:szCs w:val="22"/>
        </w:rPr>
      </w:pPr>
      <w:r>
        <w:rPr>
          <w:rFonts w:asciiTheme="majorBidi" w:hAnsiTheme="majorBidi" w:cstheme="majorBidi"/>
          <w:sz w:val="22"/>
          <w:szCs w:val="22"/>
        </w:rPr>
        <w:t xml:space="preserve">When 0.9 &lt; Pa &lt; 1.534 </w:t>
      </w:r>
    </w:p>
    <w:p w14:paraId="425C5CD5" w14:textId="440E27EE" w:rsidR="009242A6" w:rsidRDefault="009242A6" w:rsidP="009242A6">
      <w:pPr>
        <w:spacing w:line="240" w:lineRule="auto"/>
        <w:rPr>
          <w:rFonts w:asciiTheme="majorBidi" w:hAnsiTheme="majorBidi" w:cstheme="majorBidi"/>
          <w:sz w:val="22"/>
          <w:szCs w:val="22"/>
        </w:rPr>
      </w:pPr>
      <w:r>
        <w:rPr>
          <w:rFonts w:asciiTheme="majorBidi" w:hAnsiTheme="majorBidi" w:cstheme="majorBidi"/>
          <w:sz w:val="22"/>
          <w:szCs w:val="22"/>
        </w:rPr>
        <w:t xml:space="preserve">D = 1.873 + 3.187 Pa </w:t>
      </w:r>
    </w:p>
    <w:p w14:paraId="29EF1199" w14:textId="6675D932" w:rsidR="009242A6" w:rsidRDefault="009242A6" w:rsidP="009242A6">
      <w:pPr>
        <w:spacing w:line="240" w:lineRule="auto"/>
        <w:rPr>
          <w:rFonts w:asciiTheme="majorBidi" w:hAnsiTheme="majorBidi" w:cstheme="majorBidi"/>
          <w:sz w:val="22"/>
          <w:szCs w:val="22"/>
        </w:rPr>
      </w:pPr>
      <w:r>
        <w:rPr>
          <w:rFonts w:asciiTheme="majorBidi" w:hAnsiTheme="majorBidi" w:cstheme="majorBidi"/>
          <w:sz w:val="22"/>
          <w:szCs w:val="22"/>
        </w:rPr>
        <w:t xml:space="preserve">When Pa &gt; 1.534 </w:t>
      </w:r>
    </w:p>
    <w:p w14:paraId="2C745DA4" w14:textId="469C2751" w:rsidR="009242A6" w:rsidRPr="003E41E0" w:rsidRDefault="003E41E0" w:rsidP="003E41E0">
      <w:pPr>
        <w:spacing w:line="240" w:lineRule="auto"/>
        <w:rPr>
          <w:rFonts w:asciiTheme="majorBidi" w:hAnsiTheme="majorBidi" w:cstheme="majorBidi"/>
          <w:sz w:val="22"/>
          <w:szCs w:val="22"/>
          <w:vertAlign w:val="superscript"/>
        </w:rPr>
      </w:pPr>
      <w:r>
        <w:rPr>
          <w:rFonts w:asciiTheme="majorBidi" w:hAnsiTheme="majorBidi" w:cstheme="majorBidi"/>
          <w:sz w:val="22"/>
          <w:szCs w:val="22"/>
        </w:rPr>
        <w:t>D = 6.762 + 3.187(Pa – 1.534) – 25.1(Pa – 1.534)</w:t>
      </w:r>
      <w:r>
        <w:rPr>
          <w:rFonts w:asciiTheme="majorBidi" w:hAnsiTheme="majorBidi" w:cstheme="majorBidi"/>
          <w:sz w:val="22"/>
          <w:szCs w:val="22"/>
          <w:vertAlign w:val="superscript"/>
        </w:rPr>
        <w:t>2</w:t>
      </w:r>
      <w:r>
        <w:rPr>
          <w:rFonts w:asciiTheme="majorBidi" w:hAnsiTheme="majorBidi" w:cstheme="majorBidi"/>
          <w:sz w:val="22"/>
          <w:szCs w:val="22"/>
        </w:rPr>
        <w:t xml:space="preserve"> + 115.056 (Pa – 1534)</w:t>
      </w:r>
      <w:r>
        <w:rPr>
          <w:rFonts w:asciiTheme="majorBidi" w:hAnsiTheme="majorBidi" w:cstheme="majorBidi"/>
          <w:sz w:val="22"/>
          <w:szCs w:val="22"/>
          <w:vertAlign w:val="superscript"/>
        </w:rPr>
        <w:t>3</w:t>
      </w:r>
    </w:p>
    <w:p w14:paraId="3729BF50" w14:textId="7B5B5C50" w:rsidR="003E41E0" w:rsidRPr="003E41E0" w:rsidRDefault="009242A6" w:rsidP="003E41E0">
      <w:pPr>
        <w:spacing w:line="240" w:lineRule="auto"/>
        <w:rPr>
          <w:rFonts w:asciiTheme="majorBidi" w:eastAsia="Microsoft GothicNeo" w:hAnsiTheme="majorBidi" w:cstheme="majorBidi"/>
          <w:sz w:val="22"/>
          <w:szCs w:val="22"/>
        </w:rPr>
      </w:pPr>
      <w:r w:rsidRPr="003E41E0">
        <w:rPr>
          <w:rFonts w:asciiTheme="majorBidi" w:hAnsiTheme="majorBidi" w:cstheme="majorBidi"/>
          <w:sz w:val="22"/>
          <w:szCs w:val="22"/>
        </w:rPr>
        <w:t>Where D = Detonation Velocity in mm/</w:t>
      </w:r>
      <w:r w:rsidR="003E41E0" w:rsidRPr="003E41E0">
        <w:rPr>
          <w:rFonts w:asciiTheme="majorBidi" w:eastAsia="Microsoft GothicNeo" w:hAnsiTheme="majorBidi" w:cstheme="majorBidi"/>
          <w:sz w:val="22"/>
          <w:szCs w:val="22"/>
        </w:rPr>
        <w:t>μm</w:t>
      </w:r>
      <w:r w:rsidR="003E41E0" w:rsidRPr="003E41E0">
        <w:rPr>
          <w:rFonts w:asciiTheme="majorBidi" w:eastAsia="Microsoft GothicNeo" w:hAnsiTheme="majorBidi" w:cstheme="majorBidi"/>
          <w:sz w:val="22"/>
          <w:szCs w:val="22"/>
        </w:rPr>
        <w:t xml:space="preserve"> </w:t>
      </w:r>
    </w:p>
    <w:p w14:paraId="40A0ADA4" w14:textId="3A4A04A0" w:rsidR="003E41E0" w:rsidRDefault="003E41E0" w:rsidP="00BE6F0E">
      <w:pPr>
        <w:spacing w:line="240" w:lineRule="auto"/>
        <w:rPr>
          <w:rFonts w:asciiTheme="majorBidi" w:eastAsia="Microsoft GothicNeo" w:hAnsiTheme="majorBidi" w:cstheme="majorBidi"/>
          <w:sz w:val="22"/>
          <w:szCs w:val="22"/>
        </w:rPr>
      </w:pPr>
      <w:bookmarkStart w:id="48" w:name="_Hlk216775767"/>
      <w:r>
        <w:rPr>
          <w:noProof/>
        </w:rPr>
        <w:drawing>
          <wp:anchor distT="0" distB="0" distL="114300" distR="114300" simplePos="0" relativeHeight="251658240" behindDoc="0" locked="0" layoutInCell="1" allowOverlap="1" wp14:anchorId="083E4F50" wp14:editId="5A346C1C">
            <wp:simplePos x="0" y="0"/>
            <wp:positionH relativeFrom="margin">
              <wp:posOffset>-635</wp:posOffset>
            </wp:positionH>
            <wp:positionV relativeFrom="paragraph">
              <wp:posOffset>387985</wp:posOffset>
            </wp:positionV>
            <wp:extent cx="3606800" cy="2279650"/>
            <wp:effectExtent l="0" t="0" r="12700" b="6350"/>
            <wp:wrapTopAndBottom/>
            <wp:docPr id="1380472843" name="Chart 1">
              <a:extLst xmlns:a="http://schemas.openxmlformats.org/drawingml/2006/main">
                <a:ext uri="{FF2B5EF4-FFF2-40B4-BE49-F238E27FC236}">
                  <a16:creationId xmlns:a16="http://schemas.microsoft.com/office/drawing/2014/main" id="{5664DF8F-3542-14F4-84E6-DA57821C09F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14:sizeRelH relativeFrom="margin">
              <wp14:pctWidth>0</wp14:pctWidth>
            </wp14:sizeRelH>
            <wp14:sizeRelV relativeFrom="margin">
              <wp14:pctHeight>0</wp14:pctHeight>
            </wp14:sizeRelV>
          </wp:anchor>
        </w:drawing>
      </w:r>
      <w:r w:rsidRPr="003E41E0">
        <w:rPr>
          <w:rFonts w:asciiTheme="majorBidi" w:eastAsia="Microsoft GothicNeo" w:hAnsiTheme="majorBidi" w:cstheme="majorBidi"/>
          <w:sz w:val="22"/>
          <w:szCs w:val="22"/>
        </w:rPr>
        <w:t>Pa = Density in g/cm</w:t>
      </w:r>
      <w:r w:rsidRPr="003E41E0">
        <w:rPr>
          <w:rFonts w:asciiTheme="majorBidi" w:eastAsia="Microsoft GothicNeo" w:hAnsiTheme="majorBidi" w:cstheme="majorBidi"/>
          <w:sz w:val="22"/>
          <w:szCs w:val="22"/>
          <w:vertAlign w:val="superscript"/>
        </w:rPr>
        <w:t>3</w:t>
      </w:r>
      <w:r>
        <w:rPr>
          <w:rFonts w:asciiTheme="majorBidi" w:eastAsia="Microsoft GothicNeo" w:hAnsiTheme="majorBidi" w:cstheme="majorBidi"/>
          <w:sz w:val="22"/>
          <w:szCs w:val="22"/>
          <w:vertAlign w:val="superscript"/>
        </w:rPr>
        <w:t xml:space="preserve">  </w:t>
      </w:r>
      <w:r>
        <w:rPr>
          <w:rFonts w:asciiTheme="majorBidi" w:eastAsia="Microsoft GothicNeo" w:hAnsiTheme="majorBidi" w:cstheme="majorBidi"/>
          <w:sz w:val="22"/>
          <w:szCs w:val="22"/>
        </w:rPr>
        <w:t xml:space="preserve">  [</w:t>
      </w:r>
      <w:r w:rsidR="00DD31A4">
        <w:rPr>
          <w:rFonts w:asciiTheme="majorBidi" w:eastAsia="Microsoft GothicNeo" w:hAnsiTheme="majorBidi" w:cstheme="majorBidi"/>
          <w:sz w:val="22"/>
          <w:szCs w:val="22"/>
        </w:rPr>
        <w:t>15</w:t>
      </w:r>
      <w:r>
        <w:rPr>
          <w:rFonts w:asciiTheme="majorBidi" w:eastAsia="Microsoft GothicNeo" w:hAnsiTheme="majorBidi" w:cstheme="majorBidi"/>
          <w:sz w:val="22"/>
          <w:szCs w:val="22"/>
        </w:rPr>
        <w:t>]</w:t>
      </w:r>
    </w:p>
    <w:p w14:paraId="35EE9CE3" w14:textId="65AD1457" w:rsidR="00BE6F0E" w:rsidRDefault="003E41E0" w:rsidP="00BE6F0E">
      <w:pPr>
        <w:spacing w:line="240" w:lineRule="auto"/>
        <w:rPr>
          <w:rFonts w:asciiTheme="majorBidi" w:eastAsia="Microsoft GothicNeo" w:hAnsiTheme="majorBidi" w:cstheme="majorBidi"/>
          <w:sz w:val="22"/>
          <w:szCs w:val="22"/>
        </w:rPr>
      </w:pPr>
      <w:r>
        <w:rPr>
          <w:rFonts w:asciiTheme="majorBidi" w:eastAsia="Microsoft GothicNeo" w:hAnsiTheme="majorBidi" w:cstheme="majorBidi"/>
          <w:sz w:val="22"/>
          <w:szCs w:val="22"/>
        </w:rPr>
        <w:t xml:space="preserve">Figure 1; Density increase of pressed TNT and following mathematical effect on Detonation Velocity </w:t>
      </w:r>
    </w:p>
    <w:p w14:paraId="4D94B2A9" w14:textId="1DB1458F" w:rsidR="00BE6F0E" w:rsidRDefault="00BE6F0E" w:rsidP="003E41E0">
      <w:pPr>
        <w:spacing w:line="240" w:lineRule="auto"/>
        <w:rPr>
          <w:rFonts w:asciiTheme="majorBidi" w:eastAsia="Microsoft GothicNeo" w:hAnsiTheme="majorBidi" w:cstheme="majorBidi"/>
          <w:sz w:val="22"/>
          <w:szCs w:val="22"/>
        </w:rPr>
      </w:pPr>
      <w:r w:rsidRPr="003E41E0">
        <w:rPr>
          <w:rFonts w:eastAsia="Microsoft GothicNeo"/>
        </w:rPr>
        <w:lastRenderedPageBreak/>
        <w:drawing>
          <wp:anchor distT="0" distB="0" distL="114300" distR="114300" simplePos="0" relativeHeight="251660288" behindDoc="1" locked="0" layoutInCell="1" allowOverlap="1" wp14:anchorId="5489AA74" wp14:editId="405D16EE">
            <wp:simplePos x="0" y="0"/>
            <wp:positionH relativeFrom="margin">
              <wp:posOffset>0</wp:posOffset>
            </wp:positionH>
            <wp:positionV relativeFrom="paragraph">
              <wp:posOffset>158750</wp:posOffset>
            </wp:positionV>
            <wp:extent cx="1936750" cy="1308100"/>
            <wp:effectExtent l="0" t="0" r="6350" b="6350"/>
            <wp:wrapTopAndBottom/>
            <wp:docPr id="4204428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936750" cy="1308100"/>
                    </a:xfrm>
                    <a:prstGeom prst="rect">
                      <a:avLst/>
                    </a:prstGeom>
                    <a:noFill/>
                    <a:ln>
                      <a:noFill/>
                    </a:ln>
                  </pic:spPr>
                </pic:pic>
              </a:graphicData>
            </a:graphic>
          </wp:anchor>
        </w:drawing>
      </w:r>
      <w:r>
        <w:rPr>
          <w:rFonts w:asciiTheme="majorBidi" w:eastAsia="Microsoft GothicNeo" w:hAnsiTheme="majorBidi" w:cstheme="majorBidi"/>
          <w:sz w:val="22"/>
          <w:szCs w:val="22"/>
        </w:rPr>
        <w:t>Table 1; Calculated values of Density and Velocity with velocity converted to m/s for clarity</w:t>
      </w:r>
    </w:p>
    <w:bookmarkEnd w:id="48"/>
    <w:p w14:paraId="71CE29D4" w14:textId="662583D0" w:rsidR="003E41E0" w:rsidRPr="003E41E0" w:rsidRDefault="003E41E0" w:rsidP="003E41E0">
      <w:pPr>
        <w:spacing w:line="240" w:lineRule="auto"/>
        <w:rPr>
          <w:rFonts w:asciiTheme="majorBidi" w:eastAsia="Microsoft GothicNeo" w:hAnsiTheme="majorBidi" w:cstheme="majorBidi"/>
          <w:sz w:val="22"/>
          <w:szCs w:val="22"/>
        </w:rPr>
      </w:pPr>
      <w:r>
        <w:rPr>
          <w:rFonts w:asciiTheme="majorBidi" w:eastAsia="Microsoft GothicNeo" w:hAnsiTheme="majorBidi" w:cstheme="majorBidi"/>
          <w:sz w:val="22"/>
          <w:szCs w:val="22"/>
        </w:rPr>
        <w:t xml:space="preserve">This only provides an approximation and indication of densities effect on the velocity of detonation of a material, not exacting values due to the high number of variables. </w:t>
      </w:r>
      <w:r w:rsidR="00A85E77">
        <w:rPr>
          <w:rFonts w:asciiTheme="majorBidi" w:eastAsia="Microsoft GothicNeo" w:hAnsiTheme="majorBidi" w:cstheme="majorBidi"/>
          <w:sz w:val="22"/>
          <w:szCs w:val="22"/>
        </w:rPr>
        <w:t xml:space="preserve">This does show a positive correlation which is due to the chemical structure of TNT allowing for an increased velocity when tightly packed. </w:t>
      </w:r>
    </w:p>
    <w:p w14:paraId="10993BDC" w14:textId="3D172A50" w:rsidR="00B518ED" w:rsidRPr="00212D6E" w:rsidRDefault="00B518ED" w:rsidP="00B518ED">
      <w:pPr>
        <w:pStyle w:val="Heading2"/>
        <w:rPr>
          <w:rFonts w:asciiTheme="majorBidi" w:hAnsiTheme="majorBidi" w:cstheme="majorBidi"/>
          <w:b w:val="0"/>
          <w:bCs w:val="0"/>
        </w:rPr>
      </w:pPr>
      <w:bookmarkStart w:id="49" w:name="_Toc216938132"/>
      <w:r w:rsidRPr="00212D6E">
        <w:rPr>
          <w:rFonts w:asciiTheme="majorBidi" w:hAnsiTheme="majorBidi" w:cstheme="majorBidi"/>
          <w:b w:val="0"/>
          <w:bCs w:val="0"/>
        </w:rPr>
        <w:t>Theorisation of the effect of alterations of critical diameters and industry benefits</w:t>
      </w:r>
      <w:bookmarkEnd w:id="49"/>
      <w:r w:rsidRPr="00212D6E">
        <w:rPr>
          <w:rFonts w:asciiTheme="majorBidi" w:hAnsiTheme="majorBidi" w:cstheme="majorBidi"/>
          <w:b w:val="0"/>
          <w:bCs w:val="0"/>
        </w:rPr>
        <w:t xml:space="preserve"> </w:t>
      </w:r>
    </w:p>
    <w:p w14:paraId="0A70DB42" w14:textId="31E050B8" w:rsidR="00B518ED" w:rsidRDefault="004D796A" w:rsidP="001E609B">
      <w:pPr>
        <w:spacing w:line="240" w:lineRule="auto"/>
        <w:rPr>
          <w:rFonts w:asciiTheme="majorBidi" w:hAnsiTheme="majorBidi" w:cstheme="majorBidi"/>
          <w:sz w:val="22"/>
          <w:szCs w:val="22"/>
        </w:rPr>
      </w:pPr>
      <w:r w:rsidRPr="004D796A">
        <w:rPr>
          <w:rFonts w:asciiTheme="majorBidi" w:hAnsiTheme="majorBidi" w:cstheme="majorBidi"/>
          <w:sz w:val="22"/>
          <w:szCs w:val="22"/>
        </w:rPr>
        <w:t xml:space="preserve">By manipulating the </w:t>
      </w:r>
      <w:r>
        <w:rPr>
          <w:rFonts w:asciiTheme="majorBidi" w:hAnsiTheme="majorBidi" w:cstheme="majorBidi"/>
          <w:sz w:val="22"/>
          <w:szCs w:val="22"/>
        </w:rPr>
        <w:t>critical density and diameter</w:t>
      </w:r>
      <w:r w:rsidR="00B9393F">
        <w:rPr>
          <w:rFonts w:asciiTheme="majorBidi" w:hAnsiTheme="majorBidi" w:cstheme="majorBidi"/>
          <w:sz w:val="22"/>
          <w:szCs w:val="22"/>
        </w:rPr>
        <w:t xml:space="preserve"> of a secondary explosive</w:t>
      </w:r>
      <w:r>
        <w:rPr>
          <w:rFonts w:asciiTheme="majorBidi" w:hAnsiTheme="majorBidi" w:cstheme="majorBidi"/>
          <w:sz w:val="22"/>
          <w:szCs w:val="22"/>
        </w:rPr>
        <w:t>, a munition can be designed to have a varying velocity of detonation. The control of this detonation allows more options of</w:t>
      </w:r>
      <w:r w:rsidR="00116E57">
        <w:rPr>
          <w:rFonts w:asciiTheme="majorBidi" w:hAnsiTheme="majorBidi" w:cstheme="majorBidi"/>
          <w:sz w:val="22"/>
          <w:szCs w:val="22"/>
        </w:rPr>
        <w:t>; distance travelled and therefore usage, greater external and internal material choice, geometry of design as well as several other key factors.</w:t>
      </w:r>
    </w:p>
    <w:p w14:paraId="11EF9798" w14:textId="5CD3CE5A" w:rsidR="00116E57" w:rsidRDefault="00116E57" w:rsidP="001E609B">
      <w:pPr>
        <w:spacing w:line="240" w:lineRule="auto"/>
        <w:rPr>
          <w:rFonts w:asciiTheme="majorBidi" w:hAnsiTheme="majorBidi" w:cstheme="majorBidi"/>
          <w:sz w:val="22"/>
          <w:szCs w:val="22"/>
        </w:rPr>
      </w:pPr>
      <w:r>
        <w:rPr>
          <w:rFonts w:asciiTheme="majorBidi" w:hAnsiTheme="majorBidi" w:cstheme="majorBidi"/>
          <w:sz w:val="22"/>
          <w:szCs w:val="22"/>
        </w:rPr>
        <w:t>If you could hypothetically find the exact critical density to diameter range you could implement a design of a smaller, more compact munitions, which has advantages such as transportation, material costing and reduced storage, which has the same detonation velocity advantages as larger models.</w:t>
      </w:r>
    </w:p>
    <w:p w14:paraId="5E94322E" w14:textId="2F5CC8FB" w:rsidR="00116E57" w:rsidRDefault="00116E57" w:rsidP="001E609B">
      <w:pPr>
        <w:spacing w:line="240" w:lineRule="auto"/>
        <w:rPr>
          <w:rFonts w:asciiTheme="majorBidi" w:hAnsiTheme="majorBidi" w:cstheme="majorBidi"/>
          <w:sz w:val="22"/>
          <w:szCs w:val="22"/>
        </w:rPr>
      </w:pPr>
      <w:r>
        <w:rPr>
          <w:rFonts w:asciiTheme="majorBidi" w:hAnsiTheme="majorBidi" w:cstheme="majorBidi"/>
          <w:sz w:val="22"/>
          <w:szCs w:val="22"/>
        </w:rPr>
        <w:t xml:space="preserve">Due to statistical manufacturing error, each density would have to have a tolerance due to ranging humidities, manufacturing error and contamination, storage variations and degradation over time. </w:t>
      </w:r>
    </w:p>
    <w:p w14:paraId="6450749C" w14:textId="73F6FDDB" w:rsidR="00706A9E" w:rsidRPr="004D796A" w:rsidRDefault="00706A9E" w:rsidP="00B518ED">
      <w:pPr>
        <w:rPr>
          <w:rFonts w:asciiTheme="majorBidi" w:hAnsiTheme="majorBidi" w:cstheme="majorBidi"/>
          <w:sz w:val="22"/>
          <w:szCs w:val="22"/>
        </w:rPr>
      </w:pPr>
    </w:p>
    <w:p w14:paraId="619A21E4" w14:textId="6865136A" w:rsidR="00B518ED" w:rsidRPr="00212D6E" w:rsidRDefault="00B518ED" w:rsidP="00B518ED">
      <w:pPr>
        <w:pStyle w:val="Heading1"/>
        <w:rPr>
          <w:rFonts w:asciiTheme="majorBidi" w:hAnsiTheme="majorBidi" w:cstheme="majorBidi"/>
          <w:b w:val="0"/>
          <w:bCs w:val="0"/>
          <w:sz w:val="28"/>
          <w:szCs w:val="28"/>
        </w:rPr>
      </w:pPr>
      <w:bookmarkStart w:id="50" w:name="_Toc216938133"/>
      <w:r w:rsidRPr="00212D6E">
        <w:rPr>
          <w:rFonts w:asciiTheme="majorBidi" w:hAnsiTheme="majorBidi" w:cstheme="majorBidi"/>
          <w:b w:val="0"/>
          <w:bCs w:val="0"/>
          <w:sz w:val="28"/>
          <w:szCs w:val="28"/>
        </w:rPr>
        <w:t>Summarisation and overall comparison of both secondary and primary explosives</w:t>
      </w:r>
      <w:bookmarkEnd w:id="50"/>
    </w:p>
    <w:p w14:paraId="0D85DA14" w14:textId="1F869E95" w:rsidR="00B518ED" w:rsidRDefault="00706A9E" w:rsidP="001E609B">
      <w:pPr>
        <w:spacing w:line="240" w:lineRule="auto"/>
        <w:rPr>
          <w:rFonts w:asciiTheme="majorBidi" w:hAnsiTheme="majorBidi" w:cstheme="majorBidi"/>
          <w:sz w:val="22"/>
          <w:szCs w:val="22"/>
        </w:rPr>
      </w:pPr>
      <w:r>
        <w:rPr>
          <w:rFonts w:asciiTheme="majorBidi" w:hAnsiTheme="majorBidi" w:cstheme="majorBidi"/>
          <w:sz w:val="22"/>
          <w:szCs w:val="22"/>
        </w:rPr>
        <w:t>Pr</w:t>
      </w:r>
      <w:r w:rsidR="00667EA4">
        <w:rPr>
          <w:rFonts w:asciiTheme="majorBidi" w:hAnsiTheme="majorBidi" w:cstheme="majorBidi"/>
          <w:sz w:val="22"/>
          <w:szCs w:val="22"/>
        </w:rPr>
        <w:t>imary explosives</w:t>
      </w:r>
      <w:r w:rsidR="00A85E77">
        <w:rPr>
          <w:rFonts w:asciiTheme="majorBidi" w:hAnsiTheme="majorBidi" w:cstheme="majorBidi"/>
          <w:sz w:val="22"/>
          <w:szCs w:val="22"/>
        </w:rPr>
        <w:t xml:space="preserve"> are less susceptible to variation of confined and unconfined due to the instantaneous detonation after ignition causing little statistical difference however, they have less fluctuation in density and diameter due to primarily their ability to be dead pressed and their molecular makeup. Whilst density and diameter do correlate, design of varied diameters are limited due to the restriction of density experimentation. </w:t>
      </w:r>
    </w:p>
    <w:p w14:paraId="6B52686C" w14:textId="51FB1203" w:rsidR="00667EA4" w:rsidRDefault="00667EA4" w:rsidP="001E609B">
      <w:pPr>
        <w:spacing w:line="240" w:lineRule="auto"/>
        <w:rPr>
          <w:rFonts w:asciiTheme="majorBidi" w:hAnsiTheme="majorBidi" w:cstheme="majorBidi"/>
          <w:sz w:val="22"/>
          <w:szCs w:val="22"/>
        </w:rPr>
      </w:pPr>
      <w:r>
        <w:rPr>
          <w:rFonts w:asciiTheme="majorBidi" w:hAnsiTheme="majorBidi" w:cstheme="majorBidi"/>
          <w:sz w:val="22"/>
          <w:szCs w:val="22"/>
        </w:rPr>
        <w:t xml:space="preserve">Secondary explosives </w:t>
      </w:r>
      <w:r w:rsidR="00A85E77">
        <w:rPr>
          <w:rFonts w:asciiTheme="majorBidi" w:hAnsiTheme="majorBidi" w:cstheme="majorBidi"/>
          <w:sz w:val="22"/>
          <w:szCs w:val="22"/>
        </w:rPr>
        <w:t xml:space="preserve">are far more susceptible to the effects of confined and unconfined design as they are less sensitive but store greater potential </w:t>
      </w:r>
      <w:r w:rsidR="0029721E">
        <w:rPr>
          <w:rFonts w:asciiTheme="majorBidi" w:hAnsiTheme="majorBidi" w:cstheme="majorBidi"/>
          <w:sz w:val="22"/>
          <w:szCs w:val="22"/>
        </w:rPr>
        <w:t>energy,</w:t>
      </w:r>
      <w:r w:rsidR="00A85E77">
        <w:rPr>
          <w:rFonts w:asciiTheme="majorBidi" w:hAnsiTheme="majorBidi" w:cstheme="majorBidi"/>
          <w:sz w:val="22"/>
          <w:szCs w:val="22"/>
        </w:rPr>
        <w:t xml:space="preserve"> so confinement increases both temperature and pressure meaning when released the energy transfers faster and </w:t>
      </w:r>
      <w:r w:rsidR="0029721E">
        <w:rPr>
          <w:rFonts w:asciiTheme="majorBidi" w:hAnsiTheme="majorBidi" w:cstheme="majorBidi"/>
          <w:sz w:val="22"/>
          <w:szCs w:val="22"/>
        </w:rPr>
        <w:t xml:space="preserve">more forcefully. Over containment can cause energy loss into the containment system whilst under containment results in the containing material being unable to maintain the temperature and pressure reducing the explosives effectiveness. </w:t>
      </w:r>
    </w:p>
    <w:p w14:paraId="4BB29628" w14:textId="6B5F552A" w:rsidR="00667EA4" w:rsidRDefault="00667EA4" w:rsidP="0029721E">
      <w:pPr>
        <w:spacing w:line="240" w:lineRule="auto"/>
        <w:rPr>
          <w:rFonts w:asciiTheme="majorBidi" w:hAnsiTheme="majorBidi" w:cstheme="majorBidi"/>
          <w:sz w:val="22"/>
          <w:szCs w:val="22"/>
        </w:rPr>
      </w:pPr>
      <w:r>
        <w:rPr>
          <w:rFonts w:asciiTheme="majorBidi" w:hAnsiTheme="majorBidi" w:cstheme="majorBidi"/>
          <w:sz w:val="22"/>
          <w:szCs w:val="22"/>
        </w:rPr>
        <w:t xml:space="preserve">Primary explosives have the advantage of </w:t>
      </w:r>
      <w:r w:rsidR="0029721E">
        <w:rPr>
          <w:rFonts w:asciiTheme="majorBidi" w:hAnsiTheme="majorBidi" w:cstheme="majorBidi"/>
          <w:sz w:val="22"/>
          <w:szCs w:val="22"/>
        </w:rPr>
        <w:t xml:space="preserve">having the usual purpose to ignite secondary explosives so the requirements are fewer with a higher tolerance, reducing manufacturing costs and storage </w:t>
      </w:r>
      <w:r w:rsidR="0029721E">
        <w:rPr>
          <w:rFonts w:asciiTheme="majorBidi" w:hAnsiTheme="majorBidi" w:cstheme="majorBidi"/>
          <w:sz w:val="22"/>
          <w:szCs w:val="22"/>
        </w:rPr>
        <w:lastRenderedPageBreak/>
        <w:t>costs,</w:t>
      </w:r>
      <w:r>
        <w:rPr>
          <w:rFonts w:asciiTheme="majorBidi" w:hAnsiTheme="majorBidi" w:cstheme="majorBidi"/>
          <w:sz w:val="22"/>
          <w:szCs w:val="22"/>
        </w:rPr>
        <w:t xml:space="preserve"> whilst secondary explosives have </w:t>
      </w:r>
      <w:r w:rsidR="0029721E">
        <w:rPr>
          <w:rFonts w:asciiTheme="majorBidi" w:hAnsiTheme="majorBidi" w:cstheme="majorBidi"/>
          <w:sz w:val="22"/>
          <w:szCs w:val="22"/>
        </w:rPr>
        <w:t>the usual purpose of destructivity, resulting in the design and use of secondary to have more varied requirements from: size, geometry, detonation velocity, temperature, stored pressure and control of explosion</w:t>
      </w:r>
      <w:r>
        <w:rPr>
          <w:rFonts w:asciiTheme="majorBidi" w:hAnsiTheme="majorBidi" w:cstheme="majorBidi"/>
          <w:sz w:val="22"/>
          <w:szCs w:val="22"/>
        </w:rPr>
        <w:t xml:space="preserve">. In design </w:t>
      </w:r>
      <w:r w:rsidR="0029721E">
        <w:rPr>
          <w:rFonts w:asciiTheme="majorBidi" w:hAnsiTheme="majorBidi" w:cstheme="majorBidi"/>
          <w:sz w:val="22"/>
          <w:szCs w:val="22"/>
        </w:rPr>
        <w:t>confinement of secondary</w:t>
      </w:r>
      <w:r>
        <w:rPr>
          <w:rFonts w:asciiTheme="majorBidi" w:hAnsiTheme="majorBidi" w:cstheme="majorBidi"/>
          <w:sz w:val="22"/>
          <w:szCs w:val="22"/>
        </w:rPr>
        <w:t xml:space="preserve"> </w:t>
      </w:r>
      <w:r w:rsidR="0029721E">
        <w:rPr>
          <w:rFonts w:asciiTheme="majorBidi" w:hAnsiTheme="majorBidi" w:cstheme="majorBidi"/>
          <w:sz w:val="22"/>
          <w:szCs w:val="22"/>
        </w:rPr>
        <w:t xml:space="preserve">explosive </w:t>
      </w:r>
      <w:r>
        <w:rPr>
          <w:rFonts w:asciiTheme="majorBidi" w:hAnsiTheme="majorBidi" w:cstheme="majorBidi"/>
          <w:sz w:val="22"/>
          <w:szCs w:val="22"/>
        </w:rPr>
        <w:t xml:space="preserve">offer’s more freedom of adjustments whilst </w:t>
      </w:r>
      <w:r w:rsidR="0029721E">
        <w:rPr>
          <w:rFonts w:asciiTheme="majorBidi" w:hAnsiTheme="majorBidi" w:cstheme="majorBidi"/>
          <w:sz w:val="22"/>
          <w:szCs w:val="22"/>
        </w:rPr>
        <w:t>lack of influence of confinement of primary explosives offers</w:t>
      </w:r>
      <w:r>
        <w:rPr>
          <w:rFonts w:asciiTheme="majorBidi" w:hAnsiTheme="majorBidi" w:cstheme="majorBidi"/>
          <w:sz w:val="22"/>
          <w:szCs w:val="22"/>
        </w:rPr>
        <w:t xml:space="preserve"> greater guarantee of </w:t>
      </w:r>
      <w:r w:rsidR="0029721E">
        <w:rPr>
          <w:rFonts w:asciiTheme="majorBidi" w:hAnsiTheme="majorBidi" w:cstheme="majorBidi"/>
          <w:sz w:val="22"/>
          <w:szCs w:val="22"/>
        </w:rPr>
        <w:t>ignition of a secondary explosive.</w:t>
      </w:r>
    </w:p>
    <w:p w14:paraId="1478BC09" w14:textId="7B6FA3C0" w:rsidR="00667EA4" w:rsidRPr="00706A9E" w:rsidRDefault="00667EA4" w:rsidP="001E609B">
      <w:pPr>
        <w:spacing w:line="240" w:lineRule="auto"/>
        <w:rPr>
          <w:rFonts w:asciiTheme="majorBidi" w:hAnsiTheme="majorBidi" w:cstheme="majorBidi"/>
          <w:sz w:val="22"/>
          <w:szCs w:val="22"/>
        </w:rPr>
      </w:pPr>
      <w:r>
        <w:rPr>
          <w:rFonts w:asciiTheme="majorBidi" w:hAnsiTheme="majorBidi" w:cstheme="majorBidi"/>
          <w:sz w:val="22"/>
          <w:szCs w:val="22"/>
        </w:rPr>
        <w:t xml:space="preserve">Contextually, Lead Azide has the properties of </w:t>
      </w:r>
      <w:r w:rsidR="00881A26">
        <w:rPr>
          <w:rFonts w:asciiTheme="majorBidi" w:hAnsiTheme="majorBidi" w:cstheme="majorBidi"/>
          <w:sz w:val="22"/>
          <w:szCs w:val="22"/>
        </w:rPr>
        <w:t xml:space="preserve">critical diameters in the range of 0.1mm to 0.01mm, which is 10 to 100 times smaller than most secondary explosives, including </w:t>
      </w:r>
      <w:r w:rsidR="00124E49">
        <w:rPr>
          <w:rFonts w:asciiTheme="majorBidi" w:hAnsiTheme="majorBidi" w:cstheme="majorBidi"/>
          <w:sz w:val="22"/>
          <w:szCs w:val="22"/>
        </w:rPr>
        <w:t>TNT</w:t>
      </w:r>
      <w:r w:rsidR="00881A26">
        <w:rPr>
          <w:rFonts w:asciiTheme="majorBidi" w:hAnsiTheme="majorBidi" w:cstheme="majorBidi"/>
          <w:sz w:val="22"/>
          <w:szCs w:val="22"/>
        </w:rPr>
        <w:t xml:space="preserve"> [5]. </w:t>
      </w:r>
      <w:r>
        <w:rPr>
          <w:rFonts w:asciiTheme="majorBidi" w:hAnsiTheme="majorBidi" w:cstheme="majorBidi"/>
          <w:sz w:val="22"/>
          <w:szCs w:val="22"/>
        </w:rPr>
        <w:t xml:space="preserve">whilst </w:t>
      </w:r>
      <w:r w:rsidR="00124E49">
        <w:rPr>
          <w:rFonts w:asciiTheme="majorBidi" w:hAnsiTheme="majorBidi" w:cstheme="majorBidi"/>
          <w:sz w:val="22"/>
          <w:szCs w:val="22"/>
        </w:rPr>
        <w:t>TNT</w:t>
      </w:r>
      <w:r w:rsidR="0098340A" w:rsidRPr="0098340A">
        <w:rPr>
          <w:rFonts w:asciiTheme="majorBidi" w:hAnsiTheme="majorBidi" w:cstheme="majorBidi"/>
          <w:sz w:val="22"/>
          <w:szCs w:val="22"/>
        </w:rPr>
        <w:t xml:space="preserve"> </w:t>
      </w:r>
      <w:r>
        <w:rPr>
          <w:rFonts w:asciiTheme="majorBidi" w:hAnsiTheme="majorBidi" w:cstheme="majorBidi"/>
          <w:sz w:val="22"/>
          <w:szCs w:val="22"/>
        </w:rPr>
        <w:t xml:space="preserve">has the properties of </w:t>
      </w:r>
      <w:r w:rsidR="0029721E">
        <w:rPr>
          <w:rFonts w:asciiTheme="majorBidi" w:hAnsiTheme="majorBidi" w:cstheme="majorBidi"/>
          <w:sz w:val="22"/>
          <w:szCs w:val="22"/>
        </w:rPr>
        <w:t>ranging critical diameter based on its density, manufacturing technique of that density, confinement and unconfinement methods and desired detonation velocity</w:t>
      </w:r>
      <w:r>
        <w:rPr>
          <w:rFonts w:asciiTheme="majorBidi" w:hAnsiTheme="majorBidi" w:cstheme="majorBidi"/>
          <w:sz w:val="22"/>
          <w:szCs w:val="22"/>
        </w:rPr>
        <w:t xml:space="preserve"> allowing for </w:t>
      </w:r>
      <w:r w:rsidR="0029721E">
        <w:rPr>
          <w:rFonts w:asciiTheme="majorBidi" w:hAnsiTheme="majorBidi" w:cstheme="majorBidi"/>
          <w:sz w:val="22"/>
          <w:szCs w:val="22"/>
        </w:rPr>
        <w:t>greater industrial potential designs and usages</w:t>
      </w:r>
      <w:r>
        <w:rPr>
          <w:rFonts w:asciiTheme="majorBidi" w:hAnsiTheme="majorBidi" w:cstheme="majorBidi"/>
          <w:sz w:val="22"/>
          <w:szCs w:val="22"/>
        </w:rPr>
        <w:t xml:space="preserve">. </w:t>
      </w:r>
    </w:p>
    <w:p w14:paraId="743E5E4B" w14:textId="3D5E5F57" w:rsidR="001F0D65" w:rsidRPr="00AC5C78" w:rsidRDefault="00B518ED" w:rsidP="00AC5C78">
      <w:pPr>
        <w:pStyle w:val="Heading2"/>
        <w:rPr>
          <w:rFonts w:asciiTheme="majorBidi" w:hAnsiTheme="majorBidi" w:cstheme="majorBidi"/>
          <w:b w:val="0"/>
          <w:bCs w:val="0"/>
        </w:rPr>
      </w:pPr>
      <w:bookmarkStart w:id="51" w:name="_Toc216938134"/>
      <w:r w:rsidRPr="00212D6E">
        <w:rPr>
          <w:rFonts w:asciiTheme="majorBidi" w:hAnsiTheme="majorBidi" w:cstheme="majorBidi"/>
          <w:b w:val="0"/>
          <w:bCs w:val="0"/>
        </w:rPr>
        <w:t xml:space="preserve">Visual Comparison of the densities, diameters, and velocities that can achieve successful detonation with </w:t>
      </w:r>
      <w:r w:rsidR="00124E49">
        <w:rPr>
          <w:rFonts w:asciiTheme="majorBidi" w:hAnsiTheme="majorBidi" w:cstheme="majorBidi"/>
          <w:b w:val="0"/>
          <w:bCs w:val="0"/>
        </w:rPr>
        <w:t>TNT</w:t>
      </w:r>
      <w:r w:rsidR="0098340A" w:rsidRPr="0098340A">
        <w:rPr>
          <w:rFonts w:asciiTheme="majorBidi" w:hAnsiTheme="majorBidi" w:cstheme="majorBidi"/>
          <w:b w:val="0"/>
          <w:bCs w:val="0"/>
        </w:rPr>
        <w:t xml:space="preserve"> </w:t>
      </w:r>
      <w:r w:rsidRPr="00212D6E">
        <w:rPr>
          <w:rFonts w:asciiTheme="majorBidi" w:hAnsiTheme="majorBidi" w:cstheme="majorBidi"/>
          <w:b w:val="0"/>
          <w:bCs w:val="0"/>
        </w:rPr>
        <w:t>and Lead Azide</w:t>
      </w:r>
      <w:bookmarkEnd w:id="51"/>
      <w:r w:rsidRPr="00212D6E">
        <w:rPr>
          <w:rFonts w:asciiTheme="majorBidi" w:hAnsiTheme="majorBidi" w:cstheme="majorBidi"/>
          <w:b w:val="0"/>
          <w:bCs w:val="0"/>
        </w:rPr>
        <w:t xml:space="preserve"> </w:t>
      </w:r>
      <w:bookmarkStart w:id="52" w:name="_Toc51833419"/>
    </w:p>
    <w:p w14:paraId="2892ABA8" w14:textId="4D18A836" w:rsidR="008110D1" w:rsidRDefault="00496FF9" w:rsidP="008110D1">
      <w:pPr>
        <w:spacing w:line="240" w:lineRule="auto"/>
        <w:rPr>
          <w:rFonts w:asciiTheme="majorBidi" w:hAnsiTheme="majorBidi" w:cstheme="majorBidi"/>
          <w:sz w:val="22"/>
          <w:szCs w:val="22"/>
        </w:rPr>
      </w:pPr>
      <w:r>
        <w:rPr>
          <w:rFonts w:asciiTheme="majorBidi" w:hAnsiTheme="majorBidi" w:cstheme="majorBidi"/>
          <w:sz w:val="22"/>
          <w:szCs w:val="22"/>
        </w:rPr>
        <w:t>The diagram represents the difference in densities but the vast gradient differences between Lead Azide, confined and unconfined TNT.</w:t>
      </w:r>
      <w:r w:rsidR="00AC5C78">
        <w:rPr>
          <w:rFonts w:asciiTheme="majorBidi" w:hAnsiTheme="majorBidi" w:cstheme="majorBidi"/>
          <w:sz w:val="22"/>
          <w:szCs w:val="22"/>
        </w:rPr>
        <w:t xml:space="preserve"> Seen in Figure 2, confinement  and unconfining of Lead Azide results in little gradient difference between density and diameter</w:t>
      </w:r>
      <w:r w:rsidR="002D5449">
        <w:rPr>
          <w:rFonts w:asciiTheme="majorBidi" w:hAnsiTheme="majorBidi" w:cstheme="majorBidi"/>
          <w:sz w:val="22"/>
          <w:szCs w:val="22"/>
        </w:rPr>
        <w:t>,</w:t>
      </w:r>
      <w:r w:rsidR="002D5449" w:rsidRPr="002D5449">
        <w:rPr>
          <w:rFonts w:asciiTheme="majorBidi" w:hAnsiTheme="majorBidi" w:cstheme="majorBidi"/>
          <w:sz w:val="22"/>
          <w:szCs w:val="22"/>
        </w:rPr>
        <w:t xml:space="preserve"> </w:t>
      </w:r>
      <w:r w:rsidR="002D5449">
        <w:rPr>
          <w:rFonts w:asciiTheme="majorBidi" w:hAnsiTheme="majorBidi" w:cstheme="majorBidi"/>
          <w:sz w:val="22"/>
          <w:szCs w:val="22"/>
        </w:rPr>
        <w:t>as the diameter increases and there is containment of energy raising pressure and temperature but due to the instantaneous detonation the effect of this is minimum</w:t>
      </w:r>
      <w:r w:rsidR="00AC5C78">
        <w:rPr>
          <w:rFonts w:asciiTheme="majorBidi" w:hAnsiTheme="majorBidi" w:cstheme="majorBidi"/>
          <w:sz w:val="22"/>
          <w:szCs w:val="22"/>
        </w:rPr>
        <w:t>. TNT is more greatly affected as the slower detonation allows other variables like internal pressure and temperature to increase the likelihood of successful detonation and therefore can decrease critical diameter.</w:t>
      </w:r>
    </w:p>
    <w:p w14:paraId="7FB42EA8" w14:textId="4FBF0039" w:rsidR="00AC5C78" w:rsidRDefault="00AC5C78" w:rsidP="008110D1">
      <w:pPr>
        <w:spacing w:line="240" w:lineRule="auto"/>
        <w:rPr>
          <w:rFonts w:asciiTheme="majorBidi" w:hAnsiTheme="majorBidi" w:cstheme="majorBidi"/>
          <w:sz w:val="22"/>
          <w:szCs w:val="22"/>
        </w:rPr>
      </w:pPr>
      <w:r>
        <w:rPr>
          <w:noProof/>
        </w:rPr>
        <w:drawing>
          <wp:inline distT="0" distB="0" distL="0" distR="0" wp14:anchorId="4CB03464" wp14:editId="724F3E53">
            <wp:extent cx="5400040" cy="4028440"/>
            <wp:effectExtent l="0" t="0" r="0" b="0"/>
            <wp:docPr id="135790753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r:link="rId22" cstate="print">
                      <a:extLst>
                        <a:ext uri="{28A0092B-C50C-407E-A947-70E740481C1C}">
                          <a14:useLocalDpi xmlns:a14="http://schemas.microsoft.com/office/drawing/2010/main" val="0"/>
                        </a:ext>
                      </a:extLst>
                    </a:blip>
                    <a:srcRect/>
                    <a:stretch>
                      <a:fillRect/>
                    </a:stretch>
                  </pic:blipFill>
                  <pic:spPr bwMode="auto">
                    <a:xfrm>
                      <a:off x="0" y="0"/>
                      <a:ext cx="5400040" cy="4028440"/>
                    </a:xfrm>
                    <a:prstGeom prst="rect">
                      <a:avLst/>
                    </a:prstGeom>
                    <a:noFill/>
                    <a:ln>
                      <a:noFill/>
                    </a:ln>
                  </pic:spPr>
                </pic:pic>
              </a:graphicData>
            </a:graphic>
          </wp:inline>
        </w:drawing>
      </w:r>
    </w:p>
    <w:p w14:paraId="5B7BEEDD" w14:textId="3C878966" w:rsidR="00AC5C78" w:rsidRDefault="00AC5C78" w:rsidP="00AC5C78">
      <w:pPr>
        <w:spacing w:line="240" w:lineRule="auto"/>
        <w:rPr>
          <w:rFonts w:asciiTheme="majorBidi" w:hAnsiTheme="majorBidi" w:cstheme="majorBidi"/>
          <w:sz w:val="22"/>
          <w:szCs w:val="22"/>
        </w:rPr>
      </w:pPr>
      <w:r>
        <w:rPr>
          <w:rFonts w:asciiTheme="majorBidi" w:hAnsiTheme="majorBidi" w:cstheme="majorBidi"/>
          <w:sz w:val="22"/>
          <w:szCs w:val="22"/>
        </w:rPr>
        <w:t>Figure 2 – Representative Figure Demonstrating TNT and Lead Azide’s density difference and diameter change based on confinement</w:t>
      </w:r>
    </w:p>
    <w:p w14:paraId="1E25F286" w14:textId="438A4CD6" w:rsidR="00AC5C78" w:rsidRDefault="008110D1" w:rsidP="00AC5C78">
      <w:pPr>
        <w:spacing w:line="240" w:lineRule="auto"/>
        <w:rPr>
          <w:rFonts w:asciiTheme="majorBidi" w:hAnsiTheme="majorBidi" w:cstheme="majorBidi"/>
          <w:sz w:val="22"/>
          <w:szCs w:val="22"/>
        </w:rPr>
      </w:pPr>
      <w:r>
        <w:rPr>
          <w:rFonts w:asciiTheme="majorBidi" w:hAnsiTheme="majorBidi" w:cstheme="majorBidi"/>
          <w:sz w:val="22"/>
          <w:szCs w:val="22"/>
        </w:rPr>
        <w:lastRenderedPageBreak/>
        <w:t>Lead Azide ha</w:t>
      </w:r>
      <w:r w:rsidR="00AC5C78">
        <w:rPr>
          <w:rFonts w:asciiTheme="majorBidi" w:hAnsiTheme="majorBidi" w:cstheme="majorBidi"/>
          <w:sz w:val="22"/>
          <w:szCs w:val="22"/>
        </w:rPr>
        <w:t>s been highlighted to show a ‘Dead Pressing Density’ where the material can be denser  than  its functional maximum, at this density, critical diameter is irrelevant as the crystalline structure is too tightly backed to go through complete detonation regardless of geometry.</w:t>
      </w:r>
      <w:r w:rsidR="002D5449">
        <w:rPr>
          <w:rFonts w:asciiTheme="majorBidi" w:hAnsiTheme="majorBidi" w:cstheme="majorBidi"/>
          <w:sz w:val="22"/>
          <w:szCs w:val="22"/>
        </w:rPr>
        <w:t xml:space="preserve"> The choice for the diagram to remain non-quantitative is due to the magnitudes of difference between the materials, lead azide is around four times denser but can successfully detonate with a diameter less than 0.01mm [5] whilst TNT is around 150mm. [12]</w:t>
      </w:r>
    </w:p>
    <w:p w14:paraId="06AC0647" w14:textId="6814E59D" w:rsidR="00AC5C78" w:rsidRPr="001F0D65" w:rsidRDefault="00AC5C78" w:rsidP="00AC5C78">
      <w:pPr>
        <w:spacing w:line="240" w:lineRule="auto"/>
        <w:rPr>
          <w:rFonts w:asciiTheme="majorBidi" w:hAnsiTheme="majorBidi" w:cstheme="majorBidi"/>
          <w:sz w:val="22"/>
          <w:szCs w:val="22"/>
        </w:rPr>
        <w:sectPr w:rsidR="00AC5C78" w:rsidRPr="001F0D65" w:rsidSect="00623A81">
          <w:headerReference w:type="default" r:id="rId25"/>
          <w:pgSz w:w="11906" w:h="16838" w:code="9"/>
          <w:pgMar w:top="1701" w:right="1701" w:bottom="1701" w:left="1701" w:header="709" w:footer="851" w:gutter="0"/>
          <w:cols w:space="708"/>
          <w:docGrid w:linePitch="360"/>
        </w:sectPr>
      </w:pPr>
    </w:p>
    <w:p w14:paraId="1079935C" w14:textId="46A81785" w:rsidR="00DA28B2" w:rsidRDefault="004C2C9C" w:rsidP="00DA28B2">
      <w:pPr>
        <w:pStyle w:val="Heading1nonumber"/>
        <w:rPr>
          <w:rFonts w:asciiTheme="majorBidi" w:hAnsiTheme="majorBidi" w:cstheme="majorBidi"/>
        </w:rPr>
      </w:pPr>
      <w:bookmarkStart w:id="53" w:name="_Toc290554257"/>
      <w:bookmarkStart w:id="54" w:name="_Toc299621222"/>
      <w:bookmarkStart w:id="55" w:name="_Toc299631447"/>
      <w:bookmarkStart w:id="56" w:name="_Toc299631509"/>
      <w:bookmarkStart w:id="57" w:name="_Toc299631599"/>
      <w:bookmarkStart w:id="58" w:name="_Toc299631675"/>
      <w:bookmarkStart w:id="59" w:name="_Toc216938135"/>
      <w:r w:rsidRPr="004727CF">
        <w:rPr>
          <w:rFonts w:asciiTheme="majorBidi" w:hAnsiTheme="majorBidi" w:cstheme="majorBidi"/>
        </w:rPr>
        <w:lastRenderedPageBreak/>
        <w:t>References</w:t>
      </w:r>
      <w:bookmarkEnd w:id="52"/>
      <w:bookmarkEnd w:id="53"/>
      <w:bookmarkEnd w:id="54"/>
      <w:bookmarkEnd w:id="55"/>
      <w:bookmarkEnd w:id="56"/>
      <w:bookmarkEnd w:id="57"/>
      <w:bookmarkEnd w:id="58"/>
      <w:bookmarkEnd w:id="59"/>
    </w:p>
    <w:p w14:paraId="0EDD6B79" w14:textId="77777777" w:rsidR="001A6D66" w:rsidRPr="001A6D66" w:rsidRDefault="001A6D66" w:rsidP="001A6D66">
      <w:pPr>
        <w:rPr>
          <w:rFonts w:asciiTheme="majorBidi" w:hAnsiTheme="majorBidi" w:cstheme="majorBidi"/>
          <w:sz w:val="22"/>
          <w:szCs w:val="22"/>
        </w:rPr>
      </w:pPr>
      <w:r w:rsidRPr="001A6D66">
        <w:rPr>
          <w:rFonts w:asciiTheme="majorBidi" w:hAnsiTheme="majorBidi" w:cstheme="majorBidi"/>
          <w:sz w:val="22"/>
          <w:szCs w:val="22"/>
        </w:rPr>
        <w:t>[1]</w:t>
      </w:r>
    </w:p>
    <w:p w14:paraId="5F70C285" w14:textId="77777777" w:rsidR="001A6D66" w:rsidRPr="001A6D66" w:rsidRDefault="001A6D66" w:rsidP="001A6D66">
      <w:pPr>
        <w:rPr>
          <w:rFonts w:asciiTheme="majorBidi" w:hAnsiTheme="majorBidi" w:cstheme="majorBidi"/>
          <w:sz w:val="22"/>
          <w:szCs w:val="22"/>
        </w:rPr>
      </w:pPr>
      <w:r w:rsidRPr="001A6D66">
        <w:rPr>
          <w:rFonts w:asciiTheme="majorBidi" w:hAnsiTheme="majorBidi" w:cstheme="majorBidi"/>
          <w:sz w:val="22"/>
          <w:szCs w:val="22"/>
        </w:rPr>
        <w:t xml:space="preserve">D. J. Whelan and G. Bocksteiner, “Velocity of detonation, charge diameter and critical diameter in unconfined RDX-driven heterogeneous explosives,” </w:t>
      </w:r>
      <w:r w:rsidRPr="001A6D66">
        <w:rPr>
          <w:rFonts w:asciiTheme="majorBidi" w:hAnsiTheme="majorBidi" w:cstheme="majorBidi"/>
          <w:i/>
          <w:iCs/>
          <w:sz w:val="22"/>
          <w:szCs w:val="22"/>
        </w:rPr>
        <w:t>Journal of Energetic Materials</w:t>
      </w:r>
      <w:r w:rsidRPr="001A6D66">
        <w:rPr>
          <w:rFonts w:asciiTheme="majorBidi" w:hAnsiTheme="majorBidi" w:cstheme="majorBidi"/>
          <w:sz w:val="22"/>
          <w:szCs w:val="22"/>
        </w:rPr>
        <w:t>, vol. 13, no. 1–2, pp. 15–34, Mar. 1995, doi: https://doi.org/10.1080/07370659508019342.</w:t>
      </w:r>
    </w:p>
    <w:p w14:paraId="03E33FB0" w14:textId="77777777" w:rsidR="001A6D66" w:rsidRPr="001A6D66" w:rsidRDefault="001A6D66" w:rsidP="001A6D66">
      <w:pPr>
        <w:rPr>
          <w:rFonts w:asciiTheme="majorBidi" w:hAnsiTheme="majorBidi" w:cstheme="majorBidi"/>
          <w:sz w:val="22"/>
          <w:szCs w:val="22"/>
        </w:rPr>
      </w:pPr>
      <w:r w:rsidRPr="001A6D66">
        <w:rPr>
          <w:rFonts w:asciiTheme="majorBidi" w:hAnsiTheme="majorBidi" w:cstheme="majorBidi"/>
          <w:sz w:val="22"/>
          <w:szCs w:val="22"/>
        </w:rPr>
        <w:t>[2]</w:t>
      </w:r>
    </w:p>
    <w:p w14:paraId="400EEE79" w14:textId="77777777" w:rsidR="001A6D66" w:rsidRPr="001A6D66" w:rsidRDefault="001A6D66" w:rsidP="001A6D66">
      <w:pPr>
        <w:rPr>
          <w:rFonts w:asciiTheme="majorBidi" w:hAnsiTheme="majorBidi" w:cstheme="majorBidi"/>
          <w:sz w:val="22"/>
          <w:szCs w:val="22"/>
        </w:rPr>
      </w:pPr>
      <w:r w:rsidRPr="001A6D66">
        <w:rPr>
          <w:rFonts w:asciiTheme="majorBidi" w:hAnsiTheme="majorBidi" w:cstheme="majorBidi"/>
          <w:sz w:val="22"/>
          <w:szCs w:val="22"/>
        </w:rPr>
        <w:t xml:space="preserve">R. J. Swinton and L. McVay, “Critical Diameter Study of Unconfined Australian Manufactured Composition B, Grades A and B.,” </w:t>
      </w:r>
      <w:r w:rsidRPr="001A6D66">
        <w:rPr>
          <w:rFonts w:asciiTheme="majorBidi" w:hAnsiTheme="majorBidi" w:cstheme="majorBidi"/>
          <w:i/>
          <w:iCs/>
          <w:sz w:val="22"/>
          <w:szCs w:val="22"/>
        </w:rPr>
        <w:t xml:space="preserve">Department of Defence, Defence Science and Technology Organisation </w:t>
      </w:r>
      <w:r w:rsidRPr="001A6D66">
        <w:rPr>
          <w:rFonts w:asciiTheme="majorBidi" w:hAnsiTheme="majorBidi" w:cstheme="majorBidi"/>
          <w:sz w:val="22"/>
          <w:szCs w:val="22"/>
        </w:rPr>
        <w:t>, Apr. 1997.</w:t>
      </w:r>
    </w:p>
    <w:p w14:paraId="17DF5FE4" w14:textId="77777777" w:rsidR="001A6D66" w:rsidRPr="001A6D66" w:rsidRDefault="001A6D66" w:rsidP="001A6D66">
      <w:pPr>
        <w:rPr>
          <w:rFonts w:asciiTheme="majorBidi" w:hAnsiTheme="majorBidi" w:cstheme="majorBidi"/>
          <w:sz w:val="22"/>
          <w:szCs w:val="22"/>
        </w:rPr>
      </w:pPr>
      <w:r w:rsidRPr="001A6D66">
        <w:rPr>
          <w:rFonts w:asciiTheme="majorBidi" w:hAnsiTheme="majorBidi" w:cstheme="majorBidi"/>
          <w:sz w:val="22"/>
          <w:szCs w:val="22"/>
        </w:rPr>
        <w:t>[3]</w:t>
      </w:r>
    </w:p>
    <w:p w14:paraId="6F6E6FB0" w14:textId="77777777" w:rsidR="001A6D66" w:rsidRPr="001A6D66" w:rsidRDefault="001A6D66" w:rsidP="001A6D66">
      <w:pPr>
        <w:rPr>
          <w:rFonts w:asciiTheme="majorBidi" w:hAnsiTheme="majorBidi" w:cstheme="majorBidi"/>
          <w:sz w:val="22"/>
          <w:szCs w:val="22"/>
        </w:rPr>
      </w:pPr>
      <w:r w:rsidRPr="001A6D66">
        <w:rPr>
          <w:rFonts w:asciiTheme="majorBidi" w:hAnsiTheme="majorBidi" w:cstheme="majorBidi"/>
          <w:sz w:val="22"/>
          <w:szCs w:val="22"/>
        </w:rPr>
        <w:t xml:space="preserve">F. P. Bowden and H. T. Williams, “Initiation and propagation of explosion in azides and fulminates,” </w:t>
      </w:r>
      <w:r w:rsidRPr="001A6D66">
        <w:rPr>
          <w:rFonts w:asciiTheme="majorBidi" w:hAnsiTheme="majorBidi" w:cstheme="majorBidi"/>
          <w:i/>
          <w:iCs/>
          <w:sz w:val="22"/>
          <w:szCs w:val="22"/>
        </w:rPr>
        <w:t>Proceedings of the Royal Society of London A Mathematical and Physical Sciences</w:t>
      </w:r>
      <w:r w:rsidRPr="001A6D66">
        <w:rPr>
          <w:rFonts w:asciiTheme="majorBidi" w:hAnsiTheme="majorBidi" w:cstheme="majorBidi"/>
          <w:sz w:val="22"/>
          <w:szCs w:val="22"/>
        </w:rPr>
        <w:t>, vol. 208, no. 1093, pp. 176–188, Aug. 1951, doi: https://doi.org/10.1098/rspa.1951.0152.</w:t>
      </w:r>
    </w:p>
    <w:p w14:paraId="7ABFA62D" w14:textId="77777777" w:rsidR="001A6D66" w:rsidRPr="001A6D66" w:rsidRDefault="001A6D66" w:rsidP="001A6D66">
      <w:pPr>
        <w:rPr>
          <w:rFonts w:asciiTheme="majorBidi" w:hAnsiTheme="majorBidi" w:cstheme="majorBidi"/>
          <w:sz w:val="22"/>
          <w:szCs w:val="22"/>
        </w:rPr>
      </w:pPr>
      <w:r w:rsidRPr="001A6D66">
        <w:rPr>
          <w:rFonts w:asciiTheme="majorBidi" w:hAnsiTheme="majorBidi" w:cstheme="majorBidi"/>
          <w:sz w:val="22"/>
          <w:szCs w:val="22"/>
        </w:rPr>
        <w:t>[4]</w:t>
      </w:r>
    </w:p>
    <w:p w14:paraId="2556F446" w14:textId="77777777" w:rsidR="001A6D66" w:rsidRPr="001A6D66" w:rsidRDefault="001A6D66" w:rsidP="001A6D66">
      <w:pPr>
        <w:rPr>
          <w:rFonts w:asciiTheme="majorBidi" w:hAnsiTheme="majorBidi" w:cstheme="majorBidi"/>
          <w:sz w:val="22"/>
          <w:szCs w:val="22"/>
        </w:rPr>
      </w:pPr>
      <w:r w:rsidRPr="001A6D66">
        <w:rPr>
          <w:rFonts w:asciiTheme="majorBidi" w:hAnsiTheme="majorBidi" w:cstheme="majorBidi"/>
          <w:sz w:val="22"/>
          <w:szCs w:val="22"/>
        </w:rPr>
        <w:t>A. J, “A Study of the behaviour of emulsion explosives,” PDF, Cranfield University , 2009. Accessed: Dec. 04, 2025. [Online]. Available: https://dspace.lib.cranfield.ac.uk/items/7b5d71e8-cb81-4168-9da3-36df83a0c67a</w:t>
      </w:r>
    </w:p>
    <w:p w14:paraId="13E5F8E0" w14:textId="77777777" w:rsidR="001A6D66" w:rsidRPr="001A6D66" w:rsidRDefault="001A6D66" w:rsidP="001A6D66">
      <w:pPr>
        <w:rPr>
          <w:rFonts w:asciiTheme="majorBidi" w:hAnsiTheme="majorBidi" w:cstheme="majorBidi"/>
          <w:sz w:val="22"/>
          <w:szCs w:val="22"/>
        </w:rPr>
      </w:pPr>
      <w:r w:rsidRPr="001A6D66">
        <w:rPr>
          <w:rFonts w:asciiTheme="majorBidi" w:hAnsiTheme="majorBidi" w:cstheme="majorBidi"/>
          <w:sz w:val="22"/>
          <w:szCs w:val="22"/>
        </w:rPr>
        <w:t>[5]</w:t>
      </w:r>
    </w:p>
    <w:p w14:paraId="78895BE0" w14:textId="77777777" w:rsidR="001A6D66" w:rsidRPr="001A6D66" w:rsidRDefault="001A6D66" w:rsidP="001A6D66">
      <w:pPr>
        <w:rPr>
          <w:rFonts w:asciiTheme="majorBidi" w:hAnsiTheme="majorBidi" w:cstheme="majorBidi"/>
          <w:sz w:val="22"/>
          <w:szCs w:val="22"/>
        </w:rPr>
      </w:pPr>
      <w:r w:rsidRPr="001A6D66">
        <w:rPr>
          <w:rFonts w:asciiTheme="majorBidi" w:hAnsiTheme="majorBidi" w:cstheme="majorBidi"/>
          <w:sz w:val="22"/>
          <w:szCs w:val="22"/>
        </w:rPr>
        <w:t xml:space="preserve">B. Khasainov, M. Comet, B. Veyssiere, and D. Spitzer, “On the Mechanism of Efficiency of Lead Azide,” </w:t>
      </w:r>
      <w:r w:rsidRPr="001A6D66">
        <w:rPr>
          <w:rFonts w:asciiTheme="majorBidi" w:hAnsiTheme="majorBidi" w:cstheme="majorBidi"/>
          <w:i/>
          <w:iCs/>
          <w:sz w:val="22"/>
          <w:szCs w:val="22"/>
        </w:rPr>
        <w:t>Propellants Explosives Pyrotechnics</w:t>
      </w:r>
      <w:r w:rsidRPr="001A6D66">
        <w:rPr>
          <w:rFonts w:asciiTheme="majorBidi" w:hAnsiTheme="majorBidi" w:cstheme="majorBidi"/>
          <w:sz w:val="22"/>
          <w:szCs w:val="22"/>
        </w:rPr>
        <w:t>, vol. 42, no. 5, pp. 547–557, Nov. 2016, doi: https://doi.org/10.1002/prep.201600075.</w:t>
      </w:r>
    </w:p>
    <w:p w14:paraId="48968A8C" w14:textId="77777777" w:rsidR="001A6D66" w:rsidRPr="001A6D66" w:rsidRDefault="001A6D66" w:rsidP="001A6D66">
      <w:pPr>
        <w:rPr>
          <w:rFonts w:asciiTheme="majorBidi" w:hAnsiTheme="majorBidi" w:cstheme="majorBidi"/>
          <w:sz w:val="22"/>
          <w:szCs w:val="22"/>
        </w:rPr>
      </w:pPr>
      <w:r w:rsidRPr="001A6D66">
        <w:rPr>
          <w:rFonts w:asciiTheme="majorBidi" w:hAnsiTheme="majorBidi" w:cstheme="majorBidi"/>
          <w:sz w:val="22"/>
          <w:szCs w:val="22"/>
        </w:rPr>
        <w:t>[6]</w:t>
      </w:r>
    </w:p>
    <w:p w14:paraId="524E0589" w14:textId="77777777" w:rsidR="001A6D66" w:rsidRPr="001A6D66" w:rsidRDefault="001A6D66" w:rsidP="001A6D66">
      <w:pPr>
        <w:rPr>
          <w:rFonts w:asciiTheme="majorBidi" w:hAnsiTheme="majorBidi" w:cstheme="majorBidi"/>
          <w:sz w:val="22"/>
          <w:szCs w:val="22"/>
        </w:rPr>
      </w:pPr>
      <w:r w:rsidRPr="001A6D66">
        <w:rPr>
          <w:rFonts w:asciiTheme="majorBidi" w:hAnsiTheme="majorBidi" w:cstheme="majorBidi"/>
          <w:sz w:val="22"/>
          <w:szCs w:val="22"/>
        </w:rPr>
        <w:t xml:space="preserve">O. E. Petel, D. Mack, A. J. Higgins, R. Turcotte, and S. K. Chan, “Minimum propagation diameter and thickness of high explosives,” </w:t>
      </w:r>
      <w:r w:rsidRPr="001A6D66">
        <w:rPr>
          <w:rFonts w:asciiTheme="majorBidi" w:hAnsiTheme="majorBidi" w:cstheme="majorBidi"/>
          <w:i/>
          <w:iCs/>
          <w:sz w:val="22"/>
          <w:szCs w:val="22"/>
        </w:rPr>
        <w:t>Journal of Loss Prevention in the Process Industries</w:t>
      </w:r>
      <w:r w:rsidRPr="001A6D66">
        <w:rPr>
          <w:rFonts w:asciiTheme="majorBidi" w:hAnsiTheme="majorBidi" w:cstheme="majorBidi"/>
          <w:sz w:val="22"/>
          <w:szCs w:val="22"/>
        </w:rPr>
        <w:t>, vol. 20, no. 4–6, pp. 578–583, May 2007, doi: https://doi.org/10.1016/j.jlp.2007.05.007.</w:t>
      </w:r>
    </w:p>
    <w:p w14:paraId="16372918" w14:textId="77777777" w:rsidR="001A6D66" w:rsidRPr="001A6D66" w:rsidRDefault="001A6D66" w:rsidP="001A6D66">
      <w:pPr>
        <w:rPr>
          <w:rFonts w:asciiTheme="majorBidi" w:hAnsiTheme="majorBidi" w:cstheme="majorBidi"/>
          <w:sz w:val="22"/>
          <w:szCs w:val="22"/>
        </w:rPr>
      </w:pPr>
      <w:r w:rsidRPr="001A6D66">
        <w:rPr>
          <w:rFonts w:asciiTheme="majorBidi" w:hAnsiTheme="majorBidi" w:cstheme="majorBidi"/>
          <w:sz w:val="22"/>
          <w:szCs w:val="22"/>
        </w:rPr>
        <w:t>[7]</w:t>
      </w:r>
    </w:p>
    <w:p w14:paraId="5D304CC4" w14:textId="77777777" w:rsidR="001A6D66" w:rsidRPr="001A6D66" w:rsidRDefault="001A6D66" w:rsidP="001A6D66">
      <w:pPr>
        <w:rPr>
          <w:rFonts w:asciiTheme="majorBidi" w:hAnsiTheme="majorBidi" w:cstheme="majorBidi"/>
          <w:sz w:val="22"/>
          <w:szCs w:val="22"/>
        </w:rPr>
      </w:pPr>
      <w:r w:rsidRPr="001A6D66">
        <w:rPr>
          <w:rFonts w:asciiTheme="majorBidi" w:hAnsiTheme="majorBidi" w:cstheme="majorBidi"/>
          <w:sz w:val="22"/>
          <w:szCs w:val="22"/>
        </w:rPr>
        <w:t xml:space="preserve">J. Akhavan, </w:t>
      </w:r>
      <w:r w:rsidRPr="001A6D66">
        <w:rPr>
          <w:rFonts w:asciiTheme="majorBidi" w:hAnsiTheme="majorBidi" w:cstheme="majorBidi"/>
          <w:i/>
          <w:iCs/>
          <w:sz w:val="22"/>
          <w:szCs w:val="22"/>
        </w:rPr>
        <w:t>The chemistry of explosives</w:t>
      </w:r>
      <w:r w:rsidRPr="001A6D66">
        <w:rPr>
          <w:rFonts w:asciiTheme="majorBidi" w:hAnsiTheme="majorBidi" w:cstheme="majorBidi"/>
          <w:sz w:val="22"/>
          <w:szCs w:val="22"/>
        </w:rPr>
        <w:t>. Cambridge: Royal Soc. Of Chemistry, 2012.</w:t>
      </w:r>
    </w:p>
    <w:p w14:paraId="20FDED3F" w14:textId="77777777" w:rsidR="001A6D66" w:rsidRPr="001A6D66" w:rsidRDefault="001A6D66" w:rsidP="001A6D66">
      <w:pPr>
        <w:rPr>
          <w:rFonts w:asciiTheme="majorBidi" w:hAnsiTheme="majorBidi" w:cstheme="majorBidi"/>
          <w:sz w:val="22"/>
          <w:szCs w:val="22"/>
        </w:rPr>
      </w:pPr>
      <w:r w:rsidRPr="001A6D66">
        <w:rPr>
          <w:rFonts w:asciiTheme="majorBidi" w:hAnsiTheme="majorBidi" w:cstheme="majorBidi"/>
          <w:sz w:val="22"/>
          <w:szCs w:val="22"/>
        </w:rPr>
        <w:lastRenderedPageBreak/>
        <w:t>[8]</w:t>
      </w:r>
    </w:p>
    <w:p w14:paraId="48834EE5" w14:textId="77777777" w:rsidR="001A6D66" w:rsidRPr="001A6D66" w:rsidRDefault="001A6D66" w:rsidP="001A6D66">
      <w:pPr>
        <w:rPr>
          <w:rFonts w:asciiTheme="majorBidi" w:hAnsiTheme="majorBidi" w:cstheme="majorBidi"/>
          <w:sz w:val="22"/>
          <w:szCs w:val="22"/>
        </w:rPr>
      </w:pPr>
      <w:r w:rsidRPr="001A6D66">
        <w:rPr>
          <w:rFonts w:asciiTheme="majorBidi" w:hAnsiTheme="majorBidi" w:cstheme="majorBidi"/>
          <w:sz w:val="22"/>
          <w:szCs w:val="22"/>
        </w:rPr>
        <w:t xml:space="preserve">D. for, “Toxic lead ammunition banned to protect Britain’s countryside,” </w:t>
      </w:r>
      <w:r w:rsidRPr="001A6D66">
        <w:rPr>
          <w:rFonts w:asciiTheme="majorBidi" w:hAnsiTheme="majorBidi" w:cstheme="majorBidi"/>
          <w:i/>
          <w:iCs/>
          <w:sz w:val="22"/>
          <w:szCs w:val="22"/>
        </w:rPr>
        <w:t>GOV.UK</w:t>
      </w:r>
      <w:r w:rsidRPr="001A6D66">
        <w:rPr>
          <w:rFonts w:asciiTheme="majorBidi" w:hAnsiTheme="majorBidi" w:cstheme="majorBidi"/>
          <w:sz w:val="22"/>
          <w:szCs w:val="22"/>
        </w:rPr>
        <w:t>, Jul. 10, 2025. https://www.gov.uk/government/news/toxic-lead-ammunition-banned-to-protect-britains-countryside</w:t>
      </w:r>
    </w:p>
    <w:p w14:paraId="70768C31" w14:textId="77777777" w:rsidR="001A6D66" w:rsidRPr="001A6D66" w:rsidRDefault="001A6D66" w:rsidP="001A6D66">
      <w:pPr>
        <w:rPr>
          <w:rFonts w:asciiTheme="majorBidi" w:hAnsiTheme="majorBidi" w:cstheme="majorBidi"/>
          <w:sz w:val="22"/>
          <w:szCs w:val="22"/>
        </w:rPr>
      </w:pPr>
      <w:r w:rsidRPr="001A6D66">
        <w:rPr>
          <w:rFonts w:asciiTheme="majorBidi" w:hAnsiTheme="majorBidi" w:cstheme="majorBidi"/>
          <w:sz w:val="22"/>
          <w:szCs w:val="22"/>
        </w:rPr>
        <w:t>[9]</w:t>
      </w:r>
    </w:p>
    <w:p w14:paraId="0EED2E50" w14:textId="77777777" w:rsidR="001A6D66" w:rsidRPr="001A6D66" w:rsidRDefault="001A6D66" w:rsidP="001A6D66">
      <w:pPr>
        <w:rPr>
          <w:rFonts w:asciiTheme="majorBidi" w:hAnsiTheme="majorBidi" w:cstheme="majorBidi"/>
          <w:sz w:val="22"/>
          <w:szCs w:val="22"/>
        </w:rPr>
      </w:pPr>
      <w:r w:rsidRPr="001A6D66">
        <w:rPr>
          <w:rFonts w:asciiTheme="majorBidi" w:hAnsiTheme="majorBidi" w:cstheme="majorBidi"/>
          <w:sz w:val="22"/>
          <w:szCs w:val="22"/>
        </w:rPr>
        <w:t xml:space="preserve">“Introduction to Explosives,” </w:t>
      </w:r>
      <w:r w:rsidRPr="001A6D66">
        <w:rPr>
          <w:rFonts w:asciiTheme="majorBidi" w:hAnsiTheme="majorBidi" w:cstheme="majorBidi"/>
          <w:i/>
          <w:iCs/>
          <w:sz w:val="22"/>
          <w:szCs w:val="22"/>
        </w:rPr>
        <w:t>The Royal Society of Chemistry eBooks</w:t>
      </w:r>
      <w:r w:rsidRPr="001A6D66">
        <w:rPr>
          <w:rFonts w:asciiTheme="majorBidi" w:hAnsiTheme="majorBidi" w:cstheme="majorBidi"/>
          <w:sz w:val="22"/>
          <w:szCs w:val="22"/>
        </w:rPr>
        <w:t>, pp. 1–27, Mar. 2022, doi: https://doi.org/10.1039/bk9781839164460-00001.</w:t>
      </w:r>
    </w:p>
    <w:p w14:paraId="3C1665F0" w14:textId="77777777" w:rsidR="001A6D66" w:rsidRPr="001A6D66" w:rsidRDefault="001A6D66" w:rsidP="001A6D66">
      <w:pPr>
        <w:rPr>
          <w:rFonts w:asciiTheme="majorBidi" w:hAnsiTheme="majorBidi" w:cstheme="majorBidi"/>
          <w:sz w:val="22"/>
          <w:szCs w:val="22"/>
        </w:rPr>
      </w:pPr>
      <w:r w:rsidRPr="001A6D66">
        <w:rPr>
          <w:rFonts w:asciiTheme="majorBidi" w:hAnsiTheme="majorBidi" w:cstheme="majorBidi"/>
          <w:sz w:val="22"/>
          <w:szCs w:val="22"/>
        </w:rPr>
        <w:t>[10]</w:t>
      </w:r>
    </w:p>
    <w:p w14:paraId="42518ED7" w14:textId="77777777" w:rsidR="001A6D66" w:rsidRPr="001A6D66" w:rsidRDefault="001A6D66" w:rsidP="001A6D66">
      <w:pPr>
        <w:rPr>
          <w:rFonts w:asciiTheme="majorBidi" w:hAnsiTheme="majorBidi" w:cstheme="majorBidi"/>
          <w:sz w:val="22"/>
          <w:szCs w:val="22"/>
        </w:rPr>
      </w:pPr>
      <w:r w:rsidRPr="001A6D66">
        <w:rPr>
          <w:rFonts w:asciiTheme="majorBidi" w:hAnsiTheme="majorBidi" w:cstheme="majorBidi"/>
          <w:sz w:val="22"/>
          <w:szCs w:val="22"/>
        </w:rPr>
        <w:t xml:space="preserve">I. Jaffe and D. Price, “Determination of the Critical Diameter of Explosive Materials,” </w:t>
      </w:r>
      <w:r w:rsidRPr="001A6D66">
        <w:rPr>
          <w:rFonts w:asciiTheme="majorBidi" w:hAnsiTheme="majorBidi" w:cstheme="majorBidi"/>
          <w:i/>
          <w:iCs/>
          <w:sz w:val="22"/>
          <w:szCs w:val="22"/>
        </w:rPr>
        <w:t>ARS journal</w:t>
      </w:r>
      <w:r w:rsidRPr="001A6D66">
        <w:rPr>
          <w:rFonts w:asciiTheme="majorBidi" w:hAnsiTheme="majorBidi" w:cstheme="majorBidi"/>
          <w:sz w:val="22"/>
          <w:szCs w:val="22"/>
        </w:rPr>
        <w:t>, vol. 32, no. 7, pp. 1060–1065, Jul. 1962, doi: https://doi.org/10.2514/8.6205.</w:t>
      </w:r>
    </w:p>
    <w:p w14:paraId="4DE1A219" w14:textId="77777777" w:rsidR="001A6D66" w:rsidRPr="001A6D66" w:rsidRDefault="001A6D66" w:rsidP="001A6D66">
      <w:pPr>
        <w:rPr>
          <w:rFonts w:asciiTheme="majorBidi" w:hAnsiTheme="majorBidi" w:cstheme="majorBidi"/>
          <w:sz w:val="22"/>
          <w:szCs w:val="22"/>
        </w:rPr>
      </w:pPr>
      <w:r w:rsidRPr="001A6D66">
        <w:rPr>
          <w:rFonts w:asciiTheme="majorBidi" w:hAnsiTheme="majorBidi" w:cstheme="majorBidi"/>
          <w:sz w:val="22"/>
          <w:szCs w:val="22"/>
        </w:rPr>
        <w:t>[11]</w:t>
      </w:r>
    </w:p>
    <w:p w14:paraId="64148AAC" w14:textId="77777777" w:rsidR="001A6D66" w:rsidRPr="001A6D66" w:rsidRDefault="001A6D66" w:rsidP="001A6D66">
      <w:pPr>
        <w:rPr>
          <w:rFonts w:asciiTheme="majorBidi" w:hAnsiTheme="majorBidi" w:cstheme="majorBidi"/>
          <w:sz w:val="22"/>
          <w:szCs w:val="22"/>
        </w:rPr>
      </w:pPr>
      <w:r w:rsidRPr="001A6D66">
        <w:rPr>
          <w:rFonts w:asciiTheme="majorBidi" w:hAnsiTheme="majorBidi" w:cstheme="majorBidi"/>
          <w:sz w:val="22"/>
          <w:szCs w:val="22"/>
        </w:rPr>
        <w:t xml:space="preserve">J. T. Tisdale, C. E. Freye, A. H. Cleveland, B. L. Scott, L. G. Hill, and A. L. Duque, “Investigation of Physical and Chemical Properties of TNT after Spray Drying,” </w:t>
      </w:r>
      <w:r w:rsidRPr="001A6D66">
        <w:rPr>
          <w:rFonts w:asciiTheme="majorBidi" w:hAnsiTheme="majorBidi" w:cstheme="majorBidi"/>
          <w:i/>
          <w:iCs/>
          <w:sz w:val="22"/>
          <w:szCs w:val="22"/>
        </w:rPr>
        <w:t>Crystal Growth &amp; Design</w:t>
      </w:r>
      <w:r w:rsidRPr="001A6D66">
        <w:rPr>
          <w:rFonts w:asciiTheme="majorBidi" w:hAnsiTheme="majorBidi" w:cstheme="majorBidi"/>
          <w:sz w:val="22"/>
          <w:szCs w:val="22"/>
        </w:rPr>
        <w:t>, vol. 23, no. 9, pp. 6902–6908, Jul. 2023, doi: https://doi.org/10.1021/acs.cgd.3c00729.</w:t>
      </w:r>
    </w:p>
    <w:p w14:paraId="0318D06A" w14:textId="77777777" w:rsidR="001A6D66" w:rsidRPr="001A6D66" w:rsidRDefault="001A6D66" w:rsidP="001A6D66">
      <w:pPr>
        <w:rPr>
          <w:rFonts w:asciiTheme="majorBidi" w:hAnsiTheme="majorBidi" w:cstheme="majorBidi"/>
          <w:sz w:val="22"/>
          <w:szCs w:val="22"/>
        </w:rPr>
      </w:pPr>
      <w:r w:rsidRPr="001A6D66">
        <w:rPr>
          <w:rFonts w:asciiTheme="majorBidi" w:hAnsiTheme="majorBidi" w:cstheme="majorBidi"/>
          <w:sz w:val="22"/>
          <w:szCs w:val="22"/>
        </w:rPr>
        <w:t>[12]</w:t>
      </w:r>
    </w:p>
    <w:p w14:paraId="6A002382" w14:textId="77777777" w:rsidR="001A6D66" w:rsidRPr="001A6D66" w:rsidRDefault="001A6D66" w:rsidP="001A6D66">
      <w:pPr>
        <w:rPr>
          <w:rFonts w:asciiTheme="majorBidi" w:hAnsiTheme="majorBidi" w:cstheme="majorBidi"/>
          <w:sz w:val="22"/>
          <w:szCs w:val="22"/>
        </w:rPr>
      </w:pPr>
      <w:r w:rsidRPr="001A6D66">
        <w:rPr>
          <w:rFonts w:asciiTheme="majorBidi" w:hAnsiTheme="majorBidi" w:cstheme="majorBidi"/>
          <w:sz w:val="22"/>
          <w:szCs w:val="22"/>
        </w:rPr>
        <w:t xml:space="preserve">A. W. Campbell and R. Engelke, “Diameter effect in high-density heterogeneous explosives,” </w:t>
      </w:r>
      <w:r w:rsidRPr="001A6D66">
        <w:rPr>
          <w:rFonts w:asciiTheme="majorBidi" w:hAnsiTheme="majorBidi" w:cstheme="majorBidi"/>
          <w:i/>
          <w:iCs/>
          <w:sz w:val="22"/>
          <w:szCs w:val="22"/>
        </w:rPr>
        <w:t>OSTI OAI (U.S. Department of Energy Office of Scientific and Technical Information)</w:t>
      </w:r>
      <w:r w:rsidRPr="001A6D66">
        <w:rPr>
          <w:rFonts w:asciiTheme="majorBidi" w:hAnsiTheme="majorBidi" w:cstheme="majorBidi"/>
          <w:sz w:val="22"/>
          <w:szCs w:val="22"/>
        </w:rPr>
        <w:t>, vol. LA-UR-76-1115, Jan. 1976.</w:t>
      </w:r>
    </w:p>
    <w:p w14:paraId="225F2A7E" w14:textId="77777777" w:rsidR="001A6D66" w:rsidRPr="001A6D66" w:rsidRDefault="001A6D66" w:rsidP="001A6D66">
      <w:pPr>
        <w:rPr>
          <w:rFonts w:asciiTheme="majorBidi" w:hAnsiTheme="majorBidi" w:cstheme="majorBidi"/>
          <w:sz w:val="22"/>
          <w:szCs w:val="22"/>
        </w:rPr>
      </w:pPr>
      <w:r w:rsidRPr="001A6D66">
        <w:rPr>
          <w:rFonts w:asciiTheme="majorBidi" w:hAnsiTheme="majorBidi" w:cstheme="majorBidi"/>
          <w:sz w:val="22"/>
          <w:szCs w:val="22"/>
        </w:rPr>
        <w:t>[13]</w:t>
      </w:r>
    </w:p>
    <w:p w14:paraId="37EDDC58" w14:textId="77777777" w:rsidR="001A6D66" w:rsidRPr="001A6D66" w:rsidRDefault="001A6D66" w:rsidP="001A6D66">
      <w:pPr>
        <w:rPr>
          <w:rFonts w:asciiTheme="majorBidi" w:hAnsiTheme="majorBidi" w:cstheme="majorBidi"/>
          <w:sz w:val="22"/>
          <w:szCs w:val="22"/>
        </w:rPr>
      </w:pPr>
      <w:r w:rsidRPr="001A6D66">
        <w:rPr>
          <w:rFonts w:asciiTheme="majorBidi" w:hAnsiTheme="majorBidi" w:cstheme="majorBidi"/>
          <w:sz w:val="22"/>
          <w:szCs w:val="22"/>
        </w:rPr>
        <w:t xml:space="preserve">A. S. Augusto </w:t>
      </w:r>
      <w:r w:rsidRPr="001A6D66">
        <w:rPr>
          <w:rFonts w:asciiTheme="majorBidi" w:hAnsiTheme="majorBidi" w:cstheme="majorBidi"/>
          <w:i/>
          <w:iCs/>
          <w:sz w:val="22"/>
          <w:szCs w:val="22"/>
        </w:rPr>
        <w:t>et al.</w:t>
      </w:r>
      <w:r w:rsidRPr="001A6D66">
        <w:rPr>
          <w:rFonts w:asciiTheme="majorBidi" w:hAnsiTheme="majorBidi" w:cstheme="majorBidi"/>
          <w:sz w:val="22"/>
          <w:szCs w:val="22"/>
        </w:rPr>
        <w:t xml:space="preserve">, “Experimental Characterization of Cast Explosive Charges Used in Studies of Blast Effects on Structures,” </w:t>
      </w:r>
      <w:r w:rsidRPr="001A6D66">
        <w:rPr>
          <w:rFonts w:asciiTheme="majorBidi" w:hAnsiTheme="majorBidi" w:cstheme="majorBidi"/>
          <w:i/>
          <w:iCs/>
          <w:sz w:val="22"/>
          <w:szCs w:val="22"/>
        </w:rPr>
        <w:t>CivilEng</w:t>
      </w:r>
      <w:r w:rsidRPr="001A6D66">
        <w:rPr>
          <w:rFonts w:asciiTheme="majorBidi" w:hAnsiTheme="majorBidi" w:cstheme="majorBidi"/>
          <w:sz w:val="22"/>
          <w:szCs w:val="22"/>
        </w:rPr>
        <w:t>, vol. 6, no. 2, pp. 20–20, Apr. 2025, doi: https://doi.org/10.3390/civileng6020020.</w:t>
      </w:r>
    </w:p>
    <w:p w14:paraId="3B2AFB21" w14:textId="77777777" w:rsidR="001A6D66" w:rsidRPr="001A6D66" w:rsidRDefault="001A6D66" w:rsidP="001A6D66">
      <w:pPr>
        <w:rPr>
          <w:rFonts w:asciiTheme="majorBidi" w:hAnsiTheme="majorBidi" w:cstheme="majorBidi"/>
          <w:sz w:val="22"/>
          <w:szCs w:val="22"/>
        </w:rPr>
      </w:pPr>
      <w:r w:rsidRPr="001A6D66">
        <w:rPr>
          <w:rFonts w:asciiTheme="majorBidi" w:hAnsiTheme="majorBidi" w:cstheme="majorBidi"/>
          <w:sz w:val="22"/>
          <w:szCs w:val="22"/>
        </w:rPr>
        <w:t>[14]</w:t>
      </w:r>
    </w:p>
    <w:p w14:paraId="7CBBDBFB" w14:textId="3B407C0C" w:rsidR="001A6D66" w:rsidRPr="00DA1B85" w:rsidRDefault="001A6D66" w:rsidP="001A6D66">
      <w:pPr>
        <w:rPr>
          <w:rFonts w:asciiTheme="majorBidi" w:hAnsiTheme="majorBidi" w:cstheme="majorBidi"/>
          <w:sz w:val="22"/>
          <w:szCs w:val="22"/>
        </w:rPr>
      </w:pPr>
      <w:r w:rsidRPr="00DA1B85">
        <w:rPr>
          <w:rFonts w:asciiTheme="majorBidi" w:hAnsiTheme="majorBidi" w:cstheme="majorBidi"/>
          <w:sz w:val="22"/>
          <w:szCs w:val="22"/>
        </w:rPr>
        <w:t xml:space="preserve">Z.-X. Zhang, </w:t>
      </w:r>
      <w:r w:rsidRPr="00DA1B85">
        <w:rPr>
          <w:rFonts w:asciiTheme="majorBidi" w:hAnsiTheme="majorBidi" w:cstheme="majorBidi"/>
          <w:i/>
          <w:iCs/>
          <w:sz w:val="22"/>
          <w:szCs w:val="22"/>
        </w:rPr>
        <w:t>Rock Fracture and Blasting</w:t>
      </w:r>
      <w:r w:rsidRPr="00DA1B85">
        <w:rPr>
          <w:rFonts w:asciiTheme="majorBidi" w:hAnsiTheme="majorBidi" w:cstheme="majorBidi"/>
          <w:sz w:val="22"/>
          <w:szCs w:val="22"/>
        </w:rPr>
        <w:t>. Butterworth-Heinemann, 2016.</w:t>
      </w:r>
    </w:p>
    <w:p w14:paraId="7AC9DC5A" w14:textId="77777777" w:rsidR="00DA1B85" w:rsidRPr="00DA1B85" w:rsidRDefault="00DA1B85" w:rsidP="00941D35">
      <w:pPr>
        <w:rPr>
          <w:rFonts w:asciiTheme="majorBidi" w:hAnsiTheme="majorBidi" w:cstheme="majorBidi"/>
          <w:sz w:val="22"/>
          <w:szCs w:val="22"/>
        </w:rPr>
      </w:pPr>
      <w:r w:rsidRPr="00DA1B85">
        <w:rPr>
          <w:rFonts w:asciiTheme="majorBidi" w:hAnsiTheme="majorBidi" w:cstheme="majorBidi"/>
          <w:sz w:val="22"/>
          <w:szCs w:val="22"/>
        </w:rPr>
        <w:t>[15]</w:t>
      </w:r>
    </w:p>
    <w:p w14:paraId="6706012B" w14:textId="29E96B65" w:rsidR="004D5EBD" w:rsidRDefault="00DA1B85" w:rsidP="00941D35">
      <w:pPr>
        <w:rPr>
          <w:rFonts w:asciiTheme="majorBidi" w:hAnsiTheme="majorBidi" w:cstheme="majorBidi"/>
          <w:sz w:val="22"/>
          <w:szCs w:val="22"/>
        </w:rPr>
      </w:pPr>
      <w:r w:rsidRPr="00DA1B85">
        <w:rPr>
          <w:rFonts w:asciiTheme="majorBidi" w:hAnsiTheme="majorBidi" w:cstheme="majorBidi"/>
          <w:sz w:val="22"/>
          <w:szCs w:val="22"/>
        </w:rPr>
        <w:t>T. R. Gibbs and A. Popolato, LASL Explosive Property Data. University of California Press , 2020.</w:t>
      </w:r>
    </w:p>
    <w:p w14:paraId="39077A9F" w14:textId="2E807372" w:rsidR="006D47CE" w:rsidRPr="00DA1B85" w:rsidRDefault="006D47CE" w:rsidP="006D47CE">
      <w:pPr>
        <w:rPr>
          <w:rFonts w:asciiTheme="majorBidi" w:hAnsiTheme="majorBidi" w:cstheme="majorBidi"/>
          <w:sz w:val="22"/>
          <w:szCs w:val="22"/>
        </w:rPr>
      </w:pPr>
      <w:r w:rsidRPr="00DA1B85">
        <w:rPr>
          <w:rFonts w:asciiTheme="majorBidi" w:hAnsiTheme="majorBidi" w:cstheme="majorBidi"/>
          <w:sz w:val="22"/>
          <w:szCs w:val="22"/>
        </w:rPr>
        <w:lastRenderedPageBreak/>
        <w:t>[1</w:t>
      </w:r>
      <w:r>
        <w:rPr>
          <w:rFonts w:asciiTheme="majorBidi" w:hAnsiTheme="majorBidi" w:cstheme="majorBidi"/>
          <w:sz w:val="22"/>
          <w:szCs w:val="22"/>
        </w:rPr>
        <w:t>6</w:t>
      </w:r>
      <w:r w:rsidRPr="00DA1B85">
        <w:rPr>
          <w:rFonts w:asciiTheme="majorBidi" w:hAnsiTheme="majorBidi" w:cstheme="majorBidi"/>
          <w:sz w:val="22"/>
          <w:szCs w:val="22"/>
        </w:rPr>
        <w:t>]</w:t>
      </w:r>
    </w:p>
    <w:p w14:paraId="6EF7FF26" w14:textId="472D6D08" w:rsidR="006D47CE" w:rsidRDefault="006D47CE" w:rsidP="006D47CE">
      <w:pPr>
        <w:rPr>
          <w:rFonts w:asciiTheme="majorBidi" w:hAnsiTheme="majorBidi" w:cstheme="majorBidi"/>
          <w:sz w:val="22"/>
          <w:szCs w:val="22"/>
        </w:rPr>
      </w:pPr>
      <w:r w:rsidRPr="006D47CE">
        <w:rPr>
          <w:rFonts w:asciiTheme="majorBidi" w:hAnsiTheme="majorBidi" w:cstheme="majorBidi"/>
          <w:sz w:val="22"/>
          <w:szCs w:val="22"/>
        </w:rPr>
        <w:t>Michael L. Hobbs</w:t>
      </w:r>
      <w:r w:rsidRPr="00DA1B85">
        <w:rPr>
          <w:rFonts w:asciiTheme="majorBidi" w:hAnsiTheme="majorBidi" w:cstheme="majorBidi"/>
          <w:sz w:val="22"/>
          <w:szCs w:val="22"/>
        </w:rPr>
        <w:t xml:space="preserve">, </w:t>
      </w:r>
      <w:r w:rsidRPr="006D47CE">
        <w:rPr>
          <w:rFonts w:asciiTheme="majorBidi" w:hAnsiTheme="majorBidi" w:cstheme="majorBidi"/>
          <w:sz w:val="22"/>
          <w:szCs w:val="22"/>
        </w:rPr>
        <w:t>Modelling</w:t>
      </w:r>
      <w:r w:rsidRPr="006D47CE">
        <w:rPr>
          <w:rFonts w:asciiTheme="majorBidi" w:hAnsiTheme="majorBidi" w:cstheme="majorBidi"/>
          <w:sz w:val="22"/>
          <w:szCs w:val="22"/>
        </w:rPr>
        <w:t xml:space="preserve"> TNT ignition with flow</w:t>
      </w:r>
      <w:r w:rsidRPr="00DA1B85">
        <w:rPr>
          <w:rFonts w:asciiTheme="majorBidi" w:hAnsiTheme="majorBidi" w:cstheme="majorBidi"/>
          <w:sz w:val="22"/>
          <w:szCs w:val="22"/>
        </w:rPr>
        <w:t>.</w:t>
      </w:r>
      <w:r w:rsidRPr="006D47CE">
        <w:t xml:space="preserve"> </w:t>
      </w:r>
      <w:r w:rsidRPr="006D47CE">
        <w:rPr>
          <w:rFonts w:asciiTheme="majorBidi" w:hAnsiTheme="majorBidi" w:cstheme="majorBidi"/>
          <w:sz w:val="22"/>
          <w:szCs w:val="22"/>
        </w:rPr>
        <w:t>SEM Annual Conference</w:t>
      </w:r>
      <w:r>
        <w:rPr>
          <w:rFonts w:asciiTheme="majorBidi" w:hAnsiTheme="majorBidi" w:cstheme="majorBidi"/>
          <w:sz w:val="22"/>
          <w:szCs w:val="22"/>
        </w:rPr>
        <w:t xml:space="preserve"> </w:t>
      </w:r>
      <w:r w:rsidRPr="006D47CE">
        <w:rPr>
          <w:rFonts w:asciiTheme="majorBidi" w:hAnsiTheme="majorBidi" w:cstheme="majorBidi"/>
          <w:sz w:val="22"/>
          <w:szCs w:val="22"/>
        </w:rPr>
        <w:t>June 1-4, Albuquerque New Mexico USA</w:t>
      </w:r>
      <w:r>
        <w:rPr>
          <w:rFonts w:asciiTheme="majorBidi" w:hAnsiTheme="majorBidi" w:cstheme="majorBidi"/>
          <w:sz w:val="22"/>
          <w:szCs w:val="22"/>
        </w:rPr>
        <w:t xml:space="preserve">, </w:t>
      </w:r>
      <w:r w:rsidRPr="006D47CE">
        <w:rPr>
          <w:rFonts w:asciiTheme="majorBidi" w:hAnsiTheme="majorBidi" w:cstheme="majorBidi"/>
          <w:sz w:val="22"/>
          <w:szCs w:val="22"/>
        </w:rPr>
        <w:t>2009</w:t>
      </w:r>
    </w:p>
    <w:p w14:paraId="5B50778E" w14:textId="77777777" w:rsidR="006D47CE" w:rsidRDefault="006D47CE" w:rsidP="00941D35">
      <w:pPr>
        <w:rPr>
          <w:rFonts w:asciiTheme="majorBidi" w:hAnsiTheme="majorBidi" w:cstheme="majorBidi"/>
          <w:sz w:val="22"/>
          <w:szCs w:val="22"/>
        </w:rPr>
      </w:pPr>
    </w:p>
    <w:p w14:paraId="3FD2E47F" w14:textId="3ED48345" w:rsidR="00DA28B2" w:rsidRPr="004727CF" w:rsidRDefault="00DA28B2" w:rsidP="00941D35">
      <w:pPr>
        <w:rPr>
          <w:rFonts w:asciiTheme="majorBidi" w:hAnsiTheme="majorBidi" w:cstheme="majorBidi"/>
        </w:rPr>
      </w:pPr>
    </w:p>
    <w:p w14:paraId="6131CB69" w14:textId="0FC60A96" w:rsidR="004747AF" w:rsidRDefault="004747AF" w:rsidP="00CB789F">
      <w:pPr>
        <w:pStyle w:val="BodyText"/>
      </w:pPr>
    </w:p>
    <w:sectPr w:rsidR="004747AF" w:rsidSect="000D3AB7">
      <w:headerReference w:type="default" r:id="rId26"/>
      <w:pgSz w:w="11906" w:h="16838" w:code="9"/>
      <w:pgMar w:top="1701" w:right="1701" w:bottom="1701" w:left="1701" w:header="709"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F970F7" w14:textId="77777777" w:rsidR="0075020C" w:rsidRDefault="0075020C">
      <w:r>
        <w:separator/>
      </w:r>
    </w:p>
  </w:endnote>
  <w:endnote w:type="continuationSeparator" w:id="0">
    <w:p w14:paraId="224F3A75" w14:textId="77777777" w:rsidR="0075020C" w:rsidRDefault="007502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icrosoft GothicNeo">
    <w:charset w:val="81"/>
    <w:family w:val="swiss"/>
    <w:pitch w:val="variable"/>
    <w:sig w:usb0="800002BF" w:usb1="29D7A47B" w:usb2="00000010" w:usb3="00000000" w:csb0="0029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86FF8F" w14:textId="77777777" w:rsidR="00904979" w:rsidRDefault="0090497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1E9E77" w14:textId="6DEDB1B9" w:rsidR="002B0693" w:rsidRDefault="002B0693" w:rsidP="005B365C">
    <w:pPr>
      <w:pStyle w:val="Footer"/>
      <w:spacing w:before="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83A8DC" w14:textId="77777777" w:rsidR="00904979" w:rsidRDefault="00904979">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D2F4AB" w14:textId="67050693" w:rsidR="00904979" w:rsidRDefault="00904979" w:rsidP="005B365C">
    <w:pPr>
      <w:pStyle w:val="Footer"/>
      <w:spacing w:before="0"/>
      <w:jc w:val="center"/>
      <w:rPr>
        <w:rStyle w:val="PageNumber"/>
      </w:rPr>
    </w:pPr>
  </w:p>
  <w:p w14:paraId="0983DDEC" w14:textId="7FC72B3E" w:rsidR="002B0693" w:rsidRDefault="002B0693">
    <w:pPr>
      <w:pStyle w:val="Footer"/>
      <w:jc w:val="center"/>
    </w:pPr>
    <w:r>
      <w:rPr>
        <w:rStyle w:val="PageNumber"/>
      </w:rPr>
      <w:fldChar w:fldCharType="begin"/>
    </w:r>
    <w:r>
      <w:rPr>
        <w:rStyle w:val="PageNumber"/>
      </w:rPr>
      <w:instrText xml:space="preserve"> PAGE </w:instrText>
    </w:r>
    <w:r>
      <w:rPr>
        <w:rStyle w:val="PageNumber"/>
      </w:rPr>
      <w:fldChar w:fldCharType="separate"/>
    </w:r>
    <w:r w:rsidR="007F186D">
      <w:rPr>
        <w:rStyle w:val="PageNumber"/>
        <w:noProof/>
      </w:rPr>
      <w:t>i</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CFFF43" w14:textId="77777777" w:rsidR="0075020C" w:rsidRDefault="0075020C">
      <w:r>
        <w:separator/>
      </w:r>
    </w:p>
  </w:footnote>
  <w:footnote w:type="continuationSeparator" w:id="0">
    <w:p w14:paraId="0EFCAACF" w14:textId="77777777" w:rsidR="0075020C" w:rsidRDefault="007502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567AE" w14:textId="77777777" w:rsidR="00904979" w:rsidRDefault="0090497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D6BB6B" w14:textId="19D43CBD" w:rsidR="00904979" w:rsidRDefault="00904979" w:rsidP="005B365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B4AA2F" w14:textId="77777777" w:rsidR="00904979" w:rsidRDefault="0090497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E8DE7C" w14:textId="2EE75AD6" w:rsidR="002B0693" w:rsidRDefault="002B0693" w:rsidP="005B365C">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537AEB" w14:textId="50267C4C" w:rsidR="002B0693" w:rsidRDefault="002B0693" w:rsidP="005B365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512C75B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F261F6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9364D4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FC0E48C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B62B20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898ACF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CA0705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8F6B74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FE188EF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41EFD7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B97B42"/>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1" w15:restartNumberingAfterBreak="0">
    <w:nsid w:val="03D8145A"/>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67C423E"/>
    <w:multiLevelType w:val="hybridMultilevel"/>
    <w:tmpl w:val="EEF02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6FC7465"/>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4" w15:restartNumberingAfterBreak="0">
    <w:nsid w:val="1967353C"/>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5" w15:restartNumberingAfterBreak="0">
    <w:nsid w:val="1A893F27"/>
    <w:multiLevelType w:val="hybridMultilevel"/>
    <w:tmpl w:val="F2F443AC"/>
    <w:lvl w:ilvl="0" w:tplc="8186773E">
      <w:start w:val="1"/>
      <w:numFmt w:val="decimal"/>
      <w:lvlText w:val="%1."/>
      <w:lvlJc w:val="left"/>
      <w:pPr>
        <w:tabs>
          <w:tab w:val="num" w:pos="360"/>
        </w:tabs>
        <w:ind w:left="360" w:hanging="360"/>
      </w:pPr>
    </w:lvl>
    <w:lvl w:ilvl="1" w:tplc="F312AD9E" w:tentative="1">
      <w:start w:val="1"/>
      <w:numFmt w:val="decimal"/>
      <w:lvlText w:val="%2."/>
      <w:lvlJc w:val="left"/>
      <w:pPr>
        <w:tabs>
          <w:tab w:val="num" w:pos="1080"/>
        </w:tabs>
        <w:ind w:left="1080" w:hanging="360"/>
      </w:pPr>
    </w:lvl>
    <w:lvl w:ilvl="2" w:tplc="00CAA3F8" w:tentative="1">
      <w:start w:val="1"/>
      <w:numFmt w:val="decimal"/>
      <w:lvlText w:val="%3."/>
      <w:lvlJc w:val="left"/>
      <w:pPr>
        <w:tabs>
          <w:tab w:val="num" w:pos="1800"/>
        </w:tabs>
        <w:ind w:left="1800" w:hanging="360"/>
      </w:pPr>
    </w:lvl>
    <w:lvl w:ilvl="3" w:tplc="D2CC9B7A" w:tentative="1">
      <w:start w:val="1"/>
      <w:numFmt w:val="decimal"/>
      <w:lvlText w:val="%4."/>
      <w:lvlJc w:val="left"/>
      <w:pPr>
        <w:tabs>
          <w:tab w:val="num" w:pos="2520"/>
        </w:tabs>
        <w:ind w:left="2520" w:hanging="360"/>
      </w:pPr>
    </w:lvl>
    <w:lvl w:ilvl="4" w:tplc="041E2A84" w:tentative="1">
      <w:start w:val="1"/>
      <w:numFmt w:val="decimal"/>
      <w:lvlText w:val="%5."/>
      <w:lvlJc w:val="left"/>
      <w:pPr>
        <w:tabs>
          <w:tab w:val="num" w:pos="3240"/>
        </w:tabs>
        <w:ind w:left="3240" w:hanging="360"/>
      </w:pPr>
    </w:lvl>
    <w:lvl w:ilvl="5" w:tplc="5DA0578C" w:tentative="1">
      <w:start w:val="1"/>
      <w:numFmt w:val="decimal"/>
      <w:lvlText w:val="%6."/>
      <w:lvlJc w:val="left"/>
      <w:pPr>
        <w:tabs>
          <w:tab w:val="num" w:pos="3960"/>
        </w:tabs>
        <w:ind w:left="3960" w:hanging="360"/>
      </w:pPr>
    </w:lvl>
    <w:lvl w:ilvl="6" w:tplc="13F87180" w:tentative="1">
      <w:start w:val="1"/>
      <w:numFmt w:val="decimal"/>
      <w:lvlText w:val="%7."/>
      <w:lvlJc w:val="left"/>
      <w:pPr>
        <w:tabs>
          <w:tab w:val="num" w:pos="4680"/>
        </w:tabs>
        <w:ind w:left="4680" w:hanging="360"/>
      </w:pPr>
    </w:lvl>
    <w:lvl w:ilvl="7" w:tplc="D45A206A" w:tentative="1">
      <w:start w:val="1"/>
      <w:numFmt w:val="decimal"/>
      <w:lvlText w:val="%8."/>
      <w:lvlJc w:val="left"/>
      <w:pPr>
        <w:tabs>
          <w:tab w:val="num" w:pos="5400"/>
        </w:tabs>
        <w:ind w:left="5400" w:hanging="360"/>
      </w:pPr>
    </w:lvl>
    <w:lvl w:ilvl="8" w:tplc="E15AB9DE" w:tentative="1">
      <w:start w:val="1"/>
      <w:numFmt w:val="decimal"/>
      <w:lvlText w:val="%9."/>
      <w:lvlJc w:val="left"/>
      <w:pPr>
        <w:tabs>
          <w:tab w:val="num" w:pos="6120"/>
        </w:tabs>
        <w:ind w:left="6120" w:hanging="360"/>
      </w:pPr>
    </w:lvl>
  </w:abstractNum>
  <w:abstractNum w:abstractNumId="16" w15:restartNumberingAfterBreak="0">
    <w:nsid w:val="27300394"/>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7" w15:restartNumberingAfterBreak="0">
    <w:nsid w:val="31BF2DED"/>
    <w:multiLevelType w:val="hybridMultilevel"/>
    <w:tmpl w:val="B7748B3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79C2A25"/>
    <w:multiLevelType w:val="hybridMultilevel"/>
    <w:tmpl w:val="FBEE5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A743C0C"/>
    <w:multiLevelType w:val="hybridMultilevel"/>
    <w:tmpl w:val="D7789F0E"/>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B58547D"/>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1" w15:restartNumberingAfterBreak="0">
    <w:nsid w:val="429A5CBE"/>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2" w15:restartNumberingAfterBreak="0">
    <w:nsid w:val="47B769CA"/>
    <w:multiLevelType w:val="hybridMultilevel"/>
    <w:tmpl w:val="790410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B2346C6"/>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C662DD2"/>
    <w:multiLevelType w:val="hybridMultilevel"/>
    <w:tmpl w:val="440044D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575A6CDA"/>
    <w:multiLevelType w:val="hybridMultilevel"/>
    <w:tmpl w:val="808C088E"/>
    <w:lvl w:ilvl="0" w:tplc="9A7C3542">
      <w:start w:val="1"/>
      <w:numFmt w:val="decimal"/>
      <w:lvlText w:val="%1."/>
      <w:lvlJc w:val="left"/>
      <w:pPr>
        <w:tabs>
          <w:tab w:val="num" w:pos="360"/>
        </w:tabs>
        <w:ind w:left="360" w:hanging="360"/>
      </w:pPr>
    </w:lvl>
    <w:lvl w:ilvl="1" w:tplc="6EFE5FE2" w:tentative="1">
      <w:start w:val="1"/>
      <w:numFmt w:val="decimal"/>
      <w:lvlText w:val="%2."/>
      <w:lvlJc w:val="left"/>
      <w:pPr>
        <w:tabs>
          <w:tab w:val="num" w:pos="1080"/>
        </w:tabs>
        <w:ind w:left="1080" w:hanging="360"/>
      </w:pPr>
    </w:lvl>
    <w:lvl w:ilvl="2" w:tplc="C74C4EBE" w:tentative="1">
      <w:start w:val="1"/>
      <w:numFmt w:val="decimal"/>
      <w:lvlText w:val="%3."/>
      <w:lvlJc w:val="left"/>
      <w:pPr>
        <w:tabs>
          <w:tab w:val="num" w:pos="1800"/>
        </w:tabs>
        <w:ind w:left="1800" w:hanging="360"/>
      </w:pPr>
    </w:lvl>
    <w:lvl w:ilvl="3" w:tplc="5B762A9C" w:tentative="1">
      <w:start w:val="1"/>
      <w:numFmt w:val="decimal"/>
      <w:lvlText w:val="%4."/>
      <w:lvlJc w:val="left"/>
      <w:pPr>
        <w:tabs>
          <w:tab w:val="num" w:pos="2520"/>
        </w:tabs>
        <w:ind w:left="2520" w:hanging="360"/>
      </w:pPr>
    </w:lvl>
    <w:lvl w:ilvl="4" w:tplc="EE969A80" w:tentative="1">
      <w:start w:val="1"/>
      <w:numFmt w:val="decimal"/>
      <w:lvlText w:val="%5."/>
      <w:lvlJc w:val="left"/>
      <w:pPr>
        <w:tabs>
          <w:tab w:val="num" w:pos="3240"/>
        </w:tabs>
        <w:ind w:left="3240" w:hanging="360"/>
      </w:pPr>
    </w:lvl>
    <w:lvl w:ilvl="5" w:tplc="88943526" w:tentative="1">
      <w:start w:val="1"/>
      <w:numFmt w:val="decimal"/>
      <w:lvlText w:val="%6."/>
      <w:lvlJc w:val="left"/>
      <w:pPr>
        <w:tabs>
          <w:tab w:val="num" w:pos="3960"/>
        </w:tabs>
        <w:ind w:left="3960" w:hanging="360"/>
      </w:pPr>
    </w:lvl>
    <w:lvl w:ilvl="6" w:tplc="401CCB04" w:tentative="1">
      <w:start w:val="1"/>
      <w:numFmt w:val="decimal"/>
      <w:lvlText w:val="%7."/>
      <w:lvlJc w:val="left"/>
      <w:pPr>
        <w:tabs>
          <w:tab w:val="num" w:pos="4680"/>
        </w:tabs>
        <w:ind w:left="4680" w:hanging="360"/>
      </w:pPr>
    </w:lvl>
    <w:lvl w:ilvl="7" w:tplc="0B3A2DAE" w:tentative="1">
      <w:start w:val="1"/>
      <w:numFmt w:val="decimal"/>
      <w:lvlText w:val="%8."/>
      <w:lvlJc w:val="left"/>
      <w:pPr>
        <w:tabs>
          <w:tab w:val="num" w:pos="5400"/>
        </w:tabs>
        <w:ind w:left="5400" w:hanging="360"/>
      </w:pPr>
    </w:lvl>
    <w:lvl w:ilvl="8" w:tplc="BAEEDDE0" w:tentative="1">
      <w:start w:val="1"/>
      <w:numFmt w:val="decimal"/>
      <w:lvlText w:val="%9."/>
      <w:lvlJc w:val="left"/>
      <w:pPr>
        <w:tabs>
          <w:tab w:val="num" w:pos="6120"/>
        </w:tabs>
        <w:ind w:left="6120" w:hanging="360"/>
      </w:pPr>
    </w:lvl>
  </w:abstractNum>
  <w:abstractNum w:abstractNumId="26" w15:restartNumberingAfterBreak="0">
    <w:nsid w:val="5CC67418"/>
    <w:multiLevelType w:val="hybridMultilevel"/>
    <w:tmpl w:val="507873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14F513E"/>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8" w15:restartNumberingAfterBreak="0">
    <w:nsid w:val="718D7555"/>
    <w:multiLevelType w:val="hybridMultilevel"/>
    <w:tmpl w:val="440044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39C76DC"/>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5697D92"/>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31" w15:restartNumberingAfterBreak="0">
    <w:nsid w:val="7AF97386"/>
    <w:multiLevelType w:val="multilevel"/>
    <w:tmpl w:val="1EE21C5E"/>
    <w:lvl w:ilvl="0">
      <w:start w:val="1"/>
      <w:numFmt w:val="decimal"/>
      <w:pStyle w:val="Heading1"/>
      <w:suff w:val="space"/>
      <w:lvlText w:val="%1"/>
      <w:lvlJc w:val="left"/>
      <w:pPr>
        <w:ind w:left="432" w:hanging="432"/>
      </w:pPr>
      <w:rPr>
        <w:rFonts w:cs="Times New Roman" w:hint="default"/>
      </w:rPr>
    </w:lvl>
    <w:lvl w:ilvl="1">
      <w:start w:val="1"/>
      <w:numFmt w:val="decimal"/>
      <w:pStyle w:val="Heading2"/>
      <w:suff w:val="space"/>
      <w:lvlText w:val="%1.%2"/>
      <w:lvlJc w:val="left"/>
      <w:pPr>
        <w:ind w:left="576" w:hanging="576"/>
      </w:pPr>
      <w:rPr>
        <w:rFonts w:cs="Times New Roman" w:hint="default"/>
      </w:rPr>
    </w:lvl>
    <w:lvl w:ilvl="2">
      <w:start w:val="1"/>
      <w:numFmt w:val="decimal"/>
      <w:pStyle w:val="Heading3"/>
      <w:suff w:val="space"/>
      <w:lvlText w:val="%1.%2.%3"/>
      <w:lvlJc w:val="left"/>
      <w:pPr>
        <w:ind w:left="720" w:hanging="720"/>
      </w:pPr>
      <w:rPr>
        <w:rFonts w:cs="Times New Roman" w:hint="default"/>
      </w:rPr>
    </w:lvl>
    <w:lvl w:ilvl="3">
      <w:start w:val="1"/>
      <w:numFmt w:val="decimal"/>
      <w:pStyle w:val="Heading4"/>
      <w:suff w:val="space"/>
      <w:lvlText w:val="%1.%2.%3.%4"/>
      <w:lvlJc w:val="left"/>
      <w:pPr>
        <w:ind w:left="864" w:hanging="864"/>
      </w:pPr>
      <w:rPr>
        <w:rFonts w:cs="Times New Roman" w:hint="default"/>
      </w:rPr>
    </w:lvl>
    <w:lvl w:ilvl="4">
      <w:start w:val="1"/>
      <w:numFmt w:val="decimal"/>
      <w:pStyle w:val="Heading5"/>
      <w:suff w:val="space"/>
      <w:lvlText w:val="%1.%2.%3.%4.%5"/>
      <w:lvlJc w:val="left"/>
      <w:pPr>
        <w:ind w:left="1008" w:hanging="1008"/>
      </w:pPr>
      <w:rPr>
        <w:rFonts w:cs="Times New Roman" w:hint="default"/>
      </w:rPr>
    </w:lvl>
    <w:lvl w:ilvl="5">
      <w:start w:val="1"/>
      <w:numFmt w:val="decimal"/>
      <w:pStyle w:val="Heading6"/>
      <w:suff w:val="space"/>
      <w:lvlText w:val="%1.%2.%3.%4.%5.%6"/>
      <w:lvlJc w:val="left"/>
      <w:pPr>
        <w:ind w:left="1152" w:hanging="1152"/>
      </w:pPr>
      <w:rPr>
        <w:rFonts w:cs="Times New Roman" w:hint="default"/>
      </w:rPr>
    </w:lvl>
    <w:lvl w:ilvl="6">
      <w:start w:val="1"/>
      <w:numFmt w:val="upperLetter"/>
      <w:pStyle w:val="Heading7"/>
      <w:suff w:val="space"/>
      <w:lvlText w:val="Appendix %7"/>
      <w:lvlJc w:val="left"/>
      <w:pPr>
        <w:ind w:left="0" w:firstLine="0"/>
      </w:pPr>
      <w:rPr>
        <w:rFonts w:cs="Times New Roman" w:hint="default"/>
      </w:rPr>
    </w:lvl>
    <w:lvl w:ilvl="7">
      <w:start w:val="1"/>
      <w:numFmt w:val="decimal"/>
      <w:pStyle w:val="Heading8"/>
      <w:suff w:val="space"/>
      <w:lvlText w:val="%7.%8"/>
      <w:lvlJc w:val="left"/>
      <w:pPr>
        <w:ind w:left="1440" w:hanging="1440"/>
      </w:pPr>
      <w:rPr>
        <w:rFonts w:cs="Times New Roman" w:hint="default"/>
      </w:rPr>
    </w:lvl>
    <w:lvl w:ilvl="8">
      <w:start w:val="1"/>
      <w:numFmt w:val="decimal"/>
      <w:pStyle w:val="Heading9"/>
      <w:suff w:val="space"/>
      <w:lvlText w:val="%7.%8.%9"/>
      <w:lvlJc w:val="left"/>
      <w:pPr>
        <w:ind w:left="1584" w:hanging="1584"/>
      </w:pPr>
      <w:rPr>
        <w:rFonts w:cs="Times New Roman" w:hint="default"/>
      </w:rPr>
    </w:lvl>
  </w:abstractNum>
  <w:abstractNum w:abstractNumId="32" w15:restartNumberingAfterBreak="0">
    <w:nsid w:val="7B972176"/>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num w:numId="1" w16cid:durableId="2055156748">
    <w:abstractNumId w:val="31"/>
  </w:num>
  <w:num w:numId="2" w16cid:durableId="1489785511">
    <w:abstractNumId w:val="18"/>
  </w:num>
  <w:num w:numId="3" w16cid:durableId="905871091">
    <w:abstractNumId w:val="14"/>
  </w:num>
  <w:num w:numId="4" w16cid:durableId="534970395">
    <w:abstractNumId w:val="10"/>
  </w:num>
  <w:num w:numId="5" w16cid:durableId="38435229">
    <w:abstractNumId w:val="30"/>
  </w:num>
  <w:num w:numId="6" w16cid:durableId="2057730824">
    <w:abstractNumId w:val="20"/>
  </w:num>
  <w:num w:numId="7" w16cid:durableId="1675720074">
    <w:abstractNumId w:val="22"/>
  </w:num>
  <w:num w:numId="8" w16cid:durableId="1014383751">
    <w:abstractNumId w:val="16"/>
  </w:num>
  <w:num w:numId="9" w16cid:durableId="201672474">
    <w:abstractNumId w:val="27"/>
  </w:num>
  <w:num w:numId="10" w16cid:durableId="256066161">
    <w:abstractNumId w:val="32"/>
  </w:num>
  <w:num w:numId="11" w16cid:durableId="2087680663">
    <w:abstractNumId w:val="13"/>
  </w:num>
  <w:num w:numId="12" w16cid:durableId="2044011657">
    <w:abstractNumId w:val="21"/>
  </w:num>
  <w:num w:numId="13" w16cid:durableId="996808363">
    <w:abstractNumId w:val="9"/>
  </w:num>
  <w:num w:numId="14" w16cid:durableId="591282309">
    <w:abstractNumId w:val="7"/>
  </w:num>
  <w:num w:numId="15" w16cid:durableId="1732582425">
    <w:abstractNumId w:val="6"/>
  </w:num>
  <w:num w:numId="16" w16cid:durableId="713190015">
    <w:abstractNumId w:val="5"/>
  </w:num>
  <w:num w:numId="17" w16cid:durableId="1495409950">
    <w:abstractNumId w:val="4"/>
  </w:num>
  <w:num w:numId="18" w16cid:durableId="1515144889">
    <w:abstractNumId w:val="8"/>
  </w:num>
  <w:num w:numId="19" w16cid:durableId="43532043">
    <w:abstractNumId w:val="3"/>
  </w:num>
  <w:num w:numId="20" w16cid:durableId="191505025">
    <w:abstractNumId w:val="2"/>
  </w:num>
  <w:num w:numId="21" w16cid:durableId="1946881785">
    <w:abstractNumId w:val="1"/>
  </w:num>
  <w:num w:numId="22" w16cid:durableId="804855373">
    <w:abstractNumId w:val="0"/>
  </w:num>
  <w:num w:numId="23" w16cid:durableId="1494104943">
    <w:abstractNumId w:val="29"/>
  </w:num>
  <w:num w:numId="24" w16cid:durableId="657152095">
    <w:abstractNumId w:val="11"/>
  </w:num>
  <w:num w:numId="25" w16cid:durableId="649095097">
    <w:abstractNumId w:val="23"/>
  </w:num>
  <w:num w:numId="26" w16cid:durableId="2025472307">
    <w:abstractNumId w:val="12"/>
  </w:num>
  <w:num w:numId="27" w16cid:durableId="732191785">
    <w:abstractNumId w:val="25"/>
  </w:num>
  <w:num w:numId="28" w16cid:durableId="1293512764">
    <w:abstractNumId w:val="15"/>
  </w:num>
  <w:num w:numId="29" w16cid:durableId="1552501508">
    <w:abstractNumId w:val="28"/>
  </w:num>
  <w:num w:numId="30" w16cid:durableId="1990475844">
    <w:abstractNumId w:val="26"/>
  </w:num>
  <w:num w:numId="31" w16cid:durableId="1087464949">
    <w:abstractNumId w:val="17"/>
  </w:num>
  <w:num w:numId="32" w16cid:durableId="516886674">
    <w:abstractNumId w:val="24"/>
  </w:num>
  <w:num w:numId="33" w16cid:durableId="172086363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28B2"/>
    <w:rsid w:val="00000E29"/>
    <w:rsid w:val="00013C55"/>
    <w:rsid w:val="000146A5"/>
    <w:rsid w:val="00015A13"/>
    <w:rsid w:val="00016BC8"/>
    <w:rsid w:val="0003188E"/>
    <w:rsid w:val="0003240B"/>
    <w:rsid w:val="00045D6F"/>
    <w:rsid w:val="00052D81"/>
    <w:rsid w:val="00061447"/>
    <w:rsid w:val="00063CEE"/>
    <w:rsid w:val="00065259"/>
    <w:rsid w:val="00065A60"/>
    <w:rsid w:val="00067512"/>
    <w:rsid w:val="00071CD5"/>
    <w:rsid w:val="00086305"/>
    <w:rsid w:val="00097727"/>
    <w:rsid w:val="000A4407"/>
    <w:rsid w:val="000B6677"/>
    <w:rsid w:val="000C6559"/>
    <w:rsid w:val="000D3236"/>
    <w:rsid w:val="000D3AB7"/>
    <w:rsid w:val="000E1E14"/>
    <w:rsid w:val="000E5531"/>
    <w:rsid w:val="000F3237"/>
    <w:rsid w:val="000F3FC7"/>
    <w:rsid w:val="000F5578"/>
    <w:rsid w:val="000F5DF6"/>
    <w:rsid w:val="00116E57"/>
    <w:rsid w:val="00124E49"/>
    <w:rsid w:val="00126903"/>
    <w:rsid w:val="00130109"/>
    <w:rsid w:val="00132B6A"/>
    <w:rsid w:val="00145332"/>
    <w:rsid w:val="001507DE"/>
    <w:rsid w:val="00171953"/>
    <w:rsid w:val="00180A95"/>
    <w:rsid w:val="001850E2"/>
    <w:rsid w:val="00187AAB"/>
    <w:rsid w:val="001919FF"/>
    <w:rsid w:val="00196CAA"/>
    <w:rsid w:val="001A6D66"/>
    <w:rsid w:val="001A79F9"/>
    <w:rsid w:val="001B0633"/>
    <w:rsid w:val="001B63F7"/>
    <w:rsid w:val="001C1A69"/>
    <w:rsid w:val="001C2208"/>
    <w:rsid w:val="001C23E5"/>
    <w:rsid w:val="001D1974"/>
    <w:rsid w:val="001D2FAF"/>
    <w:rsid w:val="001D636A"/>
    <w:rsid w:val="001D7982"/>
    <w:rsid w:val="001E00D5"/>
    <w:rsid w:val="001E388D"/>
    <w:rsid w:val="001E609B"/>
    <w:rsid w:val="001E7302"/>
    <w:rsid w:val="001F0D65"/>
    <w:rsid w:val="001F1539"/>
    <w:rsid w:val="001F3055"/>
    <w:rsid w:val="001F3D4B"/>
    <w:rsid w:val="001F41DE"/>
    <w:rsid w:val="001F7EBB"/>
    <w:rsid w:val="00204473"/>
    <w:rsid w:val="002121F3"/>
    <w:rsid w:val="00212D6E"/>
    <w:rsid w:val="00224C6D"/>
    <w:rsid w:val="00224E7F"/>
    <w:rsid w:val="00230B99"/>
    <w:rsid w:val="00232B80"/>
    <w:rsid w:val="00243313"/>
    <w:rsid w:val="00245DA7"/>
    <w:rsid w:val="00246995"/>
    <w:rsid w:val="0025099B"/>
    <w:rsid w:val="00251120"/>
    <w:rsid w:val="00267F4D"/>
    <w:rsid w:val="00285034"/>
    <w:rsid w:val="0029166E"/>
    <w:rsid w:val="002941E8"/>
    <w:rsid w:val="0029721E"/>
    <w:rsid w:val="002A5491"/>
    <w:rsid w:val="002A7DD0"/>
    <w:rsid w:val="002B0693"/>
    <w:rsid w:val="002B133F"/>
    <w:rsid w:val="002B7456"/>
    <w:rsid w:val="002B7B28"/>
    <w:rsid w:val="002C4CFB"/>
    <w:rsid w:val="002D05CE"/>
    <w:rsid w:val="002D4A7B"/>
    <w:rsid w:val="002D5449"/>
    <w:rsid w:val="002F7211"/>
    <w:rsid w:val="00304798"/>
    <w:rsid w:val="003175DD"/>
    <w:rsid w:val="003500A4"/>
    <w:rsid w:val="00351E83"/>
    <w:rsid w:val="003550A0"/>
    <w:rsid w:val="0035720C"/>
    <w:rsid w:val="00361EFD"/>
    <w:rsid w:val="0037068D"/>
    <w:rsid w:val="00372935"/>
    <w:rsid w:val="003936E5"/>
    <w:rsid w:val="00393F05"/>
    <w:rsid w:val="003A1BE4"/>
    <w:rsid w:val="003A5815"/>
    <w:rsid w:val="003B075E"/>
    <w:rsid w:val="003B1C9F"/>
    <w:rsid w:val="003B2155"/>
    <w:rsid w:val="003E41E0"/>
    <w:rsid w:val="003F36E7"/>
    <w:rsid w:val="003F67A2"/>
    <w:rsid w:val="004015E2"/>
    <w:rsid w:val="00404309"/>
    <w:rsid w:val="0041249C"/>
    <w:rsid w:val="0041685B"/>
    <w:rsid w:val="00423DB3"/>
    <w:rsid w:val="004274ED"/>
    <w:rsid w:val="00443A5F"/>
    <w:rsid w:val="00445061"/>
    <w:rsid w:val="00445556"/>
    <w:rsid w:val="0045132C"/>
    <w:rsid w:val="004534AC"/>
    <w:rsid w:val="00460314"/>
    <w:rsid w:val="0046152D"/>
    <w:rsid w:val="004727CF"/>
    <w:rsid w:val="004747AF"/>
    <w:rsid w:val="0049076B"/>
    <w:rsid w:val="00496FF9"/>
    <w:rsid w:val="004A0AD3"/>
    <w:rsid w:val="004A1164"/>
    <w:rsid w:val="004A133A"/>
    <w:rsid w:val="004A6377"/>
    <w:rsid w:val="004B2CA9"/>
    <w:rsid w:val="004B5597"/>
    <w:rsid w:val="004B5D2E"/>
    <w:rsid w:val="004C03F0"/>
    <w:rsid w:val="004C2C9C"/>
    <w:rsid w:val="004D265B"/>
    <w:rsid w:val="004D5EBD"/>
    <w:rsid w:val="004D796A"/>
    <w:rsid w:val="004E4648"/>
    <w:rsid w:val="004E78DD"/>
    <w:rsid w:val="004E7AF1"/>
    <w:rsid w:val="004F384F"/>
    <w:rsid w:val="004F3C28"/>
    <w:rsid w:val="005064F6"/>
    <w:rsid w:val="00507FA4"/>
    <w:rsid w:val="005125CD"/>
    <w:rsid w:val="005134B3"/>
    <w:rsid w:val="00513E67"/>
    <w:rsid w:val="0052247A"/>
    <w:rsid w:val="005244BB"/>
    <w:rsid w:val="00524E57"/>
    <w:rsid w:val="00527575"/>
    <w:rsid w:val="005304A9"/>
    <w:rsid w:val="00541950"/>
    <w:rsid w:val="00543179"/>
    <w:rsid w:val="00547EA4"/>
    <w:rsid w:val="005528A4"/>
    <w:rsid w:val="00571D27"/>
    <w:rsid w:val="005800F4"/>
    <w:rsid w:val="00584C83"/>
    <w:rsid w:val="00593255"/>
    <w:rsid w:val="00597E9E"/>
    <w:rsid w:val="005A12DA"/>
    <w:rsid w:val="005A29B0"/>
    <w:rsid w:val="005A439F"/>
    <w:rsid w:val="005A563B"/>
    <w:rsid w:val="005B365C"/>
    <w:rsid w:val="005C0AF1"/>
    <w:rsid w:val="005C6FA2"/>
    <w:rsid w:val="005D4968"/>
    <w:rsid w:val="005D68D1"/>
    <w:rsid w:val="005E3ACA"/>
    <w:rsid w:val="005E4B39"/>
    <w:rsid w:val="00600F1E"/>
    <w:rsid w:val="00610042"/>
    <w:rsid w:val="006159AA"/>
    <w:rsid w:val="00620197"/>
    <w:rsid w:val="00623A81"/>
    <w:rsid w:val="00626744"/>
    <w:rsid w:val="0062728E"/>
    <w:rsid w:val="006342AB"/>
    <w:rsid w:val="00635EF3"/>
    <w:rsid w:val="006454D8"/>
    <w:rsid w:val="0065601E"/>
    <w:rsid w:val="006573D9"/>
    <w:rsid w:val="006575E8"/>
    <w:rsid w:val="00667EA4"/>
    <w:rsid w:val="00671FA2"/>
    <w:rsid w:val="00672CBB"/>
    <w:rsid w:val="00684F95"/>
    <w:rsid w:val="00685088"/>
    <w:rsid w:val="0069052C"/>
    <w:rsid w:val="00693975"/>
    <w:rsid w:val="006A19EC"/>
    <w:rsid w:val="006A3182"/>
    <w:rsid w:val="006A3B13"/>
    <w:rsid w:val="006A797F"/>
    <w:rsid w:val="006C6C98"/>
    <w:rsid w:val="006D47CE"/>
    <w:rsid w:val="006D680A"/>
    <w:rsid w:val="006E7473"/>
    <w:rsid w:val="006F48A8"/>
    <w:rsid w:val="006F6F09"/>
    <w:rsid w:val="00700D30"/>
    <w:rsid w:val="0070144B"/>
    <w:rsid w:val="0070544E"/>
    <w:rsid w:val="00706A9E"/>
    <w:rsid w:val="00706FC0"/>
    <w:rsid w:val="007153E8"/>
    <w:rsid w:val="00716193"/>
    <w:rsid w:val="00720589"/>
    <w:rsid w:val="007240B6"/>
    <w:rsid w:val="00735256"/>
    <w:rsid w:val="00747900"/>
    <w:rsid w:val="0075020C"/>
    <w:rsid w:val="00751BC0"/>
    <w:rsid w:val="00792A54"/>
    <w:rsid w:val="00793B34"/>
    <w:rsid w:val="00795AC0"/>
    <w:rsid w:val="0079773C"/>
    <w:rsid w:val="007A5657"/>
    <w:rsid w:val="007B01AA"/>
    <w:rsid w:val="007D48F0"/>
    <w:rsid w:val="007F0255"/>
    <w:rsid w:val="007F186D"/>
    <w:rsid w:val="007F5C55"/>
    <w:rsid w:val="00801843"/>
    <w:rsid w:val="00806B8E"/>
    <w:rsid w:val="00807610"/>
    <w:rsid w:val="00807CDF"/>
    <w:rsid w:val="008110D1"/>
    <w:rsid w:val="00830238"/>
    <w:rsid w:val="00831E12"/>
    <w:rsid w:val="00832F93"/>
    <w:rsid w:val="00833618"/>
    <w:rsid w:val="00835E1B"/>
    <w:rsid w:val="00837448"/>
    <w:rsid w:val="008428F4"/>
    <w:rsid w:val="008462C0"/>
    <w:rsid w:val="00851ADB"/>
    <w:rsid w:val="00875B58"/>
    <w:rsid w:val="00875EB2"/>
    <w:rsid w:val="00876ECB"/>
    <w:rsid w:val="0088087A"/>
    <w:rsid w:val="00881A26"/>
    <w:rsid w:val="0088366F"/>
    <w:rsid w:val="00884ECE"/>
    <w:rsid w:val="008906BD"/>
    <w:rsid w:val="00895BFB"/>
    <w:rsid w:val="008B72AE"/>
    <w:rsid w:val="008B731F"/>
    <w:rsid w:val="008C56B9"/>
    <w:rsid w:val="008D00C5"/>
    <w:rsid w:val="008D0F71"/>
    <w:rsid w:val="008D1F23"/>
    <w:rsid w:val="008D5D60"/>
    <w:rsid w:val="008D5DD7"/>
    <w:rsid w:val="008D5E4C"/>
    <w:rsid w:val="008E5A35"/>
    <w:rsid w:val="008E7822"/>
    <w:rsid w:val="008F0A2B"/>
    <w:rsid w:val="008F2598"/>
    <w:rsid w:val="00904979"/>
    <w:rsid w:val="00922BCA"/>
    <w:rsid w:val="009242A6"/>
    <w:rsid w:val="00925B40"/>
    <w:rsid w:val="0093381A"/>
    <w:rsid w:val="009345D5"/>
    <w:rsid w:val="009404A4"/>
    <w:rsid w:val="0094060A"/>
    <w:rsid w:val="00941D35"/>
    <w:rsid w:val="00945764"/>
    <w:rsid w:val="009504C2"/>
    <w:rsid w:val="009616E1"/>
    <w:rsid w:val="00974BD2"/>
    <w:rsid w:val="0098340A"/>
    <w:rsid w:val="00985EE8"/>
    <w:rsid w:val="00995B4F"/>
    <w:rsid w:val="00996FFA"/>
    <w:rsid w:val="009B52E2"/>
    <w:rsid w:val="009B68EF"/>
    <w:rsid w:val="009B7734"/>
    <w:rsid w:val="009D6DA4"/>
    <w:rsid w:val="009F42D6"/>
    <w:rsid w:val="009F4F9E"/>
    <w:rsid w:val="00A0329E"/>
    <w:rsid w:val="00A128AB"/>
    <w:rsid w:val="00A226AF"/>
    <w:rsid w:val="00A238BE"/>
    <w:rsid w:val="00A259D4"/>
    <w:rsid w:val="00A25E3F"/>
    <w:rsid w:val="00A33D5D"/>
    <w:rsid w:val="00A36F61"/>
    <w:rsid w:val="00A57740"/>
    <w:rsid w:val="00A633BD"/>
    <w:rsid w:val="00A651C5"/>
    <w:rsid w:val="00A66351"/>
    <w:rsid w:val="00A85678"/>
    <w:rsid w:val="00A85E77"/>
    <w:rsid w:val="00A916EE"/>
    <w:rsid w:val="00A922D7"/>
    <w:rsid w:val="00A95671"/>
    <w:rsid w:val="00AA1E42"/>
    <w:rsid w:val="00AA2009"/>
    <w:rsid w:val="00AA4D83"/>
    <w:rsid w:val="00AA61F1"/>
    <w:rsid w:val="00AC5C78"/>
    <w:rsid w:val="00AD1A00"/>
    <w:rsid w:val="00AD6D75"/>
    <w:rsid w:val="00AE480E"/>
    <w:rsid w:val="00B03D9F"/>
    <w:rsid w:val="00B1530F"/>
    <w:rsid w:val="00B17824"/>
    <w:rsid w:val="00B20072"/>
    <w:rsid w:val="00B20B2C"/>
    <w:rsid w:val="00B2492B"/>
    <w:rsid w:val="00B30745"/>
    <w:rsid w:val="00B40908"/>
    <w:rsid w:val="00B516D8"/>
    <w:rsid w:val="00B518ED"/>
    <w:rsid w:val="00B51E44"/>
    <w:rsid w:val="00B53E08"/>
    <w:rsid w:val="00B62048"/>
    <w:rsid w:val="00B765F2"/>
    <w:rsid w:val="00B77263"/>
    <w:rsid w:val="00B8752D"/>
    <w:rsid w:val="00B91C5E"/>
    <w:rsid w:val="00B9393F"/>
    <w:rsid w:val="00B93965"/>
    <w:rsid w:val="00B96699"/>
    <w:rsid w:val="00B9798F"/>
    <w:rsid w:val="00BA0D4C"/>
    <w:rsid w:val="00BA279E"/>
    <w:rsid w:val="00BA5321"/>
    <w:rsid w:val="00BC00B2"/>
    <w:rsid w:val="00BC3BDF"/>
    <w:rsid w:val="00BC4978"/>
    <w:rsid w:val="00BD2A70"/>
    <w:rsid w:val="00BE1C94"/>
    <w:rsid w:val="00BE3C30"/>
    <w:rsid w:val="00BE6F0E"/>
    <w:rsid w:val="00BE77DE"/>
    <w:rsid w:val="00BF4B1B"/>
    <w:rsid w:val="00BF5778"/>
    <w:rsid w:val="00C04DD4"/>
    <w:rsid w:val="00C10332"/>
    <w:rsid w:val="00C229CA"/>
    <w:rsid w:val="00C23009"/>
    <w:rsid w:val="00C27103"/>
    <w:rsid w:val="00C4482E"/>
    <w:rsid w:val="00C44DF7"/>
    <w:rsid w:val="00C45389"/>
    <w:rsid w:val="00C473DF"/>
    <w:rsid w:val="00C52F9C"/>
    <w:rsid w:val="00C53236"/>
    <w:rsid w:val="00C626AF"/>
    <w:rsid w:val="00C62DD8"/>
    <w:rsid w:val="00C658CA"/>
    <w:rsid w:val="00C71D1F"/>
    <w:rsid w:val="00C82E8D"/>
    <w:rsid w:val="00C90A14"/>
    <w:rsid w:val="00C927D8"/>
    <w:rsid w:val="00CA7AF4"/>
    <w:rsid w:val="00CB3287"/>
    <w:rsid w:val="00CB789F"/>
    <w:rsid w:val="00CC21F1"/>
    <w:rsid w:val="00CC34C7"/>
    <w:rsid w:val="00CC6F3F"/>
    <w:rsid w:val="00CD6BE3"/>
    <w:rsid w:val="00CD7166"/>
    <w:rsid w:val="00CE3F44"/>
    <w:rsid w:val="00CF66E5"/>
    <w:rsid w:val="00CF6AA9"/>
    <w:rsid w:val="00D00922"/>
    <w:rsid w:val="00D03036"/>
    <w:rsid w:val="00D03E8E"/>
    <w:rsid w:val="00D04795"/>
    <w:rsid w:val="00D135C3"/>
    <w:rsid w:val="00D233FE"/>
    <w:rsid w:val="00D234C6"/>
    <w:rsid w:val="00D23D5B"/>
    <w:rsid w:val="00D31007"/>
    <w:rsid w:val="00D333B2"/>
    <w:rsid w:val="00D33B7F"/>
    <w:rsid w:val="00D34064"/>
    <w:rsid w:val="00D351A6"/>
    <w:rsid w:val="00D3724C"/>
    <w:rsid w:val="00D507DF"/>
    <w:rsid w:val="00D52AC3"/>
    <w:rsid w:val="00D54B4D"/>
    <w:rsid w:val="00DA1B85"/>
    <w:rsid w:val="00DA28B2"/>
    <w:rsid w:val="00DA7B8C"/>
    <w:rsid w:val="00DB0932"/>
    <w:rsid w:val="00DC6E45"/>
    <w:rsid w:val="00DD31A4"/>
    <w:rsid w:val="00DD3DA3"/>
    <w:rsid w:val="00DE4B07"/>
    <w:rsid w:val="00DF6781"/>
    <w:rsid w:val="00E025DC"/>
    <w:rsid w:val="00E06505"/>
    <w:rsid w:val="00E17857"/>
    <w:rsid w:val="00E27131"/>
    <w:rsid w:val="00E27644"/>
    <w:rsid w:val="00E31BDA"/>
    <w:rsid w:val="00E367E5"/>
    <w:rsid w:val="00E37F83"/>
    <w:rsid w:val="00E53D4B"/>
    <w:rsid w:val="00E60686"/>
    <w:rsid w:val="00E66614"/>
    <w:rsid w:val="00E67D8C"/>
    <w:rsid w:val="00E71C90"/>
    <w:rsid w:val="00E75826"/>
    <w:rsid w:val="00E8030E"/>
    <w:rsid w:val="00E80D98"/>
    <w:rsid w:val="00E81DD4"/>
    <w:rsid w:val="00E939C1"/>
    <w:rsid w:val="00E94F51"/>
    <w:rsid w:val="00E94FC1"/>
    <w:rsid w:val="00EA3654"/>
    <w:rsid w:val="00EB311A"/>
    <w:rsid w:val="00EB47D6"/>
    <w:rsid w:val="00EC42E2"/>
    <w:rsid w:val="00EC4663"/>
    <w:rsid w:val="00EC473B"/>
    <w:rsid w:val="00EC5BBE"/>
    <w:rsid w:val="00EC746C"/>
    <w:rsid w:val="00ED410A"/>
    <w:rsid w:val="00EE07F2"/>
    <w:rsid w:val="00EE6208"/>
    <w:rsid w:val="00EF21A6"/>
    <w:rsid w:val="00EF35D7"/>
    <w:rsid w:val="00EF5C69"/>
    <w:rsid w:val="00F15523"/>
    <w:rsid w:val="00F16E24"/>
    <w:rsid w:val="00F2159F"/>
    <w:rsid w:val="00F32ADB"/>
    <w:rsid w:val="00F33B50"/>
    <w:rsid w:val="00F4072F"/>
    <w:rsid w:val="00F44E18"/>
    <w:rsid w:val="00F4729A"/>
    <w:rsid w:val="00F509C2"/>
    <w:rsid w:val="00F551D0"/>
    <w:rsid w:val="00F65825"/>
    <w:rsid w:val="00F70D29"/>
    <w:rsid w:val="00F718E3"/>
    <w:rsid w:val="00F72FA5"/>
    <w:rsid w:val="00F73103"/>
    <w:rsid w:val="00F73DA6"/>
    <w:rsid w:val="00F84DA7"/>
    <w:rsid w:val="00F86DFA"/>
    <w:rsid w:val="00F97131"/>
    <w:rsid w:val="00FA46DB"/>
    <w:rsid w:val="00FA55B5"/>
    <w:rsid w:val="00FA7F7D"/>
    <w:rsid w:val="00FB163E"/>
    <w:rsid w:val="00FB5D74"/>
    <w:rsid w:val="00FB6B73"/>
    <w:rsid w:val="00FB6BE4"/>
    <w:rsid w:val="00FE7279"/>
    <w:rsid w:val="00FE7B73"/>
    <w:rsid w:val="00FF2483"/>
    <w:rsid w:val="00FF2553"/>
    <w:rsid w:val="00FF3216"/>
    <w:rsid w:val="00FF7844"/>
    <w:rsid w:val="00FF7C8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0ACB49"/>
  <w15:docId w15:val="{36B80FAA-43BB-4837-A86A-E35694D123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5578"/>
    <w:pPr>
      <w:spacing w:before="180" w:after="0" w:line="360" w:lineRule="auto"/>
      <w:jc w:val="both"/>
    </w:pPr>
    <w:rPr>
      <w:rFonts w:ascii="Arial" w:eastAsia="Times New Roman" w:hAnsi="Arial" w:cs="Times New Roman"/>
      <w:sz w:val="24"/>
      <w:szCs w:val="24"/>
    </w:rPr>
  </w:style>
  <w:style w:type="paragraph" w:styleId="Heading1">
    <w:name w:val="heading 1"/>
    <w:basedOn w:val="Normal"/>
    <w:next w:val="Normal"/>
    <w:link w:val="Heading1Char"/>
    <w:uiPriority w:val="99"/>
    <w:qFormat/>
    <w:rsid w:val="004B5597"/>
    <w:pPr>
      <w:keepNext/>
      <w:numPr>
        <w:numId w:val="1"/>
      </w:numPr>
      <w:spacing w:before="0" w:after="240" w:line="276" w:lineRule="auto"/>
      <w:jc w:val="left"/>
      <w:outlineLvl w:val="0"/>
    </w:pPr>
    <w:rPr>
      <w:rFonts w:cs="Arial"/>
      <w:b/>
      <w:bCs/>
      <w:kern w:val="32"/>
      <w:sz w:val="32"/>
      <w:szCs w:val="32"/>
    </w:rPr>
  </w:style>
  <w:style w:type="paragraph" w:styleId="Heading2">
    <w:name w:val="heading 2"/>
    <w:basedOn w:val="Normal"/>
    <w:next w:val="Normal"/>
    <w:link w:val="Heading2Char"/>
    <w:uiPriority w:val="99"/>
    <w:qFormat/>
    <w:rsid w:val="008D5DD7"/>
    <w:pPr>
      <w:keepNext/>
      <w:numPr>
        <w:ilvl w:val="1"/>
        <w:numId w:val="1"/>
      </w:numPr>
      <w:spacing w:before="240" w:line="276" w:lineRule="auto"/>
      <w:jc w:val="left"/>
      <w:outlineLvl w:val="1"/>
    </w:pPr>
    <w:rPr>
      <w:rFonts w:cs="Arial"/>
      <w:b/>
      <w:bCs/>
      <w:iCs/>
      <w:sz w:val="28"/>
      <w:szCs w:val="28"/>
    </w:rPr>
  </w:style>
  <w:style w:type="paragraph" w:styleId="Heading3">
    <w:name w:val="heading 3"/>
    <w:basedOn w:val="Normal"/>
    <w:next w:val="Normal"/>
    <w:link w:val="Heading3Char"/>
    <w:uiPriority w:val="99"/>
    <w:qFormat/>
    <w:rsid w:val="00063CEE"/>
    <w:pPr>
      <w:keepNext/>
      <w:numPr>
        <w:ilvl w:val="2"/>
        <w:numId w:val="1"/>
      </w:numPr>
      <w:spacing w:before="240" w:line="276" w:lineRule="auto"/>
      <w:jc w:val="left"/>
      <w:outlineLvl w:val="2"/>
    </w:pPr>
    <w:rPr>
      <w:rFonts w:cs="Arial"/>
      <w:b/>
      <w:bCs/>
      <w:sz w:val="26"/>
      <w:szCs w:val="26"/>
    </w:rPr>
  </w:style>
  <w:style w:type="paragraph" w:styleId="Heading4">
    <w:name w:val="heading 4"/>
    <w:basedOn w:val="Normal"/>
    <w:next w:val="Normal"/>
    <w:link w:val="Heading4Char"/>
    <w:uiPriority w:val="99"/>
    <w:qFormat/>
    <w:rsid w:val="00C23009"/>
    <w:pPr>
      <w:keepNext/>
      <w:numPr>
        <w:ilvl w:val="3"/>
        <w:numId w:val="1"/>
      </w:numPr>
      <w:spacing w:line="276" w:lineRule="auto"/>
      <w:jc w:val="left"/>
      <w:outlineLvl w:val="3"/>
    </w:pPr>
    <w:rPr>
      <w:b/>
      <w:bCs/>
      <w:szCs w:val="28"/>
    </w:rPr>
  </w:style>
  <w:style w:type="paragraph" w:styleId="Heading5">
    <w:name w:val="heading 5"/>
    <w:basedOn w:val="Normal"/>
    <w:next w:val="Normal"/>
    <w:link w:val="Heading5Char"/>
    <w:uiPriority w:val="99"/>
    <w:qFormat/>
    <w:rsid w:val="00C23009"/>
    <w:pPr>
      <w:numPr>
        <w:ilvl w:val="4"/>
        <w:numId w:val="1"/>
      </w:numPr>
      <w:spacing w:line="276" w:lineRule="auto"/>
      <w:jc w:val="left"/>
      <w:outlineLvl w:val="4"/>
    </w:pPr>
    <w:rPr>
      <w:b/>
      <w:bCs/>
      <w:i/>
      <w:iCs/>
      <w:sz w:val="22"/>
      <w:szCs w:val="26"/>
    </w:rPr>
  </w:style>
  <w:style w:type="paragraph" w:styleId="Heading6">
    <w:name w:val="heading 6"/>
    <w:basedOn w:val="Normal"/>
    <w:next w:val="Normal"/>
    <w:link w:val="Heading6Char"/>
    <w:uiPriority w:val="99"/>
    <w:qFormat/>
    <w:rsid w:val="00C23009"/>
    <w:pPr>
      <w:numPr>
        <w:ilvl w:val="5"/>
        <w:numId w:val="1"/>
      </w:numPr>
      <w:spacing w:line="276" w:lineRule="auto"/>
      <w:jc w:val="left"/>
      <w:outlineLvl w:val="5"/>
    </w:pPr>
    <w:rPr>
      <w:b/>
      <w:bCs/>
      <w:sz w:val="22"/>
      <w:szCs w:val="22"/>
    </w:rPr>
  </w:style>
  <w:style w:type="paragraph" w:styleId="Heading7">
    <w:name w:val="heading 7"/>
    <w:basedOn w:val="Normal"/>
    <w:next w:val="Normal"/>
    <w:link w:val="Heading7Char"/>
    <w:uiPriority w:val="99"/>
    <w:qFormat/>
    <w:rsid w:val="008D5DD7"/>
    <w:pPr>
      <w:numPr>
        <w:ilvl w:val="6"/>
        <w:numId w:val="1"/>
      </w:numPr>
      <w:spacing w:before="240" w:line="276" w:lineRule="auto"/>
      <w:jc w:val="left"/>
      <w:outlineLvl w:val="6"/>
    </w:pPr>
    <w:rPr>
      <w:b/>
      <w:sz w:val="32"/>
    </w:rPr>
  </w:style>
  <w:style w:type="paragraph" w:styleId="Heading8">
    <w:name w:val="heading 8"/>
    <w:basedOn w:val="Normal"/>
    <w:next w:val="Normal"/>
    <w:link w:val="Heading8Char"/>
    <w:uiPriority w:val="99"/>
    <w:qFormat/>
    <w:rsid w:val="008D5DD7"/>
    <w:pPr>
      <w:numPr>
        <w:ilvl w:val="7"/>
        <w:numId w:val="1"/>
      </w:numPr>
      <w:spacing w:before="240" w:line="276" w:lineRule="auto"/>
      <w:jc w:val="left"/>
      <w:outlineLvl w:val="7"/>
    </w:pPr>
    <w:rPr>
      <w:b/>
      <w:iCs/>
      <w:sz w:val="28"/>
    </w:rPr>
  </w:style>
  <w:style w:type="paragraph" w:styleId="Heading9">
    <w:name w:val="heading 9"/>
    <w:basedOn w:val="Normal"/>
    <w:next w:val="Normal"/>
    <w:link w:val="Heading9Char"/>
    <w:uiPriority w:val="99"/>
    <w:qFormat/>
    <w:rsid w:val="008D5DD7"/>
    <w:pPr>
      <w:numPr>
        <w:ilvl w:val="8"/>
        <w:numId w:val="1"/>
      </w:numPr>
      <w:spacing w:before="240" w:line="276" w:lineRule="auto"/>
      <w:jc w:val="left"/>
      <w:outlineLvl w:val="8"/>
    </w:pPr>
    <w:rPr>
      <w:rFonts w:cs="Arial"/>
      <w:b/>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5">
    <w:name w:val="toc 5"/>
    <w:basedOn w:val="Normal"/>
    <w:next w:val="Normal"/>
    <w:uiPriority w:val="39"/>
    <w:unhideWhenUsed/>
    <w:rsid w:val="00B2492B"/>
    <w:pPr>
      <w:spacing w:before="0" w:line="276" w:lineRule="auto"/>
      <w:ind w:left="958" w:right="425"/>
    </w:pPr>
  </w:style>
  <w:style w:type="character" w:customStyle="1" w:styleId="Heading2Char">
    <w:name w:val="Heading 2 Char"/>
    <w:basedOn w:val="DefaultParagraphFont"/>
    <w:link w:val="Heading2"/>
    <w:uiPriority w:val="99"/>
    <w:rsid w:val="008D5DD7"/>
    <w:rPr>
      <w:rFonts w:ascii="Arial" w:eastAsia="Times New Roman" w:hAnsi="Arial" w:cs="Arial"/>
      <w:b/>
      <w:bCs/>
      <w:iCs/>
      <w:sz w:val="28"/>
      <w:szCs w:val="28"/>
    </w:rPr>
  </w:style>
  <w:style w:type="character" w:customStyle="1" w:styleId="Heading3Char">
    <w:name w:val="Heading 3 Char"/>
    <w:basedOn w:val="DefaultParagraphFont"/>
    <w:link w:val="Heading3"/>
    <w:uiPriority w:val="99"/>
    <w:rsid w:val="00063CEE"/>
    <w:rPr>
      <w:rFonts w:ascii="Arial" w:eastAsia="Times New Roman" w:hAnsi="Arial" w:cs="Arial"/>
      <w:b/>
      <w:bCs/>
      <w:sz w:val="26"/>
      <w:szCs w:val="26"/>
    </w:rPr>
  </w:style>
  <w:style w:type="character" w:customStyle="1" w:styleId="Heading4Char">
    <w:name w:val="Heading 4 Char"/>
    <w:basedOn w:val="DefaultParagraphFont"/>
    <w:link w:val="Heading4"/>
    <w:uiPriority w:val="99"/>
    <w:rsid w:val="00C23009"/>
    <w:rPr>
      <w:rFonts w:ascii="Arial" w:eastAsia="Times New Roman" w:hAnsi="Arial" w:cs="Times New Roman"/>
      <w:b/>
      <w:bCs/>
      <w:sz w:val="24"/>
      <w:szCs w:val="28"/>
    </w:rPr>
  </w:style>
  <w:style w:type="character" w:customStyle="1" w:styleId="Heading5Char">
    <w:name w:val="Heading 5 Char"/>
    <w:basedOn w:val="DefaultParagraphFont"/>
    <w:link w:val="Heading5"/>
    <w:uiPriority w:val="99"/>
    <w:rsid w:val="00C23009"/>
    <w:rPr>
      <w:rFonts w:ascii="Arial" w:eastAsia="Times New Roman" w:hAnsi="Arial" w:cs="Times New Roman"/>
      <w:b/>
      <w:bCs/>
      <w:i/>
      <w:iCs/>
      <w:szCs w:val="26"/>
    </w:rPr>
  </w:style>
  <w:style w:type="character" w:customStyle="1" w:styleId="Heading6Char">
    <w:name w:val="Heading 6 Char"/>
    <w:basedOn w:val="DefaultParagraphFont"/>
    <w:link w:val="Heading6"/>
    <w:uiPriority w:val="99"/>
    <w:rsid w:val="00C23009"/>
    <w:rPr>
      <w:rFonts w:ascii="Arial" w:eastAsia="Times New Roman" w:hAnsi="Arial" w:cs="Times New Roman"/>
      <w:b/>
      <w:bCs/>
    </w:rPr>
  </w:style>
  <w:style w:type="paragraph" w:styleId="TOC6">
    <w:name w:val="toc 6"/>
    <w:basedOn w:val="Normal"/>
    <w:next w:val="Normal"/>
    <w:uiPriority w:val="39"/>
    <w:unhideWhenUsed/>
    <w:rsid w:val="00B2492B"/>
    <w:pPr>
      <w:spacing w:before="0" w:line="276" w:lineRule="auto"/>
      <w:ind w:left="1202" w:right="425"/>
    </w:pPr>
  </w:style>
  <w:style w:type="character" w:customStyle="1" w:styleId="Heading8Char">
    <w:name w:val="Heading 8 Char"/>
    <w:basedOn w:val="DefaultParagraphFont"/>
    <w:link w:val="Heading8"/>
    <w:uiPriority w:val="99"/>
    <w:rsid w:val="008D5DD7"/>
    <w:rPr>
      <w:rFonts w:ascii="Arial" w:eastAsia="Times New Roman" w:hAnsi="Arial" w:cs="Times New Roman"/>
      <w:b/>
      <w:iCs/>
      <w:sz w:val="28"/>
      <w:szCs w:val="24"/>
    </w:rPr>
  </w:style>
  <w:style w:type="character" w:customStyle="1" w:styleId="Heading9Char">
    <w:name w:val="Heading 9 Char"/>
    <w:basedOn w:val="DefaultParagraphFont"/>
    <w:link w:val="Heading9"/>
    <w:uiPriority w:val="99"/>
    <w:rsid w:val="008D5DD7"/>
    <w:rPr>
      <w:rFonts w:ascii="Arial" w:eastAsia="Times New Roman" w:hAnsi="Arial" w:cs="Arial"/>
      <w:b/>
      <w:sz w:val="26"/>
    </w:rPr>
  </w:style>
  <w:style w:type="character" w:customStyle="1" w:styleId="Heading1Char">
    <w:name w:val="Heading 1 Char"/>
    <w:basedOn w:val="DefaultParagraphFont"/>
    <w:link w:val="Heading1"/>
    <w:uiPriority w:val="99"/>
    <w:locked/>
    <w:rsid w:val="004B5597"/>
    <w:rPr>
      <w:rFonts w:ascii="Arial" w:eastAsia="Times New Roman" w:hAnsi="Arial" w:cs="Arial"/>
      <w:b/>
      <w:bCs/>
      <w:kern w:val="32"/>
      <w:sz w:val="32"/>
      <w:szCs w:val="32"/>
    </w:rPr>
  </w:style>
  <w:style w:type="character" w:customStyle="1" w:styleId="Heading7Char">
    <w:name w:val="Heading 7 Char"/>
    <w:basedOn w:val="DefaultParagraphFont"/>
    <w:link w:val="Heading7"/>
    <w:uiPriority w:val="99"/>
    <w:locked/>
    <w:rsid w:val="008D5DD7"/>
    <w:rPr>
      <w:rFonts w:ascii="Arial" w:eastAsia="Times New Roman" w:hAnsi="Arial" w:cs="Times New Roman"/>
      <w:b/>
      <w:sz w:val="32"/>
      <w:szCs w:val="24"/>
    </w:rPr>
  </w:style>
  <w:style w:type="paragraph" w:styleId="TOC1">
    <w:name w:val="toc 1"/>
    <w:basedOn w:val="Normal"/>
    <w:next w:val="Normal"/>
    <w:uiPriority w:val="39"/>
    <w:qFormat/>
    <w:rsid w:val="00B2492B"/>
    <w:pPr>
      <w:tabs>
        <w:tab w:val="right" w:leader="dot" w:pos="8494"/>
      </w:tabs>
      <w:spacing w:before="0" w:line="276" w:lineRule="auto"/>
      <w:ind w:right="425"/>
    </w:pPr>
    <w:rPr>
      <w:noProof/>
    </w:rPr>
  </w:style>
  <w:style w:type="paragraph" w:styleId="TOC2">
    <w:name w:val="toc 2"/>
    <w:basedOn w:val="Normal"/>
    <w:next w:val="Normal"/>
    <w:uiPriority w:val="39"/>
    <w:qFormat/>
    <w:rsid w:val="00B2492B"/>
    <w:pPr>
      <w:tabs>
        <w:tab w:val="right" w:leader="dot" w:pos="8494"/>
      </w:tabs>
      <w:spacing w:before="0" w:line="276" w:lineRule="auto"/>
      <w:ind w:left="238" w:right="425"/>
    </w:pPr>
  </w:style>
  <w:style w:type="paragraph" w:styleId="TOC3">
    <w:name w:val="toc 3"/>
    <w:basedOn w:val="Normal"/>
    <w:next w:val="Normal"/>
    <w:uiPriority w:val="39"/>
    <w:qFormat/>
    <w:rsid w:val="00B2492B"/>
    <w:pPr>
      <w:spacing w:before="0" w:line="276" w:lineRule="auto"/>
      <w:ind w:left="482" w:right="425"/>
    </w:pPr>
  </w:style>
  <w:style w:type="paragraph" w:styleId="Footer">
    <w:name w:val="footer"/>
    <w:basedOn w:val="Normal"/>
    <w:link w:val="FooterChar"/>
    <w:uiPriority w:val="99"/>
    <w:rsid w:val="00DA28B2"/>
    <w:pPr>
      <w:tabs>
        <w:tab w:val="center" w:pos="4153"/>
        <w:tab w:val="right" w:pos="8306"/>
      </w:tabs>
    </w:pPr>
  </w:style>
  <w:style w:type="character" w:customStyle="1" w:styleId="FooterChar">
    <w:name w:val="Footer Char"/>
    <w:basedOn w:val="DefaultParagraphFont"/>
    <w:link w:val="Footer"/>
    <w:uiPriority w:val="99"/>
    <w:rsid w:val="00DA28B2"/>
    <w:rPr>
      <w:rFonts w:ascii="Arial" w:eastAsia="Times New Roman" w:hAnsi="Arial" w:cs="Times New Roman"/>
      <w:sz w:val="24"/>
      <w:szCs w:val="24"/>
    </w:rPr>
  </w:style>
  <w:style w:type="paragraph" w:customStyle="1" w:styleId="Heading1nonumber">
    <w:name w:val="Heading1 no number"/>
    <w:basedOn w:val="Heading1"/>
    <w:uiPriority w:val="99"/>
    <w:rsid w:val="00833618"/>
    <w:pPr>
      <w:numPr>
        <w:numId w:val="0"/>
      </w:numPr>
    </w:pPr>
    <w:rPr>
      <w:szCs w:val="36"/>
    </w:rPr>
  </w:style>
  <w:style w:type="character" w:styleId="PageNumber">
    <w:name w:val="page number"/>
    <w:basedOn w:val="DefaultParagraphFont"/>
    <w:uiPriority w:val="99"/>
    <w:rsid w:val="00DA28B2"/>
    <w:rPr>
      <w:rFonts w:cs="Times New Roman"/>
    </w:rPr>
  </w:style>
  <w:style w:type="character" w:styleId="Hyperlink">
    <w:name w:val="Hyperlink"/>
    <w:basedOn w:val="DefaultParagraphFont"/>
    <w:uiPriority w:val="99"/>
    <w:rsid w:val="00DA28B2"/>
    <w:rPr>
      <w:rFonts w:cs="Times New Roman"/>
      <w:color w:val="0000FF"/>
      <w:u w:val="single"/>
    </w:rPr>
  </w:style>
  <w:style w:type="paragraph" w:styleId="Caption">
    <w:name w:val="caption"/>
    <w:basedOn w:val="Normal"/>
    <w:next w:val="Normal"/>
    <w:uiPriority w:val="99"/>
    <w:qFormat/>
    <w:rsid w:val="00E17857"/>
    <w:pPr>
      <w:spacing w:after="120"/>
    </w:pPr>
    <w:rPr>
      <w:b/>
      <w:bCs/>
      <w:sz w:val="22"/>
      <w:szCs w:val="20"/>
    </w:rPr>
  </w:style>
  <w:style w:type="paragraph" w:styleId="TableofFigures">
    <w:name w:val="table of figures"/>
    <w:basedOn w:val="Normal"/>
    <w:next w:val="Normal"/>
    <w:uiPriority w:val="99"/>
    <w:rsid w:val="002B0693"/>
    <w:pPr>
      <w:spacing w:line="240" w:lineRule="auto"/>
      <w:ind w:left="454" w:hanging="454"/>
    </w:pPr>
  </w:style>
  <w:style w:type="paragraph" w:styleId="BodyText">
    <w:name w:val="Body Text"/>
    <w:basedOn w:val="Normal"/>
    <w:link w:val="BodyTextChar"/>
    <w:uiPriority w:val="99"/>
    <w:rsid w:val="005125CD"/>
  </w:style>
  <w:style w:type="character" w:customStyle="1" w:styleId="BodyTextChar">
    <w:name w:val="Body Text Char"/>
    <w:basedOn w:val="DefaultParagraphFont"/>
    <w:link w:val="BodyText"/>
    <w:uiPriority w:val="99"/>
    <w:rsid w:val="005125CD"/>
    <w:rPr>
      <w:rFonts w:ascii="Arial" w:eastAsia="Times New Roman" w:hAnsi="Arial" w:cs="Times New Roman"/>
      <w:sz w:val="24"/>
      <w:szCs w:val="24"/>
    </w:rPr>
  </w:style>
  <w:style w:type="paragraph" w:styleId="ListParagraph">
    <w:name w:val="List Paragraph"/>
    <w:basedOn w:val="Normal"/>
    <w:uiPriority w:val="34"/>
    <w:qFormat/>
    <w:rsid w:val="00E17857"/>
    <w:pPr>
      <w:spacing w:before="120"/>
      <w:ind w:left="720"/>
      <w:contextualSpacing/>
    </w:pPr>
  </w:style>
  <w:style w:type="paragraph" w:styleId="TOCHeading">
    <w:name w:val="TOC Heading"/>
    <w:basedOn w:val="Heading1"/>
    <w:next w:val="Normal"/>
    <w:uiPriority w:val="39"/>
    <w:semiHidden/>
    <w:unhideWhenUsed/>
    <w:qFormat/>
    <w:rsid w:val="00CD6BE3"/>
    <w:pPr>
      <w:keepLines/>
      <w:numPr>
        <w:numId w:val="0"/>
      </w:numPr>
      <w:spacing w:before="480" w:after="0"/>
      <w:outlineLvl w:val="9"/>
    </w:pPr>
    <w:rPr>
      <w:rFonts w:asciiTheme="majorHAnsi" w:eastAsiaTheme="majorEastAsia" w:hAnsiTheme="majorHAnsi" w:cstheme="majorBidi"/>
      <w:color w:val="365F91" w:themeColor="accent1" w:themeShade="BF"/>
      <w:kern w:val="0"/>
      <w:sz w:val="28"/>
      <w:szCs w:val="28"/>
      <w:lang w:val="en-US" w:eastAsia="ja-JP"/>
    </w:rPr>
  </w:style>
  <w:style w:type="paragraph" w:styleId="BalloonText">
    <w:name w:val="Balloon Text"/>
    <w:basedOn w:val="Normal"/>
    <w:link w:val="BalloonTextChar"/>
    <w:uiPriority w:val="99"/>
    <w:semiHidden/>
    <w:unhideWhenUsed/>
    <w:rsid w:val="00CD6BE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6BE3"/>
    <w:rPr>
      <w:rFonts w:ascii="Tahoma" w:eastAsia="Times New Roman" w:hAnsi="Tahoma" w:cs="Tahoma"/>
      <w:sz w:val="16"/>
      <w:szCs w:val="16"/>
    </w:rPr>
  </w:style>
  <w:style w:type="paragraph" w:styleId="TOC4">
    <w:name w:val="toc 4"/>
    <w:basedOn w:val="Normal"/>
    <w:next w:val="Normal"/>
    <w:uiPriority w:val="39"/>
    <w:unhideWhenUsed/>
    <w:rsid w:val="00B2492B"/>
    <w:pPr>
      <w:tabs>
        <w:tab w:val="right" w:leader="dot" w:pos="8494"/>
      </w:tabs>
      <w:spacing w:before="0" w:line="276" w:lineRule="auto"/>
      <w:ind w:left="720" w:right="425"/>
    </w:pPr>
  </w:style>
  <w:style w:type="table" w:styleId="TableGrid">
    <w:name w:val="Table Grid"/>
    <w:basedOn w:val="TableNormal"/>
    <w:uiPriority w:val="59"/>
    <w:rsid w:val="008E7822"/>
    <w:pPr>
      <w:spacing w:before="60" w:after="6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1">
    <w:name w:val="Light Shading Accent 1"/>
    <w:basedOn w:val="TableNormal"/>
    <w:uiPriority w:val="60"/>
    <w:rsid w:val="00DA7B8C"/>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
    <w:name w:val="Light Shading"/>
    <w:basedOn w:val="TableNormal"/>
    <w:uiPriority w:val="60"/>
    <w:rsid w:val="00BA279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2">
    <w:name w:val="Light Shading Accent 2"/>
    <w:basedOn w:val="TableNormal"/>
    <w:uiPriority w:val="60"/>
    <w:rsid w:val="00BA279E"/>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BA279E"/>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paragraph" w:customStyle="1" w:styleId="TableText">
    <w:name w:val="Table Text"/>
    <w:basedOn w:val="Normal"/>
    <w:qFormat/>
    <w:rsid w:val="00CD7166"/>
    <w:pPr>
      <w:spacing w:before="60" w:after="60" w:line="240" w:lineRule="auto"/>
      <w:jc w:val="left"/>
    </w:pPr>
  </w:style>
  <w:style w:type="paragraph" w:styleId="TOC7">
    <w:name w:val="toc 7"/>
    <w:basedOn w:val="Normal"/>
    <w:next w:val="Normal"/>
    <w:autoRedefine/>
    <w:uiPriority w:val="39"/>
    <w:semiHidden/>
    <w:unhideWhenUsed/>
    <w:rsid w:val="00B2492B"/>
    <w:pPr>
      <w:ind w:left="1440"/>
    </w:pPr>
  </w:style>
  <w:style w:type="paragraph" w:styleId="TOC8">
    <w:name w:val="toc 8"/>
    <w:basedOn w:val="Normal"/>
    <w:next w:val="Normal"/>
    <w:autoRedefine/>
    <w:uiPriority w:val="39"/>
    <w:semiHidden/>
    <w:unhideWhenUsed/>
    <w:rsid w:val="00B2492B"/>
    <w:pPr>
      <w:ind w:left="1678"/>
    </w:pPr>
  </w:style>
  <w:style w:type="paragraph" w:styleId="TOC9">
    <w:name w:val="toc 9"/>
    <w:basedOn w:val="Normal"/>
    <w:next w:val="Normal"/>
    <w:autoRedefine/>
    <w:uiPriority w:val="39"/>
    <w:semiHidden/>
    <w:unhideWhenUsed/>
    <w:rsid w:val="00B2492B"/>
    <w:pPr>
      <w:ind w:left="1922"/>
    </w:pPr>
  </w:style>
  <w:style w:type="paragraph" w:customStyle="1" w:styleId="COVERPAGETEXT">
    <w:name w:val="COVER PAGE TEXT"/>
    <w:basedOn w:val="Normal"/>
    <w:qFormat/>
    <w:rsid w:val="009F4F9E"/>
    <w:pPr>
      <w:spacing w:before="0" w:line="276" w:lineRule="auto"/>
      <w:jc w:val="center"/>
    </w:pPr>
    <w:rPr>
      <w:rFonts w:cs="Arial"/>
      <w:sz w:val="28"/>
      <w:szCs w:val="28"/>
    </w:rPr>
  </w:style>
  <w:style w:type="paragraph" w:customStyle="1" w:styleId="TABLEOFCONTENTSHEADING">
    <w:name w:val="TABLE OF CONTENTS HEADING"/>
    <w:basedOn w:val="Normal"/>
    <w:qFormat/>
    <w:rsid w:val="00A128AB"/>
    <w:pPr>
      <w:spacing w:before="0" w:after="240"/>
      <w:jc w:val="left"/>
    </w:pPr>
    <w:rPr>
      <w:b/>
      <w:sz w:val="32"/>
    </w:rPr>
  </w:style>
  <w:style w:type="paragraph" w:styleId="Header">
    <w:name w:val="header"/>
    <w:basedOn w:val="Normal"/>
    <w:link w:val="HeaderChar"/>
    <w:uiPriority w:val="99"/>
    <w:unhideWhenUsed/>
    <w:rsid w:val="006A3182"/>
    <w:pPr>
      <w:tabs>
        <w:tab w:val="center" w:pos="4513"/>
        <w:tab w:val="right" w:pos="9026"/>
      </w:tabs>
      <w:spacing w:before="0" w:line="240" w:lineRule="auto"/>
    </w:pPr>
  </w:style>
  <w:style w:type="character" w:customStyle="1" w:styleId="HeaderChar">
    <w:name w:val="Header Char"/>
    <w:basedOn w:val="DefaultParagraphFont"/>
    <w:link w:val="Header"/>
    <w:uiPriority w:val="99"/>
    <w:rsid w:val="006A3182"/>
    <w:rPr>
      <w:rFonts w:ascii="Arial" w:eastAsia="Times New Roman" w:hAnsi="Arial" w:cs="Times New Roman"/>
      <w:sz w:val="24"/>
      <w:szCs w:val="24"/>
    </w:rPr>
  </w:style>
  <w:style w:type="paragraph" w:styleId="DocumentMap">
    <w:name w:val="Document Map"/>
    <w:basedOn w:val="Normal"/>
    <w:link w:val="DocumentMapChar"/>
    <w:uiPriority w:val="99"/>
    <w:semiHidden/>
    <w:unhideWhenUsed/>
    <w:rsid w:val="00A916EE"/>
    <w:pPr>
      <w:spacing w:before="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A916EE"/>
    <w:rPr>
      <w:rFonts w:ascii="Tahoma" w:eastAsia="Times New Roman" w:hAnsi="Tahoma" w:cs="Tahoma"/>
      <w:sz w:val="16"/>
      <w:szCs w:val="16"/>
    </w:rPr>
  </w:style>
  <w:style w:type="paragraph" w:styleId="NormalWeb">
    <w:name w:val="Normal (Web)"/>
    <w:basedOn w:val="Normal"/>
    <w:uiPriority w:val="99"/>
    <w:unhideWhenUsed/>
    <w:rsid w:val="004727CF"/>
    <w:pPr>
      <w:spacing w:before="100" w:beforeAutospacing="1" w:after="100" w:afterAutospacing="1" w:line="240" w:lineRule="auto"/>
      <w:jc w:val="left"/>
    </w:pPr>
    <w:rPr>
      <w:rFonts w:ascii="Times New Roman" w:hAnsi="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8120231">
      <w:bodyDiv w:val="1"/>
      <w:marLeft w:val="0"/>
      <w:marRight w:val="0"/>
      <w:marTop w:val="0"/>
      <w:marBottom w:val="0"/>
      <w:divBdr>
        <w:top w:val="none" w:sz="0" w:space="0" w:color="auto"/>
        <w:left w:val="none" w:sz="0" w:space="0" w:color="auto"/>
        <w:bottom w:val="none" w:sz="0" w:space="0" w:color="auto"/>
        <w:right w:val="none" w:sz="0" w:space="0" w:color="auto"/>
      </w:divBdr>
    </w:div>
    <w:div w:id="422605353">
      <w:bodyDiv w:val="1"/>
      <w:marLeft w:val="0"/>
      <w:marRight w:val="0"/>
      <w:marTop w:val="0"/>
      <w:marBottom w:val="0"/>
      <w:divBdr>
        <w:top w:val="none" w:sz="0" w:space="0" w:color="auto"/>
        <w:left w:val="none" w:sz="0" w:space="0" w:color="auto"/>
        <w:bottom w:val="none" w:sz="0" w:space="0" w:color="auto"/>
        <w:right w:val="none" w:sz="0" w:space="0" w:color="auto"/>
      </w:divBdr>
    </w:div>
    <w:div w:id="457261603">
      <w:bodyDiv w:val="1"/>
      <w:marLeft w:val="0"/>
      <w:marRight w:val="0"/>
      <w:marTop w:val="0"/>
      <w:marBottom w:val="0"/>
      <w:divBdr>
        <w:top w:val="none" w:sz="0" w:space="0" w:color="auto"/>
        <w:left w:val="none" w:sz="0" w:space="0" w:color="auto"/>
        <w:bottom w:val="none" w:sz="0" w:space="0" w:color="auto"/>
        <w:right w:val="none" w:sz="0" w:space="0" w:color="auto"/>
      </w:divBdr>
      <w:divsChild>
        <w:div w:id="485128958">
          <w:marLeft w:val="0"/>
          <w:marRight w:val="0"/>
          <w:marTop w:val="0"/>
          <w:marBottom w:val="0"/>
          <w:divBdr>
            <w:top w:val="none" w:sz="0" w:space="0" w:color="auto"/>
            <w:left w:val="none" w:sz="0" w:space="0" w:color="auto"/>
            <w:bottom w:val="none" w:sz="0" w:space="0" w:color="auto"/>
            <w:right w:val="none" w:sz="0" w:space="0" w:color="auto"/>
          </w:divBdr>
          <w:divsChild>
            <w:div w:id="1670789545">
              <w:marLeft w:val="0"/>
              <w:marRight w:val="0"/>
              <w:marTop w:val="0"/>
              <w:marBottom w:val="0"/>
              <w:divBdr>
                <w:top w:val="none" w:sz="0" w:space="0" w:color="auto"/>
                <w:left w:val="none" w:sz="0" w:space="0" w:color="auto"/>
                <w:bottom w:val="none" w:sz="0" w:space="0" w:color="auto"/>
                <w:right w:val="none" w:sz="0" w:space="0" w:color="auto"/>
              </w:divBdr>
              <w:divsChild>
                <w:div w:id="1277299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6835671">
      <w:bodyDiv w:val="1"/>
      <w:marLeft w:val="0"/>
      <w:marRight w:val="0"/>
      <w:marTop w:val="0"/>
      <w:marBottom w:val="0"/>
      <w:divBdr>
        <w:top w:val="none" w:sz="0" w:space="0" w:color="auto"/>
        <w:left w:val="none" w:sz="0" w:space="0" w:color="auto"/>
        <w:bottom w:val="none" w:sz="0" w:space="0" w:color="auto"/>
        <w:right w:val="none" w:sz="0" w:space="0" w:color="auto"/>
      </w:divBdr>
      <w:divsChild>
        <w:div w:id="955021198">
          <w:marLeft w:val="360"/>
          <w:marRight w:val="0"/>
          <w:marTop w:val="0"/>
          <w:marBottom w:val="0"/>
          <w:divBdr>
            <w:top w:val="none" w:sz="0" w:space="0" w:color="auto"/>
            <w:left w:val="none" w:sz="0" w:space="0" w:color="auto"/>
            <w:bottom w:val="none" w:sz="0" w:space="0" w:color="auto"/>
            <w:right w:val="none" w:sz="0" w:space="0" w:color="auto"/>
          </w:divBdr>
        </w:div>
        <w:div w:id="1175071941">
          <w:marLeft w:val="360"/>
          <w:marRight w:val="0"/>
          <w:marTop w:val="0"/>
          <w:marBottom w:val="0"/>
          <w:divBdr>
            <w:top w:val="none" w:sz="0" w:space="0" w:color="auto"/>
            <w:left w:val="none" w:sz="0" w:space="0" w:color="auto"/>
            <w:bottom w:val="none" w:sz="0" w:space="0" w:color="auto"/>
            <w:right w:val="none" w:sz="0" w:space="0" w:color="auto"/>
          </w:divBdr>
        </w:div>
      </w:divsChild>
    </w:div>
    <w:div w:id="914706091">
      <w:bodyDiv w:val="1"/>
      <w:marLeft w:val="0"/>
      <w:marRight w:val="0"/>
      <w:marTop w:val="0"/>
      <w:marBottom w:val="0"/>
      <w:divBdr>
        <w:top w:val="none" w:sz="0" w:space="0" w:color="auto"/>
        <w:left w:val="none" w:sz="0" w:space="0" w:color="auto"/>
        <w:bottom w:val="none" w:sz="0" w:space="0" w:color="auto"/>
        <w:right w:val="none" w:sz="0" w:space="0" w:color="auto"/>
      </w:divBdr>
      <w:divsChild>
        <w:div w:id="1464498349">
          <w:marLeft w:val="0"/>
          <w:marRight w:val="0"/>
          <w:marTop w:val="0"/>
          <w:marBottom w:val="0"/>
          <w:divBdr>
            <w:top w:val="none" w:sz="0" w:space="0" w:color="auto"/>
            <w:left w:val="none" w:sz="0" w:space="0" w:color="auto"/>
            <w:bottom w:val="none" w:sz="0" w:space="0" w:color="auto"/>
            <w:right w:val="none" w:sz="0" w:space="0" w:color="auto"/>
          </w:divBdr>
          <w:divsChild>
            <w:div w:id="1913077596">
              <w:marLeft w:val="0"/>
              <w:marRight w:val="0"/>
              <w:marTop w:val="0"/>
              <w:marBottom w:val="0"/>
              <w:divBdr>
                <w:top w:val="none" w:sz="0" w:space="0" w:color="auto"/>
                <w:left w:val="none" w:sz="0" w:space="0" w:color="auto"/>
                <w:bottom w:val="none" w:sz="0" w:space="0" w:color="auto"/>
                <w:right w:val="none" w:sz="0" w:space="0" w:color="auto"/>
              </w:divBdr>
              <w:divsChild>
                <w:div w:id="1266619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1839377">
      <w:bodyDiv w:val="1"/>
      <w:marLeft w:val="0"/>
      <w:marRight w:val="0"/>
      <w:marTop w:val="0"/>
      <w:marBottom w:val="0"/>
      <w:divBdr>
        <w:top w:val="none" w:sz="0" w:space="0" w:color="auto"/>
        <w:left w:val="none" w:sz="0" w:space="0" w:color="auto"/>
        <w:bottom w:val="none" w:sz="0" w:space="0" w:color="auto"/>
        <w:right w:val="none" w:sz="0" w:space="0" w:color="auto"/>
      </w:divBdr>
      <w:divsChild>
        <w:div w:id="1386686645">
          <w:marLeft w:val="0"/>
          <w:marRight w:val="0"/>
          <w:marTop w:val="0"/>
          <w:marBottom w:val="0"/>
          <w:divBdr>
            <w:top w:val="none" w:sz="0" w:space="0" w:color="auto"/>
            <w:left w:val="none" w:sz="0" w:space="0" w:color="auto"/>
            <w:bottom w:val="none" w:sz="0" w:space="0" w:color="auto"/>
            <w:right w:val="none" w:sz="0" w:space="0" w:color="auto"/>
          </w:divBdr>
          <w:divsChild>
            <w:div w:id="774402528">
              <w:marLeft w:val="0"/>
              <w:marRight w:val="0"/>
              <w:marTop w:val="0"/>
              <w:marBottom w:val="0"/>
              <w:divBdr>
                <w:top w:val="none" w:sz="0" w:space="0" w:color="auto"/>
                <w:left w:val="none" w:sz="0" w:space="0" w:color="auto"/>
                <w:bottom w:val="none" w:sz="0" w:space="0" w:color="auto"/>
                <w:right w:val="none" w:sz="0" w:space="0" w:color="auto"/>
              </w:divBdr>
              <w:divsChild>
                <w:div w:id="1853101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9712906">
      <w:bodyDiv w:val="1"/>
      <w:marLeft w:val="0"/>
      <w:marRight w:val="0"/>
      <w:marTop w:val="0"/>
      <w:marBottom w:val="0"/>
      <w:divBdr>
        <w:top w:val="none" w:sz="0" w:space="0" w:color="auto"/>
        <w:left w:val="none" w:sz="0" w:space="0" w:color="auto"/>
        <w:bottom w:val="none" w:sz="0" w:space="0" w:color="auto"/>
        <w:right w:val="none" w:sz="0" w:space="0" w:color="auto"/>
      </w:divBdr>
      <w:divsChild>
        <w:div w:id="672758751">
          <w:marLeft w:val="0"/>
          <w:marRight w:val="0"/>
          <w:marTop w:val="0"/>
          <w:marBottom w:val="0"/>
          <w:divBdr>
            <w:top w:val="none" w:sz="0" w:space="0" w:color="auto"/>
            <w:left w:val="none" w:sz="0" w:space="0" w:color="auto"/>
            <w:bottom w:val="none" w:sz="0" w:space="0" w:color="auto"/>
            <w:right w:val="none" w:sz="0" w:space="0" w:color="auto"/>
          </w:divBdr>
          <w:divsChild>
            <w:div w:id="707417462">
              <w:marLeft w:val="0"/>
              <w:marRight w:val="0"/>
              <w:marTop w:val="0"/>
              <w:marBottom w:val="0"/>
              <w:divBdr>
                <w:top w:val="none" w:sz="0" w:space="0" w:color="auto"/>
                <w:left w:val="none" w:sz="0" w:space="0" w:color="auto"/>
                <w:bottom w:val="none" w:sz="0" w:space="0" w:color="auto"/>
                <w:right w:val="none" w:sz="0" w:space="0" w:color="auto"/>
              </w:divBdr>
            </w:div>
            <w:div w:id="734550722">
              <w:marLeft w:val="0"/>
              <w:marRight w:val="0"/>
              <w:marTop w:val="0"/>
              <w:marBottom w:val="0"/>
              <w:divBdr>
                <w:top w:val="none" w:sz="0" w:space="0" w:color="auto"/>
                <w:left w:val="none" w:sz="0" w:space="0" w:color="auto"/>
                <w:bottom w:val="none" w:sz="0" w:space="0" w:color="auto"/>
                <w:right w:val="none" w:sz="0" w:space="0" w:color="auto"/>
              </w:divBdr>
            </w:div>
            <w:div w:id="1757707870">
              <w:marLeft w:val="0"/>
              <w:marRight w:val="0"/>
              <w:marTop w:val="0"/>
              <w:marBottom w:val="0"/>
              <w:divBdr>
                <w:top w:val="none" w:sz="0" w:space="0" w:color="auto"/>
                <w:left w:val="none" w:sz="0" w:space="0" w:color="auto"/>
                <w:bottom w:val="none" w:sz="0" w:space="0" w:color="auto"/>
                <w:right w:val="none" w:sz="0" w:space="0" w:color="auto"/>
              </w:divBdr>
            </w:div>
            <w:div w:id="209079998">
              <w:marLeft w:val="0"/>
              <w:marRight w:val="0"/>
              <w:marTop w:val="0"/>
              <w:marBottom w:val="0"/>
              <w:divBdr>
                <w:top w:val="none" w:sz="0" w:space="0" w:color="auto"/>
                <w:left w:val="none" w:sz="0" w:space="0" w:color="auto"/>
                <w:bottom w:val="none" w:sz="0" w:space="0" w:color="auto"/>
                <w:right w:val="none" w:sz="0" w:space="0" w:color="auto"/>
              </w:divBdr>
            </w:div>
            <w:div w:id="2139032105">
              <w:marLeft w:val="0"/>
              <w:marRight w:val="0"/>
              <w:marTop w:val="0"/>
              <w:marBottom w:val="0"/>
              <w:divBdr>
                <w:top w:val="none" w:sz="0" w:space="0" w:color="auto"/>
                <w:left w:val="none" w:sz="0" w:space="0" w:color="auto"/>
                <w:bottom w:val="none" w:sz="0" w:space="0" w:color="auto"/>
                <w:right w:val="none" w:sz="0" w:space="0" w:color="auto"/>
              </w:divBdr>
            </w:div>
            <w:div w:id="1206525191">
              <w:marLeft w:val="0"/>
              <w:marRight w:val="0"/>
              <w:marTop w:val="0"/>
              <w:marBottom w:val="0"/>
              <w:divBdr>
                <w:top w:val="none" w:sz="0" w:space="0" w:color="auto"/>
                <w:left w:val="none" w:sz="0" w:space="0" w:color="auto"/>
                <w:bottom w:val="none" w:sz="0" w:space="0" w:color="auto"/>
                <w:right w:val="none" w:sz="0" w:space="0" w:color="auto"/>
              </w:divBdr>
            </w:div>
            <w:div w:id="614097846">
              <w:marLeft w:val="0"/>
              <w:marRight w:val="0"/>
              <w:marTop w:val="0"/>
              <w:marBottom w:val="0"/>
              <w:divBdr>
                <w:top w:val="none" w:sz="0" w:space="0" w:color="auto"/>
                <w:left w:val="none" w:sz="0" w:space="0" w:color="auto"/>
                <w:bottom w:val="none" w:sz="0" w:space="0" w:color="auto"/>
                <w:right w:val="none" w:sz="0" w:space="0" w:color="auto"/>
              </w:divBdr>
            </w:div>
            <w:div w:id="1766539437">
              <w:marLeft w:val="0"/>
              <w:marRight w:val="0"/>
              <w:marTop w:val="0"/>
              <w:marBottom w:val="0"/>
              <w:divBdr>
                <w:top w:val="none" w:sz="0" w:space="0" w:color="auto"/>
                <w:left w:val="none" w:sz="0" w:space="0" w:color="auto"/>
                <w:bottom w:val="none" w:sz="0" w:space="0" w:color="auto"/>
                <w:right w:val="none" w:sz="0" w:space="0" w:color="auto"/>
              </w:divBdr>
            </w:div>
            <w:div w:id="1249995750">
              <w:marLeft w:val="0"/>
              <w:marRight w:val="0"/>
              <w:marTop w:val="0"/>
              <w:marBottom w:val="0"/>
              <w:divBdr>
                <w:top w:val="none" w:sz="0" w:space="0" w:color="auto"/>
                <w:left w:val="none" w:sz="0" w:space="0" w:color="auto"/>
                <w:bottom w:val="none" w:sz="0" w:space="0" w:color="auto"/>
                <w:right w:val="none" w:sz="0" w:space="0" w:color="auto"/>
              </w:divBdr>
            </w:div>
            <w:div w:id="2037807844">
              <w:marLeft w:val="0"/>
              <w:marRight w:val="0"/>
              <w:marTop w:val="0"/>
              <w:marBottom w:val="0"/>
              <w:divBdr>
                <w:top w:val="none" w:sz="0" w:space="0" w:color="auto"/>
                <w:left w:val="none" w:sz="0" w:space="0" w:color="auto"/>
                <w:bottom w:val="none" w:sz="0" w:space="0" w:color="auto"/>
                <w:right w:val="none" w:sz="0" w:space="0" w:color="auto"/>
              </w:divBdr>
            </w:div>
            <w:div w:id="843587893">
              <w:marLeft w:val="0"/>
              <w:marRight w:val="0"/>
              <w:marTop w:val="0"/>
              <w:marBottom w:val="0"/>
              <w:divBdr>
                <w:top w:val="none" w:sz="0" w:space="0" w:color="auto"/>
                <w:left w:val="none" w:sz="0" w:space="0" w:color="auto"/>
                <w:bottom w:val="none" w:sz="0" w:space="0" w:color="auto"/>
                <w:right w:val="none" w:sz="0" w:space="0" w:color="auto"/>
              </w:divBdr>
            </w:div>
            <w:div w:id="2014601810">
              <w:marLeft w:val="0"/>
              <w:marRight w:val="0"/>
              <w:marTop w:val="0"/>
              <w:marBottom w:val="0"/>
              <w:divBdr>
                <w:top w:val="none" w:sz="0" w:space="0" w:color="auto"/>
                <w:left w:val="none" w:sz="0" w:space="0" w:color="auto"/>
                <w:bottom w:val="none" w:sz="0" w:space="0" w:color="auto"/>
                <w:right w:val="none" w:sz="0" w:space="0" w:color="auto"/>
              </w:divBdr>
            </w:div>
            <w:div w:id="2107000813">
              <w:marLeft w:val="0"/>
              <w:marRight w:val="0"/>
              <w:marTop w:val="0"/>
              <w:marBottom w:val="0"/>
              <w:divBdr>
                <w:top w:val="none" w:sz="0" w:space="0" w:color="auto"/>
                <w:left w:val="none" w:sz="0" w:space="0" w:color="auto"/>
                <w:bottom w:val="none" w:sz="0" w:space="0" w:color="auto"/>
                <w:right w:val="none" w:sz="0" w:space="0" w:color="auto"/>
              </w:divBdr>
            </w:div>
            <w:div w:id="1688022349">
              <w:marLeft w:val="0"/>
              <w:marRight w:val="0"/>
              <w:marTop w:val="0"/>
              <w:marBottom w:val="0"/>
              <w:divBdr>
                <w:top w:val="none" w:sz="0" w:space="0" w:color="auto"/>
                <w:left w:val="none" w:sz="0" w:space="0" w:color="auto"/>
                <w:bottom w:val="none" w:sz="0" w:space="0" w:color="auto"/>
                <w:right w:val="none" w:sz="0" w:space="0" w:color="auto"/>
              </w:divBdr>
            </w:div>
            <w:div w:id="2026785928">
              <w:marLeft w:val="0"/>
              <w:marRight w:val="0"/>
              <w:marTop w:val="0"/>
              <w:marBottom w:val="0"/>
              <w:divBdr>
                <w:top w:val="none" w:sz="0" w:space="0" w:color="auto"/>
                <w:left w:val="none" w:sz="0" w:space="0" w:color="auto"/>
                <w:bottom w:val="none" w:sz="0" w:space="0" w:color="auto"/>
                <w:right w:val="none" w:sz="0" w:space="0" w:color="auto"/>
              </w:divBdr>
            </w:div>
            <w:div w:id="187791917">
              <w:marLeft w:val="0"/>
              <w:marRight w:val="0"/>
              <w:marTop w:val="0"/>
              <w:marBottom w:val="0"/>
              <w:divBdr>
                <w:top w:val="none" w:sz="0" w:space="0" w:color="auto"/>
                <w:left w:val="none" w:sz="0" w:space="0" w:color="auto"/>
                <w:bottom w:val="none" w:sz="0" w:space="0" w:color="auto"/>
                <w:right w:val="none" w:sz="0" w:space="0" w:color="auto"/>
              </w:divBdr>
            </w:div>
            <w:div w:id="868646529">
              <w:marLeft w:val="0"/>
              <w:marRight w:val="0"/>
              <w:marTop w:val="0"/>
              <w:marBottom w:val="0"/>
              <w:divBdr>
                <w:top w:val="none" w:sz="0" w:space="0" w:color="auto"/>
                <w:left w:val="none" w:sz="0" w:space="0" w:color="auto"/>
                <w:bottom w:val="none" w:sz="0" w:space="0" w:color="auto"/>
                <w:right w:val="none" w:sz="0" w:space="0" w:color="auto"/>
              </w:divBdr>
            </w:div>
            <w:div w:id="998535315">
              <w:marLeft w:val="0"/>
              <w:marRight w:val="0"/>
              <w:marTop w:val="0"/>
              <w:marBottom w:val="0"/>
              <w:divBdr>
                <w:top w:val="none" w:sz="0" w:space="0" w:color="auto"/>
                <w:left w:val="none" w:sz="0" w:space="0" w:color="auto"/>
                <w:bottom w:val="none" w:sz="0" w:space="0" w:color="auto"/>
                <w:right w:val="none" w:sz="0" w:space="0" w:color="auto"/>
              </w:divBdr>
            </w:div>
            <w:div w:id="1727683412">
              <w:marLeft w:val="0"/>
              <w:marRight w:val="0"/>
              <w:marTop w:val="0"/>
              <w:marBottom w:val="0"/>
              <w:divBdr>
                <w:top w:val="none" w:sz="0" w:space="0" w:color="auto"/>
                <w:left w:val="none" w:sz="0" w:space="0" w:color="auto"/>
                <w:bottom w:val="none" w:sz="0" w:space="0" w:color="auto"/>
                <w:right w:val="none" w:sz="0" w:space="0" w:color="auto"/>
              </w:divBdr>
            </w:div>
            <w:div w:id="1523396122">
              <w:marLeft w:val="0"/>
              <w:marRight w:val="0"/>
              <w:marTop w:val="0"/>
              <w:marBottom w:val="0"/>
              <w:divBdr>
                <w:top w:val="none" w:sz="0" w:space="0" w:color="auto"/>
                <w:left w:val="none" w:sz="0" w:space="0" w:color="auto"/>
                <w:bottom w:val="none" w:sz="0" w:space="0" w:color="auto"/>
                <w:right w:val="none" w:sz="0" w:space="0" w:color="auto"/>
              </w:divBdr>
            </w:div>
            <w:div w:id="674721554">
              <w:marLeft w:val="0"/>
              <w:marRight w:val="0"/>
              <w:marTop w:val="0"/>
              <w:marBottom w:val="0"/>
              <w:divBdr>
                <w:top w:val="none" w:sz="0" w:space="0" w:color="auto"/>
                <w:left w:val="none" w:sz="0" w:space="0" w:color="auto"/>
                <w:bottom w:val="none" w:sz="0" w:space="0" w:color="auto"/>
                <w:right w:val="none" w:sz="0" w:space="0" w:color="auto"/>
              </w:divBdr>
            </w:div>
            <w:div w:id="929700225">
              <w:marLeft w:val="0"/>
              <w:marRight w:val="0"/>
              <w:marTop w:val="0"/>
              <w:marBottom w:val="0"/>
              <w:divBdr>
                <w:top w:val="none" w:sz="0" w:space="0" w:color="auto"/>
                <w:left w:val="none" w:sz="0" w:space="0" w:color="auto"/>
                <w:bottom w:val="none" w:sz="0" w:space="0" w:color="auto"/>
                <w:right w:val="none" w:sz="0" w:space="0" w:color="auto"/>
              </w:divBdr>
            </w:div>
            <w:div w:id="1757314082">
              <w:marLeft w:val="0"/>
              <w:marRight w:val="0"/>
              <w:marTop w:val="0"/>
              <w:marBottom w:val="0"/>
              <w:divBdr>
                <w:top w:val="none" w:sz="0" w:space="0" w:color="auto"/>
                <w:left w:val="none" w:sz="0" w:space="0" w:color="auto"/>
                <w:bottom w:val="none" w:sz="0" w:space="0" w:color="auto"/>
                <w:right w:val="none" w:sz="0" w:space="0" w:color="auto"/>
              </w:divBdr>
            </w:div>
            <w:div w:id="1497259846">
              <w:marLeft w:val="0"/>
              <w:marRight w:val="0"/>
              <w:marTop w:val="0"/>
              <w:marBottom w:val="0"/>
              <w:divBdr>
                <w:top w:val="none" w:sz="0" w:space="0" w:color="auto"/>
                <w:left w:val="none" w:sz="0" w:space="0" w:color="auto"/>
                <w:bottom w:val="none" w:sz="0" w:space="0" w:color="auto"/>
                <w:right w:val="none" w:sz="0" w:space="0" w:color="auto"/>
              </w:divBdr>
            </w:div>
            <w:div w:id="382367070">
              <w:marLeft w:val="0"/>
              <w:marRight w:val="0"/>
              <w:marTop w:val="0"/>
              <w:marBottom w:val="0"/>
              <w:divBdr>
                <w:top w:val="none" w:sz="0" w:space="0" w:color="auto"/>
                <w:left w:val="none" w:sz="0" w:space="0" w:color="auto"/>
                <w:bottom w:val="none" w:sz="0" w:space="0" w:color="auto"/>
                <w:right w:val="none" w:sz="0" w:space="0" w:color="auto"/>
              </w:divBdr>
            </w:div>
            <w:div w:id="1245265893">
              <w:marLeft w:val="0"/>
              <w:marRight w:val="0"/>
              <w:marTop w:val="0"/>
              <w:marBottom w:val="0"/>
              <w:divBdr>
                <w:top w:val="none" w:sz="0" w:space="0" w:color="auto"/>
                <w:left w:val="none" w:sz="0" w:space="0" w:color="auto"/>
                <w:bottom w:val="none" w:sz="0" w:space="0" w:color="auto"/>
                <w:right w:val="none" w:sz="0" w:space="0" w:color="auto"/>
              </w:divBdr>
            </w:div>
            <w:div w:id="1387993124">
              <w:marLeft w:val="0"/>
              <w:marRight w:val="0"/>
              <w:marTop w:val="0"/>
              <w:marBottom w:val="0"/>
              <w:divBdr>
                <w:top w:val="none" w:sz="0" w:space="0" w:color="auto"/>
                <w:left w:val="none" w:sz="0" w:space="0" w:color="auto"/>
                <w:bottom w:val="none" w:sz="0" w:space="0" w:color="auto"/>
                <w:right w:val="none" w:sz="0" w:space="0" w:color="auto"/>
              </w:divBdr>
            </w:div>
            <w:div w:id="872425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9146507">
      <w:bodyDiv w:val="1"/>
      <w:marLeft w:val="0"/>
      <w:marRight w:val="0"/>
      <w:marTop w:val="0"/>
      <w:marBottom w:val="0"/>
      <w:divBdr>
        <w:top w:val="none" w:sz="0" w:space="0" w:color="auto"/>
        <w:left w:val="none" w:sz="0" w:space="0" w:color="auto"/>
        <w:bottom w:val="none" w:sz="0" w:space="0" w:color="auto"/>
        <w:right w:val="none" w:sz="0" w:space="0" w:color="auto"/>
      </w:divBdr>
      <w:divsChild>
        <w:div w:id="1368792460">
          <w:marLeft w:val="360"/>
          <w:marRight w:val="0"/>
          <w:marTop w:val="0"/>
          <w:marBottom w:val="0"/>
          <w:divBdr>
            <w:top w:val="none" w:sz="0" w:space="0" w:color="auto"/>
            <w:left w:val="none" w:sz="0" w:space="0" w:color="auto"/>
            <w:bottom w:val="none" w:sz="0" w:space="0" w:color="auto"/>
            <w:right w:val="none" w:sz="0" w:space="0" w:color="auto"/>
          </w:divBdr>
        </w:div>
        <w:div w:id="1582563591">
          <w:marLeft w:val="360"/>
          <w:marRight w:val="0"/>
          <w:marTop w:val="0"/>
          <w:marBottom w:val="0"/>
          <w:divBdr>
            <w:top w:val="none" w:sz="0" w:space="0" w:color="auto"/>
            <w:left w:val="none" w:sz="0" w:space="0" w:color="auto"/>
            <w:bottom w:val="none" w:sz="0" w:space="0" w:color="auto"/>
            <w:right w:val="none" w:sz="0" w:space="0" w:color="auto"/>
          </w:divBdr>
        </w:div>
        <w:div w:id="271596020">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image" Target="media/image2.jpeg"/><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3.xml"/><Relationship Id="rId25"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chart" Target="charts/chart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chart" Target="charts/chart2.xm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image" Target="media/image3.emf"/><Relationship Id="rId28"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 Id="rId22" Type="http://schemas.openxmlformats.org/officeDocument/2006/relationships/image" Target="cid:ii_19b2e97eac2e9d085ec2" TargetMode="External"/><Relationship Id="rId27"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Book1" TargetMode="Externa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Sheet1!$C$3</c:f>
              <c:strCache>
                <c:ptCount val="1"/>
                <c:pt idx="0">
                  <c:v>Detonation Velocity </c:v>
                </c:pt>
              </c:strCache>
            </c:strRef>
          </c:tx>
          <c:spPr>
            <a:ln w="28575" cap="rnd">
              <a:solidFill>
                <a:schemeClr val="accent1"/>
              </a:solidFill>
              <a:round/>
            </a:ln>
            <a:effectLst/>
          </c:spPr>
          <c:marker>
            <c:symbol val="none"/>
          </c:marker>
          <c:cat>
            <c:numRef>
              <c:f>Sheet1!$B$4:$B$9</c:f>
              <c:numCache>
                <c:formatCode>General</c:formatCode>
                <c:ptCount val="6"/>
                <c:pt idx="0">
                  <c:v>1.35</c:v>
                </c:pt>
                <c:pt idx="1">
                  <c:v>1.4000000000000001</c:v>
                </c:pt>
                <c:pt idx="2">
                  <c:v>1.4500000000000002</c:v>
                </c:pt>
                <c:pt idx="3">
                  <c:v>1.5000000000000002</c:v>
                </c:pt>
                <c:pt idx="4">
                  <c:v>1.5500000000000003</c:v>
                </c:pt>
                <c:pt idx="5">
                  <c:v>1.6000000000000003</c:v>
                </c:pt>
              </c:numCache>
            </c:numRef>
          </c:cat>
          <c:val>
            <c:numRef>
              <c:f>Sheet1!$C$4:$C$9</c:f>
              <c:numCache>
                <c:formatCode>0</c:formatCode>
                <c:ptCount val="6"/>
                <c:pt idx="0">
                  <c:v>6175.4500000000007</c:v>
                </c:pt>
                <c:pt idx="1">
                  <c:v>6334.8</c:v>
                </c:pt>
                <c:pt idx="2">
                  <c:v>6494.1500000000005</c:v>
                </c:pt>
                <c:pt idx="3">
                  <c:v>6653.5000000000009</c:v>
                </c:pt>
                <c:pt idx="4">
                  <c:v>6807.0376693759999</c:v>
                </c:pt>
                <c:pt idx="5">
                  <c:v>6896.0845397760004</c:v>
                </c:pt>
              </c:numCache>
            </c:numRef>
          </c:val>
          <c:smooth val="0"/>
          <c:extLst>
            <c:ext xmlns:c16="http://schemas.microsoft.com/office/drawing/2014/chart" uri="{C3380CC4-5D6E-409C-BE32-E72D297353CC}">
              <c16:uniqueId val="{00000000-60ED-45D5-A408-E204FD0C220B}"/>
            </c:ext>
          </c:extLst>
        </c:ser>
        <c:dLbls>
          <c:showLegendKey val="0"/>
          <c:showVal val="0"/>
          <c:showCatName val="0"/>
          <c:showSerName val="0"/>
          <c:showPercent val="0"/>
          <c:showBubbleSize val="0"/>
        </c:dLbls>
        <c:smooth val="0"/>
        <c:axId val="2003895951"/>
        <c:axId val="2003894991"/>
      </c:lineChart>
      <c:catAx>
        <c:axId val="2003895951"/>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Density g/cm^3</a:t>
                </a:r>
                <a:r>
                  <a:rPr lang="en-GB" baseline="0"/>
                  <a:t> </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03894991"/>
        <c:crosses val="autoZero"/>
        <c:auto val="1"/>
        <c:lblAlgn val="ctr"/>
        <c:lblOffset val="100"/>
        <c:noMultiLvlLbl val="0"/>
      </c:catAx>
      <c:valAx>
        <c:axId val="200389499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Detonation</a:t>
                </a:r>
                <a:r>
                  <a:rPr lang="en-GB" baseline="0"/>
                  <a:t> Velocity m/s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03895951"/>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Sheet1!$C$3</c:f>
              <c:strCache>
                <c:ptCount val="1"/>
                <c:pt idx="0">
                  <c:v>Detonation Velocity </c:v>
                </c:pt>
              </c:strCache>
            </c:strRef>
          </c:tx>
          <c:spPr>
            <a:ln w="28575" cap="rnd">
              <a:solidFill>
                <a:schemeClr val="accent1"/>
              </a:solidFill>
              <a:round/>
            </a:ln>
            <a:effectLst/>
          </c:spPr>
          <c:marker>
            <c:symbol val="none"/>
          </c:marker>
          <c:cat>
            <c:numRef>
              <c:f>Sheet1!$B$4:$B$9</c:f>
              <c:numCache>
                <c:formatCode>General</c:formatCode>
                <c:ptCount val="6"/>
                <c:pt idx="0">
                  <c:v>1.35</c:v>
                </c:pt>
                <c:pt idx="1">
                  <c:v>1.4000000000000001</c:v>
                </c:pt>
                <c:pt idx="2">
                  <c:v>1.4500000000000002</c:v>
                </c:pt>
                <c:pt idx="3">
                  <c:v>1.5000000000000002</c:v>
                </c:pt>
                <c:pt idx="4">
                  <c:v>1.5500000000000003</c:v>
                </c:pt>
                <c:pt idx="5">
                  <c:v>1.6000000000000003</c:v>
                </c:pt>
              </c:numCache>
            </c:numRef>
          </c:cat>
          <c:val>
            <c:numRef>
              <c:f>Sheet1!$C$4:$C$9</c:f>
              <c:numCache>
                <c:formatCode>0</c:formatCode>
                <c:ptCount val="6"/>
                <c:pt idx="0">
                  <c:v>6175.4500000000007</c:v>
                </c:pt>
                <c:pt idx="1">
                  <c:v>6334.8</c:v>
                </c:pt>
                <c:pt idx="2">
                  <c:v>6494.1500000000005</c:v>
                </c:pt>
                <c:pt idx="3">
                  <c:v>6653.5000000000009</c:v>
                </c:pt>
                <c:pt idx="4">
                  <c:v>6807.0376693759999</c:v>
                </c:pt>
                <c:pt idx="5">
                  <c:v>6896.0845397760004</c:v>
                </c:pt>
              </c:numCache>
            </c:numRef>
          </c:val>
          <c:smooth val="0"/>
          <c:extLst>
            <c:ext xmlns:c16="http://schemas.microsoft.com/office/drawing/2014/chart" uri="{C3380CC4-5D6E-409C-BE32-E72D297353CC}">
              <c16:uniqueId val="{00000000-787F-4481-B3F3-7969C1440C01}"/>
            </c:ext>
          </c:extLst>
        </c:ser>
        <c:dLbls>
          <c:showLegendKey val="0"/>
          <c:showVal val="0"/>
          <c:showCatName val="0"/>
          <c:showSerName val="0"/>
          <c:showPercent val="0"/>
          <c:showBubbleSize val="0"/>
        </c:dLbls>
        <c:smooth val="0"/>
        <c:axId val="2003895951"/>
        <c:axId val="2003894991"/>
      </c:lineChart>
      <c:catAx>
        <c:axId val="2003895951"/>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Density g/cm^3</a:t>
                </a:r>
                <a:r>
                  <a:rPr lang="en-GB" baseline="0"/>
                  <a:t> </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03894991"/>
        <c:crosses val="autoZero"/>
        <c:auto val="1"/>
        <c:lblAlgn val="ctr"/>
        <c:lblOffset val="100"/>
        <c:noMultiLvlLbl val="0"/>
      </c:catAx>
      <c:valAx>
        <c:axId val="200389499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Detonation</a:t>
                </a:r>
                <a:r>
                  <a:rPr lang="en-GB" baseline="0"/>
                  <a:t> Velocity m/s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03895951"/>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2.xml><?xml version="1.0" encoding="utf-8"?>
<titus xmlns="http://schemas.titus.com/TitusProperties/">
  <TitusGUID xmlns="">c7ca475a-0b82-4472-a9df-9ee3ff208ad4</TitusGUID>
  <TitusMetadata xmlns="">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</TitusMetadata>
</titus>
</file>

<file path=customXml/item3.xml><?xml version="1.0" encoding="utf-8"?>
<ct:contentTypeSchema xmlns:ct="http://schemas.microsoft.com/office/2006/metadata/contentType" xmlns:ma="http://schemas.microsoft.com/office/2006/metadata/properties/metaAttributes" ct:_="" ma:_="" ma:contentTypeName="Guidance" ma:contentTypeID="0x0101004290F2E8039B154C9E662A19CFC51959010200A3BA5CA9E2341544A123ECEE8D001107" ma:contentTypeVersion="50" ma:contentTypeDescription="Software/IT manual " ma:contentTypeScope="" ma:versionID="4b64b7151e2319e8d6ae64d5cab41b4a">
  <xsd:schema xmlns:xsd="http://www.w3.org/2001/XMLSchema" xmlns:xs="http://www.w3.org/2001/XMLSchema" xmlns:p="http://schemas.microsoft.com/office/2006/metadata/properties" xmlns:ns1="http://schemas.microsoft.com/sharepoint/v3" xmlns:ns3="3388a729-9e12-4312-a76d-5fe9bbf8ecd2" xmlns:ns4="4cd35da3-83ae-4f65-abb8-8c805dda85d5" xmlns:ns5="f6a84657-7f7d-49a3-8d6a-40e484b3ca75" targetNamespace="http://schemas.microsoft.com/office/2006/metadata/properties" ma:root="true" ma:fieldsID="f5b4042a10a2729df7164e3978f098da" ns1:_="" ns3:_="" ns4:_="" ns5:_="">
    <xsd:import namespace="http://schemas.microsoft.com/sharepoint/v3"/>
    <xsd:import namespace="3388a729-9e12-4312-a76d-5fe9bbf8ecd2"/>
    <xsd:import namespace="4cd35da3-83ae-4f65-abb8-8c805dda85d5"/>
    <xsd:import namespace="f6a84657-7f7d-49a3-8d6a-40e484b3ca75"/>
    <xsd:element name="properties">
      <xsd:complexType>
        <xsd:sequence>
          <xsd:element name="documentManagement">
            <xsd:complexType>
              <xsd:all>
                <xsd:element ref="ns3:Applications" minOccurs="0"/>
                <xsd:element ref="ns3:IT_x0020_pages" minOccurs="0"/>
                <xsd:element ref="ns1:ReportOwner"/>
                <xsd:element ref="ns4:ExpiryDate"/>
                <xsd:element ref="ns5:Document_x0020_types" minOccurs="0"/>
                <xsd:element ref="ns5:Order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ReportOwner" ma:index="11" ma:displayName="Owner" ma:description="Owner of this document" ma:list="UserInfo" ma:internalName="ReportOwner" ma:readOnly="false">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388a729-9e12-4312-a76d-5fe9bbf8ecd2" elementFormDefault="qualified">
    <xsd:import namespace="http://schemas.microsoft.com/office/2006/documentManagement/types"/>
    <xsd:import namespace="http://schemas.microsoft.com/office/infopath/2007/PartnerControls"/>
    <xsd:element name="Applications" ma:index="9" nillable="true" ma:displayName="Applications" ma:description="Lookup table of IT applications" ma:list="05b26906-c3be-422e-bf90-c254863c1ea1" ma:internalName="Applications" ma:showField="Title" ma:web="3388a729-9e12-4312-a76d-5fe9bbf8ecd2">
      <xsd:complexType>
        <xsd:complexContent>
          <xsd:extension base="dms:MultiChoiceLookup">
            <xsd:sequence>
              <xsd:element name="Value" type="dms:Lookup" maxOccurs="unbounded" minOccurs="0" nillable="true"/>
            </xsd:sequence>
          </xsd:extension>
        </xsd:complexContent>
      </xsd:complexType>
    </xsd:element>
    <xsd:element name="IT_x0020_pages" ma:index="10" nillable="true" ma:displayName="Areas of interest" ma:description="Lookup table for IT 'areas of interest'" ma:list="52eea3f0-9c88-428e-9c92-16a5c68e2905" ma:internalName="IT_x0020_pages" ma:showField="Title" ma:web="3388a729-9e12-4312-a76d-5fe9bbf8ecd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cd35da3-83ae-4f65-abb8-8c805dda85d5" elementFormDefault="qualified">
    <xsd:import namespace="http://schemas.microsoft.com/office/2006/documentManagement/types"/>
    <xsd:import namespace="http://schemas.microsoft.com/office/infopath/2007/PartnerControls"/>
    <xsd:element name="ExpiryDate" ma:index="12" ma:displayName="ExpiryDate" ma:default="" ma:format="DateOnly" ma:internalName="Expiry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6a84657-7f7d-49a3-8d6a-40e484b3ca75" elementFormDefault="qualified">
    <xsd:import namespace="http://schemas.microsoft.com/office/2006/documentManagement/types"/>
    <xsd:import namespace="http://schemas.microsoft.com/office/infopath/2007/PartnerControls"/>
    <xsd:element name="Document_x0020_types" ma:index="13" nillable="true" ma:displayName="Document types" ma:description="Document types" ma:list="ac0456ce-3b18-4a75-8185-1bdafd672fd2" ma:internalName="Document_x0020_types" ma:showField="Title" ma:web="3388a729-9e12-4312-a76d-5fe9bbf8ecd2">
      <xsd:simpleType>
        <xsd:restriction base="dms:Lookup"/>
      </xsd:simpleType>
    </xsd:element>
    <xsd:element name="Order0" ma:index="14" nillable="true" ma:displayName="Order" ma:decimals="0" ma:description="Order within a group of documents" ma:internalName="Order0" ma:percentage="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ma:index="8"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IT_x0020_pages xmlns="3388a729-9e12-4312-a76d-5fe9bbf8ecd2"/>
    <ExpiryDate xmlns="4cd35da3-83ae-4f65-abb8-8c805dda85d5">2025-12-31T00:00:00+00:00</ExpiryDate>
    <Document_x0020_types xmlns="f6a84657-7f7d-49a3-8d6a-40e484b3ca75" xsi:nil="true"/>
    <ReportOwner xmlns="http://schemas.microsoft.com/sharepoint/v3">
      <UserInfo>
        <DisplayName>trainingIT</DisplayName>
        <AccountId>22861</AccountId>
        <AccountType/>
      </UserInfo>
    </ReportOwner>
    <Applications xmlns="3388a729-9e12-4312-a76d-5fe9bbf8ecd2"/>
    <Order0 xmlns="f6a84657-7f7d-49a3-8d6a-40e484b3ca75"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3A43415-ADA0-1447-A22C-FC2479F03CE4}">
  <ds:schemaRefs>
    <ds:schemaRef ds:uri="http://schemas.openxmlformats.org/officeDocument/2006/bibliography"/>
  </ds:schemaRefs>
</ds:datastoreItem>
</file>

<file path=customXml/itemProps2.xml><?xml version="1.0" encoding="utf-8"?>
<ds:datastoreItem xmlns:ds="http://schemas.openxmlformats.org/officeDocument/2006/customXml" ds:itemID="{39FFDC2C-6513-4E4D-8FFE-474ADEC3DCE0}">
  <ds:schemaRefs>
    <ds:schemaRef ds:uri="http://schemas.titus.com/TitusProperties/"/>
    <ds:schemaRef ds:uri=""/>
  </ds:schemaRefs>
</ds:datastoreItem>
</file>

<file path=customXml/itemProps3.xml><?xml version="1.0" encoding="utf-8"?>
<ds:datastoreItem xmlns:ds="http://schemas.openxmlformats.org/officeDocument/2006/customXml" ds:itemID="{4BE4B8F4-63EB-4A78-B081-44F2207D6D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388a729-9e12-4312-a76d-5fe9bbf8ecd2"/>
    <ds:schemaRef ds:uri="4cd35da3-83ae-4f65-abb8-8c805dda85d5"/>
    <ds:schemaRef ds:uri="f6a84657-7f7d-49a3-8d6a-40e484b3ca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3034980-3A77-432B-81CC-EF82D4C625AC}">
  <ds:schemaRefs>
    <ds:schemaRef ds:uri="http://schemas.microsoft.com/office/2006/metadata/properties"/>
    <ds:schemaRef ds:uri="http://schemas.microsoft.com/office/2006/documentManagement/types"/>
    <ds:schemaRef ds:uri="http://purl.org/dc/elements/1.1/"/>
    <ds:schemaRef ds:uri="f6a84657-7f7d-49a3-8d6a-40e484b3ca75"/>
    <ds:schemaRef ds:uri="http://purl.org/dc/dcmitype/"/>
    <ds:schemaRef ds:uri="http://www.w3.org/XML/1998/namespace"/>
    <ds:schemaRef ds:uri="3388a729-9e12-4312-a76d-5fe9bbf8ecd2"/>
    <ds:schemaRef ds:uri="http://purl.org/dc/terms/"/>
    <ds:schemaRef ds:uri="http://schemas.microsoft.com/sharepoint/v3"/>
    <ds:schemaRef ds:uri="http://schemas.microsoft.com/office/infopath/2007/PartnerControls"/>
    <ds:schemaRef ds:uri="http://schemas.openxmlformats.org/package/2006/metadata/core-properties"/>
    <ds:schemaRef ds:uri="4cd35da3-83ae-4f65-abb8-8c805dda85d5"/>
  </ds:schemaRefs>
</ds:datastoreItem>
</file>

<file path=customXml/itemProps5.xml><?xml version="1.0" encoding="utf-8"?>
<ds:datastoreItem xmlns:ds="http://schemas.openxmlformats.org/officeDocument/2006/customXml" ds:itemID="{12BB6C4B-211C-4FAF-9C05-46BF99CBB46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2674</TotalTime>
  <Pages>17</Pages>
  <Words>3491</Words>
  <Characters>19905</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Word Thesis template (2023)</vt:lpstr>
    </vt:vector>
  </TitlesOfParts>
  <Company>Cranfield University</Company>
  <LinksUpToDate>false</LinksUpToDate>
  <CharactersWithSpaces>23350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Word Thesis template (2023)</dc:title>
  <dc:creator>ittraining@cranfield.ac.uk;a.k.waters@cranfield.ac.uk</dc:creator>
  <cp:keywords/>
  <cp:lastModifiedBy>Legg, Eryn (UK)</cp:lastModifiedBy>
  <cp:revision>9</cp:revision>
  <dcterms:created xsi:type="dcterms:W3CDTF">2025-12-16T11:43:00Z</dcterms:created>
  <dcterms:modified xsi:type="dcterms:W3CDTF">2025-12-18T08:15:00Z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0x0101004290F2E8039B154C9E662A19CFC51959010200A3BA5CA9E2341544A123ECEE8D001107</vt:lpwstr>
  </property>
  <property fmtid="{D5CDD505-2E9C-101B-9397-08002B2CF9AE}" pid="3" name="Order">
    <vt:r8>100</vt:r8>
  </property>
  <property fmtid="{D5CDD505-2E9C-101B-9397-08002B2CF9AE}" pid="4" name="_dlc_DocIdItemGuid">
    <vt:lpwstr>7dfc418f-b87e-4bad-824f-46e8dbbf47fb</vt:lpwstr>
  </property>
  <property fmtid="{D5CDD505-2E9C-101B-9397-08002B2CF9AE}" pid="5" name="xd_ProgID">
    <vt:lpwstr/>
  </property>
  <property fmtid="{D5CDD505-2E9C-101B-9397-08002B2CF9AE}" pid="6" name="_dlc_DocId">
    <vt:lpwstr>M7UVUVMZT23C-2075699740-202451</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_dlc_DocIdUrl">
    <vt:lpwstr>https://cranfield.sharepoint.com/sites/ISShare/_layouts/15/DocIdRedir.aspx?ID=M7UVUVMZT23C-2075699740-202451, M7UVUVMZT23C-2075699740-202451</vt:lpwstr>
  </property>
  <property fmtid="{D5CDD505-2E9C-101B-9397-08002B2CF9AE}" pid="12" name="xd_Signature">
    <vt:bool>false</vt:bool>
  </property>
  <property fmtid="{D5CDD505-2E9C-101B-9397-08002B2CF9AE}" pid="13" name="MediaServiceImageTags">
    <vt:lpwstr/>
  </property>
  <property fmtid="{D5CDD505-2E9C-101B-9397-08002B2CF9AE}" pid="14" name="TitusGUID">
    <vt:lpwstr>c7ca475a-0b82-4472-a9df-9ee3ff208ad4</vt:lpwstr>
  </property>
  <property fmtid="{D5CDD505-2E9C-101B-9397-08002B2CF9AE}" pid="15" name="Originator">
    <vt:lpwstr>BAE Systems</vt:lpwstr>
  </property>
  <property fmtid="{D5CDD505-2E9C-101B-9397-08002B2CF9AE}" pid="16" name="urnbailsCompMarkingP1">
    <vt:lpwstr>NO COMPANY MARKING</vt:lpwstr>
  </property>
  <property fmtid="{D5CDD505-2E9C-101B-9397-08002B2CF9AE}" pid="17" name="urnbailsNATSECMarkingP1">
    <vt:lpwstr>NOT APPLICABLE</vt:lpwstr>
  </property>
  <property fmtid="{D5CDD505-2E9C-101B-9397-08002B2CF9AE}" pid="18" name="urnbailsExportControlMarkingP1">
    <vt:lpwstr>NO</vt:lpwstr>
  </property>
  <property fmtid="{D5CDD505-2E9C-101B-9397-08002B2CF9AE}" pid="19" name="urnbailsExportControlMarkingP2">
    <vt:lpwstr>NOT EXPORT CONTROLLED - UK / US / OTHER LOCAL</vt:lpwstr>
  </property>
  <property fmtid="{D5CDD505-2E9C-101B-9397-08002B2CF9AE}" pid="20" name="BaesClassificationComments">
    <vt:lpwstr/>
  </property>
  <property fmtid="{D5CDD505-2E9C-101B-9397-08002B2CF9AE}" pid="21" name="baesystemsmvmNATSECregion">
    <vt:lpwstr>UK</vt:lpwstr>
  </property>
</Properties>
</file>