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bottom w:color="c9a84c" w:space="4" w:sz="4" w:val="single"/>
        </w:pBdr>
        <w:spacing w:after="120" w:before="240" w:lineRule="auto"/>
        <w:rPr/>
      </w:pPr>
      <w:r w:rsidDel="00000000" w:rsidR="00000000" w:rsidRPr="00000000">
        <w:rPr>
          <w:rFonts w:ascii="Calibri" w:cs="Calibri" w:eastAsia="Calibri" w:hAnsi="Calibri"/>
          <w:b w:val="1"/>
          <w:bCs w:val="1"/>
          <w:color w:val="1c2b4a"/>
          <w:sz w:val="44"/>
          <w:szCs w:val="44"/>
          <w:rtl w:val="0"/>
        </w:rPr>
        <w:t xml:space="preserve">Limitations in Qualitative Business &amp; Management Research</w:t>
      </w:r>
      <w:r w:rsidDel="00000000" w:rsidR="00000000" w:rsidRPr="00000000">
        <w:rPr>
          <w:rtl w:val="0"/>
        </w:rPr>
      </w:r>
    </w:p>
    <w:p w:rsidR="00000000" w:rsidDel="00000000" w:rsidP="00000000" w:rsidRDefault="00000000" w:rsidRPr="00000000" w14:paraId="00000002">
      <w:pPr>
        <w:spacing w:after="80" w:lineRule="auto"/>
        <w:rPr/>
      </w:pPr>
      <w:r w:rsidDel="00000000" w:rsidR="00000000" w:rsidRPr="00000000">
        <w:rPr>
          <w:rFonts w:ascii="Calibri" w:cs="Calibri" w:eastAsia="Calibri" w:hAnsi="Calibri"/>
          <w:color w:val="666666"/>
          <w:sz w:val="24"/>
          <w:szCs w:val="24"/>
          <w:rtl w:val="0"/>
        </w:rPr>
        <w:t xml:space="preserve">A Doctoral Reference Table for LCDB7007 — Research Principles and Philosophy</w:t>
      </w:r>
      <w:r w:rsidDel="00000000" w:rsidR="00000000" w:rsidRPr="00000000">
        <w:rPr>
          <w:rtl w:val="0"/>
        </w:rPr>
      </w:r>
    </w:p>
    <w:p w:rsidR="00000000" w:rsidDel="00000000" w:rsidP="00000000" w:rsidRDefault="00000000" w:rsidRPr="00000000" w14:paraId="00000003">
      <w:pPr>
        <w:spacing w:after="240" w:lineRule="auto"/>
        <w:rPr/>
      </w:pPr>
      <w:r w:rsidDel="00000000" w:rsidR="00000000" w:rsidRPr="00000000">
        <w:rPr>
          <w:rFonts w:ascii="Calibri" w:cs="Calibri" w:eastAsia="Calibri" w:hAnsi="Calibri"/>
          <w:color w:val="666666"/>
          <w:sz w:val="20"/>
          <w:szCs w:val="20"/>
          <w:rtl w:val="0"/>
        </w:rPr>
        <w:t xml:space="preserve">Dr Caroline Jawad  |  University of Wales Trinity Saint David  |  Swansea Business Campus</w:t>
      </w:r>
      <w:r w:rsidDel="00000000" w:rsidR="00000000" w:rsidRPr="00000000">
        <w:rPr>
          <w:rtl w:val="0"/>
        </w:rPr>
      </w:r>
    </w:p>
    <w:p w:rsidR="00000000" w:rsidDel="00000000" w:rsidP="00000000" w:rsidRDefault="00000000" w:rsidRPr="00000000" w14:paraId="00000004">
      <w:pPr>
        <w:spacing w:after="200" w:lineRule="auto"/>
        <w:rPr/>
      </w:pPr>
      <w:r w:rsidDel="00000000" w:rsidR="00000000" w:rsidRPr="00000000">
        <w:rPr>
          <w:rFonts w:ascii="Calibri" w:cs="Calibri" w:eastAsia="Calibri" w:hAnsi="Calibri"/>
          <w:b w:val="1"/>
          <w:bCs w:val="1"/>
          <w:color w:val="1c2b4a"/>
          <w:sz w:val="20"/>
          <w:szCs w:val="20"/>
          <w:rtl w:val="0"/>
        </w:rPr>
        <w:t xml:space="preserve">How to use this table.  </w:t>
      </w:r>
      <w:r w:rsidDel="00000000" w:rsidR="00000000" w:rsidRPr="00000000">
        <w:rPr>
          <w:rFonts w:ascii="Calibri" w:cs="Calibri" w:eastAsia="Calibri" w:hAnsi="Calibri"/>
          <w:color w:val="111111"/>
          <w:sz w:val="20"/>
          <w:szCs w:val="20"/>
          <w:rtl w:val="0"/>
        </w:rPr>
        <w:t xml:space="preserve">Each row identifies a limitation specific to qualitative research in business and management contexts, explains why it matters epistemologically at doctoral level, notes which paradigm(s) it primarily affects, provides mitigation strategies grounded in the literature, illustrates the limitation with a business and management example, and cites the seminal source. The Paradigm Note column uses the correct terminology for each research tradition — students should use these terms, not the positivist equivalents, in their methodology chapters.</w:t>
      </w:r>
      <w:r w:rsidDel="00000000" w:rsidR="00000000" w:rsidRPr="00000000">
        <w:rPr>
          <w:rtl w:val="0"/>
        </w:rPr>
      </w:r>
    </w:p>
    <w:tbl>
      <w:tblPr>
        <w:tblStyle w:val="Table1"/>
        <w:tblW w:w="136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0"/>
        <w:gridCol w:w="2100"/>
        <w:gridCol w:w="1500"/>
        <w:gridCol w:w="2400"/>
        <w:gridCol w:w="2700"/>
        <w:gridCol w:w="3000"/>
        <w:tblGridChange w:id="0">
          <w:tblGrid>
            <w:gridCol w:w="1900"/>
            <w:gridCol w:w="2100"/>
            <w:gridCol w:w="1500"/>
            <w:gridCol w:w="2400"/>
            <w:gridCol w:w="2700"/>
            <w:gridCol w:w="3000"/>
          </w:tblGrid>
        </w:tblGridChange>
      </w:tblGrid>
      <w:tr>
        <w:trPr>
          <w:cantSplit w:val="0"/>
          <w:tblHeader w:val="1"/>
        </w:trPr>
        <w:tc>
          <w:tcPr>
            <w:tcBorders>
              <w:top w:color="bbbbbb" w:space="0" w:sz="4" w:val="single"/>
              <w:left w:color="bbbbbb" w:space="0" w:sz="4" w:val="single"/>
              <w:bottom w:color="bbbbbb" w:space="0" w:sz="4" w:val="single"/>
              <w:right w:color="bbbbbb" w:space="0" w:sz="4" w:val="single"/>
            </w:tcBorders>
            <w:shd w:fill="1c2b4a" w:val="clear"/>
            <w:tcMar>
              <w:top w:w="80.0" w:type="dxa"/>
              <w:left w:w="100.0" w:type="dxa"/>
              <w:bottom w:w="80.0" w:type="dxa"/>
              <w:right w:w="100.0" w:type="dxa"/>
            </w:tcMar>
          </w:tcPr>
          <w:p w:rsidR="00000000" w:rsidDel="00000000" w:rsidP="00000000" w:rsidRDefault="00000000" w:rsidRPr="00000000" w14:paraId="00000005">
            <w:pPr>
              <w:spacing w:after="0" w:lineRule="auto"/>
              <w:rPr/>
            </w:pPr>
            <w:r w:rsidDel="00000000" w:rsidR="00000000" w:rsidRPr="00000000">
              <w:rPr>
                <w:rFonts w:ascii="Calibri" w:cs="Calibri" w:eastAsia="Calibri" w:hAnsi="Calibri"/>
                <w:b w:val="1"/>
                <w:bCs w:val="1"/>
                <w:color w:val="c9a84c"/>
                <w:sz w:val="19"/>
                <w:szCs w:val="19"/>
                <w:rtl w:val="0"/>
              </w:rPr>
              <w:t xml:space="preserve">Limitation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1c2b4a" w:val="clear"/>
            <w:tcMar>
              <w:top w:w="80.0" w:type="dxa"/>
              <w:left w:w="100.0" w:type="dxa"/>
              <w:bottom w:w="80.0" w:type="dxa"/>
              <w:right w:w="100.0" w:type="dxa"/>
            </w:tcMar>
          </w:tcPr>
          <w:p w:rsidR="00000000" w:rsidDel="00000000" w:rsidP="00000000" w:rsidRDefault="00000000" w:rsidRPr="00000000" w14:paraId="00000006">
            <w:pPr>
              <w:spacing w:after="0" w:lineRule="auto"/>
              <w:rPr/>
            </w:pPr>
            <w:r w:rsidDel="00000000" w:rsidR="00000000" w:rsidRPr="00000000">
              <w:rPr>
                <w:rFonts w:ascii="Calibri" w:cs="Calibri" w:eastAsia="Calibri" w:hAnsi="Calibri"/>
                <w:b w:val="1"/>
                <w:bCs w:val="1"/>
                <w:color w:val="c9a84c"/>
                <w:sz w:val="19"/>
                <w:szCs w:val="19"/>
                <w:rtl w:val="0"/>
              </w:rPr>
              <w:t xml:space="preserve">Why It Matters in Doctoral Research</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1c2b4a" w:val="clear"/>
            <w:tcMar>
              <w:top w:w="80.0" w:type="dxa"/>
              <w:left w:w="100.0" w:type="dxa"/>
              <w:bottom w:w="80.0" w:type="dxa"/>
              <w:right w:w="100.0" w:type="dxa"/>
            </w:tcMar>
          </w:tcPr>
          <w:p w:rsidR="00000000" w:rsidDel="00000000" w:rsidP="00000000" w:rsidRDefault="00000000" w:rsidRPr="00000000" w14:paraId="00000007">
            <w:pPr>
              <w:spacing w:after="0" w:lineRule="auto"/>
              <w:rPr/>
            </w:pPr>
            <w:r w:rsidDel="00000000" w:rsidR="00000000" w:rsidRPr="00000000">
              <w:rPr>
                <w:rFonts w:ascii="Calibri" w:cs="Calibri" w:eastAsia="Calibri" w:hAnsi="Calibri"/>
                <w:b w:val="1"/>
                <w:bCs w:val="1"/>
                <w:color w:val="c9a84c"/>
                <w:sz w:val="19"/>
                <w:szCs w:val="19"/>
                <w:rtl w:val="0"/>
              </w:rPr>
              <w:t xml:space="preserve">Paradigm Note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1c2b4a" w:val="clear"/>
            <w:tcMar>
              <w:top w:w="80.0" w:type="dxa"/>
              <w:left w:w="100.0" w:type="dxa"/>
              <w:bottom w:w="80.0" w:type="dxa"/>
              <w:right w:w="100.0" w:type="dxa"/>
            </w:tcMar>
          </w:tcPr>
          <w:p w:rsidR="00000000" w:rsidDel="00000000" w:rsidP="00000000" w:rsidRDefault="00000000" w:rsidRPr="00000000" w14:paraId="00000008">
            <w:pPr>
              <w:spacing w:after="0" w:lineRule="auto"/>
              <w:rPr/>
            </w:pPr>
            <w:r w:rsidDel="00000000" w:rsidR="00000000" w:rsidRPr="00000000">
              <w:rPr>
                <w:rFonts w:ascii="Calibri" w:cs="Calibri" w:eastAsia="Calibri" w:hAnsi="Calibri"/>
                <w:b w:val="1"/>
                <w:bCs w:val="1"/>
                <w:color w:val="c9a84c"/>
                <w:sz w:val="19"/>
                <w:szCs w:val="19"/>
                <w:rtl w:val="0"/>
              </w:rPr>
              <w:t xml:space="preserve">Mitigation Strategy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1c2b4a" w:val="clear"/>
            <w:tcMar>
              <w:top w:w="80.0" w:type="dxa"/>
              <w:left w:w="100.0" w:type="dxa"/>
              <w:bottom w:w="80.0" w:type="dxa"/>
              <w:right w:w="100.0" w:type="dxa"/>
            </w:tcMar>
          </w:tcPr>
          <w:p w:rsidR="00000000" w:rsidDel="00000000" w:rsidP="00000000" w:rsidRDefault="00000000" w:rsidRPr="00000000" w14:paraId="00000009">
            <w:pPr>
              <w:spacing w:after="0" w:lineRule="auto"/>
              <w:rPr/>
            </w:pPr>
            <w:r w:rsidDel="00000000" w:rsidR="00000000" w:rsidRPr="00000000">
              <w:rPr>
                <w:rFonts w:ascii="Calibri" w:cs="Calibri" w:eastAsia="Calibri" w:hAnsi="Calibri"/>
                <w:b w:val="1"/>
                <w:bCs w:val="1"/>
                <w:color w:val="c9a84c"/>
                <w:sz w:val="19"/>
                <w:szCs w:val="19"/>
                <w:rtl w:val="0"/>
              </w:rPr>
              <w:t xml:space="preserve">Business &amp; Management Example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1c2b4a" w:val="clear"/>
            <w:tcMar>
              <w:top w:w="80.0" w:type="dxa"/>
              <w:left w:w="100.0" w:type="dxa"/>
              <w:bottom w:w="80.0" w:type="dxa"/>
              <w:right w:w="100.0" w:type="dxa"/>
            </w:tcMar>
          </w:tcPr>
          <w:p w:rsidR="00000000" w:rsidDel="00000000" w:rsidP="00000000" w:rsidRDefault="00000000" w:rsidRPr="00000000" w14:paraId="0000000A">
            <w:pPr>
              <w:spacing w:after="0" w:lineRule="auto"/>
              <w:rPr/>
            </w:pPr>
            <w:r w:rsidDel="00000000" w:rsidR="00000000" w:rsidRPr="00000000">
              <w:rPr>
                <w:rFonts w:ascii="Calibri" w:cs="Calibri" w:eastAsia="Calibri" w:hAnsi="Calibri"/>
                <w:b w:val="1"/>
                <w:bCs w:val="1"/>
                <w:color w:val="c9a84c"/>
                <w:sz w:val="19"/>
                <w:szCs w:val="19"/>
                <w:rtl w:val="0"/>
              </w:rPr>
              <w:t xml:space="preserve">Seminal References (APA 7th)</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0B">
            <w:pPr>
              <w:spacing w:after="0" w:lineRule="auto"/>
              <w:rPr/>
            </w:pPr>
            <w:r w:rsidDel="00000000" w:rsidR="00000000" w:rsidRPr="00000000">
              <w:rPr>
                <w:rFonts w:ascii="Calibri" w:cs="Calibri" w:eastAsia="Calibri" w:hAnsi="Calibri"/>
                <w:b w:val="1"/>
                <w:bCs w:val="1"/>
                <w:color w:val="111111"/>
                <w:sz w:val="18"/>
                <w:szCs w:val="18"/>
                <w:rtl w:val="0"/>
              </w:rPr>
              <w:t xml:space="preserve">Limited generalisability / transferability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0C">
            <w:pPr>
              <w:spacing w:after="0" w:lineRule="auto"/>
              <w:rPr/>
            </w:pPr>
            <w:r w:rsidDel="00000000" w:rsidR="00000000" w:rsidRPr="00000000">
              <w:rPr>
                <w:rFonts w:ascii="Calibri" w:cs="Calibri" w:eastAsia="Calibri" w:hAnsi="Calibri"/>
                <w:color w:val="111111"/>
                <w:sz w:val="18"/>
                <w:szCs w:val="18"/>
                <w:rtl w:val="0"/>
              </w:rPr>
              <w:t xml:space="preserve">Small, context-specific samples cannot represent wider populations. In qualitative research this is not a flaw — it requires re-framing using the correct epistemological criterion.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0D">
            <w:pPr>
              <w:spacing w:after="40" w:lineRule="auto"/>
              <w:rPr/>
            </w:pPr>
            <w:r w:rsidDel="00000000" w:rsidR="00000000" w:rsidRPr="00000000">
              <w:rPr>
                <w:rFonts w:ascii="Calibri" w:cs="Calibri" w:eastAsia="Calibri" w:hAnsi="Calibri"/>
                <w:b w:val="1"/>
                <w:bCs w:val="1"/>
                <w:color w:val="1c2b4a"/>
                <w:sz w:val="18"/>
                <w:szCs w:val="18"/>
                <w:rtl w:val="0"/>
              </w:rPr>
              <w:t xml:space="preserve">Qualitative only.</w:t>
            </w:r>
            <w:r w:rsidDel="00000000" w:rsidR="00000000" w:rsidRPr="00000000">
              <w:rPr>
                <w:rtl w:val="0"/>
              </w:rPr>
            </w:r>
          </w:p>
          <w:p w:rsidR="00000000" w:rsidDel="00000000" w:rsidP="00000000" w:rsidRDefault="00000000" w:rsidRPr="00000000" w14:paraId="0000000E">
            <w:pPr>
              <w:spacing w:after="0" w:lineRule="auto"/>
              <w:rPr/>
            </w:pPr>
            <w:r w:rsidDel="00000000" w:rsidR="00000000" w:rsidRPr="00000000">
              <w:rPr>
                <w:rFonts w:ascii="Calibri" w:cs="Calibri" w:eastAsia="Calibri" w:hAnsi="Calibri"/>
                <w:color w:val="111111"/>
                <w:sz w:val="18"/>
                <w:szCs w:val="18"/>
                <w:rtl w:val="0"/>
              </w:rPr>
              <w:t xml:space="preserve">Generalisability is a positivist criterion. The correct term is </w:t>
            </w:r>
            <w:r w:rsidDel="00000000" w:rsidR="00000000" w:rsidRPr="00000000">
              <w:rPr>
                <w:rFonts w:ascii="Calibri" w:cs="Calibri" w:eastAsia="Calibri" w:hAnsi="Calibri"/>
                <w:b w:val="0"/>
                <w:bCs w:val="0"/>
                <w:color w:val="111111"/>
                <w:sz w:val="18"/>
                <w:szCs w:val="18"/>
                <w:rtl w:val="0"/>
              </w:rPr>
              <w:t xml:space="preserve">transferability</w:t>
            </w:r>
            <w:r w:rsidDel="00000000" w:rsidR="00000000" w:rsidRPr="00000000">
              <w:rPr>
                <w:rFonts w:ascii="Calibri" w:cs="Calibri" w:eastAsia="Calibri" w:hAnsi="Calibri"/>
                <w:color w:val="111111"/>
                <w:sz w:val="18"/>
                <w:szCs w:val="18"/>
                <w:rtl w:val="0"/>
              </w:rPr>
              <w:t xml:space="preserv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0F">
            <w:pPr>
              <w:spacing w:after="60" w:lineRule="auto"/>
              <w:rPr/>
            </w:pPr>
            <w:r w:rsidDel="00000000" w:rsidR="00000000" w:rsidRPr="00000000">
              <w:rPr>
                <w:rFonts w:ascii="Calibri" w:cs="Calibri" w:eastAsia="Calibri" w:hAnsi="Calibri"/>
                <w:color w:val="111111"/>
                <w:sz w:val="18"/>
                <w:szCs w:val="18"/>
                <w:rtl w:val="0"/>
              </w:rPr>
              <w:t xml:space="preserve">Emphasise transferability, not generalisation. Provide thick description of context, participants and setting so readers can judge applicability (Lincoln &amp; Guba, 1985).</w:t>
            </w:r>
            <w:r w:rsidDel="00000000" w:rsidR="00000000" w:rsidRPr="00000000">
              <w:rPr>
                <w:rtl w:val="0"/>
              </w:rPr>
            </w:r>
          </w:p>
          <w:p w:rsidR="00000000" w:rsidDel="00000000" w:rsidP="00000000" w:rsidRDefault="00000000" w:rsidRPr="00000000" w14:paraId="00000010">
            <w:pPr>
              <w:spacing w:after="0" w:lineRule="auto"/>
              <w:rPr/>
            </w:pPr>
            <w:r w:rsidDel="00000000" w:rsidR="00000000" w:rsidRPr="00000000">
              <w:rPr>
                <w:rFonts w:ascii="Calibri" w:cs="Calibri" w:eastAsia="Calibri" w:hAnsi="Calibri"/>
                <w:color w:val="111111"/>
                <w:sz w:val="18"/>
                <w:szCs w:val="18"/>
                <w:rtl w:val="0"/>
              </w:rPr>
              <w:t xml:space="preserve">Use purposive sampling with explicit rationale. Justify sample scope through theoretical saturation (Fusch &amp; Ness, 2015).</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11">
            <w:pPr>
              <w:spacing w:after="0" w:lineRule="auto"/>
              <w:rPr/>
            </w:pPr>
            <w:r w:rsidDel="00000000" w:rsidR="00000000" w:rsidRPr="00000000">
              <w:rPr>
                <w:rFonts w:ascii="Calibri" w:cs="Calibri" w:eastAsia="Calibri" w:hAnsi="Calibri"/>
                <w:color w:val="111111"/>
                <w:sz w:val="18"/>
                <w:szCs w:val="18"/>
                <w:rtl w:val="0"/>
              </w:rPr>
              <w:t xml:space="preserve">A study of board governance in one Nigerian bank cannot automatically represent all Nigerian banks — but thick contextual description enables readers to assess relevance to comparable contexts.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12">
            <w:pPr>
              <w:spacing w:after="40" w:lineRule="auto"/>
              <w:rPr/>
            </w:pPr>
            <w:r w:rsidDel="00000000" w:rsidR="00000000" w:rsidRPr="00000000">
              <w:rPr>
                <w:rFonts w:ascii="Calibri" w:cs="Calibri" w:eastAsia="Calibri" w:hAnsi="Calibri"/>
                <w:color w:val="666666"/>
                <w:sz w:val="17"/>
                <w:szCs w:val="17"/>
                <w:rtl w:val="0"/>
              </w:rPr>
              <w:t xml:space="preserve">Lincoln &amp; Guba (1985)</w:t>
            </w:r>
            <w:r w:rsidDel="00000000" w:rsidR="00000000" w:rsidRPr="00000000">
              <w:rPr>
                <w:rtl w:val="0"/>
              </w:rPr>
            </w:r>
          </w:p>
          <w:p w:rsidR="00000000" w:rsidDel="00000000" w:rsidP="00000000" w:rsidRDefault="00000000" w:rsidRPr="00000000" w14:paraId="00000013">
            <w:pPr>
              <w:spacing w:after="40" w:lineRule="auto"/>
              <w:rPr/>
            </w:pPr>
            <w:r w:rsidDel="00000000" w:rsidR="00000000" w:rsidRPr="00000000">
              <w:rPr>
                <w:rFonts w:ascii="Calibri" w:cs="Calibri" w:eastAsia="Calibri" w:hAnsi="Calibri"/>
                <w:color w:val="666666"/>
                <w:sz w:val="17"/>
                <w:szCs w:val="17"/>
                <w:rtl w:val="0"/>
              </w:rPr>
              <w:t xml:space="preserve">Glaser &amp; Strauss (1967)</w:t>
            </w:r>
            <w:r w:rsidDel="00000000" w:rsidR="00000000" w:rsidRPr="00000000">
              <w:rPr>
                <w:rtl w:val="0"/>
              </w:rPr>
            </w:r>
          </w:p>
          <w:p w:rsidR="00000000" w:rsidDel="00000000" w:rsidP="00000000" w:rsidRDefault="00000000" w:rsidRPr="00000000" w14:paraId="00000014">
            <w:pPr>
              <w:spacing w:after="0" w:lineRule="auto"/>
              <w:rPr/>
            </w:pPr>
            <w:r w:rsidDel="00000000" w:rsidR="00000000" w:rsidRPr="00000000">
              <w:rPr>
                <w:rFonts w:ascii="Calibri" w:cs="Calibri" w:eastAsia="Calibri" w:hAnsi="Calibri"/>
                <w:color w:val="666666"/>
                <w:sz w:val="17"/>
                <w:szCs w:val="17"/>
                <w:rtl w:val="0"/>
              </w:rPr>
              <w:t xml:space="preserve">Fusch &amp; Ness (2015)</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15">
            <w:pPr>
              <w:spacing w:after="0" w:lineRule="auto"/>
              <w:rPr/>
            </w:pPr>
            <w:r w:rsidDel="00000000" w:rsidR="00000000" w:rsidRPr="00000000">
              <w:rPr>
                <w:rFonts w:ascii="Calibri" w:cs="Calibri" w:eastAsia="Calibri" w:hAnsi="Calibri"/>
                <w:b w:val="1"/>
                <w:bCs w:val="1"/>
                <w:color w:val="111111"/>
                <w:sz w:val="18"/>
                <w:szCs w:val="18"/>
                <w:rtl w:val="0"/>
              </w:rPr>
              <w:t xml:space="preserve">Researcher subjectivity and positionality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16">
            <w:pPr>
              <w:spacing w:after="0" w:lineRule="auto"/>
              <w:rPr/>
            </w:pPr>
            <w:r w:rsidDel="00000000" w:rsidR="00000000" w:rsidRPr="00000000">
              <w:rPr>
                <w:rFonts w:ascii="Calibri" w:cs="Calibri" w:eastAsia="Calibri" w:hAnsi="Calibri"/>
                <w:color w:val="111111"/>
                <w:sz w:val="18"/>
                <w:szCs w:val="18"/>
                <w:rtl w:val="0"/>
              </w:rPr>
              <w:t xml:space="preserve">Researcher interpretations shape coding, theme generation and conclusions. In qualitative research, the researcher is the instrument — this is constitutive, not incidental.</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17">
            <w:pPr>
              <w:spacing w:after="40" w:lineRule="auto"/>
              <w:rPr/>
            </w:pPr>
            <w:r w:rsidDel="00000000" w:rsidR="00000000" w:rsidRPr="00000000">
              <w:rPr>
                <w:rFonts w:ascii="Calibri" w:cs="Calibri" w:eastAsia="Calibri" w:hAnsi="Calibri"/>
                <w:b w:val="1"/>
                <w:bCs w:val="1"/>
                <w:color w:val="1c2b4a"/>
                <w:sz w:val="18"/>
                <w:szCs w:val="18"/>
                <w:rtl w:val="0"/>
              </w:rPr>
              <w:t xml:space="preserve">Qualitative / interpretivist.</w:t>
            </w:r>
            <w:r w:rsidDel="00000000" w:rsidR="00000000" w:rsidRPr="00000000">
              <w:rPr>
                <w:rtl w:val="0"/>
              </w:rPr>
            </w:r>
          </w:p>
          <w:p w:rsidR="00000000" w:rsidDel="00000000" w:rsidP="00000000" w:rsidRDefault="00000000" w:rsidRPr="00000000" w14:paraId="00000018">
            <w:pPr>
              <w:spacing w:after="0" w:lineRule="auto"/>
              <w:rPr/>
            </w:pPr>
            <w:r w:rsidDel="00000000" w:rsidR="00000000" w:rsidRPr="00000000">
              <w:rPr>
                <w:rFonts w:ascii="Calibri" w:cs="Calibri" w:eastAsia="Calibri" w:hAnsi="Calibri"/>
                <w:color w:val="111111"/>
                <w:sz w:val="18"/>
                <w:szCs w:val="18"/>
                <w:rtl w:val="0"/>
              </w:rPr>
              <w:t xml:space="preserve">Subjectivity is epistemologically expected. The task is management through transparency, not elimination.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19">
            <w:pPr>
              <w:spacing w:after="60" w:lineRule="auto"/>
              <w:rPr/>
            </w:pPr>
            <w:r w:rsidDel="00000000" w:rsidR="00000000" w:rsidRPr="00000000">
              <w:rPr>
                <w:rFonts w:ascii="Calibri" w:cs="Calibri" w:eastAsia="Calibri" w:hAnsi="Calibri"/>
                <w:color w:val="111111"/>
                <w:sz w:val="18"/>
                <w:szCs w:val="18"/>
                <w:rtl w:val="0"/>
              </w:rPr>
              <w:t xml:space="preserve">Maintain a reflexivity journal throughout data collection and analysis. Write a positionality statement in the methodology chapter.</w:t>
            </w:r>
            <w:r w:rsidDel="00000000" w:rsidR="00000000" w:rsidRPr="00000000">
              <w:rPr>
                <w:rtl w:val="0"/>
              </w:rPr>
            </w:r>
          </w:p>
          <w:p w:rsidR="00000000" w:rsidDel="00000000" w:rsidP="00000000" w:rsidRDefault="00000000" w:rsidRPr="00000000" w14:paraId="0000001A">
            <w:pPr>
              <w:spacing w:after="0" w:lineRule="auto"/>
              <w:rPr/>
            </w:pPr>
            <w:r w:rsidDel="00000000" w:rsidR="00000000" w:rsidRPr="00000000">
              <w:rPr>
                <w:rFonts w:ascii="Calibri" w:cs="Calibri" w:eastAsia="Calibri" w:hAnsi="Calibri"/>
                <w:color w:val="111111"/>
                <w:sz w:val="18"/>
                <w:szCs w:val="18"/>
                <w:rtl w:val="0"/>
              </w:rPr>
              <w:t xml:space="preserve">Use peer debriefing and maintain a full audit trail (Lincoln &amp; Guba, 1985). Apply member checking at the interpretive stage.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1B">
            <w:pPr>
              <w:spacing w:after="0" w:lineRule="auto"/>
              <w:rPr/>
            </w:pPr>
            <w:r w:rsidDel="00000000" w:rsidR="00000000" w:rsidRPr="00000000">
              <w:rPr>
                <w:rFonts w:ascii="Calibri" w:cs="Calibri" w:eastAsia="Calibri" w:hAnsi="Calibri"/>
                <w:color w:val="111111"/>
                <w:sz w:val="18"/>
                <w:szCs w:val="18"/>
                <w:rtl w:val="0"/>
              </w:rPr>
              <w:t xml:space="preserve">A doctoral researcher investigating workplace discrimination may unconsciously privilege certain participant narratives. A reflexivity journal and peer debriefing make this transparent and manageable.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1C">
            <w:pPr>
              <w:spacing w:after="40" w:lineRule="auto"/>
              <w:rPr/>
            </w:pPr>
            <w:r w:rsidDel="00000000" w:rsidR="00000000" w:rsidRPr="00000000">
              <w:rPr>
                <w:rFonts w:ascii="Calibri" w:cs="Calibri" w:eastAsia="Calibri" w:hAnsi="Calibri"/>
                <w:color w:val="666666"/>
                <w:sz w:val="17"/>
                <w:szCs w:val="17"/>
                <w:rtl w:val="0"/>
              </w:rPr>
              <w:t xml:space="preserve">Lincoln &amp; Guba (1985)</w:t>
            </w:r>
            <w:r w:rsidDel="00000000" w:rsidR="00000000" w:rsidRPr="00000000">
              <w:rPr>
                <w:rtl w:val="0"/>
              </w:rPr>
            </w:r>
          </w:p>
          <w:p w:rsidR="00000000" w:rsidDel="00000000" w:rsidP="00000000" w:rsidRDefault="00000000" w:rsidRPr="00000000" w14:paraId="0000001D">
            <w:pPr>
              <w:spacing w:after="40" w:lineRule="auto"/>
              <w:rPr/>
            </w:pPr>
            <w:r w:rsidDel="00000000" w:rsidR="00000000" w:rsidRPr="00000000">
              <w:rPr>
                <w:rFonts w:ascii="Calibri" w:cs="Calibri" w:eastAsia="Calibri" w:hAnsi="Calibri"/>
                <w:color w:val="666666"/>
                <w:sz w:val="17"/>
                <w:szCs w:val="17"/>
                <w:rtl w:val="0"/>
              </w:rPr>
              <w:t xml:space="preserve">Denzin (1970)</w:t>
            </w:r>
            <w:r w:rsidDel="00000000" w:rsidR="00000000" w:rsidRPr="00000000">
              <w:rPr>
                <w:rtl w:val="0"/>
              </w:rPr>
            </w:r>
          </w:p>
          <w:p w:rsidR="00000000" w:rsidDel="00000000" w:rsidP="00000000" w:rsidRDefault="00000000" w:rsidRPr="00000000" w14:paraId="0000001E">
            <w:pPr>
              <w:spacing w:after="0" w:lineRule="auto"/>
              <w:rPr/>
            </w:pPr>
            <w:r w:rsidDel="00000000" w:rsidR="00000000" w:rsidRPr="00000000">
              <w:rPr>
                <w:rFonts w:ascii="Calibri" w:cs="Calibri" w:eastAsia="Calibri" w:hAnsi="Calibri"/>
                <w:color w:val="666666"/>
                <w:sz w:val="17"/>
                <w:szCs w:val="17"/>
                <w:rtl w:val="0"/>
              </w:rPr>
              <w:t xml:space="preserve">Kvale (1996)</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1F">
            <w:pPr>
              <w:spacing w:after="0" w:lineRule="auto"/>
              <w:rPr/>
            </w:pPr>
            <w:r w:rsidDel="00000000" w:rsidR="00000000" w:rsidRPr="00000000">
              <w:rPr>
                <w:rFonts w:ascii="Calibri" w:cs="Calibri" w:eastAsia="Calibri" w:hAnsi="Calibri"/>
                <w:b w:val="1"/>
                <w:bCs w:val="1"/>
                <w:color w:val="111111"/>
                <w:sz w:val="18"/>
                <w:szCs w:val="18"/>
                <w:rtl w:val="0"/>
              </w:rPr>
              <w:t xml:space="preserve">Difficulty replicating findings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20">
            <w:pPr>
              <w:spacing w:after="0" w:lineRule="auto"/>
              <w:rPr/>
            </w:pPr>
            <w:r w:rsidDel="00000000" w:rsidR="00000000" w:rsidRPr="00000000">
              <w:rPr>
                <w:rFonts w:ascii="Calibri" w:cs="Calibri" w:eastAsia="Calibri" w:hAnsi="Calibri"/>
                <w:color w:val="111111"/>
                <w:sz w:val="18"/>
                <w:szCs w:val="18"/>
                <w:rtl w:val="0"/>
              </w:rPr>
              <w:t xml:space="preserve">Qualitative studies are context-dependent and interpretive. Replication in the positivist sense is not the goal — dependability is. Two researchers may generate different but equally valid interpretations.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21">
            <w:pPr>
              <w:spacing w:after="40" w:lineRule="auto"/>
              <w:rPr/>
            </w:pPr>
            <w:r w:rsidDel="00000000" w:rsidR="00000000" w:rsidRPr="00000000">
              <w:rPr>
                <w:rFonts w:ascii="Calibri" w:cs="Calibri" w:eastAsia="Calibri" w:hAnsi="Calibri"/>
                <w:b w:val="1"/>
                <w:bCs w:val="1"/>
                <w:color w:val="1c2b4a"/>
                <w:sz w:val="18"/>
                <w:szCs w:val="18"/>
                <w:rtl w:val="0"/>
              </w:rPr>
              <w:t xml:space="preserve">All paradigms.</w:t>
            </w:r>
            <w:r w:rsidDel="00000000" w:rsidR="00000000" w:rsidRPr="00000000">
              <w:rPr>
                <w:rtl w:val="0"/>
              </w:rPr>
            </w:r>
          </w:p>
          <w:p w:rsidR="00000000" w:rsidDel="00000000" w:rsidP="00000000" w:rsidRDefault="00000000" w:rsidRPr="00000000" w14:paraId="00000022">
            <w:pPr>
              <w:spacing w:after="0" w:lineRule="auto"/>
              <w:rPr/>
            </w:pPr>
            <w:r w:rsidDel="00000000" w:rsidR="00000000" w:rsidRPr="00000000">
              <w:rPr>
                <w:rFonts w:ascii="Calibri" w:cs="Calibri" w:eastAsia="Calibri" w:hAnsi="Calibri"/>
                <w:color w:val="111111"/>
                <w:sz w:val="18"/>
                <w:szCs w:val="18"/>
                <w:rtl w:val="0"/>
              </w:rPr>
              <w:t xml:space="preserve">Replicability is a quantitative criterion. The qualitative parallel is </w:t>
            </w:r>
            <w:r w:rsidDel="00000000" w:rsidR="00000000" w:rsidRPr="00000000">
              <w:rPr>
                <w:rFonts w:ascii="Calibri" w:cs="Calibri" w:eastAsia="Calibri" w:hAnsi="Calibri"/>
                <w:b w:val="0"/>
                <w:bCs w:val="0"/>
                <w:color w:val="111111"/>
                <w:sz w:val="18"/>
                <w:szCs w:val="18"/>
                <w:rtl w:val="0"/>
              </w:rPr>
              <w:t xml:space="preserve">dependability</w:t>
            </w:r>
            <w:r w:rsidDel="00000000" w:rsidR="00000000" w:rsidRPr="00000000">
              <w:rPr>
                <w:rFonts w:ascii="Calibri" w:cs="Calibri" w:eastAsia="Calibri" w:hAnsi="Calibri"/>
                <w:color w:val="111111"/>
                <w:sz w:val="18"/>
                <w:szCs w:val="18"/>
                <w:rtl w:val="0"/>
              </w:rPr>
              <w:t xml:space="preserve"> — traceable, logical process.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23">
            <w:pPr>
              <w:spacing w:after="60" w:lineRule="auto"/>
              <w:rPr/>
            </w:pPr>
            <w:r w:rsidDel="00000000" w:rsidR="00000000" w:rsidRPr="00000000">
              <w:rPr>
                <w:rFonts w:ascii="Calibri" w:cs="Calibri" w:eastAsia="Calibri" w:hAnsi="Calibri"/>
                <w:color w:val="111111"/>
                <w:sz w:val="18"/>
                <w:szCs w:val="18"/>
                <w:rtl w:val="0"/>
              </w:rPr>
              <w:t xml:space="preserve">Maintain transparent methodological documentation: a decision log, coding procedures and an audit trail (Lincoln &amp; Guba, 1985).</w:t>
            </w:r>
            <w:r w:rsidDel="00000000" w:rsidR="00000000" w:rsidRPr="00000000">
              <w:rPr>
                <w:rtl w:val="0"/>
              </w:rPr>
            </w:r>
          </w:p>
          <w:p w:rsidR="00000000" w:rsidDel="00000000" w:rsidP="00000000" w:rsidRDefault="00000000" w:rsidRPr="00000000" w14:paraId="00000024">
            <w:pPr>
              <w:spacing w:after="0" w:lineRule="auto"/>
              <w:rPr/>
            </w:pPr>
            <w:r w:rsidDel="00000000" w:rsidR="00000000" w:rsidRPr="00000000">
              <w:rPr>
                <w:rFonts w:ascii="Calibri" w:cs="Calibri" w:eastAsia="Calibri" w:hAnsi="Calibri"/>
                <w:color w:val="111111"/>
                <w:sz w:val="18"/>
                <w:szCs w:val="18"/>
                <w:rtl w:val="0"/>
              </w:rPr>
              <w:t xml:space="preserve">Document how themes were generated from data, including any revisions. Use Saldaña (2021) coding framework.</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25">
            <w:pPr>
              <w:spacing w:after="0" w:lineRule="auto"/>
              <w:rPr/>
            </w:pPr>
            <w:r w:rsidDel="00000000" w:rsidR="00000000" w:rsidRPr="00000000">
              <w:rPr>
                <w:rFonts w:ascii="Calibri" w:cs="Calibri" w:eastAsia="Calibri" w:hAnsi="Calibri"/>
                <w:color w:val="111111"/>
                <w:sz w:val="18"/>
                <w:szCs w:val="18"/>
                <w:rtl w:val="0"/>
              </w:rPr>
              <w:t xml:space="preserve">Two researchers studying organisational culture may generate different interpretations from similar interviews. A clear audit trail demonstrates that the process is dependable even where conclusions diverge.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26">
            <w:pPr>
              <w:spacing w:after="40" w:lineRule="auto"/>
              <w:rPr/>
            </w:pPr>
            <w:r w:rsidDel="00000000" w:rsidR="00000000" w:rsidRPr="00000000">
              <w:rPr>
                <w:rFonts w:ascii="Calibri" w:cs="Calibri" w:eastAsia="Calibri" w:hAnsi="Calibri"/>
                <w:color w:val="666666"/>
                <w:sz w:val="17"/>
                <w:szCs w:val="17"/>
                <w:rtl w:val="0"/>
              </w:rPr>
              <w:t xml:space="preserve">Lincoln &amp; Guba (1985)</w:t>
            </w:r>
            <w:r w:rsidDel="00000000" w:rsidR="00000000" w:rsidRPr="00000000">
              <w:rPr>
                <w:rtl w:val="0"/>
              </w:rPr>
            </w:r>
          </w:p>
          <w:p w:rsidR="00000000" w:rsidDel="00000000" w:rsidP="00000000" w:rsidRDefault="00000000" w:rsidRPr="00000000" w14:paraId="00000027">
            <w:pPr>
              <w:spacing w:after="40" w:lineRule="auto"/>
              <w:rPr/>
            </w:pPr>
            <w:r w:rsidDel="00000000" w:rsidR="00000000" w:rsidRPr="00000000">
              <w:rPr>
                <w:rFonts w:ascii="Calibri" w:cs="Calibri" w:eastAsia="Calibri" w:hAnsi="Calibri"/>
                <w:color w:val="666666"/>
                <w:sz w:val="17"/>
                <w:szCs w:val="17"/>
                <w:rtl w:val="0"/>
              </w:rPr>
              <w:t xml:space="preserve">Yin (2014)</w:t>
            </w:r>
            <w:r w:rsidDel="00000000" w:rsidR="00000000" w:rsidRPr="00000000">
              <w:rPr>
                <w:rtl w:val="0"/>
              </w:rPr>
            </w:r>
          </w:p>
          <w:p w:rsidR="00000000" w:rsidDel="00000000" w:rsidP="00000000" w:rsidRDefault="00000000" w:rsidRPr="00000000" w14:paraId="00000028">
            <w:pPr>
              <w:spacing w:after="0" w:lineRule="auto"/>
              <w:rPr/>
            </w:pPr>
            <w:r w:rsidDel="00000000" w:rsidR="00000000" w:rsidRPr="00000000">
              <w:rPr>
                <w:rFonts w:ascii="Calibri" w:cs="Calibri" w:eastAsia="Calibri" w:hAnsi="Calibri"/>
                <w:color w:val="666666"/>
                <w:sz w:val="17"/>
                <w:szCs w:val="17"/>
                <w:rtl w:val="0"/>
              </w:rPr>
              <w:t xml:space="preserve">Saldaña (2021)</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29">
            <w:pPr>
              <w:spacing w:after="0" w:lineRule="auto"/>
              <w:rPr/>
            </w:pPr>
            <w:r w:rsidDel="00000000" w:rsidR="00000000" w:rsidRPr="00000000">
              <w:rPr>
                <w:rFonts w:ascii="Calibri" w:cs="Calibri" w:eastAsia="Calibri" w:hAnsi="Calibri"/>
                <w:b w:val="1"/>
                <w:bCs w:val="1"/>
                <w:color w:val="111111"/>
                <w:sz w:val="18"/>
                <w:szCs w:val="18"/>
                <w:rtl w:val="0"/>
              </w:rPr>
              <w:t xml:space="preserve">Time-intensive data collection and analysis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2A">
            <w:pPr>
              <w:spacing w:after="0" w:lineRule="auto"/>
              <w:rPr/>
            </w:pPr>
            <w:r w:rsidDel="00000000" w:rsidR="00000000" w:rsidRPr="00000000">
              <w:rPr>
                <w:rFonts w:ascii="Calibri" w:cs="Calibri" w:eastAsia="Calibri" w:hAnsi="Calibri"/>
                <w:color w:val="111111"/>
                <w:sz w:val="18"/>
                <w:szCs w:val="18"/>
                <w:rtl w:val="0"/>
              </w:rPr>
              <w:t xml:space="preserve">Interviews, transcription, coding and thematic analysis are extremely labour-intensive. At doctoral level this affects scope decisions and must be acknowledged as a design-stage limitation.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2B">
            <w:pPr>
              <w:spacing w:after="40" w:lineRule="auto"/>
              <w:rPr/>
            </w:pPr>
            <w:r w:rsidDel="00000000" w:rsidR="00000000" w:rsidRPr="00000000">
              <w:rPr>
                <w:rFonts w:ascii="Calibri" w:cs="Calibri" w:eastAsia="Calibri" w:hAnsi="Calibri"/>
                <w:b w:val="1"/>
                <w:bCs w:val="1"/>
                <w:color w:val="1c2b4a"/>
                <w:sz w:val="18"/>
                <w:szCs w:val="18"/>
                <w:rtl w:val="0"/>
              </w:rPr>
              <w:t xml:space="preserve">All paradigms.</w:t>
            </w:r>
            <w:r w:rsidDel="00000000" w:rsidR="00000000" w:rsidRPr="00000000">
              <w:rPr>
                <w:rtl w:val="0"/>
              </w:rPr>
            </w:r>
          </w:p>
          <w:p w:rsidR="00000000" w:rsidDel="00000000" w:rsidP="00000000" w:rsidRDefault="00000000" w:rsidRPr="00000000" w14:paraId="0000002C">
            <w:pPr>
              <w:spacing w:after="0" w:lineRule="auto"/>
              <w:rPr/>
            </w:pPr>
            <w:r w:rsidDel="00000000" w:rsidR="00000000" w:rsidRPr="00000000">
              <w:rPr>
                <w:rFonts w:ascii="Calibri" w:cs="Calibri" w:eastAsia="Calibri" w:hAnsi="Calibri"/>
                <w:color w:val="111111"/>
                <w:sz w:val="18"/>
                <w:szCs w:val="18"/>
                <w:rtl w:val="0"/>
              </w:rPr>
              <w:t xml:space="preserve">Affects feasibility regardless of paradigm. A design-stage limitation requiring explicit justification of scope choices.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2D">
            <w:pPr>
              <w:spacing w:after="60" w:lineRule="auto"/>
              <w:rPr/>
            </w:pPr>
            <w:r w:rsidDel="00000000" w:rsidR="00000000" w:rsidRPr="00000000">
              <w:rPr>
                <w:rFonts w:ascii="Calibri" w:cs="Calibri" w:eastAsia="Calibri" w:hAnsi="Calibri"/>
                <w:color w:val="111111"/>
                <w:sz w:val="18"/>
                <w:szCs w:val="18"/>
                <w:rtl w:val="0"/>
              </w:rPr>
              <w:t xml:space="preserve">Narrow research scope and justify this as a deliberate delimitation. Use qualitative data analysis software (e.g., NVivo) to manage large datasets.</w:t>
            </w:r>
            <w:r w:rsidDel="00000000" w:rsidR="00000000" w:rsidRPr="00000000">
              <w:rPr>
                <w:rtl w:val="0"/>
              </w:rPr>
            </w:r>
          </w:p>
          <w:p w:rsidR="00000000" w:rsidDel="00000000" w:rsidP="00000000" w:rsidRDefault="00000000" w:rsidRPr="00000000" w14:paraId="0000002E">
            <w:pPr>
              <w:spacing w:after="0" w:lineRule="auto"/>
              <w:rPr/>
            </w:pPr>
            <w:r w:rsidDel="00000000" w:rsidR="00000000" w:rsidRPr="00000000">
              <w:rPr>
                <w:rFonts w:ascii="Calibri" w:cs="Calibri" w:eastAsia="Calibri" w:hAnsi="Calibri"/>
                <w:color w:val="111111"/>
                <w:sz w:val="18"/>
                <w:szCs w:val="18"/>
                <w:rtl w:val="0"/>
              </w:rPr>
              <w:t xml:space="preserve">Develop a clear coding framework before data collection begins (Miles &amp; Huberman, 1994). Set realistic data collection timelines.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2F">
            <w:pPr>
              <w:spacing w:after="0" w:lineRule="auto"/>
              <w:rPr/>
            </w:pPr>
            <w:r w:rsidDel="00000000" w:rsidR="00000000" w:rsidRPr="00000000">
              <w:rPr>
                <w:rFonts w:ascii="Calibri" w:cs="Calibri" w:eastAsia="Calibri" w:hAnsi="Calibri"/>
                <w:color w:val="111111"/>
                <w:sz w:val="18"/>
                <w:szCs w:val="18"/>
                <w:rtl w:val="0"/>
              </w:rPr>
              <w:t xml:space="preserve">Conducting 25 in-depth interviews with senior managers may require several months of transcription and iterative analysis. Scope decisions — number of participants, interview length — should be justified on methodological, not purely practical, grounds.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30">
            <w:pPr>
              <w:spacing w:after="40" w:lineRule="auto"/>
              <w:rPr/>
            </w:pPr>
            <w:r w:rsidDel="00000000" w:rsidR="00000000" w:rsidRPr="00000000">
              <w:rPr>
                <w:rFonts w:ascii="Calibri" w:cs="Calibri" w:eastAsia="Calibri" w:hAnsi="Calibri"/>
                <w:color w:val="666666"/>
                <w:sz w:val="17"/>
                <w:szCs w:val="17"/>
                <w:rtl w:val="0"/>
              </w:rPr>
              <w:t xml:space="preserve">Miles &amp; Huberman (1994)</w:t>
            </w:r>
            <w:r w:rsidDel="00000000" w:rsidR="00000000" w:rsidRPr="00000000">
              <w:rPr>
                <w:rtl w:val="0"/>
              </w:rPr>
            </w:r>
          </w:p>
          <w:p w:rsidR="00000000" w:rsidDel="00000000" w:rsidP="00000000" w:rsidRDefault="00000000" w:rsidRPr="00000000" w14:paraId="00000031">
            <w:pPr>
              <w:spacing w:after="40" w:lineRule="auto"/>
              <w:rPr/>
            </w:pPr>
            <w:r w:rsidDel="00000000" w:rsidR="00000000" w:rsidRPr="00000000">
              <w:rPr>
                <w:rFonts w:ascii="Calibri" w:cs="Calibri" w:eastAsia="Calibri" w:hAnsi="Calibri"/>
                <w:color w:val="666666"/>
                <w:sz w:val="17"/>
                <w:szCs w:val="17"/>
                <w:rtl w:val="0"/>
              </w:rPr>
              <w:t xml:space="preserve">Corbin &amp; Strauss (1990)</w:t>
            </w:r>
            <w:r w:rsidDel="00000000" w:rsidR="00000000" w:rsidRPr="00000000">
              <w:rPr>
                <w:rtl w:val="0"/>
              </w:rPr>
            </w:r>
          </w:p>
          <w:p w:rsidR="00000000" w:rsidDel="00000000" w:rsidP="00000000" w:rsidRDefault="00000000" w:rsidRPr="00000000" w14:paraId="00000032">
            <w:pPr>
              <w:spacing w:after="0" w:lineRule="auto"/>
              <w:rPr/>
            </w:pPr>
            <w:r w:rsidDel="00000000" w:rsidR="00000000" w:rsidRPr="00000000">
              <w:rPr>
                <w:rFonts w:ascii="Calibri" w:cs="Calibri" w:eastAsia="Calibri" w:hAnsi="Calibri"/>
                <w:color w:val="666666"/>
                <w:sz w:val="17"/>
                <w:szCs w:val="17"/>
                <w:rtl w:val="0"/>
              </w:rPr>
              <w:t xml:space="preserve">Silverman (2008)</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33">
            <w:pPr>
              <w:spacing w:after="0" w:lineRule="auto"/>
              <w:rPr/>
            </w:pPr>
            <w:r w:rsidDel="00000000" w:rsidR="00000000" w:rsidRPr="00000000">
              <w:rPr>
                <w:rFonts w:ascii="Calibri" w:cs="Calibri" w:eastAsia="Calibri" w:hAnsi="Calibri"/>
                <w:b w:val="1"/>
                <w:bCs w:val="1"/>
                <w:color w:val="111111"/>
                <w:sz w:val="18"/>
                <w:szCs w:val="18"/>
                <w:rtl w:val="0"/>
              </w:rPr>
              <w:t xml:space="preserve">Access to organisations and elite participants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34">
            <w:pPr>
              <w:spacing w:after="0" w:lineRule="auto"/>
              <w:rPr/>
            </w:pPr>
            <w:r w:rsidDel="00000000" w:rsidR="00000000" w:rsidRPr="00000000">
              <w:rPr>
                <w:rFonts w:ascii="Calibri" w:cs="Calibri" w:eastAsia="Calibri" w:hAnsi="Calibri"/>
                <w:color w:val="111111"/>
                <w:sz w:val="18"/>
                <w:szCs w:val="18"/>
                <w:rtl w:val="0"/>
              </w:rPr>
              <w:t xml:space="preserve">Businesses may restrict access due to confidentiality, reputational concerns or organisational politics. Gatekeepers shape not only who you can reach but what participants feel able to say.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35">
            <w:pPr>
              <w:spacing w:after="40" w:lineRule="auto"/>
              <w:rPr/>
            </w:pPr>
            <w:r w:rsidDel="00000000" w:rsidR="00000000" w:rsidRPr="00000000">
              <w:rPr>
                <w:rFonts w:ascii="Calibri" w:cs="Calibri" w:eastAsia="Calibri" w:hAnsi="Calibri"/>
                <w:b w:val="1"/>
                <w:bCs w:val="1"/>
                <w:color w:val="1c2b4a"/>
                <w:sz w:val="18"/>
                <w:szCs w:val="18"/>
                <w:rtl w:val="0"/>
              </w:rPr>
              <w:t xml:space="preserve">All paradigms.</w:t>
            </w:r>
            <w:r w:rsidDel="00000000" w:rsidR="00000000" w:rsidRPr="00000000">
              <w:rPr>
                <w:rtl w:val="0"/>
              </w:rPr>
            </w:r>
          </w:p>
          <w:p w:rsidR="00000000" w:rsidDel="00000000" w:rsidP="00000000" w:rsidRDefault="00000000" w:rsidRPr="00000000" w14:paraId="00000036">
            <w:pPr>
              <w:spacing w:after="0" w:lineRule="auto"/>
              <w:rPr/>
            </w:pPr>
            <w:r w:rsidDel="00000000" w:rsidR="00000000" w:rsidRPr="00000000">
              <w:rPr>
                <w:rFonts w:ascii="Calibri" w:cs="Calibri" w:eastAsia="Calibri" w:hAnsi="Calibri"/>
                <w:color w:val="111111"/>
                <w:sz w:val="18"/>
                <w:szCs w:val="18"/>
                <w:rtl w:val="0"/>
              </w:rPr>
              <w:t xml:space="preserve">Affects fieldwork stage. Gatekeeper influence threatens both </w:t>
            </w:r>
            <w:r w:rsidDel="00000000" w:rsidR="00000000" w:rsidRPr="00000000">
              <w:rPr>
                <w:rFonts w:ascii="Calibri" w:cs="Calibri" w:eastAsia="Calibri" w:hAnsi="Calibri"/>
                <w:b w:val="0"/>
                <w:bCs w:val="0"/>
                <w:color w:val="111111"/>
                <w:sz w:val="18"/>
                <w:szCs w:val="18"/>
                <w:rtl w:val="0"/>
              </w:rPr>
              <w:t xml:space="preserve">credibility</w:t>
            </w:r>
            <w:r w:rsidDel="00000000" w:rsidR="00000000" w:rsidRPr="00000000">
              <w:rPr>
                <w:rFonts w:ascii="Calibri" w:cs="Calibri" w:eastAsia="Calibri" w:hAnsi="Calibri"/>
                <w:color w:val="111111"/>
                <w:sz w:val="18"/>
                <w:szCs w:val="18"/>
                <w:rtl w:val="0"/>
              </w:rPr>
              <w:t xml:space="preserve"> (qualitative) and </w:t>
            </w:r>
            <w:r w:rsidDel="00000000" w:rsidR="00000000" w:rsidRPr="00000000">
              <w:rPr>
                <w:rFonts w:ascii="Calibri" w:cs="Calibri" w:eastAsia="Calibri" w:hAnsi="Calibri"/>
                <w:b w:val="0"/>
                <w:bCs w:val="0"/>
                <w:color w:val="111111"/>
                <w:sz w:val="18"/>
                <w:szCs w:val="18"/>
                <w:rtl w:val="0"/>
              </w:rPr>
              <w:t xml:space="preserve">external validity</w:t>
            </w:r>
            <w:r w:rsidDel="00000000" w:rsidR="00000000" w:rsidRPr="00000000">
              <w:rPr>
                <w:rFonts w:ascii="Calibri" w:cs="Calibri" w:eastAsia="Calibri" w:hAnsi="Calibri"/>
                <w:color w:val="111111"/>
                <w:sz w:val="18"/>
                <w:szCs w:val="18"/>
                <w:rtl w:val="0"/>
              </w:rPr>
              <w:t xml:space="preserve"> (quantitative).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37">
            <w:pPr>
              <w:spacing w:after="60" w:lineRule="auto"/>
              <w:rPr/>
            </w:pPr>
            <w:r w:rsidDel="00000000" w:rsidR="00000000" w:rsidRPr="00000000">
              <w:rPr>
                <w:rFonts w:ascii="Calibri" w:cs="Calibri" w:eastAsia="Calibri" w:hAnsi="Calibri"/>
                <w:color w:val="111111"/>
                <w:sz w:val="18"/>
                <w:szCs w:val="18"/>
                <w:rtl w:val="0"/>
              </w:rPr>
              <w:t xml:space="preserve">Build gatekeeper relationships early and use professional networks. Offer clear confidentiality guarantees and explain research benefits to the organisation.</w:t>
            </w:r>
            <w:r w:rsidDel="00000000" w:rsidR="00000000" w:rsidRPr="00000000">
              <w:rPr>
                <w:rtl w:val="0"/>
              </w:rPr>
            </w:r>
          </w:p>
          <w:p w:rsidR="00000000" w:rsidDel="00000000" w:rsidP="00000000" w:rsidRDefault="00000000" w:rsidRPr="00000000" w14:paraId="00000038">
            <w:pPr>
              <w:spacing w:after="0" w:lineRule="auto"/>
              <w:rPr/>
            </w:pPr>
            <w:r w:rsidDel="00000000" w:rsidR="00000000" w:rsidRPr="00000000">
              <w:rPr>
                <w:rFonts w:ascii="Calibri" w:cs="Calibri" w:eastAsia="Calibri" w:hAnsi="Calibri"/>
                <w:color w:val="111111"/>
                <w:sz w:val="18"/>
                <w:szCs w:val="18"/>
                <w:rtl w:val="0"/>
              </w:rPr>
              <w:t xml:space="preserve">Where elite access is restricted, document this explicitly as a limitation affecting the scope of participant perspectives captured (Aguinis &amp; Solarino, 2019).</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39">
            <w:pPr>
              <w:spacing w:after="0" w:lineRule="auto"/>
              <w:rPr/>
            </w:pPr>
            <w:r w:rsidDel="00000000" w:rsidR="00000000" w:rsidRPr="00000000">
              <w:rPr>
                <w:rFonts w:ascii="Calibri" w:cs="Calibri" w:eastAsia="Calibri" w:hAnsi="Calibri"/>
                <w:color w:val="111111"/>
                <w:sz w:val="18"/>
                <w:szCs w:val="18"/>
                <w:rtl w:val="0"/>
              </w:rPr>
              <w:t xml:space="preserve">Gaining access to board members during a corporate merger may be impossible. A researcher may therefore be limited to post-hoc accounts — retrospective recall is itself a further limitation requiring acknowledgement.</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3A">
            <w:pPr>
              <w:spacing w:after="40" w:lineRule="auto"/>
              <w:rPr/>
            </w:pPr>
            <w:r w:rsidDel="00000000" w:rsidR="00000000" w:rsidRPr="00000000">
              <w:rPr>
                <w:rFonts w:ascii="Calibri" w:cs="Calibri" w:eastAsia="Calibri" w:hAnsi="Calibri"/>
                <w:color w:val="666666"/>
                <w:sz w:val="17"/>
                <w:szCs w:val="17"/>
                <w:rtl w:val="0"/>
              </w:rPr>
              <w:t xml:space="preserve">Aguinis &amp; Solarino (2019)</w:t>
            </w:r>
            <w:r w:rsidDel="00000000" w:rsidR="00000000" w:rsidRPr="00000000">
              <w:rPr>
                <w:rtl w:val="0"/>
              </w:rPr>
            </w:r>
          </w:p>
          <w:p w:rsidR="00000000" w:rsidDel="00000000" w:rsidP="00000000" w:rsidRDefault="00000000" w:rsidRPr="00000000" w14:paraId="0000003B">
            <w:pPr>
              <w:spacing w:after="0" w:lineRule="auto"/>
              <w:rPr/>
            </w:pPr>
            <w:r w:rsidDel="00000000" w:rsidR="00000000" w:rsidRPr="00000000">
              <w:rPr>
                <w:rFonts w:ascii="Calibri" w:cs="Calibri" w:eastAsia="Calibri" w:hAnsi="Calibri"/>
                <w:color w:val="666666"/>
                <w:sz w:val="17"/>
                <w:szCs w:val="17"/>
                <w:rtl w:val="0"/>
              </w:rPr>
              <w:t xml:space="preserve">Kvale (1996)</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3C">
            <w:pPr>
              <w:spacing w:after="0" w:lineRule="auto"/>
              <w:rPr/>
            </w:pPr>
            <w:r w:rsidDel="00000000" w:rsidR="00000000" w:rsidRPr="00000000">
              <w:rPr>
                <w:rFonts w:ascii="Calibri" w:cs="Calibri" w:eastAsia="Calibri" w:hAnsi="Calibri"/>
                <w:b w:val="1"/>
                <w:bCs w:val="1"/>
                <w:color w:val="111111"/>
                <w:sz w:val="18"/>
                <w:szCs w:val="18"/>
                <w:rtl w:val="0"/>
              </w:rPr>
              <w:t xml:space="preserve">Ethical sensitivity and confidentiality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3D">
            <w:pPr>
              <w:spacing w:after="0" w:lineRule="auto"/>
              <w:rPr/>
            </w:pPr>
            <w:r w:rsidDel="00000000" w:rsidR="00000000" w:rsidRPr="00000000">
              <w:rPr>
                <w:rFonts w:ascii="Calibri" w:cs="Calibri" w:eastAsia="Calibri" w:hAnsi="Calibri"/>
                <w:color w:val="111111"/>
                <w:sz w:val="18"/>
                <w:szCs w:val="18"/>
                <w:rtl w:val="0"/>
              </w:rPr>
              <w:t xml:space="preserve">Participants may disclose commercially sensitive, personally distressing or legally significant information. Ethical obligations continue beyond the point of data collection.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3E">
            <w:pPr>
              <w:spacing w:after="40" w:lineRule="auto"/>
              <w:rPr/>
            </w:pPr>
            <w:r w:rsidDel="00000000" w:rsidR="00000000" w:rsidRPr="00000000">
              <w:rPr>
                <w:rFonts w:ascii="Calibri" w:cs="Calibri" w:eastAsia="Calibri" w:hAnsi="Calibri"/>
                <w:b w:val="1"/>
                <w:bCs w:val="1"/>
                <w:color w:val="1c2b4a"/>
                <w:sz w:val="18"/>
                <w:szCs w:val="18"/>
                <w:rtl w:val="0"/>
              </w:rPr>
              <w:t xml:space="preserve">All paradigms.</w:t>
            </w:r>
            <w:r w:rsidDel="00000000" w:rsidR="00000000" w:rsidRPr="00000000">
              <w:rPr>
                <w:rtl w:val="0"/>
              </w:rPr>
            </w:r>
          </w:p>
          <w:p w:rsidR="00000000" w:rsidDel="00000000" w:rsidP="00000000" w:rsidRDefault="00000000" w:rsidRPr="00000000" w14:paraId="0000003F">
            <w:pPr>
              <w:spacing w:after="0" w:lineRule="auto"/>
              <w:rPr/>
            </w:pPr>
            <w:r w:rsidDel="00000000" w:rsidR="00000000" w:rsidRPr="00000000">
              <w:rPr>
                <w:rFonts w:ascii="Calibri" w:cs="Calibri" w:eastAsia="Calibri" w:hAnsi="Calibri"/>
                <w:color w:val="111111"/>
                <w:sz w:val="18"/>
                <w:szCs w:val="18"/>
                <w:rtl w:val="0"/>
              </w:rPr>
              <w:t xml:space="preserve">An ethical obligation for all research. In qualitative studies, emergent and sensitive disclosures are particularly common and may not be fully anticipated at design stage.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40">
            <w:pPr>
              <w:spacing w:after="60" w:lineRule="auto"/>
              <w:rPr/>
            </w:pPr>
            <w:r w:rsidDel="00000000" w:rsidR="00000000" w:rsidRPr="00000000">
              <w:rPr>
                <w:rFonts w:ascii="Calibri" w:cs="Calibri" w:eastAsia="Calibri" w:hAnsi="Calibri"/>
                <w:color w:val="111111"/>
                <w:sz w:val="18"/>
                <w:szCs w:val="18"/>
                <w:rtl w:val="0"/>
              </w:rPr>
              <w:t xml:space="preserve">Use anonymisation and pseudonyms throughout. Store data securely and in compliance with institutional ethics requirements.</w:t>
            </w:r>
            <w:r w:rsidDel="00000000" w:rsidR="00000000" w:rsidRPr="00000000">
              <w:rPr>
                <w:rtl w:val="0"/>
              </w:rPr>
            </w:r>
          </w:p>
          <w:p w:rsidR="00000000" w:rsidDel="00000000" w:rsidP="00000000" w:rsidRDefault="00000000" w:rsidRPr="00000000" w14:paraId="00000041">
            <w:pPr>
              <w:spacing w:after="0" w:lineRule="auto"/>
              <w:rPr/>
            </w:pPr>
            <w:r w:rsidDel="00000000" w:rsidR="00000000" w:rsidRPr="00000000">
              <w:rPr>
                <w:rFonts w:ascii="Calibri" w:cs="Calibri" w:eastAsia="Calibri" w:hAnsi="Calibri"/>
                <w:color w:val="111111"/>
                <w:sz w:val="18"/>
                <w:szCs w:val="18"/>
                <w:rtl w:val="0"/>
              </w:rPr>
              <w:t xml:space="preserve">Obtain written informed consent. Remind participants of their right to withdraw at any stage. Follow British Academy of Management (2024) ethical guidance.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42">
            <w:pPr>
              <w:spacing w:after="0" w:lineRule="auto"/>
              <w:rPr/>
            </w:pPr>
            <w:r w:rsidDel="00000000" w:rsidR="00000000" w:rsidRPr="00000000">
              <w:rPr>
                <w:rFonts w:ascii="Calibri" w:cs="Calibri" w:eastAsia="Calibri" w:hAnsi="Calibri"/>
                <w:color w:val="111111"/>
                <w:sz w:val="18"/>
                <w:szCs w:val="18"/>
                <w:rtl w:val="0"/>
              </w:rPr>
              <w:t xml:space="preserve">Employees discussing toxic leadership or organisational misconduct may fear professional retaliation. Explicit confidentiality safeguards and anonymisation protect participants and strengthen the credibility of data.</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43">
            <w:pPr>
              <w:spacing w:after="40" w:lineRule="auto"/>
              <w:rPr/>
            </w:pPr>
            <w:r w:rsidDel="00000000" w:rsidR="00000000" w:rsidRPr="00000000">
              <w:rPr>
                <w:rFonts w:ascii="Calibri" w:cs="Calibri" w:eastAsia="Calibri" w:hAnsi="Calibri"/>
                <w:color w:val="666666"/>
                <w:sz w:val="17"/>
                <w:szCs w:val="17"/>
                <w:rtl w:val="0"/>
              </w:rPr>
              <w:t xml:space="preserve">British Academy of Management (2024)</w:t>
            </w:r>
            <w:r w:rsidDel="00000000" w:rsidR="00000000" w:rsidRPr="00000000">
              <w:rPr>
                <w:rtl w:val="0"/>
              </w:rPr>
            </w:r>
          </w:p>
          <w:p w:rsidR="00000000" w:rsidDel="00000000" w:rsidP="00000000" w:rsidRDefault="00000000" w:rsidRPr="00000000" w14:paraId="00000044">
            <w:pPr>
              <w:spacing w:after="40" w:lineRule="auto"/>
              <w:rPr/>
            </w:pPr>
            <w:r w:rsidDel="00000000" w:rsidR="00000000" w:rsidRPr="00000000">
              <w:rPr>
                <w:rFonts w:ascii="Calibri" w:cs="Calibri" w:eastAsia="Calibri" w:hAnsi="Calibri"/>
                <w:color w:val="666666"/>
                <w:sz w:val="17"/>
                <w:szCs w:val="17"/>
                <w:rtl w:val="0"/>
              </w:rPr>
              <w:t xml:space="preserve">Creswell (1998)</w:t>
            </w:r>
            <w:r w:rsidDel="00000000" w:rsidR="00000000" w:rsidRPr="00000000">
              <w:rPr>
                <w:rtl w:val="0"/>
              </w:rPr>
            </w:r>
          </w:p>
          <w:p w:rsidR="00000000" w:rsidDel="00000000" w:rsidP="00000000" w:rsidRDefault="00000000" w:rsidRPr="00000000" w14:paraId="00000045">
            <w:pPr>
              <w:spacing w:after="0" w:lineRule="auto"/>
              <w:rPr/>
            </w:pPr>
            <w:r w:rsidDel="00000000" w:rsidR="00000000" w:rsidRPr="00000000">
              <w:rPr>
                <w:rFonts w:ascii="Calibri" w:cs="Calibri" w:eastAsia="Calibri" w:hAnsi="Calibri"/>
                <w:color w:val="666666"/>
                <w:sz w:val="17"/>
                <w:szCs w:val="17"/>
                <w:rtl w:val="0"/>
              </w:rPr>
              <w:t xml:space="preserve">Patton (1990)</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46">
            <w:pPr>
              <w:spacing w:after="0" w:lineRule="auto"/>
              <w:rPr/>
            </w:pPr>
            <w:r w:rsidDel="00000000" w:rsidR="00000000" w:rsidRPr="00000000">
              <w:rPr>
                <w:rFonts w:ascii="Calibri" w:cs="Calibri" w:eastAsia="Calibri" w:hAnsi="Calibri"/>
                <w:b w:val="1"/>
                <w:bCs w:val="1"/>
                <w:color w:val="111111"/>
                <w:sz w:val="18"/>
                <w:szCs w:val="18"/>
                <w:rtl w:val="0"/>
              </w:rPr>
              <w:t xml:space="preserve">Risk of insufficient rigour / trustworthiness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47">
            <w:pPr>
              <w:spacing w:after="0" w:lineRule="auto"/>
              <w:rPr/>
            </w:pPr>
            <w:r w:rsidDel="00000000" w:rsidR="00000000" w:rsidRPr="00000000">
              <w:rPr>
                <w:rFonts w:ascii="Calibri" w:cs="Calibri" w:eastAsia="Calibri" w:hAnsi="Calibri"/>
                <w:color w:val="111111"/>
                <w:sz w:val="18"/>
                <w:szCs w:val="18"/>
                <w:rtl w:val="0"/>
              </w:rPr>
              <w:t xml:space="preserve">Qualitative research without a clear trustworthiness framework may be criticised as anecdotal or impressionistic. Examiners expect explicit engagement with the criteria relevant to the paradigm.</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48">
            <w:pPr>
              <w:spacing w:after="40" w:lineRule="auto"/>
              <w:rPr/>
            </w:pPr>
            <w:r w:rsidDel="00000000" w:rsidR="00000000" w:rsidRPr="00000000">
              <w:rPr>
                <w:rFonts w:ascii="Calibri" w:cs="Calibri" w:eastAsia="Calibri" w:hAnsi="Calibri"/>
                <w:b w:val="1"/>
                <w:bCs w:val="1"/>
                <w:color w:val="1c2b4a"/>
                <w:sz w:val="18"/>
                <w:szCs w:val="18"/>
                <w:rtl w:val="0"/>
              </w:rPr>
              <w:t xml:space="preserve">Qualitative only.</w:t>
            </w:r>
            <w:r w:rsidDel="00000000" w:rsidR="00000000" w:rsidRPr="00000000">
              <w:rPr>
                <w:rtl w:val="0"/>
              </w:rPr>
            </w:r>
          </w:p>
          <w:p w:rsidR="00000000" w:rsidDel="00000000" w:rsidP="00000000" w:rsidRDefault="00000000" w:rsidRPr="00000000" w14:paraId="00000049">
            <w:pPr>
              <w:spacing w:after="0" w:lineRule="auto"/>
              <w:rPr/>
            </w:pPr>
            <w:r w:rsidDel="00000000" w:rsidR="00000000" w:rsidRPr="00000000">
              <w:rPr>
                <w:rFonts w:ascii="Calibri" w:cs="Calibri" w:eastAsia="Calibri" w:hAnsi="Calibri"/>
                <w:color w:val="111111"/>
                <w:sz w:val="18"/>
                <w:szCs w:val="18"/>
                <w:rtl w:val="0"/>
              </w:rPr>
              <w:t xml:space="preserve">Use Lincoln &amp; Guba's (1985) four criteria — </w:t>
            </w:r>
            <w:r w:rsidDel="00000000" w:rsidR="00000000" w:rsidRPr="00000000">
              <w:rPr>
                <w:rFonts w:ascii="Calibri" w:cs="Calibri" w:eastAsia="Calibri" w:hAnsi="Calibri"/>
                <w:b w:val="0"/>
                <w:bCs w:val="0"/>
                <w:color w:val="111111"/>
                <w:sz w:val="18"/>
                <w:szCs w:val="18"/>
                <w:rtl w:val="0"/>
              </w:rPr>
              <w:t xml:space="preserve">credibility, transferability, dependability, confirmability</w:t>
            </w:r>
            <w:r w:rsidDel="00000000" w:rsidR="00000000" w:rsidRPr="00000000">
              <w:rPr>
                <w:rFonts w:ascii="Calibri" w:cs="Calibri" w:eastAsia="Calibri" w:hAnsi="Calibri"/>
                <w:color w:val="111111"/>
                <w:sz w:val="18"/>
                <w:szCs w:val="18"/>
                <w:rtl w:val="0"/>
              </w:rPr>
              <w:t xml:space="preserve"> — not validity and reliability.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4A">
            <w:pPr>
              <w:spacing w:after="60" w:lineRule="auto"/>
              <w:rPr/>
            </w:pPr>
            <w:r w:rsidDel="00000000" w:rsidR="00000000" w:rsidRPr="00000000">
              <w:rPr>
                <w:rFonts w:ascii="Calibri" w:cs="Calibri" w:eastAsia="Calibri" w:hAnsi="Calibri"/>
                <w:color w:val="111111"/>
                <w:sz w:val="18"/>
                <w:szCs w:val="18"/>
                <w:rtl w:val="0"/>
              </w:rPr>
              <w:t xml:space="preserve">Structure the methodology chapter explicitly around the four trustworthiness criteria. Document how each was addressed.</w:t>
            </w:r>
            <w:r w:rsidDel="00000000" w:rsidR="00000000" w:rsidRPr="00000000">
              <w:rPr>
                <w:rtl w:val="0"/>
              </w:rPr>
            </w:r>
          </w:p>
          <w:p w:rsidR="00000000" w:rsidDel="00000000" w:rsidP="00000000" w:rsidRDefault="00000000" w:rsidRPr="00000000" w14:paraId="0000004B">
            <w:pPr>
              <w:spacing w:after="0" w:lineRule="auto"/>
              <w:rPr/>
            </w:pPr>
            <w:r w:rsidDel="00000000" w:rsidR="00000000" w:rsidRPr="00000000">
              <w:rPr>
                <w:rFonts w:ascii="Calibri" w:cs="Calibri" w:eastAsia="Calibri" w:hAnsi="Calibri"/>
                <w:color w:val="111111"/>
                <w:sz w:val="18"/>
                <w:szCs w:val="18"/>
                <w:rtl w:val="0"/>
              </w:rPr>
              <w:t xml:space="preserve">Use member checking (credibility), thick description (transferability), audit trail (dependability) and reflexivity journal (confirmability).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4C">
            <w:pPr>
              <w:spacing w:after="0" w:lineRule="auto"/>
              <w:rPr/>
            </w:pPr>
            <w:r w:rsidDel="00000000" w:rsidR="00000000" w:rsidRPr="00000000">
              <w:rPr>
                <w:rFonts w:ascii="Calibri" w:cs="Calibri" w:eastAsia="Calibri" w:hAnsi="Calibri"/>
                <w:color w:val="111111"/>
                <w:sz w:val="18"/>
                <w:szCs w:val="18"/>
                <w:rtl w:val="0"/>
              </w:rPr>
              <w:t xml:space="preserve">A thematic analysis without a clear audit trail and without member checking may be challenged in viva examination. Demonstrating each criterion systematically pre-empts this line of examiner questioning.</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4D">
            <w:pPr>
              <w:spacing w:after="40" w:lineRule="auto"/>
              <w:rPr/>
            </w:pPr>
            <w:r w:rsidDel="00000000" w:rsidR="00000000" w:rsidRPr="00000000">
              <w:rPr>
                <w:rFonts w:ascii="Calibri" w:cs="Calibri" w:eastAsia="Calibri" w:hAnsi="Calibri"/>
                <w:color w:val="666666"/>
                <w:sz w:val="17"/>
                <w:szCs w:val="17"/>
                <w:rtl w:val="0"/>
              </w:rPr>
              <w:t xml:space="preserve">Lincoln &amp; Guba (1985)</w:t>
            </w:r>
            <w:r w:rsidDel="00000000" w:rsidR="00000000" w:rsidRPr="00000000">
              <w:rPr>
                <w:rtl w:val="0"/>
              </w:rPr>
            </w:r>
          </w:p>
          <w:p w:rsidR="00000000" w:rsidDel="00000000" w:rsidP="00000000" w:rsidRDefault="00000000" w:rsidRPr="00000000" w14:paraId="0000004E">
            <w:pPr>
              <w:spacing w:after="0" w:lineRule="auto"/>
              <w:rPr/>
            </w:pPr>
            <w:r w:rsidDel="00000000" w:rsidR="00000000" w:rsidRPr="00000000">
              <w:rPr>
                <w:rFonts w:ascii="Calibri" w:cs="Calibri" w:eastAsia="Calibri" w:hAnsi="Calibri"/>
                <w:color w:val="666666"/>
                <w:sz w:val="17"/>
                <w:szCs w:val="17"/>
                <w:rtl w:val="0"/>
              </w:rPr>
              <w:t xml:space="preserve">Patton (1990)</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4F">
            <w:pPr>
              <w:spacing w:after="0" w:lineRule="auto"/>
              <w:rPr/>
            </w:pPr>
            <w:r w:rsidDel="00000000" w:rsidR="00000000" w:rsidRPr="00000000">
              <w:rPr>
                <w:rFonts w:ascii="Calibri" w:cs="Calibri" w:eastAsia="Calibri" w:hAnsi="Calibri"/>
                <w:b w:val="1"/>
                <w:bCs w:val="1"/>
                <w:color w:val="111111"/>
                <w:sz w:val="18"/>
                <w:szCs w:val="18"/>
                <w:rtl w:val="0"/>
              </w:rPr>
              <w:t xml:space="preserve">Challenges achieving data saturation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50">
            <w:pPr>
              <w:spacing w:after="0" w:lineRule="auto"/>
              <w:rPr/>
            </w:pPr>
            <w:r w:rsidDel="00000000" w:rsidR="00000000" w:rsidRPr="00000000">
              <w:rPr>
                <w:rFonts w:ascii="Calibri" w:cs="Calibri" w:eastAsia="Calibri" w:hAnsi="Calibri"/>
                <w:color w:val="111111"/>
                <w:sz w:val="18"/>
                <w:szCs w:val="18"/>
                <w:rtl w:val="0"/>
              </w:rPr>
              <w:t xml:space="preserve">Doctoral researchers may stop data collection too early, or fail to justify when and why saturation was reached. Saturation must be argued, not assumed.</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51">
            <w:pPr>
              <w:spacing w:after="40" w:lineRule="auto"/>
              <w:rPr/>
            </w:pPr>
            <w:r w:rsidDel="00000000" w:rsidR="00000000" w:rsidRPr="00000000">
              <w:rPr>
                <w:rFonts w:ascii="Calibri" w:cs="Calibri" w:eastAsia="Calibri" w:hAnsi="Calibri"/>
                <w:b w:val="1"/>
                <w:bCs w:val="1"/>
                <w:color w:val="1c2b4a"/>
                <w:sz w:val="18"/>
                <w:szCs w:val="18"/>
                <w:rtl w:val="0"/>
              </w:rPr>
              <w:t xml:space="preserve">Qualitative only.</w:t>
            </w:r>
            <w:r w:rsidDel="00000000" w:rsidR="00000000" w:rsidRPr="00000000">
              <w:rPr>
                <w:rtl w:val="0"/>
              </w:rPr>
            </w:r>
          </w:p>
          <w:p w:rsidR="00000000" w:rsidDel="00000000" w:rsidP="00000000" w:rsidRDefault="00000000" w:rsidRPr="00000000" w14:paraId="00000052">
            <w:pPr>
              <w:spacing w:after="0" w:lineRule="auto"/>
              <w:rPr/>
            </w:pPr>
            <w:r w:rsidDel="00000000" w:rsidR="00000000" w:rsidRPr="00000000">
              <w:rPr>
                <w:rFonts w:ascii="Calibri" w:cs="Calibri" w:eastAsia="Calibri" w:hAnsi="Calibri"/>
                <w:color w:val="111111"/>
                <w:sz w:val="18"/>
                <w:szCs w:val="18"/>
                <w:rtl w:val="0"/>
              </w:rPr>
              <w:t xml:space="preserve">Saturation is the qualitative equivalent of statistical power. Both require explicit justification — not a default sample size.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53">
            <w:pPr>
              <w:spacing w:after="60" w:lineRule="auto"/>
              <w:rPr/>
            </w:pPr>
            <w:r w:rsidDel="00000000" w:rsidR="00000000" w:rsidRPr="00000000">
              <w:rPr>
                <w:rFonts w:ascii="Calibri" w:cs="Calibri" w:eastAsia="Calibri" w:hAnsi="Calibri"/>
                <w:color w:val="111111"/>
                <w:sz w:val="18"/>
                <w:szCs w:val="18"/>
                <w:rtl w:val="0"/>
              </w:rPr>
              <w:t xml:space="preserve">Continue sampling until no substantially new categories, properties or themes emerge (Glaser &amp; Strauss, 1967).</w:t>
            </w:r>
            <w:r w:rsidDel="00000000" w:rsidR="00000000" w:rsidRPr="00000000">
              <w:rPr>
                <w:rtl w:val="0"/>
              </w:rPr>
            </w:r>
          </w:p>
          <w:p w:rsidR="00000000" w:rsidDel="00000000" w:rsidP="00000000" w:rsidRDefault="00000000" w:rsidRPr="00000000" w14:paraId="00000054">
            <w:pPr>
              <w:spacing w:after="0" w:lineRule="auto"/>
              <w:rPr/>
            </w:pPr>
            <w:r w:rsidDel="00000000" w:rsidR="00000000" w:rsidRPr="00000000">
              <w:rPr>
                <w:rFonts w:ascii="Calibri" w:cs="Calibri" w:eastAsia="Calibri" w:hAnsi="Calibri"/>
                <w:color w:val="111111"/>
                <w:sz w:val="18"/>
                <w:szCs w:val="18"/>
                <w:rtl w:val="0"/>
              </w:rPr>
              <w:t xml:space="preserve">Distinguish data saturation (repetition of information) from rich data saturation (sufficient depth for theoretical insight) (Fusch &amp; Ness, 2015). Justify saturation explicitly in the methodology chapter.</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55">
            <w:pPr>
              <w:spacing w:after="0" w:lineRule="auto"/>
              <w:rPr/>
            </w:pPr>
            <w:r w:rsidDel="00000000" w:rsidR="00000000" w:rsidRPr="00000000">
              <w:rPr>
                <w:rFonts w:ascii="Calibri" w:cs="Calibri" w:eastAsia="Calibri" w:hAnsi="Calibri"/>
                <w:color w:val="111111"/>
                <w:sz w:val="18"/>
                <w:szCs w:val="18"/>
                <w:rtl w:val="0"/>
              </w:rPr>
              <w:t xml:space="preserve">Interviews with remote workers may continue revealing new experiences beyond the initial sample. Stopping at a pre-set number without checking for new themes is not doctoral-level reasoning.</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56">
            <w:pPr>
              <w:spacing w:after="40" w:lineRule="auto"/>
              <w:rPr/>
            </w:pPr>
            <w:r w:rsidDel="00000000" w:rsidR="00000000" w:rsidRPr="00000000">
              <w:rPr>
                <w:rFonts w:ascii="Calibri" w:cs="Calibri" w:eastAsia="Calibri" w:hAnsi="Calibri"/>
                <w:color w:val="666666"/>
                <w:sz w:val="17"/>
                <w:szCs w:val="17"/>
                <w:rtl w:val="0"/>
              </w:rPr>
              <w:t xml:space="preserve">Glaser &amp; Strauss (1967)</w:t>
            </w:r>
            <w:r w:rsidDel="00000000" w:rsidR="00000000" w:rsidRPr="00000000">
              <w:rPr>
                <w:rtl w:val="0"/>
              </w:rPr>
            </w:r>
          </w:p>
          <w:p w:rsidR="00000000" w:rsidDel="00000000" w:rsidP="00000000" w:rsidRDefault="00000000" w:rsidRPr="00000000" w14:paraId="00000057">
            <w:pPr>
              <w:spacing w:after="40" w:lineRule="auto"/>
              <w:rPr/>
            </w:pPr>
            <w:r w:rsidDel="00000000" w:rsidR="00000000" w:rsidRPr="00000000">
              <w:rPr>
                <w:rFonts w:ascii="Calibri" w:cs="Calibri" w:eastAsia="Calibri" w:hAnsi="Calibri"/>
                <w:color w:val="666666"/>
                <w:sz w:val="17"/>
                <w:szCs w:val="17"/>
                <w:rtl w:val="0"/>
              </w:rPr>
              <w:t xml:space="preserve">Corbin &amp; Strauss (1990)</w:t>
            </w:r>
            <w:r w:rsidDel="00000000" w:rsidR="00000000" w:rsidRPr="00000000">
              <w:rPr>
                <w:rtl w:val="0"/>
              </w:rPr>
            </w:r>
          </w:p>
          <w:p w:rsidR="00000000" w:rsidDel="00000000" w:rsidP="00000000" w:rsidRDefault="00000000" w:rsidRPr="00000000" w14:paraId="00000058">
            <w:pPr>
              <w:spacing w:after="0" w:lineRule="auto"/>
              <w:rPr/>
            </w:pPr>
            <w:r w:rsidDel="00000000" w:rsidR="00000000" w:rsidRPr="00000000">
              <w:rPr>
                <w:rFonts w:ascii="Calibri" w:cs="Calibri" w:eastAsia="Calibri" w:hAnsi="Calibri"/>
                <w:color w:val="666666"/>
                <w:sz w:val="17"/>
                <w:szCs w:val="17"/>
                <w:rtl w:val="0"/>
              </w:rPr>
              <w:t xml:space="preserve">Fusch &amp; Ness (2015)</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59">
            <w:pPr>
              <w:spacing w:after="0" w:lineRule="auto"/>
              <w:rPr/>
            </w:pPr>
            <w:r w:rsidDel="00000000" w:rsidR="00000000" w:rsidRPr="00000000">
              <w:rPr>
                <w:rFonts w:ascii="Calibri" w:cs="Calibri" w:eastAsia="Calibri" w:hAnsi="Calibri"/>
                <w:b w:val="1"/>
                <w:bCs w:val="1"/>
                <w:color w:val="111111"/>
                <w:sz w:val="18"/>
                <w:szCs w:val="18"/>
                <w:rtl w:val="0"/>
              </w:rPr>
              <w:t xml:space="preserve">Participant reactivity and social desirability bias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5A">
            <w:pPr>
              <w:spacing w:after="0" w:lineRule="auto"/>
              <w:rPr/>
            </w:pPr>
            <w:r w:rsidDel="00000000" w:rsidR="00000000" w:rsidRPr="00000000">
              <w:rPr>
                <w:rFonts w:ascii="Calibri" w:cs="Calibri" w:eastAsia="Calibri" w:hAnsi="Calibri"/>
                <w:color w:val="111111"/>
                <w:sz w:val="18"/>
                <w:szCs w:val="18"/>
                <w:rtl w:val="0"/>
              </w:rPr>
              <w:t xml:space="preserve">Participants may provide professionally acceptable answers rather than candid accounts. This is heightened where the researcher has institutional power, or where topics are sensitive.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5B">
            <w:pPr>
              <w:spacing w:after="40" w:lineRule="auto"/>
              <w:rPr/>
            </w:pPr>
            <w:r w:rsidDel="00000000" w:rsidR="00000000" w:rsidRPr="00000000">
              <w:rPr>
                <w:rFonts w:ascii="Calibri" w:cs="Calibri" w:eastAsia="Calibri" w:hAnsi="Calibri"/>
                <w:b w:val="1"/>
                <w:bCs w:val="1"/>
                <w:color w:val="1c2b4a"/>
                <w:sz w:val="18"/>
                <w:szCs w:val="18"/>
                <w:rtl w:val="0"/>
              </w:rPr>
              <w:t xml:space="preserve">All paradigms.</w:t>
            </w:r>
            <w:r w:rsidDel="00000000" w:rsidR="00000000" w:rsidRPr="00000000">
              <w:rPr>
                <w:rtl w:val="0"/>
              </w:rPr>
            </w:r>
          </w:p>
          <w:p w:rsidR="00000000" w:rsidDel="00000000" w:rsidP="00000000" w:rsidRDefault="00000000" w:rsidRPr="00000000" w14:paraId="0000005C">
            <w:pPr>
              <w:spacing w:after="0" w:lineRule="auto"/>
              <w:rPr/>
            </w:pPr>
            <w:r w:rsidDel="00000000" w:rsidR="00000000" w:rsidRPr="00000000">
              <w:rPr>
                <w:rFonts w:ascii="Calibri" w:cs="Calibri" w:eastAsia="Calibri" w:hAnsi="Calibri"/>
                <w:color w:val="111111"/>
                <w:sz w:val="18"/>
                <w:szCs w:val="18"/>
                <w:rtl w:val="0"/>
              </w:rPr>
              <w:t xml:space="preserve">In qualitative research this threatens </w:t>
            </w:r>
            <w:r w:rsidDel="00000000" w:rsidR="00000000" w:rsidRPr="00000000">
              <w:rPr>
                <w:rFonts w:ascii="Calibri" w:cs="Calibri" w:eastAsia="Calibri" w:hAnsi="Calibri"/>
                <w:b w:val="0"/>
                <w:bCs w:val="0"/>
                <w:color w:val="111111"/>
                <w:sz w:val="18"/>
                <w:szCs w:val="18"/>
                <w:rtl w:val="0"/>
              </w:rPr>
              <w:t xml:space="preserve">credibility and confirmability</w:t>
            </w:r>
            <w:r w:rsidDel="00000000" w:rsidR="00000000" w:rsidRPr="00000000">
              <w:rPr>
                <w:rFonts w:ascii="Calibri" w:cs="Calibri" w:eastAsia="Calibri" w:hAnsi="Calibri"/>
                <w:color w:val="111111"/>
                <w:sz w:val="18"/>
                <w:szCs w:val="18"/>
                <w:rtl w:val="0"/>
              </w:rPr>
              <w:t xml:space="preserve">. In quantitative research it is a construct validity concern.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5D">
            <w:pPr>
              <w:spacing w:after="60" w:lineRule="auto"/>
              <w:rPr/>
            </w:pPr>
            <w:r w:rsidDel="00000000" w:rsidR="00000000" w:rsidRPr="00000000">
              <w:rPr>
                <w:rFonts w:ascii="Calibri" w:cs="Calibri" w:eastAsia="Calibri" w:hAnsi="Calibri"/>
                <w:color w:val="111111"/>
                <w:sz w:val="18"/>
                <w:szCs w:val="18"/>
                <w:rtl w:val="0"/>
              </w:rPr>
              <w:t xml:space="preserve">Build rapport before data collection begins. Guarantee confidentiality and conduct interviews away from the workplace where possible.</w:t>
            </w:r>
            <w:r w:rsidDel="00000000" w:rsidR="00000000" w:rsidRPr="00000000">
              <w:rPr>
                <w:rtl w:val="0"/>
              </w:rPr>
            </w:r>
          </w:p>
          <w:p w:rsidR="00000000" w:rsidDel="00000000" w:rsidP="00000000" w:rsidRDefault="00000000" w:rsidRPr="00000000" w14:paraId="0000005E">
            <w:pPr>
              <w:spacing w:after="0" w:lineRule="auto"/>
              <w:rPr/>
            </w:pPr>
            <w:r w:rsidDel="00000000" w:rsidR="00000000" w:rsidRPr="00000000">
              <w:rPr>
                <w:rFonts w:ascii="Calibri" w:cs="Calibri" w:eastAsia="Calibri" w:hAnsi="Calibri"/>
                <w:color w:val="111111"/>
                <w:sz w:val="18"/>
                <w:szCs w:val="18"/>
                <w:rtl w:val="0"/>
              </w:rPr>
              <w:t xml:space="preserve">Use probing follow-up questions to move beyond rehearsed responses (Kvale, 1996). Document reactivity concerns in the reflexivity journal.</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5F">
            <w:pPr>
              <w:spacing w:after="0" w:lineRule="auto"/>
              <w:rPr/>
            </w:pPr>
            <w:r w:rsidDel="00000000" w:rsidR="00000000" w:rsidRPr="00000000">
              <w:rPr>
                <w:rFonts w:ascii="Calibri" w:cs="Calibri" w:eastAsia="Calibri" w:hAnsi="Calibri"/>
                <w:color w:val="111111"/>
                <w:sz w:val="18"/>
                <w:szCs w:val="18"/>
                <w:rtl w:val="0"/>
              </w:rPr>
              <w:t xml:space="preserve">Managers may underreport unethical business practices or organisational failings during interviews. A researcher's seniority or perceived connection to management may suppress candour further.</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60">
            <w:pPr>
              <w:spacing w:after="40" w:lineRule="auto"/>
              <w:rPr/>
            </w:pPr>
            <w:r w:rsidDel="00000000" w:rsidR="00000000" w:rsidRPr="00000000">
              <w:rPr>
                <w:rFonts w:ascii="Calibri" w:cs="Calibri" w:eastAsia="Calibri" w:hAnsi="Calibri"/>
                <w:color w:val="666666"/>
                <w:sz w:val="17"/>
                <w:szCs w:val="17"/>
                <w:rtl w:val="0"/>
              </w:rPr>
              <w:t xml:space="preserve">Kvale (1996)</w:t>
            </w:r>
            <w:r w:rsidDel="00000000" w:rsidR="00000000" w:rsidRPr="00000000">
              <w:rPr>
                <w:rtl w:val="0"/>
              </w:rPr>
            </w:r>
          </w:p>
          <w:p w:rsidR="00000000" w:rsidDel="00000000" w:rsidP="00000000" w:rsidRDefault="00000000" w:rsidRPr="00000000" w14:paraId="00000061">
            <w:pPr>
              <w:spacing w:after="40" w:lineRule="auto"/>
              <w:rPr/>
            </w:pPr>
            <w:r w:rsidDel="00000000" w:rsidR="00000000" w:rsidRPr="00000000">
              <w:rPr>
                <w:rFonts w:ascii="Calibri" w:cs="Calibri" w:eastAsia="Calibri" w:hAnsi="Calibri"/>
                <w:color w:val="666666"/>
                <w:sz w:val="17"/>
                <w:szCs w:val="17"/>
                <w:rtl w:val="0"/>
              </w:rPr>
              <w:t xml:space="preserve">Goffman (1959)</w:t>
            </w:r>
            <w:r w:rsidDel="00000000" w:rsidR="00000000" w:rsidRPr="00000000">
              <w:rPr>
                <w:rtl w:val="0"/>
              </w:rPr>
            </w:r>
          </w:p>
          <w:p w:rsidR="00000000" w:rsidDel="00000000" w:rsidP="00000000" w:rsidRDefault="00000000" w:rsidRPr="00000000" w14:paraId="00000062">
            <w:pPr>
              <w:spacing w:after="0" w:lineRule="auto"/>
              <w:rPr/>
            </w:pPr>
            <w:r w:rsidDel="00000000" w:rsidR="00000000" w:rsidRPr="00000000">
              <w:rPr>
                <w:rFonts w:ascii="Calibri" w:cs="Calibri" w:eastAsia="Calibri" w:hAnsi="Calibri"/>
                <w:color w:val="666666"/>
                <w:sz w:val="17"/>
                <w:szCs w:val="17"/>
                <w:rtl w:val="0"/>
              </w:rPr>
              <w:t xml:space="preserve">Denzin (1970)</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63">
            <w:pPr>
              <w:spacing w:after="0" w:lineRule="auto"/>
              <w:rPr/>
            </w:pPr>
            <w:r w:rsidDel="00000000" w:rsidR="00000000" w:rsidRPr="00000000">
              <w:rPr>
                <w:rFonts w:ascii="Calibri" w:cs="Calibri" w:eastAsia="Calibri" w:hAnsi="Calibri"/>
                <w:b w:val="1"/>
                <w:bCs w:val="1"/>
                <w:color w:val="111111"/>
                <w:sz w:val="18"/>
                <w:szCs w:val="18"/>
                <w:rtl w:val="0"/>
              </w:rPr>
              <w:t xml:space="preserve">Difficulties analysing large qualitative datasets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64">
            <w:pPr>
              <w:spacing w:after="0" w:lineRule="auto"/>
              <w:rPr/>
            </w:pPr>
            <w:r w:rsidDel="00000000" w:rsidR="00000000" w:rsidRPr="00000000">
              <w:rPr>
                <w:rFonts w:ascii="Calibri" w:cs="Calibri" w:eastAsia="Calibri" w:hAnsi="Calibri"/>
                <w:color w:val="111111"/>
                <w:sz w:val="18"/>
                <w:szCs w:val="18"/>
                <w:rtl w:val="0"/>
              </w:rPr>
              <w:t xml:space="preserve">Large volumes of textual data can become analytically overwhelming and reduce theoretical clarity. This is a particularly common risk in multi-site or multi-country DBA studies.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65">
            <w:pPr>
              <w:spacing w:after="40" w:lineRule="auto"/>
              <w:rPr/>
            </w:pPr>
            <w:r w:rsidDel="00000000" w:rsidR="00000000" w:rsidRPr="00000000">
              <w:rPr>
                <w:rFonts w:ascii="Calibri" w:cs="Calibri" w:eastAsia="Calibri" w:hAnsi="Calibri"/>
                <w:b w:val="1"/>
                <w:bCs w:val="1"/>
                <w:color w:val="1c2b4a"/>
                <w:sz w:val="18"/>
                <w:szCs w:val="18"/>
                <w:rtl w:val="0"/>
              </w:rPr>
              <w:t xml:space="preserve">Qualitative only.</w:t>
            </w:r>
            <w:r w:rsidDel="00000000" w:rsidR="00000000" w:rsidRPr="00000000">
              <w:rPr>
                <w:rtl w:val="0"/>
              </w:rPr>
            </w:r>
          </w:p>
          <w:p w:rsidR="00000000" w:rsidDel="00000000" w:rsidP="00000000" w:rsidRDefault="00000000" w:rsidRPr="00000000" w14:paraId="00000066">
            <w:pPr>
              <w:spacing w:after="0" w:lineRule="auto"/>
              <w:rPr/>
            </w:pPr>
            <w:r w:rsidDel="00000000" w:rsidR="00000000" w:rsidRPr="00000000">
              <w:rPr>
                <w:rFonts w:ascii="Calibri" w:cs="Calibri" w:eastAsia="Calibri" w:hAnsi="Calibri"/>
                <w:color w:val="111111"/>
                <w:sz w:val="18"/>
                <w:szCs w:val="18"/>
                <w:rtl w:val="0"/>
              </w:rPr>
              <w:t xml:space="preserve">Analytical fragmentation threatens both </w:t>
            </w:r>
            <w:r w:rsidDel="00000000" w:rsidR="00000000" w:rsidRPr="00000000">
              <w:rPr>
                <w:rFonts w:ascii="Calibri" w:cs="Calibri" w:eastAsia="Calibri" w:hAnsi="Calibri"/>
                <w:b w:val="0"/>
                <w:bCs w:val="0"/>
                <w:color w:val="111111"/>
                <w:sz w:val="18"/>
                <w:szCs w:val="18"/>
                <w:rtl w:val="0"/>
              </w:rPr>
              <w:t xml:space="preserve">credibility</w:t>
            </w:r>
            <w:r w:rsidDel="00000000" w:rsidR="00000000" w:rsidRPr="00000000">
              <w:rPr>
                <w:rFonts w:ascii="Calibri" w:cs="Calibri" w:eastAsia="Calibri" w:hAnsi="Calibri"/>
                <w:color w:val="111111"/>
                <w:sz w:val="18"/>
                <w:szCs w:val="18"/>
                <w:rtl w:val="0"/>
              </w:rPr>
              <w:t xml:space="preserve"> and </w:t>
            </w:r>
            <w:r w:rsidDel="00000000" w:rsidR="00000000" w:rsidRPr="00000000">
              <w:rPr>
                <w:rFonts w:ascii="Calibri" w:cs="Calibri" w:eastAsia="Calibri" w:hAnsi="Calibri"/>
                <w:b w:val="0"/>
                <w:bCs w:val="0"/>
                <w:color w:val="111111"/>
                <w:sz w:val="18"/>
                <w:szCs w:val="18"/>
                <w:rtl w:val="0"/>
              </w:rPr>
              <w:t xml:space="preserve">dependability</w:t>
            </w:r>
            <w:r w:rsidDel="00000000" w:rsidR="00000000" w:rsidRPr="00000000">
              <w:rPr>
                <w:rFonts w:ascii="Calibri" w:cs="Calibri" w:eastAsia="Calibri" w:hAnsi="Calibri"/>
                <w:color w:val="111111"/>
                <w:sz w:val="18"/>
                <w:szCs w:val="18"/>
                <w:rtl w:val="0"/>
              </w:rPr>
              <w:t xml:space="preserve">. A clear coding framework and analytical framework are essential.</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67">
            <w:pPr>
              <w:spacing w:after="60" w:lineRule="auto"/>
              <w:rPr/>
            </w:pPr>
            <w:r w:rsidDel="00000000" w:rsidR="00000000" w:rsidRPr="00000000">
              <w:rPr>
                <w:rFonts w:ascii="Calibri" w:cs="Calibri" w:eastAsia="Calibri" w:hAnsi="Calibri"/>
                <w:color w:val="111111"/>
                <w:sz w:val="18"/>
                <w:szCs w:val="18"/>
                <w:rtl w:val="0"/>
              </w:rPr>
              <w:t xml:space="preserve">Develop coding hierarchies and focused research questions before data collection begins. Use thematic frameworks to maintain analytical structure (Braun &amp; Clarke, 2006).</w:t>
            </w:r>
            <w:r w:rsidDel="00000000" w:rsidR="00000000" w:rsidRPr="00000000">
              <w:rPr>
                <w:rtl w:val="0"/>
              </w:rPr>
            </w:r>
          </w:p>
          <w:p w:rsidR="00000000" w:rsidDel="00000000" w:rsidP="00000000" w:rsidRDefault="00000000" w:rsidRPr="00000000" w14:paraId="00000068">
            <w:pPr>
              <w:spacing w:after="0" w:lineRule="auto"/>
              <w:rPr/>
            </w:pPr>
            <w:r w:rsidDel="00000000" w:rsidR="00000000" w:rsidRPr="00000000">
              <w:rPr>
                <w:rFonts w:ascii="Calibri" w:cs="Calibri" w:eastAsia="Calibri" w:hAnsi="Calibri"/>
                <w:color w:val="111111"/>
                <w:sz w:val="18"/>
                <w:szCs w:val="18"/>
                <w:rtl w:val="0"/>
              </w:rPr>
              <w:t xml:space="preserve">Use NVivo or equivalent software to manage and organise data. Maintain analytical memos throughout (Miles &amp; Huberman, 1994).</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69">
            <w:pPr>
              <w:spacing w:after="0" w:lineRule="auto"/>
              <w:rPr/>
            </w:pPr>
            <w:r w:rsidDel="00000000" w:rsidR="00000000" w:rsidRPr="00000000">
              <w:rPr>
                <w:rFonts w:ascii="Calibri" w:cs="Calibri" w:eastAsia="Calibri" w:hAnsi="Calibri"/>
                <w:color w:val="111111"/>
                <w:sz w:val="18"/>
                <w:szCs w:val="18"/>
                <w:rtl w:val="0"/>
              </w:rPr>
              <w:t xml:space="preserve">A multi-country study of digital transformation across five organisations may generate hundreds of transcript pages. Without a clear coding framework and focused research questions, analytical coherence becomes very difficult to maintain.</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6A">
            <w:pPr>
              <w:spacing w:after="40" w:lineRule="auto"/>
              <w:rPr/>
            </w:pPr>
            <w:r w:rsidDel="00000000" w:rsidR="00000000" w:rsidRPr="00000000">
              <w:rPr>
                <w:rFonts w:ascii="Calibri" w:cs="Calibri" w:eastAsia="Calibri" w:hAnsi="Calibri"/>
                <w:color w:val="666666"/>
                <w:sz w:val="17"/>
                <w:szCs w:val="17"/>
                <w:rtl w:val="0"/>
              </w:rPr>
              <w:t xml:space="preserve">Braun &amp; Clarke (2006)</w:t>
            </w:r>
            <w:r w:rsidDel="00000000" w:rsidR="00000000" w:rsidRPr="00000000">
              <w:rPr>
                <w:rtl w:val="0"/>
              </w:rPr>
            </w:r>
          </w:p>
          <w:p w:rsidR="00000000" w:rsidDel="00000000" w:rsidP="00000000" w:rsidRDefault="00000000" w:rsidRPr="00000000" w14:paraId="0000006B">
            <w:pPr>
              <w:spacing w:after="40" w:lineRule="auto"/>
              <w:rPr/>
            </w:pPr>
            <w:r w:rsidDel="00000000" w:rsidR="00000000" w:rsidRPr="00000000">
              <w:rPr>
                <w:rFonts w:ascii="Calibri" w:cs="Calibri" w:eastAsia="Calibri" w:hAnsi="Calibri"/>
                <w:color w:val="666666"/>
                <w:sz w:val="17"/>
                <w:szCs w:val="17"/>
                <w:rtl w:val="0"/>
              </w:rPr>
              <w:t xml:space="preserve">Miles &amp; Huberman (1994)</w:t>
            </w:r>
            <w:r w:rsidDel="00000000" w:rsidR="00000000" w:rsidRPr="00000000">
              <w:rPr>
                <w:rtl w:val="0"/>
              </w:rPr>
            </w:r>
          </w:p>
          <w:p w:rsidR="00000000" w:rsidDel="00000000" w:rsidP="00000000" w:rsidRDefault="00000000" w:rsidRPr="00000000" w14:paraId="0000006C">
            <w:pPr>
              <w:spacing w:after="0" w:lineRule="auto"/>
              <w:rPr/>
            </w:pPr>
            <w:r w:rsidDel="00000000" w:rsidR="00000000" w:rsidRPr="00000000">
              <w:rPr>
                <w:rFonts w:ascii="Calibri" w:cs="Calibri" w:eastAsia="Calibri" w:hAnsi="Calibri"/>
                <w:color w:val="666666"/>
                <w:sz w:val="17"/>
                <w:szCs w:val="17"/>
                <w:rtl w:val="0"/>
              </w:rPr>
              <w:t xml:space="preserve">Saldaña (2021)</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6D">
            <w:pPr>
              <w:spacing w:after="0" w:lineRule="auto"/>
              <w:rPr/>
            </w:pPr>
            <w:r w:rsidDel="00000000" w:rsidR="00000000" w:rsidRPr="00000000">
              <w:rPr>
                <w:rFonts w:ascii="Calibri" w:cs="Calibri" w:eastAsia="Calibri" w:hAnsi="Calibri"/>
                <w:b w:val="1"/>
                <w:bCs w:val="1"/>
                <w:color w:val="111111"/>
                <w:sz w:val="18"/>
                <w:szCs w:val="18"/>
                <w:rtl w:val="0"/>
              </w:rPr>
              <w:t xml:space="preserve">Cross-cultural interpretation challenges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6E">
            <w:pPr>
              <w:spacing w:after="0" w:lineRule="auto"/>
              <w:rPr/>
            </w:pPr>
            <w:r w:rsidDel="00000000" w:rsidR="00000000" w:rsidRPr="00000000">
              <w:rPr>
                <w:rFonts w:ascii="Calibri" w:cs="Calibri" w:eastAsia="Calibri" w:hAnsi="Calibri"/>
                <w:color w:val="111111"/>
                <w:sz w:val="18"/>
                <w:szCs w:val="18"/>
                <w:rtl w:val="0"/>
              </w:rPr>
              <w:t xml:space="preserve">Meanings, behaviours and managerial concepts differ across cultures. Applying Western theoretical frameworks or interview protocols to non-Western contexts without adaptation is a significant methodological risk.</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6F">
            <w:pPr>
              <w:spacing w:after="40" w:lineRule="auto"/>
              <w:rPr/>
            </w:pPr>
            <w:r w:rsidDel="00000000" w:rsidR="00000000" w:rsidRPr="00000000">
              <w:rPr>
                <w:rFonts w:ascii="Calibri" w:cs="Calibri" w:eastAsia="Calibri" w:hAnsi="Calibri"/>
                <w:b w:val="1"/>
                <w:bCs w:val="1"/>
                <w:color w:val="1c2b4a"/>
                <w:sz w:val="18"/>
                <w:szCs w:val="18"/>
                <w:rtl w:val="0"/>
              </w:rPr>
              <w:t xml:space="preserve">All paradigms.</w:t>
            </w:r>
            <w:r w:rsidDel="00000000" w:rsidR="00000000" w:rsidRPr="00000000">
              <w:rPr>
                <w:rtl w:val="0"/>
              </w:rPr>
            </w:r>
          </w:p>
          <w:p w:rsidR="00000000" w:rsidDel="00000000" w:rsidP="00000000" w:rsidRDefault="00000000" w:rsidRPr="00000000" w14:paraId="00000070">
            <w:pPr>
              <w:spacing w:after="0" w:lineRule="auto"/>
              <w:rPr/>
            </w:pPr>
            <w:r w:rsidDel="00000000" w:rsidR="00000000" w:rsidRPr="00000000">
              <w:rPr>
                <w:rFonts w:ascii="Calibri" w:cs="Calibri" w:eastAsia="Calibri" w:hAnsi="Calibri"/>
                <w:color w:val="111111"/>
                <w:sz w:val="18"/>
                <w:szCs w:val="18"/>
                <w:rtl w:val="0"/>
              </w:rPr>
              <w:t xml:space="preserve">Particularly acute for qualitative research where meaning-making is central. In quantitative work, measurement equivalence and construct validity across cultures must be explicitly tested.</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71">
            <w:pPr>
              <w:spacing w:after="60" w:lineRule="auto"/>
              <w:rPr/>
            </w:pPr>
            <w:r w:rsidDel="00000000" w:rsidR="00000000" w:rsidRPr="00000000">
              <w:rPr>
                <w:rFonts w:ascii="Calibri" w:cs="Calibri" w:eastAsia="Calibri" w:hAnsi="Calibri"/>
                <w:color w:val="111111"/>
                <w:sz w:val="18"/>
                <w:szCs w:val="18"/>
                <w:rtl w:val="0"/>
              </w:rPr>
              <w:t xml:space="preserve">Use culturally sensitive interview protocols developed with cultural advisers where appropriate. Validate translations back-to-back where interviews are conducted in a second language.</w:t>
            </w:r>
            <w:r w:rsidDel="00000000" w:rsidR="00000000" w:rsidRPr="00000000">
              <w:rPr>
                <w:rtl w:val="0"/>
              </w:rPr>
            </w:r>
          </w:p>
          <w:p w:rsidR="00000000" w:rsidDel="00000000" w:rsidP="00000000" w:rsidRDefault="00000000" w:rsidRPr="00000000" w14:paraId="00000072">
            <w:pPr>
              <w:spacing w:after="0" w:lineRule="auto"/>
              <w:rPr/>
            </w:pPr>
            <w:r w:rsidDel="00000000" w:rsidR="00000000" w:rsidRPr="00000000">
              <w:rPr>
                <w:rFonts w:ascii="Calibri" w:cs="Calibri" w:eastAsia="Calibri" w:hAnsi="Calibri"/>
                <w:color w:val="111111"/>
                <w:sz w:val="18"/>
                <w:szCs w:val="18"/>
                <w:rtl w:val="0"/>
              </w:rPr>
              <w:t xml:space="preserve">Acknowledge the cultural situatedness of your theoretical framework explicitly. Avoid assuming Western constructs travel without adaptation (Hofstede, 1991).</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73">
            <w:pPr>
              <w:spacing w:after="0" w:lineRule="auto"/>
              <w:rPr/>
            </w:pPr>
            <w:r w:rsidDel="00000000" w:rsidR="00000000" w:rsidRPr="00000000">
              <w:rPr>
                <w:rFonts w:ascii="Calibri" w:cs="Calibri" w:eastAsia="Calibri" w:hAnsi="Calibri"/>
                <w:color w:val="111111"/>
                <w:sz w:val="18"/>
                <w:szCs w:val="18"/>
                <w:rtl w:val="0"/>
              </w:rPr>
              <w:t xml:space="preserve">Chinese employees may interpret 'leadership empowerment' differently from UK employees. A researcher applying a Western empowerment scale or interview framework without cultural adaptation risks construct misrepresentation throughout the study.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ffffff" w:val="clear"/>
            <w:tcMar>
              <w:top w:w="80.0" w:type="dxa"/>
              <w:left w:w="100.0" w:type="dxa"/>
              <w:bottom w:w="80.0" w:type="dxa"/>
              <w:right w:w="100.0" w:type="dxa"/>
            </w:tcMar>
          </w:tcPr>
          <w:p w:rsidR="00000000" w:rsidDel="00000000" w:rsidP="00000000" w:rsidRDefault="00000000" w:rsidRPr="00000000" w14:paraId="00000074">
            <w:pPr>
              <w:spacing w:after="40" w:lineRule="auto"/>
              <w:rPr/>
            </w:pPr>
            <w:r w:rsidDel="00000000" w:rsidR="00000000" w:rsidRPr="00000000">
              <w:rPr>
                <w:rFonts w:ascii="Calibri" w:cs="Calibri" w:eastAsia="Calibri" w:hAnsi="Calibri"/>
                <w:color w:val="666666"/>
                <w:sz w:val="17"/>
                <w:szCs w:val="17"/>
                <w:rtl w:val="0"/>
              </w:rPr>
              <w:t xml:space="preserve">Hofstede (1991)</w:t>
            </w:r>
            <w:r w:rsidDel="00000000" w:rsidR="00000000" w:rsidRPr="00000000">
              <w:rPr>
                <w:rtl w:val="0"/>
              </w:rPr>
            </w:r>
          </w:p>
          <w:p w:rsidR="00000000" w:rsidDel="00000000" w:rsidP="00000000" w:rsidRDefault="00000000" w:rsidRPr="00000000" w14:paraId="00000075">
            <w:pPr>
              <w:spacing w:after="0" w:lineRule="auto"/>
              <w:rPr/>
            </w:pPr>
            <w:r w:rsidDel="00000000" w:rsidR="00000000" w:rsidRPr="00000000">
              <w:rPr>
                <w:rFonts w:ascii="Calibri" w:cs="Calibri" w:eastAsia="Calibri" w:hAnsi="Calibri"/>
                <w:color w:val="666666"/>
                <w:sz w:val="17"/>
                <w:szCs w:val="17"/>
                <w:rtl w:val="0"/>
              </w:rPr>
              <w:t xml:space="preserve">Patton (1990)</w:t>
            </w:r>
            <w:r w:rsidDel="00000000" w:rsidR="00000000" w:rsidRPr="00000000">
              <w:rPr>
                <w:rtl w:val="0"/>
              </w:rPr>
            </w:r>
          </w:p>
        </w:tc>
      </w:tr>
      <w:tr>
        <w:trPr>
          <w:cantSplit w:val="0"/>
          <w:tblHeader w:val="0"/>
        </w:trPr>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76">
            <w:pPr>
              <w:spacing w:after="0" w:lineRule="auto"/>
              <w:rPr/>
            </w:pPr>
            <w:r w:rsidDel="00000000" w:rsidR="00000000" w:rsidRPr="00000000">
              <w:rPr>
                <w:rFonts w:ascii="Calibri" w:cs="Calibri" w:eastAsia="Calibri" w:hAnsi="Calibri"/>
                <w:b w:val="1"/>
                <w:bCs w:val="1"/>
                <w:color w:val="111111"/>
                <w:sz w:val="18"/>
                <w:szCs w:val="18"/>
                <w:rtl w:val="0"/>
              </w:rPr>
              <w:t xml:space="preserve">Difficulty demonstrating causality</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77">
            <w:pPr>
              <w:spacing w:after="0" w:lineRule="auto"/>
              <w:rPr/>
            </w:pPr>
            <w:r w:rsidDel="00000000" w:rsidR="00000000" w:rsidRPr="00000000">
              <w:rPr>
                <w:rFonts w:ascii="Calibri" w:cs="Calibri" w:eastAsia="Calibri" w:hAnsi="Calibri"/>
                <w:color w:val="111111"/>
                <w:sz w:val="18"/>
                <w:szCs w:val="18"/>
                <w:rtl w:val="0"/>
              </w:rPr>
              <w:t xml:space="preserve">Qualitative research excels at understanding processes, meanings and mechanisms — not at proving causal relationships in the statistical sense. Claiming causality from qualitative data is a common and serious methodological error.</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78">
            <w:pPr>
              <w:spacing w:after="40" w:lineRule="auto"/>
              <w:rPr/>
            </w:pPr>
            <w:r w:rsidDel="00000000" w:rsidR="00000000" w:rsidRPr="00000000">
              <w:rPr>
                <w:rFonts w:ascii="Calibri" w:cs="Calibri" w:eastAsia="Calibri" w:hAnsi="Calibri"/>
                <w:b w:val="1"/>
                <w:bCs w:val="1"/>
                <w:color w:val="1c2b4a"/>
                <w:sz w:val="18"/>
                <w:szCs w:val="18"/>
                <w:rtl w:val="0"/>
              </w:rPr>
              <w:t xml:space="preserve">Qualitative only.</w:t>
            </w:r>
            <w:r w:rsidDel="00000000" w:rsidR="00000000" w:rsidRPr="00000000">
              <w:rPr>
                <w:rtl w:val="0"/>
              </w:rPr>
            </w:r>
          </w:p>
          <w:p w:rsidR="00000000" w:rsidDel="00000000" w:rsidP="00000000" w:rsidRDefault="00000000" w:rsidRPr="00000000" w14:paraId="00000079">
            <w:pPr>
              <w:spacing w:after="0" w:lineRule="auto"/>
              <w:rPr/>
            </w:pPr>
            <w:r w:rsidDel="00000000" w:rsidR="00000000" w:rsidRPr="00000000">
              <w:rPr>
                <w:rFonts w:ascii="Calibri" w:cs="Calibri" w:eastAsia="Calibri" w:hAnsi="Calibri"/>
                <w:color w:val="111111"/>
                <w:sz w:val="18"/>
                <w:szCs w:val="18"/>
                <w:rtl w:val="0"/>
              </w:rPr>
              <w:t xml:space="preserve">Causality is a positivist aspiration. In qualitative research the appropriate language is: perceived influences, contributing factors, mechanisms, processes — not cause and effect.</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7A">
            <w:pPr>
              <w:spacing w:after="60" w:lineRule="auto"/>
              <w:rPr/>
            </w:pPr>
            <w:r w:rsidDel="00000000" w:rsidR="00000000" w:rsidRPr="00000000">
              <w:rPr>
                <w:rFonts w:ascii="Calibri" w:cs="Calibri" w:eastAsia="Calibri" w:hAnsi="Calibri"/>
                <w:color w:val="111111"/>
                <w:sz w:val="18"/>
                <w:szCs w:val="18"/>
                <w:rtl w:val="0"/>
              </w:rPr>
              <w:t xml:space="preserve">Frame all findings as interpretive, exploratory and contextual rather than deterministic. Use language that reflects the epistemological position — 'participants perceived', 'the data suggest', 'a contributing factor'.</w:t>
            </w:r>
            <w:r w:rsidDel="00000000" w:rsidR="00000000" w:rsidRPr="00000000">
              <w:rPr>
                <w:rtl w:val="0"/>
              </w:rPr>
            </w:r>
          </w:p>
          <w:p w:rsidR="00000000" w:rsidDel="00000000" w:rsidP="00000000" w:rsidRDefault="00000000" w:rsidRPr="00000000" w14:paraId="0000007B">
            <w:pPr>
              <w:spacing w:after="0" w:lineRule="auto"/>
              <w:rPr/>
            </w:pPr>
            <w:r w:rsidDel="00000000" w:rsidR="00000000" w:rsidRPr="00000000">
              <w:rPr>
                <w:rFonts w:ascii="Calibri" w:cs="Calibri" w:eastAsia="Calibri" w:hAnsi="Calibri"/>
                <w:color w:val="111111"/>
                <w:sz w:val="18"/>
                <w:szCs w:val="18"/>
                <w:rtl w:val="0"/>
              </w:rPr>
              <w:t xml:space="preserve">Use Yin's (2014) analytical generalisation framework to extend findings to theoretical propositions rather than causal claims.</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7C">
            <w:pPr>
              <w:spacing w:after="0" w:lineRule="auto"/>
              <w:rPr/>
            </w:pPr>
            <w:r w:rsidDel="00000000" w:rsidR="00000000" w:rsidRPr="00000000">
              <w:rPr>
                <w:rFonts w:ascii="Calibri" w:cs="Calibri" w:eastAsia="Calibri" w:hAnsi="Calibri"/>
                <w:color w:val="111111"/>
                <w:sz w:val="18"/>
                <w:szCs w:val="18"/>
                <w:rtl w:val="0"/>
              </w:rPr>
              <w:t xml:space="preserve">A qualitative study on employee wellbeing may identify leadership style as a perceived influence on engagement — but cannot statistically prove causation. Framing this correctly protects the study from a fundamental viva challenge.</w:t>
            </w:r>
            <w:r w:rsidDel="00000000" w:rsidR="00000000" w:rsidRPr="00000000">
              <w:rPr>
                <w:rtl w:val="0"/>
              </w:rPr>
            </w:r>
          </w:p>
        </w:tc>
        <w:tc>
          <w:tcPr>
            <w:tcBorders>
              <w:top w:color="bbbbbb" w:space="0" w:sz="4" w:val="single"/>
              <w:left w:color="bbbbbb" w:space="0" w:sz="4" w:val="single"/>
              <w:bottom w:color="bbbbbb" w:space="0" w:sz="4" w:val="single"/>
              <w:right w:color="bbbbbb" w:space="0" w:sz="4" w:val="single"/>
            </w:tcBorders>
            <w:shd w:fill="eef3f8" w:val="clear"/>
            <w:tcMar>
              <w:top w:w="80.0" w:type="dxa"/>
              <w:left w:w="100.0" w:type="dxa"/>
              <w:bottom w:w="80.0" w:type="dxa"/>
              <w:right w:w="100.0" w:type="dxa"/>
            </w:tcMar>
          </w:tcPr>
          <w:p w:rsidR="00000000" w:rsidDel="00000000" w:rsidP="00000000" w:rsidRDefault="00000000" w:rsidRPr="00000000" w14:paraId="0000007D">
            <w:pPr>
              <w:spacing w:after="40" w:lineRule="auto"/>
              <w:rPr/>
            </w:pPr>
            <w:r w:rsidDel="00000000" w:rsidR="00000000" w:rsidRPr="00000000">
              <w:rPr>
                <w:rFonts w:ascii="Calibri" w:cs="Calibri" w:eastAsia="Calibri" w:hAnsi="Calibri"/>
                <w:color w:val="666666"/>
                <w:sz w:val="17"/>
                <w:szCs w:val="17"/>
                <w:rtl w:val="0"/>
              </w:rPr>
              <w:t xml:space="preserve">Yin (2014)</w:t>
            </w:r>
            <w:r w:rsidDel="00000000" w:rsidR="00000000" w:rsidRPr="00000000">
              <w:rPr>
                <w:rtl w:val="0"/>
              </w:rPr>
            </w:r>
          </w:p>
          <w:p w:rsidR="00000000" w:rsidDel="00000000" w:rsidP="00000000" w:rsidRDefault="00000000" w:rsidRPr="00000000" w14:paraId="0000007E">
            <w:pPr>
              <w:spacing w:after="40" w:lineRule="auto"/>
              <w:rPr/>
            </w:pPr>
            <w:r w:rsidDel="00000000" w:rsidR="00000000" w:rsidRPr="00000000">
              <w:rPr>
                <w:rFonts w:ascii="Calibri" w:cs="Calibri" w:eastAsia="Calibri" w:hAnsi="Calibri"/>
                <w:color w:val="666666"/>
                <w:sz w:val="17"/>
                <w:szCs w:val="17"/>
                <w:rtl w:val="0"/>
              </w:rPr>
              <w:t xml:space="preserve">Lincoln &amp; Guba (1985)</w:t>
            </w:r>
            <w:r w:rsidDel="00000000" w:rsidR="00000000" w:rsidRPr="00000000">
              <w:rPr>
                <w:rtl w:val="0"/>
              </w:rPr>
            </w:r>
          </w:p>
          <w:p w:rsidR="00000000" w:rsidDel="00000000" w:rsidP="00000000" w:rsidRDefault="00000000" w:rsidRPr="00000000" w14:paraId="0000007F">
            <w:pPr>
              <w:spacing w:after="0" w:lineRule="auto"/>
              <w:rPr/>
            </w:pPr>
            <w:r w:rsidDel="00000000" w:rsidR="00000000" w:rsidRPr="00000000">
              <w:rPr>
                <w:rFonts w:ascii="Calibri" w:cs="Calibri" w:eastAsia="Calibri" w:hAnsi="Calibri"/>
                <w:color w:val="666666"/>
                <w:sz w:val="17"/>
                <w:szCs w:val="17"/>
                <w:rtl w:val="0"/>
              </w:rPr>
              <w:t xml:space="preserve">Corbin &amp; Strauss (1990)</w:t>
            </w:r>
            <w:r w:rsidDel="00000000" w:rsidR="00000000" w:rsidRPr="00000000">
              <w:rPr>
                <w:rtl w:val="0"/>
              </w:rPr>
            </w:r>
          </w:p>
        </w:tc>
      </w:tr>
    </w:tbl>
    <w:p w:rsidR="00000000" w:rsidDel="00000000" w:rsidP="00000000" w:rsidRDefault="00000000" w:rsidRPr="00000000" w14:paraId="00000080">
      <w:pPr>
        <w:spacing w:after="0" w:before="0" w:lineRule="auto"/>
        <w:rPr/>
      </w:pPr>
      <w:r w:rsidDel="00000000" w:rsidR="00000000" w:rsidRPr="00000000">
        <w:br w:type="page"/>
      </w:r>
      <w:r w:rsidDel="00000000" w:rsidR="00000000" w:rsidRPr="00000000">
        <w:rPr>
          <w:rtl w:val="0"/>
        </w:rPr>
      </w:r>
    </w:p>
    <w:p w:rsidR="00000000" w:rsidDel="00000000" w:rsidP="00000000" w:rsidRDefault="00000000" w:rsidRPr="00000000" w14:paraId="00000081">
      <w:pPr>
        <w:pBdr>
          <w:bottom w:color="c9a84c" w:space="4" w:sz="4" w:val="single"/>
        </w:pBdr>
        <w:spacing w:after="160" w:before="240" w:lineRule="auto"/>
        <w:rPr/>
      </w:pPr>
      <w:r w:rsidDel="00000000" w:rsidR="00000000" w:rsidRPr="00000000">
        <w:rPr>
          <w:rFonts w:ascii="Calibri" w:cs="Calibri" w:eastAsia="Calibri" w:hAnsi="Calibri"/>
          <w:b w:val="1"/>
          <w:bCs w:val="1"/>
          <w:color w:val="1c2b4a"/>
          <w:sz w:val="32"/>
          <w:szCs w:val="32"/>
          <w:rtl w:val="0"/>
        </w:rPr>
        <w:t xml:space="preserve">Reference List (APA 7th Edition)</w:t>
      </w:r>
      <w:r w:rsidDel="00000000" w:rsidR="00000000" w:rsidRPr="00000000">
        <w:rPr>
          <w:rtl w:val="0"/>
        </w:rPr>
      </w:r>
    </w:p>
    <w:p w:rsidR="00000000" w:rsidDel="00000000" w:rsidP="00000000" w:rsidRDefault="00000000" w:rsidRPr="00000000" w14:paraId="00000082">
      <w:pPr>
        <w:spacing w:after="160" w:lineRule="auto"/>
        <w:rPr/>
      </w:pPr>
      <w:r w:rsidDel="00000000" w:rsidR="00000000" w:rsidRPr="00000000">
        <w:rPr>
          <w:rFonts w:ascii="Calibri" w:cs="Calibri" w:eastAsia="Calibri" w:hAnsi="Calibri"/>
          <w:color w:val="666666"/>
          <w:sz w:val="19"/>
          <w:szCs w:val="19"/>
          <w:rtl w:val="0"/>
        </w:rPr>
        <w:t xml:space="preserve">All sources cited in the table above are listed below in full APA 7th edition format. Note: Saunders, Lewis &amp; Thornhill (Research Methods for Business Students) is an undergraduate-level text and has been excluded from this doctoral reference table as it is not appropriate for citation in DBA methodology chapters.</w:t>
      </w:r>
      <w:r w:rsidDel="00000000" w:rsidR="00000000" w:rsidRPr="00000000">
        <w:rPr>
          <w:rtl w:val="0"/>
        </w:rPr>
      </w:r>
    </w:p>
    <w:p w:rsidR="00000000" w:rsidDel="00000000" w:rsidP="00000000" w:rsidRDefault="00000000" w:rsidRPr="00000000" w14:paraId="00000083">
      <w:pPr>
        <w:spacing w:after="100" w:lineRule="auto"/>
        <w:ind w:left="480" w:hanging="480"/>
        <w:rPr/>
      </w:pPr>
      <w:r w:rsidDel="00000000" w:rsidR="00000000" w:rsidRPr="00000000">
        <w:rPr>
          <w:rFonts w:ascii="Calibri" w:cs="Calibri" w:eastAsia="Calibri" w:hAnsi="Calibri"/>
          <w:color w:val="111111"/>
          <w:sz w:val="20"/>
          <w:szCs w:val="20"/>
          <w:rtl w:val="0"/>
        </w:rPr>
        <w:t xml:space="preserve">Aguinis, H. &amp; Solarino, A.M. (2019). Transparency and replicability in qualitative research: The case of interviews with elite informants. Strategic Management Journal, 40(8), 1291–1315.</w:t>
      </w:r>
      <w:r w:rsidDel="00000000" w:rsidR="00000000" w:rsidRPr="00000000">
        <w:rPr>
          <w:rtl w:val="0"/>
        </w:rPr>
      </w:r>
    </w:p>
    <w:p w:rsidR="00000000" w:rsidDel="00000000" w:rsidP="00000000" w:rsidRDefault="00000000" w:rsidRPr="00000000" w14:paraId="00000084">
      <w:pPr>
        <w:spacing w:after="100" w:lineRule="auto"/>
        <w:ind w:left="480" w:hanging="480"/>
        <w:rPr/>
      </w:pPr>
      <w:r w:rsidDel="00000000" w:rsidR="00000000" w:rsidRPr="00000000">
        <w:rPr>
          <w:rFonts w:ascii="Calibri" w:cs="Calibri" w:eastAsia="Calibri" w:hAnsi="Calibri"/>
          <w:color w:val="111111"/>
          <w:sz w:val="20"/>
          <w:szCs w:val="20"/>
          <w:rtl w:val="0"/>
        </w:rPr>
        <w:t xml:space="preserve">Braun, V. &amp; Clarke, V. (2006). Using thematic analysis in psychology. Qualitative Research in Psychology, 3(2), 77–101. https://doi.org/10.1191/1478088706qp063oa</w:t>
      </w:r>
      <w:r w:rsidDel="00000000" w:rsidR="00000000" w:rsidRPr="00000000">
        <w:rPr>
          <w:rtl w:val="0"/>
        </w:rPr>
      </w:r>
    </w:p>
    <w:p w:rsidR="00000000" w:rsidDel="00000000" w:rsidP="00000000" w:rsidRDefault="00000000" w:rsidRPr="00000000" w14:paraId="00000085">
      <w:pPr>
        <w:spacing w:after="100" w:lineRule="auto"/>
        <w:ind w:left="480" w:hanging="480"/>
        <w:rPr/>
      </w:pPr>
      <w:r w:rsidDel="00000000" w:rsidR="00000000" w:rsidRPr="00000000">
        <w:rPr>
          <w:rFonts w:ascii="Calibri" w:cs="Calibri" w:eastAsia="Calibri" w:hAnsi="Calibri"/>
          <w:color w:val="111111"/>
          <w:sz w:val="20"/>
          <w:szCs w:val="20"/>
          <w:rtl w:val="0"/>
        </w:rPr>
        <w:t xml:space="preserve">British Academy of Management. (2024). Code of ethics and research guidance. https://www.bam.ac.uk</w:t>
      </w:r>
      <w:r w:rsidDel="00000000" w:rsidR="00000000" w:rsidRPr="00000000">
        <w:rPr>
          <w:rtl w:val="0"/>
        </w:rPr>
      </w:r>
    </w:p>
    <w:p w:rsidR="00000000" w:rsidDel="00000000" w:rsidP="00000000" w:rsidRDefault="00000000" w:rsidRPr="00000000" w14:paraId="00000086">
      <w:pPr>
        <w:spacing w:after="100" w:lineRule="auto"/>
        <w:ind w:left="480" w:hanging="480"/>
        <w:rPr/>
      </w:pPr>
      <w:r w:rsidDel="00000000" w:rsidR="00000000" w:rsidRPr="00000000">
        <w:rPr>
          <w:rFonts w:ascii="Calibri" w:cs="Calibri" w:eastAsia="Calibri" w:hAnsi="Calibri"/>
          <w:color w:val="111111"/>
          <w:sz w:val="20"/>
          <w:szCs w:val="20"/>
          <w:rtl w:val="0"/>
        </w:rPr>
        <w:t xml:space="preserve">Corbin, J. &amp; Strauss, A. (1990). Basics of qualitative research: Grounded theory procedures and techniques. Sage.</w:t>
      </w:r>
      <w:r w:rsidDel="00000000" w:rsidR="00000000" w:rsidRPr="00000000">
        <w:rPr>
          <w:rtl w:val="0"/>
        </w:rPr>
      </w:r>
    </w:p>
    <w:p w:rsidR="00000000" w:rsidDel="00000000" w:rsidP="00000000" w:rsidRDefault="00000000" w:rsidRPr="00000000" w14:paraId="00000087">
      <w:pPr>
        <w:spacing w:after="100" w:lineRule="auto"/>
        <w:ind w:left="480" w:hanging="480"/>
        <w:rPr/>
      </w:pPr>
      <w:r w:rsidDel="00000000" w:rsidR="00000000" w:rsidRPr="00000000">
        <w:rPr>
          <w:rFonts w:ascii="Calibri" w:cs="Calibri" w:eastAsia="Calibri" w:hAnsi="Calibri"/>
          <w:color w:val="111111"/>
          <w:sz w:val="20"/>
          <w:szCs w:val="20"/>
          <w:rtl w:val="0"/>
        </w:rPr>
        <w:t xml:space="preserve">Creswell, J.W. (1998). Qualitative inquiry and research design: Choosing among five traditions. Sage.</w:t>
      </w:r>
      <w:r w:rsidDel="00000000" w:rsidR="00000000" w:rsidRPr="00000000">
        <w:rPr>
          <w:rtl w:val="0"/>
        </w:rPr>
      </w:r>
    </w:p>
    <w:p w:rsidR="00000000" w:rsidDel="00000000" w:rsidP="00000000" w:rsidRDefault="00000000" w:rsidRPr="00000000" w14:paraId="00000088">
      <w:pPr>
        <w:spacing w:after="100" w:lineRule="auto"/>
        <w:ind w:left="480" w:hanging="480"/>
        <w:rPr/>
      </w:pPr>
      <w:r w:rsidDel="00000000" w:rsidR="00000000" w:rsidRPr="00000000">
        <w:rPr>
          <w:rFonts w:ascii="Calibri" w:cs="Calibri" w:eastAsia="Calibri" w:hAnsi="Calibri"/>
          <w:color w:val="111111"/>
          <w:sz w:val="20"/>
          <w:szCs w:val="20"/>
          <w:rtl w:val="0"/>
        </w:rPr>
        <w:t xml:space="preserve">Denzin, N.K. (1970). The research act: A theoretical introduction to sociological methods. Aldine.</w:t>
      </w:r>
      <w:r w:rsidDel="00000000" w:rsidR="00000000" w:rsidRPr="00000000">
        <w:rPr>
          <w:rtl w:val="0"/>
        </w:rPr>
      </w:r>
    </w:p>
    <w:p w:rsidR="00000000" w:rsidDel="00000000" w:rsidP="00000000" w:rsidRDefault="00000000" w:rsidRPr="00000000" w14:paraId="00000089">
      <w:pPr>
        <w:spacing w:after="100" w:lineRule="auto"/>
        <w:ind w:left="480" w:hanging="480"/>
        <w:rPr/>
      </w:pPr>
      <w:r w:rsidDel="00000000" w:rsidR="00000000" w:rsidRPr="00000000">
        <w:rPr>
          <w:rFonts w:ascii="Calibri" w:cs="Calibri" w:eastAsia="Calibri" w:hAnsi="Calibri"/>
          <w:color w:val="111111"/>
          <w:sz w:val="20"/>
          <w:szCs w:val="20"/>
          <w:rtl w:val="0"/>
        </w:rPr>
        <w:t xml:space="preserve">Fusch, P.I. &amp; Ness, L.R. (2015). Are we there yet? Data saturation in qualitative research. The Qualitative Report, 20(9), 1408–1416.</w:t>
      </w:r>
      <w:r w:rsidDel="00000000" w:rsidR="00000000" w:rsidRPr="00000000">
        <w:rPr>
          <w:rtl w:val="0"/>
        </w:rPr>
      </w:r>
    </w:p>
    <w:p w:rsidR="00000000" w:rsidDel="00000000" w:rsidP="00000000" w:rsidRDefault="00000000" w:rsidRPr="00000000" w14:paraId="0000008A">
      <w:pPr>
        <w:spacing w:after="100" w:lineRule="auto"/>
        <w:ind w:left="480" w:hanging="480"/>
        <w:rPr/>
      </w:pPr>
      <w:r w:rsidDel="00000000" w:rsidR="00000000" w:rsidRPr="00000000">
        <w:rPr>
          <w:rFonts w:ascii="Calibri" w:cs="Calibri" w:eastAsia="Calibri" w:hAnsi="Calibri"/>
          <w:color w:val="111111"/>
          <w:sz w:val="20"/>
          <w:szCs w:val="20"/>
          <w:rtl w:val="0"/>
        </w:rPr>
        <w:t xml:space="preserve">Glaser, B.G. &amp; Strauss, A.L. (1967). The discovery of grounded theory: Strategies for qualitative research. Aldine.</w:t>
      </w:r>
      <w:r w:rsidDel="00000000" w:rsidR="00000000" w:rsidRPr="00000000">
        <w:rPr>
          <w:rtl w:val="0"/>
        </w:rPr>
      </w:r>
    </w:p>
    <w:p w:rsidR="00000000" w:rsidDel="00000000" w:rsidP="00000000" w:rsidRDefault="00000000" w:rsidRPr="00000000" w14:paraId="0000008B">
      <w:pPr>
        <w:spacing w:after="100" w:lineRule="auto"/>
        <w:ind w:left="480" w:hanging="480"/>
        <w:rPr/>
      </w:pPr>
      <w:r w:rsidDel="00000000" w:rsidR="00000000" w:rsidRPr="00000000">
        <w:rPr>
          <w:rFonts w:ascii="Calibri" w:cs="Calibri" w:eastAsia="Calibri" w:hAnsi="Calibri"/>
          <w:color w:val="111111"/>
          <w:sz w:val="20"/>
          <w:szCs w:val="20"/>
          <w:rtl w:val="0"/>
        </w:rPr>
        <w:t xml:space="preserve">Goffman, E. (1959). The presentation of self in everyday life. Doubleday.</w:t>
      </w:r>
      <w:r w:rsidDel="00000000" w:rsidR="00000000" w:rsidRPr="00000000">
        <w:rPr>
          <w:rtl w:val="0"/>
        </w:rPr>
      </w:r>
    </w:p>
    <w:p w:rsidR="00000000" w:rsidDel="00000000" w:rsidP="00000000" w:rsidRDefault="00000000" w:rsidRPr="00000000" w14:paraId="0000008C">
      <w:pPr>
        <w:spacing w:after="100" w:lineRule="auto"/>
        <w:ind w:left="480" w:hanging="480"/>
        <w:rPr/>
      </w:pPr>
      <w:r w:rsidDel="00000000" w:rsidR="00000000" w:rsidRPr="00000000">
        <w:rPr>
          <w:rFonts w:ascii="Calibri" w:cs="Calibri" w:eastAsia="Calibri" w:hAnsi="Calibri"/>
          <w:color w:val="111111"/>
          <w:sz w:val="20"/>
          <w:szCs w:val="20"/>
          <w:rtl w:val="0"/>
        </w:rPr>
        <w:t xml:space="preserve">Hofstede, G. (1991). Cultures and organizations: Software of the mind. McGraw-Hill.</w:t>
      </w:r>
      <w:r w:rsidDel="00000000" w:rsidR="00000000" w:rsidRPr="00000000">
        <w:rPr>
          <w:rtl w:val="0"/>
        </w:rPr>
      </w:r>
    </w:p>
    <w:p w:rsidR="00000000" w:rsidDel="00000000" w:rsidP="00000000" w:rsidRDefault="00000000" w:rsidRPr="00000000" w14:paraId="0000008D">
      <w:pPr>
        <w:spacing w:after="100" w:lineRule="auto"/>
        <w:ind w:left="480" w:hanging="480"/>
        <w:rPr/>
      </w:pPr>
      <w:r w:rsidDel="00000000" w:rsidR="00000000" w:rsidRPr="00000000">
        <w:rPr>
          <w:rFonts w:ascii="Calibri" w:cs="Calibri" w:eastAsia="Calibri" w:hAnsi="Calibri"/>
          <w:color w:val="111111"/>
          <w:sz w:val="20"/>
          <w:szCs w:val="20"/>
          <w:rtl w:val="0"/>
        </w:rPr>
        <w:t xml:space="preserve">Kvale, S. (1996). InterViews: An introduction to qualitative research interviewing. Sage.</w:t>
      </w:r>
      <w:r w:rsidDel="00000000" w:rsidR="00000000" w:rsidRPr="00000000">
        <w:rPr>
          <w:rtl w:val="0"/>
        </w:rPr>
      </w:r>
    </w:p>
    <w:p w:rsidR="00000000" w:rsidDel="00000000" w:rsidP="00000000" w:rsidRDefault="00000000" w:rsidRPr="00000000" w14:paraId="0000008E">
      <w:pPr>
        <w:spacing w:after="100" w:lineRule="auto"/>
        <w:ind w:left="480" w:hanging="480"/>
        <w:rPr/>
      </w:pPr>
      <w:r w:rsidDel="00000000" w:rsidR="00000000" w:rsidRPr="00000000">
        <w:rPr>
          <w:rFonts w:ascii="Calibri" w:cs="Calibri" w:eastAsia="Calibri" w:hAnsi="Calibri"/>
          <w:color w:val="111111"/>
          <w:sz w:val="20"/>
          <w:szCs w:val="20"/>
          <w:rtl w:val="0"/>
        </w:rPr>
        <w:t xml:space="preserve">Lincoln, Y.S. &amp; Guba, E.G. (1985). Naturalistic inquiry. Sage.</w:t>
      </w:r>
      <w:r w:rsidDel="00000000" w:rsidR="00000000" w:rsidRPr="00000000">
        <w:rPr>
          <w:rtl w:val="0"/>
        </w:rPr>
      </w:r>
    </w:p>
    <w:p w:rsidR="00000000" w:rsidDel="00000000" w:rsidP="00000000" w:rsidRDefault="00000000" w:rsidRPr="00000000" w14:paraId="0000008F">
      <w:pPr>
        <w:spacing w:after="100" w:lineRule="auto"/>
        <w:ind w:left="480" w:hanging="480"/>
        <w:rPr/>
      </w:pPr>
      <w:r w:rsidDel="00000000" w:rsidR="00000000" w:rsidRPr="00000000">
        <w:rPr>
          <w:rFonts w:ascii="Calibri" w:cs="Calibri" w:eastAsia="Calibri" w:hAnsi="Calibri"/>
          <w:color w:val="111111"/>
          <w:sz w:val="20"/>
          <w:szCs w:val="20"/>
          <w:rtl w:val="0"/>
        </w:rPr>
        <w:t xml:space="preserve">Miles, M.B. &amp; Huberman, A.M. (1994). Qualitative data analysis: An expanded sourcebook (2nd ed.). Sage.</w:t>
      </w:r>
      <w:r w:rsidDel="00000000" w:rsidR="00000000" w:rsidRPr="00000000">
        <w:rPr>
          <w:rtl w:val="0"/>
        </w:rPr>
      </w:r>
    </w:p>
    <w:p w:rsidR="00000000" w:rsidDel="00000000" w:rsidP="00000000" w:rsidRDefault="00000000" w:rsidRPr="00000000" w14:paraId="00000090">
      <w:pPr>
        <w:spacing w:after="100" w:lineRule="auto"/>
        <w:ind w:left="480" w:hanging="480"/>
        <w:rPr/>
      </w:pPr>
      <w:r w:rsidDel="00000000" w:rsidR="00000000" w:rsidRPr="00000000">
        <w:rPr>
          <w:rFonts w:ascii="Calibri" w:cs="Calibri" w:eastAsia="Calibri" w:hAnsi="Calibri"/>
          <w:color w:val="111111"/>
          <w:sz w:val="20"/>
          <w:szCs w:val="20"/>
          <w:rtl w:val="0"/>
        </w:rPr>
        <w:t xml:space="preserve">Patton, M.Q. (1990). Qualitative evaluation and research methods (2nd ed.). Sage.</w:t>
      </w:r>
      <w:r w:rsidDel="00000000" w:rsidR="00000000" w:rsidRPr="00000000">
        <w:rPr>
          <w:rtl w:val="0"/>
        </w:rPr>
      </w:r>
    </w:p>
    <w:p w:rsidR="00000000" w:rsidDel="00000000" w:rsidP="00000000" w:rsidRDefault="00000000" w:rsidRPr="00000000" w14:paraId="00000091">
      <w:pPr>
        <w:spacing w:after="100" w:lineRule="auto"/>
        <w:ind w:left="480" w:hanging="480"/>
        <w:rPr/>
      </w:pPr>
      <w:r w:rsidDel="00000000" w:rsidR="00000000" w:rsidRPr="00000000">
        <w:rPr>
          <w:rFonts w:ascii="Calibri" w:cs="Calibri" w:eastAsia="Calibri" w:hAnsi="Calibri"/>
          <w:color w:val="111111"/>
          <w:sz w:val="20"/>
          <w:szCs w:val="20"/>
          <w:rtl w:val="0"/>
        </w:rPr>
        <w:t xml:space="preserve">Saldaña, J. (2021). The coding manual for qualitative researchers (4th ed.). Sage.</w:t>
      </w:r>
      <w:r w:rsidDel="00000000" w:rsidR="00000000" w:rsidRPr="00000000">
        <w:rPr>
          <w:rtl w:val="0"/>
        </w:rPr>
      </w:r>
    </w:p>
    <w:p w:rsidR="00000000" w:rsidDel="00000000" w:rsidP="00000000" w:rsidRDefault="00000000" w:rsidRPr="00000000" w14:paraId="00000092">
      <w:pPr>
        <w:spacing w:after="100" w:lineRule="auto"/>
        <w:ind w:left="480" w:hanging="480"/>
        <w:rPr/>
      </w:pPr>
      <w:r w:rsidDel="00000000" w:rsidR="00000000" w:rsidRPr="00000000">
        <w:rPr>
          <w:rFonts w:ascii="Calibri" w:cs="Calibri" w:eastAsia="Calibri" w:hAnsi="Calibri"/>
          <w:color w:val="111111"/>
          <w:sz w:val="20"/>
          <w:szCs w:val="20"/>
          <w:rtl w:val="0"/>
        </w:rPr>
        <w:t xml:space="preserve">Silverman, D. (2008). Doing qualitative research (2nd ed.). Sage.</w:t>
      </w:r>
      <w:r w:rsidDel="00000000" w:rsidR="00000000" w:rsidRPr="00000000">
        <w:rPr>
          <w:rtl w:val="0"/>
        </w:rPr>
      </w:r>
    </w:p>
    <w:p w:rsidR="00000000" w:rsidDel="00000000" w:rsidP="00000000" w:rsidRDefault="00000000" w:rsidRPr="00000000" w14:paraId="00000093">
      <w:pPr>
        <w:spacing w:after="100" w:lineRule="auto"/>
        <w:ind w:left="480" w:hanging="480"/>
        <w:rPr/>
      </w:pPr>
      <w:r w:rsidDel="00000000" w:rsidR="00000000" w:rsidRPr="00000000">
        <w:rPr>
          <w:rFonts w:ascii="Calibri" w:cs="Calibri" w:eastAsia="Calibri" w:hAnsi="Calibri"/>
          <w:color w:val="111111"/>
          <w:sz w:val="20"/>
          <w:szCs w:val="20"/>
          <w:rtl w:val="0"/>
        </w:rPr>
        <w:t xml:space="preserve">Yin, R.K. (2014). Case study research: Design and methods (5th ed.). Sage.</w:t>
      </w:r>
      <w:r w:rsidDel="00000000" w:rsidR="00000000" w:rsidRPr="00000000">
        <w:rPr>
          <w:rtl w:val="0"/>
        </w:rPr>
      </w:r>
    </w:p>
    <w:sectPr>
      <w:headerReference r:id="rId6" w:type="default"/>
      <w:footerReference r:id="rId7" w:type="default"/>
      <w:pgSz w:h="11906" w:w="16838" w:orient="landscape"/>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5">
    <w:pPr>
      <w:pBdr>
        <w:top w:color="c9a84c" w:space="2" w:sz="4" w:val="single"/>
      </w:pBdr>
      <w:spacing w:before="60" w:lineRule="auto"/>
      <w:jc w:val="center"/>
      <w:rPr/>
    </w:pPr>
    <w:r w:rsidDel="00000000" w:rsidR="00000000" w:rsidRPr="00000000">
      <w:rPr>
        <w:rFonts w:ascii="Calibri" w:cs="Calibri" w:eastAsia="Calibri" w:hAnsi="Calibri"/>
        <w:color w:val="666666"/>
        <w:sz w:val="16"/>
        <w:szCs w:val="16"/>
        <w:rtl w:val="0"/>
      </w:rPr>
      <w:t xml:space="preserve">Dr Caroline Jawad  ·  University of Wales Trinity Saint David  ·  Page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4">
    <w:pPr>
      <w:pBdr>
        <w:bottom w:color="c9a84c" w:space="2" w:sz="4" w:val="single"/>
      </w:pBdr>
      <w:spacing w:after="60" w:lineRule="auto"/>
      <w:rPr/>
    </w:pPr>
    <w:r w:rsidDel="00000000" w:rsidR="00000000" w:rsidRPr="00000000">
      <w:rPr>
        <w:rFonts w:ascii="Calibri" w:cs="Calibri" w:eastAsia="Calibri" w:hAnsi="Calibri"/>
        <w:color w:val="666666"/>
        <w:sz w:val="16"/>
        <w:szCs w:val="16"/>
        <w:rtl w:val="0"/>
      </w:rPr>
      <w:t xml:space="preserve">LCDB7007  ·  Research Principles and Philosophy  ·  Limitations in Qualitative Business &amp; Management Research</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1"/>
      <w:iCs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