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A0E63" w14:textId="77777777" w:rsidR="00B807AD" w:rsidRDefault="00B807AD" w:rsidP="00B807AD">
      <w:pPr>
        <w:jc w:val="center"/>
        <w:rPr>
          <w:b/>
          <w:bCs/>
          <w:sz w:val="24"/>
          <w:szCs w:val="24"/>
        </w:rPr>
      </w:pPr>
    </w:p>
    <w:p w14:paraId="2DE5B7DE" w14:textId="77777777" w:rsidR="00B807AD" w:rsidRDefault="00B807AD" w:rsidP="00B807AD">
      <w:pPr>
        <w:jc w:val="center"/>
        <w:rPr>
          <w:b/>
          <w:bCs/>
          <w:sz w:val="24"/>
          <w:szCs w:val="24"/>
        </w:rPr>
      </w:pPr>
    </w:p>
    <w:p w14:paraId="7D730616" w14:textId="77777777" w:rsidR="00B807AD" w:rsidRDefault="00B807AD" w:rsidP="00B807AD">
      <w:pPr>
        <w:jc w:val="center"/>
        <w:rPr>
          <w:b/>
          <w:bCs/>
          <w:sz w:val="24"/>
          <w:szCs w:val="24"/>
        </w:rPr>
      </w:pPr>
    </w:p>
    <w:p w14:paraId="41DA2CE8" w14:textId="77777777" w:rsidR="00B807AD" w:rsidRDefault="00B807AD" w:rsidP="00B807AD">
      <w:pPr>
        <w:jc w:val="center"/>
        <w:rPr>
          <w:b/>
          <w:bCs/>
          <w:sz w:val="24"/>
          <w:szCs w:val="24"/>
        </w:rPr>
      </w:pPr>
    </w:p>
    <w:p w14:paraId="26B19369" w14:textId="77777777" w:rsidR="00B807AD" w:rsidRDefault="00B807AD" w:rsidP="00B807AD">
      <w:pPr>
        <w:jc w:val="center"/>
        <w:rPr>
          <w:b/>
          <w:bCs/>
          <w:sz w:val="24"/>
          <w:szCs w:val="24"/>
        </w:rPr>
      </w:pPr>
    </w:p>
    <w:p w14:paraId="58DD15C8" w14:textId="77777777" w:rsidR="00B807AD" w:rsidRDefault="00B807AD" w:rsidP="00B807AD">
      <w:pPr>
        <w:jc w:val="center"/>
        <w:rPr>
          <w:b/>
          <w:bCs/>
          <w:sz w:val="24"/>
          <w:szCs w:val="24"/>
        </w:rPr>
      </w:pPr>
    </w:p>
    <w:p w14:paraId="7E553C47" w14:textId="77777777" w:rsidR="00B807AD" w:rsidRDefault="00B807AD" w:rsidP="00B807AD">
      <w:pPr>
        <w:jc w:val="center"/>
        <w:rPr>
          <w:b/>
          <w:bCs/>
          <w:sz w:val="24"/>
          <w:szCs w:val="24"/>
        </w:rPr>
      </w:pPr>
    </w:p>
    <w:p w14:paraId="5883AC2D" w14:textId="77777777" w:rsidR="00B807AD" w:rsidRDefault="00B807AD" w:rsidP="00B807AD">
      <w:pPr>
        <w:jc w:val="center"/>
        <w:rPr>
          <w:b/>
          <w:bCs/>
          <w:sz w:val="24"/>
          <w:szCs w:val="24"/>
        </w:rPr>
      </w:pPr>
    </w:p>
    <w:p w14:paraId="658A4B4D" w14:textId="77777777" w:rsidR="00B807AD" w:rsidRDefault="00B807AD" w:rsidP="00B807AD">
      <w:pPr>
        <w:jc w:val="center"/>
        <w:rPr>
          <w:b/>
          <w:bCs/>
          <w:sz w:val="24"/>
          <w:szCs w:val="24"/>
        </w:rPr>
      </w:pPr>
    </w:p>
    <w:p w14:paraId="5ECF7C22" w14:textId="77777777" w:rsidR="00B807AD" w:rsidRDefault="00B807AD" w:rsidP="00B807AD">
      <w:pPr>
        <w:jc w:val="center"/>
        <w:rPr>
          <w:b/>
          <w:bCs/>
          <w:sz w:val="24"/>
          <w:szCs w:val="24"/>
        </w:rPr>
      </w:pPr>
    </w:p>
    <w:p w14:paraId="009BDFD1" w14:textId="77777777" w:rsidR="00B807AD" w:rsidRDefault="00B807AD" w:rsidP="00B807AD">
      <w:pPr>
        <w:jc w:val="center"/>
        <w:rPr>
          <w:b/>
          <w:bCs/>
          <w:sz w:val="24"/>
          <w:szCs w:val="24"/>
        </w:rPr>
      </w:pPr>
    </w:p>
    <w:p w14:paraId="310B499B" w14:textId="58D9FA38" w:rsidR="00FF0F83" w:rsidRPr="00B807AD" w:rsidRDefault="00B807AD" w:rsidP="00B807AD">
      <w:pPr>
        <w:jc w:val="center"/>
        <w:rPr>
          <w:b/>
          <w:bCs/>
          <w:sz w:val="24"/>
          <w:szCs w:val="24"/>
          <w:lang w:val="fr-FR"/>
        </w:rPr>
      </w:pPr>
      <w:r w:rsidRPr="00B807AD">
        <w:rPr>
          <w:b/>
          <w:bCs/>
          <w:sz w:val="24"/>
          <w:szCs w:val="24"/>
          <w:lang w:val="fr-FR"/>
        </w:rPr>
        <w:t>Module Code: LCBB4002</w:t>
      </w:r>
    </w:p>
    <w:p w14:paraId="355F0C37" w14:textId="6ED3A157" w:rsidR="00B807AD" w:rsidRPr="00B807AD" w:rsidRDefault="00B807AD" w:rsidP="00B807AD">
      <w:pPr>
        <w:jc w:val="center"/>
        <w:rPr>
          <w:b/>
          <w:bCs/>
          <w:sz w:val="24"/>
          <w:szCs w:val="24"/>
          <w:lang w:val="fr-FR"/>
        </w:rPr>
      </w:pPr>
      <w:r w:rsidRPr="00B807AD">
        <w:rPr>
          <w:b/>
          <w:bCs/>
          <w:sz w:val="24"/>
          <w:szCs w:val="24"/>
          <w:lang w:val="fr-FR"/>
        </w:rPr>
        <w:t>Module: Community Engagement</w:t>
      </w:r>
    </w:p>
    <w:p w14:paraId="5529F69B" w14:textId="47E1810A" w:rsidR="00B807AD" w:rsidRPr="00B807AD" w:rsidRDefault="00B807AD" w:rsidP="00B807AD">
      <w:pPr>
        <w:jc w:val="center"/>
        <w:rPr>
          <w:b/>
          <w:bCs/>
          <w:sz w:val="24"/>
          <w:szCs w:val="24"/>
        </w:rPr>
      </w:pPr>
      <w:r w:rsidRPr="00B807AD">
        <w:rPr>
          <w:b/>
          <w:bCs/>
          <w:sz w:val="24"/>
          <w:szCs w:val="24"/>
        </w:rPr>
        <w:t>Lecturer: Efua Adams</w:t>
      </w:r>
    </w:p>
    <w:p w14:paraId="09FED30F" w14:textId="31202EFB" w:rsidR="00B807AD" w:rsidRPr="00B807AD" w:rsidRDefault="00B807AD" w:rsidP="00B807AD">
      <w:pPr>
        <w:jc w:val="center"/>
        <w:rPr>
          <w:b/>
          <w:bCs/>
          <w:sz w:val="24"/>
          <w:szCs w:val="24"/>
        </w:rPr>
      </w:pPr>
      <w:r w:rsidRPr="00B807AD">
        <w:rPr>
          <w:b/>
          <w:bCs/>
          <w:sz w:val="24"/>
          <w:szCs w:val="24"/>
        </w:rPr>
        <w:t>Student Name: Lavinia Adriana Mandache</w:t>
      </w:r>
    </w:p>
    <w:p w14:paraId="2B18EC82" w14:textId="02DD0110" w:rsidR="00B807AD" w:rsidRPr="00B807AD" w:rsidRDefault="00B807AD" w:rsidP="00B807AD">
      <w:pPr>
        <w:jc w:val="center"/>
        <w:rPr>
          <w:b/>
          <w:bCs/>
          <w:sz w:val="24"/>
          <w:szCs w:val="24"/>
        </w:rPr>
      </w:pPr>
      <w:r w:rsidRPr="00B807AD">
        <w:rPr>
          <w:b/>
          <w:bCs/>
          <w:sz w:val="24"/>
          <w:szCs w:val="24"/>
        </w:rPr>
        <w:t>Student ID: 2243640</w:t>
      </w:r>
    </w:p>
    <w:p w14:paraId="58166954" w14:textId="77777777" w:rsidR="00B807AD" w:rsidRDefault="00B807AD" w:rsidP="00B807AD">
      <w:pPr>
        <w:jc w:val="center"/>
        <w:rPr>
          <w:b/>
          <w:bCs/>
          <w:sz w:val="24"/>
          <w:szCs w:val="24"/>
        </w:rPr>
      </w:pPr>
    </w:p>
    <w:p w14:paraId="6EFA6A53" w14:textId="77777777" w:rsidR="00B807AD" w:rsidRDefault="00B807AD" w:rsidP="00B807AD">
      <w:pPr>
        <w:jc w:val="center"/>
        <w:rPr>
          <w:b/>
          <w:bCs/>
          <w:sz w:val="24"/>
          <w:szCs w:val="24"/>
        </w:rPr>
      </w:pPr>
    </w:p>
    <w:p w14:paraId="5241E588" w14:textId="77777777" w:rsidR="00B807AD" w:rsidRDefault="00B807AD" w:rsidP="00B807AD">
      <w:pPr>
        <w:jc w:val="center"/>
        <w:rPr>
          <w:b/>
          <w:bCs/>
          <w:sz w:val="24"/>
          <w:szCs w:val="24"/>
        </w:rPr>
      </w:pPr>
    </w:p>
    <w:p w14:paraId="7A512EB9" w14:textId="77777777" w:rsidR="00B807AD" w:rsidRDefault="00B807AD" w:rsidP="00B807AD">
      <w:pPr>
        <w:jc w:val="center"/>
        <w:rPr>
          <w:b/>
          <w:bCs/>
          <w:sz w:val="24"/>
          <w:szCs w:val="24"/>
        </w:rPr>
      </w:pPr>
    </w:p>
    <w:p w14:paraId="4BB5677C" w14:textId="77777777" w:rsidR="00B807AD" w:rsidRDefault="00B807AD" w:rsidP="00B807AD">
      <w:pPr>
        <w:jc w:val="center"/>
        <w:rPr>
          <w:b/>
          <w:bCs/>
          <w:sz w:val="24"/>
          <w:szCs w:val="24"/>
        </w:rPr>
      </w:pPr>
    </w:p>
    <w:p w14:paraId="5804C406" w14:textId="77777777" w:rsidR="00B807AD" w:rsidRDefault="00B807AD" w:rsidP="00B807AD">
      <w:pPr>
        <w:jc w:val="center"/>
        <w:rPr>
          <w:b/>
          <w:bCs/>
          <w:sz w:val="24"/>
          <w:szCs w:val="24"/>
        </w:rPr>
      </w:pPr>
    </w:p>
    <w:p w14:paraId="5674102F" w14:textId="77777777" w:rsidR="00B807AD" w:rsidRDefault="00B807AD" w:rsidP="00B807AD">
      <w:pPr>
        <w:jc w:val="center"/>
        <w:rPr>
          <w:b/>
          <w:bCs/>
          <w:sz w:val="24"/>
          <w:szCs w:val="24"/>
        </w:rPr>
      </w:pPr>
    </w:p>
    <w:p w14:paraId="698DC002" w14:textId="77777777" w:rsidR="00B807AD" w:rsidRDefault="00B807AD" w:rsidP="00B807AD">
      <w:pPr>
        <w:jc w:val="center"/>
        <w:rPr>
          <w:b/>
          <w:bCs/>
          <w:sz w:val="24"/>
          <w:szCs w:val="24"/>
        </w:rPr>
      </w:pPr>
    </w:p>
    <w:p w14:paraId="2E9840CD" w14:textId="77777777" w:rsidR="00B807AD" w:rsidRDefault="00B807AD" w:rsidP="00B807AD">
      <w:pPr>
        <w:jc w:val="center"/>
        <w:rPr>
          <w:b/>
          <w:bCs/>
          <w:sz w:val="24"/>
          <w:szCs w:val="24"/>
        </w:rPr>
      </w:pPr>
    </w:p>
    <w:p w14:paraId="29B74E89" w14:textId="77777777" w:rsidR="00B807AD" w:rsidRDefault="00B807AD" w:rsidP="00B807AD">
      <w:pPr>
        <w:jc w:val="center"/>
        <w:rPr>
          <w:b/>
          <w:bCs/>
          <w:sz w:val="24"/>
          <w:szCs w:val="24"/>
        </w:rPr>
      </w:pPr>
    </w:p>
    <w:p w14:paraId="304F82D0" w14:textId="77777777" w:rsidR="00B807AD" w:rsidRDefault="00B807AD" w:rsidP="00B807AD">
      <w:pPr>
        <w:jc w:val="center"/>
        <w:rPr>
          <w:b/>
          <w:bCs/>
          <w:sz w:val="24"/>
          <w:szCs w:val="24"/>
        </w:rPr>
      </w:pPr>
    </w:p>
    <w:p w14:paraId="2136AFFD" w14:textId="77777777" w:rsidR="00B807AD" w:rsidRDefault="00B807AD" w:rsidP="00B807AD">
      <w:pPr>
        <w:jc w:val="center"/>
        <w:rPr>
          <w:b/>
          <w:bCs/>
          <w:sz w:val="24"/>
          <w:szCs w:val="24"/>
        </w:rPr>
      </w:pPr>
    </w:p>
    <w:p w14:paraId="0A72C409" w14:textId="77777777" w:rsidR="0093432F" w:rsidRDefault="0093432F" w:rsidP="00B807AD">
      <w:pPr>
        <w:jc w:val="center"/>
        <w:rPr>
          <w:b/>
          <w:bCs/>
          <w:sz w:val="24"/>
          <w:szCs w:val="24"/>
        </w:rPr>
      </w:pPr>
    </w:p>
    <w:p w14:paraId="18DA5E5D" w14:textId="0943D5EE" w:rsidR="00B807AD" w:rsidRDefault="00B807AD" w:rsidP="00B807AD">
      <w:pPr>
        <w:jc w:val="center"/>
        <w:rPr>
          <w:b/>
          <w:bCs/>
          <w:sz w:val="24"/>
          <w:szCs w:val="24"/>
        </w:rPr>
      </w:pPr>
      <w:r>
        <w:rPr>
          <w:b/>
          <w:bCs/>
          <w:sz w:val="24"/>
          <w:szCs w:val="24"/>
        </w:rPr>
        <w:lastRenderedPageBreak/>
        <w:t>Table of Content</w:t>
      </w:r>
    </w:p>
    <w:p w14:paraId="7393D448" w14:textId="77777777" w:rsidR="0093432F" w:rsidRDefault="0093432F" w:rsidP="00B807AD">
      <w:pPr>
        <w:jc w:val="center"/>
        <w:rPr>
          <w:b/>
          <w:bCs/>
          <w:sz w:val="24"/>
          <w:szCs w:val="24"/>
        </w:rPr>
      </w:pPr>
    </w:p>
    <w:p w14:paraId="16600131" w14:textId="128B8708" w:rsidR="00B807AD" w:rsidRPr="0093432F" w:rsidRDefault="00B807AD" w:rsidP="0093432F">
      <w:pPr>
        <w:pStyle w:val="ListParagraph"/>
        <w:numPr>
          <w:ilvl w:val="0"/>
          <w:numId w:val="1"/>
        </w:numPr>
        <w:rPr>
          <w:b/>
          <w:bCs/>
        </w:rPr>
      </w:pPr>
      <w:r w:rsidRPr="0093432F">
        <w:rPr>
          <w:b/>
          <w:bCs/>
        </w:rPr>
        <w:t>Introduction</w:t>
      </w:r>
    </w:p>
    <w:p w14:paraId="65381935" w14:textId="7178238A" w:rsidR="00B807AD" w:rsidRDefault="00B807AD" w:rsidP="0093432F">
      <w:pPr>
        <w:pStyle w:val="ListParagraph"/>
        <w:numPr>
          <w:ilvl w:val="0"/>
          <w:numId w:val="1"/>
        </w:numPr>
        <w:rPr>
          <w:b/>
          <w:bCs/>
        </w:rPr>
      </w:pPr>
      <w:r w:rsidRPr="0093432F">
        <w:rPr>
          <w:b/>
          <w:bCs/>
        </w:rPr>
        <w:t xml:space="preserve">Community project </w:t>
      </w:r>
    </w:p>
    <w:p w14:paraId="02830F52" w14:textId="607B22A2" w:rsidR="00E56136" w:rsidRDefault="00E56136" w:rsidP="0093432F">
      <w:pPr>
        <w:pStyle w:val="ListParagraph"/>
        <w:numPr>
          <w:ilvl w:val="0"/>
          <w:numId w:val="1"/>
        </w:numPr>
        <w:rPr>
          <w:b/>
          <w:bCs/>
        </w:rPr>
      </w:pPr>
      <w:r>
        <w:rPr>
          <w:b/>
          <w:bCs/>
        </w:rPr>
        <w:t xml:space="preserve">Community engagement models </w:t>
      </w:r>
    </w:p>
    <w:p w14:paraId="05C07536" w14:textId="59A52018" w:rsidR="00E56136" w:rsidRDefault="00E56136" w:rsidP="0093432F">
      <w:pPr>
        <w:pStyle w:val="ListParagraph"/>
        <w:numPr>
          <w:ilvl w:val="0"/>
          <w:numId w:val="1"/>
        </w:numPr>
        <w:rPr>
          <w:b/>
          <w:bCs/>
        </w:rPr>
      </w:pPr>
      <w:r w:rsidRPr="00E56136">
        <w:rPr>
          <w:b/>
          <w:bCs/>
        </w:rPr>
        <w:t>Tools and Platforms used in the Project</w:t>
      </w:r>
    </w:p>
    <w:p w14:paraId="7E80B052" w14:textId="6B4CE269" w:rsidR="00E56136" w:rsidRPr="00E56136" w:rsidRDefault="00E56136" w:rsidP="00E56136">
      <w:pPr>
        <w:pStyle w:val="ListParagraph"/>
        <w:numPr>
          <w:ilvl w:val="0"/>
          <w:numId w:val="1"/>
        </w:numPr>
        <w:rPr>
          <w:b/>
          <w:bCs/>
        </w:rPr>
      </w:pPr>
      <w:r w:rsidRPr="00E56136">
        <w:rPr>
          <w:b/>
          <w:bCs/>
        </w:rPr>
        <w:t>Impact of the Project</w:t>
      </w:r>
    </w:p>
    <w:p w14:paraId="748472FC" w14:textId="29F93B7E" w:rsidR="00E56136" w:rsidRPr="0093432F" w:rsidRDefault="00E56136" w:rsidP="00E56136">
      <w:pPr>
        <w:pStyle w:val="ListParagraph"/>
        <w:numPr>
          <w:ilvl w:val="0"/>
          <w:numId w:val="1"/>
        </w:numPr>
        <w:rPr>
          <w:b/>
          <w:bCs/>
        </w:rPr>
      </w:pPr>
      <w:r w:rsidRPr="00E56136">
        <w:rPr>
          <w:b/>
          <w:bCs/>
        </w:rPr>
        <w:t>Strengths and Weaknesses of the Project</w:t>
      </w:r>
    </w:p>
    <w:p w14:paraId="5840F4DC" w14:textId="3DA8B3AA" w:rsidR="00B807AD" w:rsidRPr="0093432F" w:rsidRDefault="0093432F" w:rsidP="0093432F">
      <w:pPr>
        <w:pStyle w:val="ListParagraph"/>
        <w:numPr>
          <w:ilvl w:val="0"/>
          <w:numId w:val="1"/>
        </w:numPr>
        <w:rPr>
          <w:b/>
          <w:bCs/>
        </w:rPr>
      </w:pPr>
      <w:r w:rsidRPr="0093432F">
        <w:rPr>
          <w:b/>
          <w:bCs/>
        </w:rPr>
        <w:t xml:space="preserve">Conclusion </w:t>
      </w:r>
    </w:p>
    <w:p w14:paraId="2C1CE453" w14:textId="38264CDB" w:rsidR="0093432F" w:rsidRDefault="0093432F" w:rsidP="0093432F">
      <w:pPr>
        <w:pStyle w:val="ListParagraph"/>
        <w:numPr>
          <w:ilvl w:val="0"/>
          <w:numId w:val="1"/>
        </w:numPr>
        <w:rPr>
          <w:b/>
          <w:bCs/>
        </w:rPr>
      </w:pPr>
      <w:r w:rsidRPr="0093432F">
        <w:rPr>
          <w:b/>
          <w:bCs/>
        </w:rPr>
        <w:t xml:space="preserve">Reference list </w:t>
      </w:r>
    </w:p>
    <w:p w14:paraId="30A7C7E1" w14:textId="77777777" w:rsidR="0093432F" w:rsidRDefault="0093432F" w:rsidP="0093432F">
      <w:pPr>
        <w:pStyle w:val="ListParagraph"/>
        <w:rPr>
          <w:b/>
          <w:bCs/>
        </w:rPr>
      </w:pPr>
    </w:p>
    <w:p w14:paraId="6B90D598" w14:textId="77777777" w:rsidR="0093432F" w:rsidRDefault="0093432F" w:rsidP="0093432F">
      <w:pPr>
        <w:pStyle w:val="ListParagraph"/>
        <w:rPr>
          <w:b/>
          <w:bCs/>
        </w:rPr>
      </w:pPr>
    </w:p>
    <w:p w14:paraId="13AA0878" w14:textId="77777777" w:rsidR="0093432F" w:rsidRDefault="0093432F" w:rsidP="0093432F">
      <w:pPr>
        <w:pStyle w:val="ListParagraph"/>
        <w:rPr>
          <w:b/>
          <w:bCs/>
        </w:rPr>
      </w:pPr>
    </w:p>
    <w:p w14:paraId="72191069" w14:textId="77777777" w:rsidR="0093432F" w:rsidRDefault="0093432F" w:rsidP="0093432F">
      <w:pPr>
        <w:pStyle w:val="ListParagraph"/>
        <w:rPr>
          <w:b/>
          <w:bCs/>
        </w:rPr>
      </w:pPr>
    </w:p>
    <w:p w14:paraId="3AC873EE" w14:textId="77777777" w:rsidR="0093432F" w:rsidRDefault="0093432F" w:rsidP="0093432F">
      <w:pPr>
        <w:pStyle w:val="ListParagraph"/>
        <w:rPr>
          <w:b/>
          <w:bCs/>
        </w:rPr>
      </w:pPr>
    </w:p>
    <w:p w14:paraId="201E0035" w14:textId="77777777" w:rsidR="0093432F" w:rsidRDefault="0093432F" w:rsidP="0093432F">
      <w:pPr>
        <w:pStyle w:val="ListParagraph"/>
        <w:rPr>
          <w:b/>
          <w:bCs/>
        </w:rPr>
      </w:pPr>
    </w:p>
    <w:p w14:paraId="630C6362" w14:textId="77777777" w:rsidR="0093432F" w:rsidRDefault="0093432F" w:rsidP="0093432F">
      <w:pPr>
        <w:pStyle w:val="ListParagraph"/>
        <w:rPr>
          <w:b/>
          <w:bCs/>
        </w:rPr>
      </w:pPr>
    </w:p>
    <w:p w14:paraId="549AFA50" w14:textId="77777777" w:rsidR="0093432F" w:rsidRDefault="0093432F" w:rsidP="0093432F">
      <w:pPr>
        <w:pStyle w:val="ListParagraph"/>
        <w:rPr>
          <w:b/>
          <w:bCs/>
        </w:rPr>
      </w:pPr>
    </w:p>
    <w:p w14:paraId="01B7F1E7" w14:textId="77777777" w:rsidR="0093432F" w:rsidRDefault="0093432F" w:rsidP="0093432F">
      <w:pPr>
        <w:pStyle w:val="ListParagraph"/>
        <w:rPr>
          <w:b/>
          <w:bCs/>
        </w:rPr>
      </w:pPr>
    </w:p>
    <w:p w14:paraId="782CC908" w14:textId="77777777" w:rsidR="0093432F" w:rsidRDefault="0093432F" w:rsidP="0093432F">
      <w:pPr>
        <w:pStyle w:val="ListParagraph"/>
        <w:rPr>
          <w:b/>
          <w:bCs/>
        </w:rPr>
      </w:pPr>
    </w:p>
    <w:p w14:paraId="6E76932D" w14:textId="77777777" w:rsidR="0093432F" w:rsidRDefault="0093432F" w:rsidP="0093432F">
      <w:pPr>
        <w:pStyle w:val="ListParagraph"/>
        <w:rPr>
          <w:b/>
          <w:bCs/>
        </w:rPr>
      </w:pPr>
    </w:p>
    <w:p w14:paraId="50311A6B" w14:textId="77777777" w:rsidR="0093432F" w:rsidRDefault="0093432F" w:rsidP="0093432F">
      <w:pPr>
        <w:pStyle w:val="ListParagraph"/>
        <w:rPr>
          <w:b/>
          <w:bCs/>
        </w:rPr>
      </w:pPr>
    </w:p>
    <w:p w14:paraId="5A92C00E" w14:textId="77777777" w:rsidR="0093432F" w:rsidRDefault="0093432F" w:rsidP="0093432F">
      <w:pPr>
        <w:pStyle w:val="ListParagraph"/>
        <w:rPr>
          <w:b/>
          <w:bCs/>
        </w:rPr>
      </w:pPr>
    </w:p>
    <w:p w14:paraId="5F93BC76" w14:textId="77777777" w:rsidR="0093432F" w:rsidRDefault="0093432F" w:rsidP="0093432F">
      <w:pPr>
        <w:pStyle w:val="ListParagraph"/>
        <w:rPr>
          <w:b/>
          <w:bCs/>
        </w:rPr>
      </w:pPr>
    </w:p>
    <w:p w14:paraId="62086995" w14:textId="77777777" w:rsidR="0093432F" w:rsidRDefault="0093432F" w:rsidP="0093432F">
      <w:pPr>
        <w:pStyle w:val="ListParagraph"/>
        <w:rPr>
          <w:b/>
          <w:bCs/>
        </w:rPr>
      </w:pPr>
    </w:p>
    <w:p w14:paraId="3810FFE0" w14:textId="77777777" w:rsidR="0093432F" w:rsidRDefault="0093432F" w:rsidP="0093432F">
      <w:pPr>
        <w:pStyle w:val="ListParagraph"/>
        <w:rPr>
          <w:b/>
          <w:bCs/>
        </w:rPr>
      </w:pPr>
    </w:p>
    <w:p w14:paraId="2EA645BA" w14:textId="77777777" w:rsidR="0093432F" w:rsidRDefault="0093432F" w:rsidP="0093432F">
      <w:pPr>
        <w:pStyle w:val="ListParagraph"/>
        <w:rPr>
          <w:b/>
          <w:bCs/>
        </w:rPr>
      </w:pPr>
    </w:p>
    <w:p w14:paraId="5EBE8821" w14:textId="77777777" w:rsidR="0093432F" w:rsidRDefault="0093432F" w:rsidP="0093432F">
      <w:pPr>
        <w:pStyle w:val="ListParagraph"/>
        <w:rPr>
          <w:b/>
          <w:bCs/>
        </w:rPr>
      </w:pPr>
    </w:p>
    <w:p w14:paraId="1BD45189" w14:textId="77777777" w:rsidR="0093432F" w:rsidRDefault="0093432F" w:rsidP="0093432F">
      <w:pPr>
        <w:pStyle w:val="ListParagraph"/>
        <w:rPr>
          <w:b/>
          <w:bCs/>
        </w:rPr>
      </w:pPr>
    </w:p>
    <w:p w14:paraId="6CCA51CC" w14:textId="77777777" w:rsidR="0093432F" w:rsidRDefault="0093432F" w:rsidP="0093432F">
      <w:pPr>
        <w:pStyle w:val="ListParagraph"/>
        <w:rPr>
          <w:b/>
          <w:bCs/>
        </w:rPr>
      </w:pPr>
    </w:p>
    <w:p w14:paraId="2945318D" w14:textId="77777777" w:rsidR="0093432F" w:rsidRDefault="0093432F" w:rsidP="0093432F">
      <w:pPr>
        <w:pStyle w:val="ListParagraph"/>
        <w:rPr>
          <w:b/>
          <w:bCs/>
        </w:rPr>
      </w:pPr>
    </w:p>
    <w:p w14:paraId="0CE7C276" w14:textId="77777777" w:rsidR="0093432F" w:rsidRDefault="0093432F" w:rsidP="0093432F">
      <w:pPr>
        <w:pStyle w:val="ListParagraph"/>
        <w:rPr>
          <w:b/>
          <w:bCs/>
        </w:rPr>
      </w:pPr>
    </w:p>
    <w:p w14:paraId="74846F3F" w14:textId="77777777" w:rsidR="0093432F" w:rsidRDefault="0093432F" w:rsidP="0093432F">
      <w:pPr>
        <w:pStyle w:val="ListParagraph"/>
        <w:rPr>
          <w:b/>
          <w:bCs/>
        </w:rPr>
      </w:pPr>
    </w:p>
    <w:p w14:paraId="5872E8F8" w14:textId="77777777" w:rsidR="0093432F" w:rsidRDefault="0093432F" w:rsidP="0093432F">
      <w:pPr>
        <w:pStyle w:val="ListParagraph"/>
        <w:rPr>
          <w:b/>
          <w:bCs/>
        </w:rPr>
      </w:pPr>
    </w:p>
    <w:p w14:paraId="48A6FD7D" w14:textId="77777777" w:rsidR="0093432F" w:rsidRDefault="0093432F" w:rsidP="0093432F">
      <w:pPr>
        <w:pStyle w:val="ListParagraph"/>
        <w:rPr>
          <w:b/>
          <w:bCs/>
        </w:rPr>
      </w:pPr>
    </w:p>
    <w:p w14:paraId="3A9C258E" w14:textId="77777777" w:rsidR="0093432F" w:rsidRDefault="0093432F" w:rsidP="0093432F">
      <w:pPr>
        <w:pStyle w:val="ListParagraph"/>
        <w:rPr>
          <w:b/>
          <w:bCs/>
        </w:rPr>
      </w:pPr>
    </w:p>
    <w:p w14:paraId="6D19DF5D" w14:textId="77777777" w:rsidR="0093432F" w:rsidRDefault="0093432F" w:rsidP="0093432F">
      <w:pPr>
        <w:pStyle w:val="ListParagraph"/>
        <w:rPr>
          <w:b/>
          <w:bCs/>
        </w:rPr>
      </w:pPr>
    </w:p>
    <w:p w14:paraId="15AB19A1" w14:textId="77777777" w:rsidR="0093432F" w:rsidRDefault="0093432F" w:rsidP="0093432F">
      <w:pPr>
        <w:pStyle w:val="ListParagraph"/>
        <w:rPr>
          <w:b/>
          <w:bCs/>
        </w:rPr>
      </w:pPr>
    </w:p>
    <w:p w14:paraId="6E5C131C" w14:textId="77777777" w:rsidR="0093432F" w:rsidRDefault="0093432F" w:rsidP="0093432F">
      <w:pPr>
        <w:pStyle w:val="ListParagraph"/>
        <w:rPr>
          <w:b/>
          <w:bCs/>
        </w:rPr>
      </w:pPr>
    </w:p>
    <w:p w14:paraId="4A4C32BB" w14:textId="77777777" w:rsidR="0093432F" w:rsidRDefault="0093432F" w:rsidP="0093432F">
      <w:pPr>
        <w:pStyle w:val="ListParagraph"/>
        <w:rPr>
          <w:b/>
          <w:bCs/>
        </w:rPr>
      </w:pPr>
    </w:p>
    <w:p w14:paraId="6CA47C14" w14:textId="77777777" w:rsidR="0093432F" w:rsidRDefault="0093432F" w:rsidP="0093432F">
      <w:pPr>
        <w:pStyle w:val="ListParagraph"/>
        <w:rPr>
          <w:b/>
          <w:bCs/>
        </w:rPr>
      </w:pPr>
    </w:p>
    <w:p w14:paraId="0B976487" w14:textId="77777777" w:rsidR="0093432F" w:rsidRDefault="0093432F" w:rsidP="0093432F">
      <w:pPr>
        <w:pStyle w:val="ListParagraph"/>
        <w:rPr>
          <w:b/>
          <w:bCs/>
        </w:rPr>
      </w:pPr>
    </w:p>
    <w:p w14:paraId="527ECC9C" w14:textId="77777777" w:rsidR="0093432F" w:rsidRDefault="0093432F" w:rsidP="0093432F">
      <w:pPr>
        <w:pStyle w:val="ListParagraph"/>
        <w:rPr>
          <w:b/>
          <w:bCs/>
        </w:rPr>
      </w:pPr>
    </w:p>
    <w:p w14:paraId="70B052FF" w14:textId="77777777" w:rsidR="0093432F" w:rsidRDefault="0093432F" w:rsidP="0093432F">
      <w:pPr>
        <w:pStyle w:val="ListParagraph"/>
        <w:rPr>
          <w:b/>
          <w:bCs/>
        </w:rPr>
      </w:pPr>
    </w:p>
    <w:p w14:paraId="550AAF39" w14:textId="77777777" w:rsidR="00E56136" w:rsidRDefault="00E56136" w:rsidP="00E56136">
      <w:pPr>
        <w:rPr>
          <w:b/>
          <w:bCs/>
          <w:sz w:val="24"/>
          <w:szCs w:val="24"/>
        </w:rPr>
      </w:pPr>
    </w:p>
    <w:p w14:paraId="6546645C" w14:textId="183C1BFE" w:rsidR="007C5AFF" w:rsidRPr="007C5AFF" w:rsidRDefault="007C5AFF" w:rsidP="00E56136">
      <w:pPr>
        <w:jc w:val="center"/>
        <w:rPr>
          <w:b/>
          <w:bCs/>
          <w:sz w:val="24"/>
          <w:szCs w:val="24"/>
        </w:rPr>
      </w:pPr>
      <w:r w:rsidRPr="007C5AFF">
        <w:rPr>
          <w:b/>
          <w:bCs/>
          <w:sz w:val="24"/>
          <w:szCs w:val="24"/>
        </w:rPr>
        <w:lastRenderedPageBreak/>
        <w:t>Introduction</w:t>
      </w:r>
    </w:p>
    <w:p w14:paraId="628DF5DF" w14:textId="77777777" w:rsidR="007C5AFF" w:rsidRPr="007C5AFF" w:rsidRDefault="007C5AFF" w:rsidP="007C5AFF">
      <w:pPr>
        <w:pStyle w:val="ListParagraph"/>
        <w:jc w:val="center"/>
        <w:rPr>
          <w:b/>
          <w:bCs/>
          <w:sz w:val="24"/>
          <w:szCs w:val="24"/>
        </w:rPr>
      </w:pPr>
    </w:p>
    <w:p w14:paraId="7B1E52CF" w14:textId="77777777" w:rsidR="007C5AFF" w:rsidRDefault="007C5AFF" w:rsidP="007C5AFF">
      <w:pPr>
        <w:pStyle w:val="ListParagraph"/>
      </w:pPr>
      <w:r>
        <w:t>Community engagement is an essential aspect of sustainable development that is increasingly recognized as a vital tool for promoting inclusive and equitable development. It involves connecting citizens, leaders, businesses, and non-profit organizations, creating a platform for collective voices to address critical issues and create solutions collaboratively. In Birmingham, community engagement plays a significant role in fostering cooperation and improving the quality of life for everyone. The effective implementation of community engagement initiatives ensures that all stakeholders are well-informed and actively participate in the decision-making process.</w:t>
      </w:r>
    </w:p>
    <w:p w14:paraId="555BD77E" w14:textId="77777777" w:rsidR="007C5AFF" w:rsidRDefault="007C5AFF" w:rsidP="007C5AFF">
      <w:pPr>
        <w:pStyle w:val="ListParagraph"/>
      </w:pPr>
    </w:p>
    <w:p w14:paraId="3F66E633" w14:textId="77777777" w:rsidR="007C5AFF" w:rsidRDefault="007C5AFF" w:rsidP="007C5AFF">
      <w:pPr>
        <w:pStyle w:val="ListParagraph"/>
      </w:pPr>
      <w:r>
        <w:t xml:space="preserve">This report focuses on the </w:t>
      </w:r>
      <w:proofErr w:type="spellStart"/>
      <w:r>
        <w:t>Tyseley</w:t>
      </w:r>
      <w:proofErr w:type="spellEnd"/>
      <w:r>
        <w:t xml:space="preserve"> Energy Park Community Engagement Project, which is a remarkable example of an initiative that has successfully utilized community engagement principles, planning and design, standards and impacted the Birmingham community positively. The </w:t>
      </w:r>
      <w:proofErr w:type="spellStart"/>
      <w:r>
        <w:t>Tyseley</w:t>
      </w:r>
      <w:proofErr w:type="spellEnd"/>
      <w:r>
        <w:t xml:space="preserve"> Energy Park provides energy and steam for various businesses in the </w:t>
      </w:r>
      <w:proofErr w:type="spellStart"/>
      <w:r>
        <w:t>Tyseley</w:t>
      </w:r>
      <w:proofErr w:type="spellEnd"/>
      <w:r>
        <w:t xml:space="preserve"> and Sparkbrook areas in Birmingham. The project is strategically designed to communicate to local residents, businesses, schools, and other stakeholders about the project's development, maintain active participation and information sharing and clarify procedures, plans, deadlines, timelines, and scope concerning the project.</w:t>
      </w:r>
    </w:p>
    <w:p w14:paraId="6999FBCE" w14:textId="77777777" w:rsidR="007C5AFF" w:rsidRDefault="007C5AFF" w:rsidP="007C5AFF">
      <w:pPr>
        <w:pStyle w:val="ListParagraph"/>
      </w:pPr>
    </w:p>
    <w:p w14:paraId="535E0067" w14:textId="77777777" w:rsidR="007C5AFF" w:rsidRDefault="007C5AFF" w:rsidP="007C5AFF">
      <w:pPr>
        <w:pStyle w:val="ListParagraph"/>
      </w:pPr>
      <w:r>
        <w:t xml:space="preserve">This report aims to explore the various community engagement models used in the </w:t>
      </w:r>
      <w:proofErr w:type="spellStart"/>
      <w:r>
        <w:t>Tyseley</w:t>
      </w:r>
      <w:proofErr w:type="spellEnd"/>
      <w:r>
        <w:t xml:space="preserve"> Energy Park Community Engagement Project, the tools and platforms employed, the project's impact, and its strengths and weaknesses. The report adopts the Harvard referencing style to ensure accurate and appropriate sourcing of the citations used in the report. </w:t>
      </w:r>
    </w:p>
    <w:p w14:paraId="58423ED7" w14:textId="77777777" w:rsidR="007C5AFF" w:rsidRDefault="007C5AFF" w:rsidP="007C5AFF">
      <w:pPr>
        <w:pStyle w:val="ListParagraph"/>
      </w:pPr>
    </w:p>
    <w:p w14:paraId="5885062C" w14:textId="0071ACA1" w:rsidR="007C5AFF" w:rsidRDefault="007C5AFF" w:rsidP="007C5AFF">
      <w:pPr>
        <w:pStyle w:val="ListParagraph"/>
      </w:pPr>
      <w:r>
        <w:t xml:space="preserve">Community engagement has become even more critical in the current climate, where communities face a wide range of complex and interconnected issues. Community engagement helps to build trust among various stakeholders, which is essential in creating a common understanding of issues and crafting solutions together. This report highlights the importance of community engagement to facilitate sustainable development and build inclusive communities by using the </w:t>
      </w:r>
      <w:proofErr w:type="spellStart"/>
      <w:r>
        <w:t>Tyseley</w:t>
      </w:r>
      <w:proofErr w:type="spellEnd"/>
      <w:r>
        <w:t xml:space="preserve"> Energy Park Community Engagement Project as a case study.</w:t>
      </w:r>
    </w:p>
    <w:p w14:paraId="07AAADB6" w14:textId="77777777" w:rsidR="007C5AFF" w:rsidRDefault="007C5AFF" w:rsidP="007C5AFF">
      <w:pPr>
        <w:pStyle w:val="ListParagraph"/>
      </w:pPr>
    </w:p>
    <w:p w14:paraId="7F952742" w14:textId="77777777" w:rsidR="007C5AFF" w:rsidRDefault="007C5AFF" w:rsidP="007C5AFF">
      <w:pPr>
        <w:pStyle w:val="ListParagraph"/>
      </w:pPr>
    </w:p>
    <w:p w14:paraId="37BC3092" w14:textId="77777777" w:rsidR="007C5AFF" w:rsidRDefault="007C5AFF" w:rsidP="007C5AFF">
      <w:pPr>
        <w:pStyle w:val="ListParagraph"/>
      </w:pPr>
    </w:p>
    <w:p w14:paraId="1DF08A10" w14:textId="77777777" w:rsidR="007C5AFF" w:rsidRDefault="007C5AFF" w:rsidP="007C5AFF">
      <w:pPr>
        <w:pStyle w:val="ListParagraph"/>
      </w:pPr>
    </w:p>
    <w:p w14:paraId="3D9A99F1" w14:textId="77777777" w:rsidR="007C5AFF" w:rsidRDefault="007C5AFF" w:rsidP="007C5AFF">
      <w:pPr>
        <w:pStyle w:val="ListParagraph"/>
      </w:pPr>
    </w:p>
    <w:p w14:paraId="6562F27A" w14:textId="77777777" w:rsidR="007C5AFF" w:rsidRDefault="007C5AFF" w:rsidP="007C5AFF">
      <w:pPr>
        <w:pStyle w:val="ListParagraph"/>
      </w:pPr>
    </w:p>
    <w:p w14:paraId="4D4EE9F5" w14:textId="77777777" w:rsidR="007C5AFF" w:rsidRDefault="007C5AFF" w:rsidP="007C5AFF">
      <w:pPr>
        <w:pStyle w:val="ListParagraph"/>
      </w:pPr>
    </w:p>
    <w:p w14:paraId="2503E012" w14:textId="77777777" w:rsidR="007C5AFF" w:rsidRDefault="007C5AFF" w:rsidP="007C5AFF">
      <w:pPr>
        <w:pStyle w:val="ListParagraph"/>
      </w:pPr>
    </w:p>
    <w:p w14:paraId="49DA6395" w14:textId="77777777" w:rsidR="007C5AFF" w:rsidRDefault="007C5AFF" w:rsidP="007C5AFF">
      <w:pPr>
        <w:pStyle w:val="ListParagraph"/>
      </w:pPr>
    </w:p>
    <w:p w14:paraId="472CEDA0" w14:textId="77777777" w:rsidR="007C5AFF" w:rsidRDefault="007C5AFF" w:rsidP="007C5AFF">
      <w:pPr>
        <w:pStyle w:val="ListParagraph"/>
      </w:pPr>
    </w:p>
    <w:p w14:paraId="4D0169F9" w14:textId="77777777" w:rsidR="007C5AFF" w:rsidRDefault="007C5AFF" w:rsidP="007C5AFF">
      <w:pPr>
        <w:pStyle w:val="ListParagraph"/>
      </w:pPr>
    </w:p>
    <w:p w14:paraId="48784DE6" w14:textId="77777777" w:rsidR="007C5AFF" w:rsidRDefault="007C5AFF" w:rsidP="007C5AFF">
      <w:pPr>
        <w:pStyle w:val="ListParagraph"/>
      </w:pPr>
    </w:p>
    <w:p w14:paraId="2C0D1173" w14:textId="77777777" w:rsidR="007C5AFF" w:rsidRDefault="007C5AFF" w:rsidP="007C5AFF">
      <w:pPr>
        <w:pStyle w:val="ListParagraph"/>
      </w:pPr>
    </w:p>
    <w:p w14:paraId="56757F47" w14:textId="77777777" w:rsidR="007C5AFF" w:rsidRDefault="007C5AFF" w:rsidP="007C5AFF">
      <w:pPr>
        <w:pStyle w:val="ListParagraph"/>
      </w:pPr>
    </w:p>
    <w:p w14:paraId="727DC042" w14:textId="77777777" w:rsidR="007C5AFF" w:rsidRPr="007C5AFF" w:rsidRDefault="007C5AFF" w:rsidP="007C5AFF">
      <w:pPr>
        <w:pStyle w:val="ListParagraph"/>
        <w:jc w:val="center"/>
        <w:rPr>
          <w:b/>
          <w:bCs/>
        </w:rPr>
      </w:pPr>
      <w:proofErr w:type="spellStart"/>
      <w:r w:rsidRPr="007C5AFF">
        <w:rPr>
          <w:b/>
          <w:bCs/>
        </w:rPr>
        <w:lastRenderedPageBreak/>
        <w:t>Tyseley</w:t>
      </w:r>
      <w:proofErr w:type="spellEnd"/>
      <w:r w:rsidRPr="007C5AFF">
        <w:rPr>
          <w:b/>
          <w:bCs/>
        </w:rPr>
        <w:t xml:space="preserve"> Energy Park Community Engagement Project</w:t>
      </w:r>
    </w:p>
    <w:p w14:paraId="5D45A2D2" w14:textId="77777777" w:rsidR="007C5AFF" w:rsidRPr="007C5AFF" w:rsidRDefault="007C5AFF" w:rsidP="007C5AFF">
      <w:pPr>
        <w:pStyle w:val="ListParagraph"/>
        <w:jc w:val="center"/>
        <w:rPr>
          <w:b/>
          <w:bCs/>
        </w:rPr>
      </w:pPr>
    </w:p>
    <w:p w14:paraId="538430C6" w14:textId="77777777" w:rsidR="007C5AFF" w:rsidRDefault="007C5AFF" w:rsidP="00E53AD2">
      <w:proofErr w:type="spellStart"/>
      <w:r>
        <w:t>Tyseley</w:t>
      </w:r>
      <w:proofErr w:type="spellEnd"/>
      <w:r>
        <w:t xml:space="preserve"> Energy Park is an industrial park that supplies energy and steam to various businesses in the </w:t>
      </w:r>
      <w:proofErr w:type="spellStart"/>
      <w:r>
        <w:t>Tyseley</w:t>
      </w:r>
      <w:proofErr w:type="spellEnd"/>
      <w:r>
        <w:t xml:space="preserve"> and Sparkbrook areas in Birmingham. The Birmingham City Council's Environmental Health department commissioned the </w:t>
      </w:r>
      <w:proofErr w:type="spellStart"/>
      <w:r>
        <w:t>Tyseley</w:t>
      </w:r>
      <w:proofErr w:type="spellEnd"/>
      <w:r>
        <w:t xml:space="preserve"> Energy Park Community Engagement Project to facilitate communication and participation on the project's strategic development with the local residents, businesses, schools, and other stakeholders. The goal is to encourage knowledge transfer and maintain high-level engagement, information sharing, and clarifications about plans, deadlines, and procedures concerning the project.</w:t>
      </w:r>
    </w:p>
    <w:p w14:paraId="114FF7A5" w14:textId="77777777" w:rsidR="007C5AFF" w:rsidRDefault="007C5AFF" w:rsidP="007C5AFF">
      <w:pPr>
        <w:pStyle w:val="ListParagraph"/>
      </w:pPr>
    </w:p>
    <w:p w14:paraId="71EA4CD0" w14:textId="7DFD524B" w:rsidR="007C5AFF" w:rsidRPr="00E56136" w:rsidRDefault="007C5AFF" w:rsidP="00E56136">
      <w:pPr>
        <w:rPr>
          <w:b/>
          <w:bCs/>
        </w:rPr>
      </w:pPr>
      <w:r w:rsidRPr="00E53AD2">
        <w:rPr>
          <w:b/>
          <w:bCs/>
        </w:rPr>
        <w:t>Community Engagement Models</w:t>
      </w:r>
    </w:p>
    <w:p w14:paraId="27533FD5" w14:textId="3C641DF2" w:rsidR="007C5AFF" w:rsidRDefault="007C5AFF" w:rsidP="00E53AD2">
      <w:r>
        <w:t xml:space="preserve">The </w:t>
      </w:r>
      <w:proofErr w:type="spellStart"/>
      <w:r>
        <w:t>Tyseley</w:t>
      </w:r>
      <w:proofErr w:type="spellEnd"/>
      <w:r>
        <w:t xml:space="preserve"> Energy Park Community Engagement Project incorporates multiple community engagement models, including the Inform-Consult-Involve-Collaborate-Empower (ICICE) model, Sherry Arnstein's Ladder of Participation, and the International Association for Public Participation (IAP2) model.</w:t>
      </w:r>
    </w:p>
    <w:p w14:paraId="72F8463C" w14:textId="5A844D00" w:rsidR="007C5AFF" w:rsidRDefault="007C5AFF" w:rsidP="00E56136">
      <w:r>
        <w:t xml:space="preserve">The ICICE model is a framework that progresses from providing passive information to involving active participation and shared leadership. It also allows for empowerment, where residents are allowed to shape and influence the project through decision-making processes (UNEP, 2015). At </w:t>
      </w:r>
      <w:proofErr w:type="spellStart"/>
      <w:r>
        <w:t>Tyseley</w:t>
      </w:r>
      <w:proofErr w:type="spellEnd"/>
      <w:r>
        <w:t xml:space="preserve"> Energy Park, the community members are kept informed of changes to the project's development phases and given appropriate platforms to provide feedback on how the project's operational impacts can be mitigated.</w:t>
      </w:r>
    </w:p>
    <w:p w14:paraId="7CE2D5C8" w14:textId="268F60E5" w:rsidR="007C5AFF" w:rsidRDefault="007C5AFF" w:rsidP="00E56136">
      <w:r>
        <w:t xml:space="preserve">Sherry Arnstein's Ladder of Participation, which is a spectrum with eight rungs, measures the level of involvement in decision-making processes. The </w:t>
      </w:r>
      <w:proofErr w:type="spellStart"/>
      <w:r>
        <w:t>Tyseley</w:t>
      </w:r>
      <w:proofErr w:type="spellEnd"/>
      <w:r>
        <w:t xml:space="preserve"> Energy Park Community Engagement Project falls midway on the spectrum, where citizens are consulted and involved in decision-making without defining the goals, timelines, and project scope. This engagement ensures that the opinions of local citizens are considered while delivering a project that meets the stakeholder requirements (Arnstein, 1969). </w:t>
      </w:r>
    </w:p>
    <w:p w14:paraId="25304867" w14:textId="77777777" w:rsidR="007C5AFF" w:rsidRDefault="007C5AFF" w:rsidP="00E53AD2">
      <w:r>
        <w:t xml:space="preserve">The IAP2 model emphasizes public participation, creating an innovative partnership between public and private sectors, community-based organizations, and individual citizens. At </w:t>
      </w:r>
      <w:proofErr w:type="spellStart"/>
      <w:r>
        <w:t>Tyseley</w:t>
      </w:r>
      <w:proofErr w:type="spellEnd"/>
      <w:r>
        <w:t xml:space="preserve"> Energy Park, community engagement adopts the five-step IAP2 framework, which is an innovative approach that recognizes the importance of listening to the public's concerns and incorporating their feedback into the decision-making process. The community is made aware of the initiative during preliminary meetings, where stakeholders identify the various issues related to the project. During this phase, the team establishes the communication strategy to inform all stakeholders about developments and decisions made during the project's implementation rollout (IAP2, 2018).</w:t>
      </w:r>
    </w:p>
    <w:p w14:paraId="48565CE0" w14:textId="77777777" w:rsidR="007C5AFF" w:rsidRDefault="007C5AFF" w:rsidP="007C5AFF">
      <w:pPr>
        <w:pStyle w:val="ListParagraph"/>
      </w:pPr>
    </w:p>
    <w:p w14:paraId="1D0ED927" w14:textId="77777777" w:rsidR="00E53AD2" w:rsidRDefault="00E53AD2" w:rsidP="007C5AFF">
      <w:pPr>
        <w:pStyle w:val="ListParagraph"/>
        <w:rPr>
          <w:b/>
          <w:bCs/>
        </w:rPr>
      </w:pPr>
    </w:p>
    <w:p w14:paraId="63D3B866" w14:textId="77777777" w:rsidR="00E53AD2" w:rsidRDefault="00E53AD2" w:rsidP="007C5AFF">
      <w:pPr>
        <w:pStyle w:val="ListParagraph"/>
        <w:rPr>
          <w:b/>
          <w:bCs/>
        </w:rPr>
      </w:pPr>
    </w:p>
    <w:p w14:paraId="1C1C171F" w14:textId="77777777" w:rsidR="00E53AD2" w:rsidRDefault="00E53AD2" w:rsidP="007C5AFF">
      <w:pPr>
        <w:pStyle w:val="ListParagraph"/>
        <w:rPr>
          <w:b/>
          <w:bCs/>
        </w:rPr>
      </w:pPr>
    </w:p>
    <w:p w14:paraId="01A497B2" w14:textId="77777777" w:rsidR="00E56136" w:rsidRDefault="00E56136" w:rsidP="00E53AD2">
      <w:pPr>
        <w:rPr>
          <w:b/>
          <w:bCs/>
        </w:rPr>
      </w:pPr>
    </w:p>
    <w:p w14:paraId="44282A5A" w14:textId="77777777" w:rsidR="00E56136" w:rsidRDefault="00E56136" w:rsidP="00E53AD2">
      <w:pPr>
        <w:rPr>
          <w:b/>
          <w:bCs/>
        </w:rPr>
      </w:pPr>
    </w:p>
    <w:p w14:paraId="5B371608" w14:textId="77777777" w:rsidR="00E56136" w:rsidRDefault="00E56136" w:rsidP="00E53AD2">
      <w:pPr>
        <w:rPr>
          <w:b/>
          <w:bCs/>
        </w:rPr>
      </w:pPr>
    </w:p>
    <w:p w14:paraId="3435E5D3" w14:textId="53ED8C95" w:rsidR="007C5AFF" w:rsidRPr="00E53AD2" w:rsidRDefault="007C5AFF" w:rsidP="00E53AD2">
      <w:pPr>
        <w:rPr>
          <w:b/>
          <w:bCs/>
        </w:rPr>
      </w:pPr>
      <w:r w:rsidRPr="00E53AD2">
        <w:rPr>
          <w:b/>
          <w:bCs/>
        </w:rPr>
        <w:lastRenderedPageBreak/>
        <w:t>Tools and Platforms used in the Project</w:t>
      </w:r>
    </w:p>
    <w:p w14:paraId="12BEB170" w14:textId="77777777" w:rsidR="007C5AFF" w:rsidRPr="007C5AFF" w:rsidRDefault="007C5AFF" w:rsidP="007C5AFF">
      <w:pPr>
        <w:pStyle w:val="ListParagraph"/>
        <w:rPr>
          <w:b/>
          <w:bCs/>
        </w:rPr>
      </w:pPr>
    </w:p>
    <w:p w14:paraId="38A9CABD" w14:textId="77777777" w:rsidR="007C5AFF" w:rsidRDefault="007C5AFF" w:rsidP="00E53AD2">
      <w:r>
        <w:t xml:space="preserve">The </w:t>
      </w:r>
      <w:proofErr w:type="spellStart"/>
      <w:r>
        <w:t>Tyseley</w:t>
      </w:r>
      <w:proofErr w:type="spellEnd"/>
      <w:r>
        <w:t xml:space="preserve"> Energy Park Community Engagement Project uses various tools and platforms to enable the community to contribute to the development of this project. One of the platforms is a website, which contains a wide range of information about the project, including the latest news, planning applications, contact information for the project team, and frequently asked questions. The website provides an online platform for the people of Birmingham to access and provide feedback on the project (</w:t>
      </w:r>
      <w:proofErr w:type="spellStart"/>
      <w:r>
        <w:t>Tyseley</w:t>
      </w:r>
      <w:proofErr w:type="spellEnd"/>
      <w:r>
        <w:t xml:space="preserve"> Energy Park Community Engagement Project, 2021).</w:t>
      </w:r>
    </w:p>
    <w:p w14:paraId="64D37F36" w14:textId="77777777" w:rsidR="007C5AFF" w:rsidRDefault="007C5AFF" w:rsidP="007C5AFF">
      <w:pPr>
        <w:pStyle w:val="ListParagraph"/>
      </w:pPr>
    </w:p>
    <w:p w14:paraId="20C4308E" w14:textId="77777777" w:rsidR="007C5AFF" w:rsidRDefault="007C5AFF" w:rsidP="00E53AD2">
      <w:r>
        <w:t xml:space="preserve">Another tool used in this project is social media platforms such as Facebook, Twitter, and LinkedIn. Social media offers instant contact mechanisms, ensuring that the people of Birmingham are kept updated on the project's progress. Furthermore, social media provides members of the community a platform to share their opinions and ask questions (Lewis and </w:t>
      </w:r>
      <w:proofErr w:type="spellStart"/>
      <w:r>
        <w:t>Matsaganis</w:t>
      </w:r>
      <w:proofErr w:type="spellEnd"/>
      <w:r>
        <w:t>, 2018).</w:t>
      </w:r>
    </w:p>
    <w:p w14:paraId="21878DAE" w14:textId="77777777" w:rsidR="007C5AFF" w:rsidRDefault="007C5AFF" w:rsidP="007C5AFF">
      <w:pPr>
        <w:pStyle w:val="ListParagraph"/>
      </w:pPr>
    </w:p>
    <w:p w14:paraId="68531ABC" w14:textId="77777777" w:rsidR="007C5AFF" w:rsidRDefault="007C5AFF" w:rsidP="00E53AD2">
      <w:r>
        <w:t>The project team also utilized face-to-face meetings, workshops, and focus groups to engage with the community members. These interactions enabled the project team to engage with a broad range of stakeholders, including vulnerable groups who might not have access to online communication channels. The team used these platforms to disseminate information and gain feedback on the issues affecting the community. The team then incorporated feedback into project design and shared information promptly through various communication channels.</w:t>
      </w:r>
    </w:p>
    <w:p w14:paraId="573585EC" w14:textId="77777777" w:rsidR="007C5AFF" w:rsidRDefault="007C5AFF" w:rsidP="007C5AFF">
      <w:pPr>
        <w:pStyle w:val="ListParagraph"/>
      </w:pPr>
    </w:p>
    <w:p w14:paraId="5C3AD33C" w14:textId="5BB7C6D2" w:rsidR="007C5AFF" w:rsidRPr="00E56136" w:rsidRDefault="007C5AFF" w:rsidP="00E56136">
      <w:pPr>
        <w:rPr>
          <w:b/>
          <w:bCs/>
        </w:rPr>
      </w:pPr>
      <w:r w:rsidRPr="00E53AD2">
        <w:rPr>
          <w:b/>
          <w:bCs/>
        </w:rPr>
        <w:t>Impact of the Project</w:t>
      </w:r>
    </w:p>
    <w:p w14:paraId="57C69197" w14:textId="77777777" w:rsidR="007C5AFF" w:rsidRDefault="007C5AFF" w:rsidP="00E53AD2">
      <w:r>
        <w:t xml:space="preserve">The </w:t>
      </w:r>
      <w:proofErr w:type="spellStart"/>
      <w:r>
        <w:t>Tyseley</w:t>
      </w:r>
      <w:proofErr w:type="spellEnd"/>
      <w:r>
        <w:t xml:space="preserve"> Energy Park Community Engagement Project has had a significant impact on Birmingham's communities and environment. Firstly, the community members are better informed about </w:t>
      </w:r>
      <w:proofErr w:type="spellStart"/>
      <w:r>
        <w:t>Tyseley</w:t>
      </w:r>
      <w:proofErr w:type="spellEnd"/>
      <w:r>
        <w:t xml:space="preserve"> Energy Park's operations and how they can mitigate the operation's impact on their lives and the adjacent environment. Secondly, the project created job opportunities for the local community members, which offered them a chance to improve their lives as the project progressed. Thirdly, the citizens were involved in the decision-making process, helping to increase their sense of ownership in the project.</w:t>
      </w:r>
    </w:p>
    <w:p w14:paraId="77CC442A" w14:textId="77777777" w:rsidR="007C5AFF" w:rsidRDefault="007C5AFF" w:rsidP="007C5AFF">
      <w:pPr>
        <w:pStyle w:val="ListParagraph"/>
      </w:pPr>
    </w:p>
    <w:p w14:paraId="725FF830" w14:textId="77777777" w:rsidR="007C5AFF" w:rsidRDefault="007C5AFF" w:rsidP="00E53AD2">
      <w:r>
        <w:t>The project's focus on employment creation and the environment are vital in meeting the needs and aspirations of the community. Since the launch of the project, the local economy has experienced some significant changes. The project has attracted more businesses to the area and created employment opportunities for the local community members. Additionally, the increased use of renewable energy has resulted in a reduction in carbon footprints and a cleaner, healthier environment, which has positively affected the local community's well-being.</w:t>
      </w:r>
    </w:p>
    <w:p w14:paraId="798315A4" w14:textId="77777777" w:rsidR="00E53AD2" w:rsidRDefault="00E53AD2" w:rsidP="00E53AD2">
      <w:r>
        <w:t xml:space="preserve">The </w:t>
      </w:r>
      <w:proofErr w:type="spellStart"/>
      <w:r>
        <w:t>Tyseley</w:t>
      </w:r>
      <w:proofErr w:type="spellEnd"/>
      <w:r>
        <w:t xml:space="preserve"> Energy Park Community Engagement Project has had a significant impact on the Birmingham community, particularly in the areas of the environment and the local economy. One of the major benefits of the project is the increased use of renewable energy, which has helped to reduce air pollution levels in the community. By providing clean energy to various businesses in the </w:t>
      </w:r>
      <w:r>
        <w:lastRenderedPageBreak/>
        <w:t>area, the project has contributed to reducing greenhouse gas emissions, thereby improving air quality. This has resulted in significant health benefits for the residents of Birmingham.</w:t>
      </w:r>
    </w:p>
    <w:p w14:paraId="34E21C48" w14:textId="77777777" w:rsidR="00E53AD2" w:rsidRDefault="00E53AD2" w:rsidP="00E53AD2"/>
    <w:p w14:paraId="6163B89E" w14:textId="77777777" w:rsidR="00E53AD2" w:rsidRDefault="00E53AD2" w:rsidP="00E53AD2">
      <w:r>
        <w:t xml:space="preserve">In addition to tackling environmental issues, the project has also had a positive impact on the local economy by creating new employment opportunities. Through the operation of the </w:t>
      </w:r>
      <w:proofErr w:type="spellStart"/>
      <w:r>
        <w:t>Tyseley</w:t>
      </w:r>
      <w:proofErr w:type="spellEnd"/>
      <w:r>
        <w:t xml:space="preserve"> Energy Park, job opportunities have been created for local community members, which has improved the community's overall economic wellbeing. This has also contributed to the reduction of poverty levels within the community, fostering social cohesion and sustainability.</w:t>
      </w:r>
    </w:p>
    <w:p w14:paraId="49AE63A8" w14:textId="77777777" w:rsidR="00E53AD2" w:rsidRDefault="00E53AD2" w:rsidP="00E53AD2"/>
    <w:p w14:paraId="42321134" w14:textId="77777777" w:rsidR="00E53AD2" w:rsidRDefault="00E53AD2" w:rsidP="00E53AD2">
      <w:r>
        <w:t>The project has also strengthened the relationship between the local community and the developers. By involving the local community in the project's planning and implementation stages, the developers were able to create a sense of ownership and shared accountability regarding the project. This engagement and positive relationship have been instrumental in ensuring the safety and successful operation of the facility.</w:t>
      </w:r>
    </w:p>
    <w:p w14:paraId="15CAC452" w14:textId="77777777" w:rsidR="00E53AD2" w:rsidRDefault="00E53AD2" w:rsidP="00E53AD2"/>
    <w:p w14:paraId="1EDA3BC2" w14:textId="77777777" w:rsidR="00E53AD2" w:rsidRDefault="00E53AD2" w:rsidP="00E53AD2">
      <w:r>
        <w:t xml:space="preserve">Lastly, the </w:t>
      </w:r>
      <w:proofErr w:type="spellStart"/>
      <w:r>
        <w:t>Tyseley</w:t>
      </w:r>
      <w:proofErr w:type="spellEnd"/>
      <w:r>
        <w:t xml:space="preserve"> Energy Park has acted as a model for sustainable development initiatives in Birmingham, offering valuable lessons that could be replicated in other communities. By applying community engagement principles and tools, the project has been effective in creating an inclusive and collaborative approach to development that benefits the entirety of the Birmingham community.</w:t>
      </w:r>
    </w:p>
    <w:p w14:paraId="35333D45" w14:textId="77777777" w:rsidR="00E53AD2" w:rsidRDefault="00E53AD2" w:rsidP="00E53AD2"/>
    <w:p w14:paraId="0F7FB00E" w14:textId="09C257F6" w:rsidR="00E53AD2" w:rsidRDefault="00E53AD2" w:rsidP="00E53AD2">
      <w:r>
        <w:t xml:space="preserve">In conclusion, the </w:t>
      </w:r>
      <w:proofErr w:type="spellStart"/>
      <w:r>
        <w:t>Tyseley</w:t>
      </w:r>
      <w:proofErr w:type="spellEnd"/>
      <w:r>
        <w:t xml:space="preserve"> Energy Park Community Engagement Project has successfully demonstrated the benefits of community engagement in sustainable development initiatives. The project has had positive impacts on the environment, the local economy, and communities, thereby providing a roadmap for future development initiatives. Ultimately, the </w:t>
      </w:r>
      <w:proofErr w:type="spellStart"/>
      <w:r>
        <w:t>Tyseley</w:t>
      </w:r>
      <w:proofErr w:type="spellEnd"/>
      <w:r>
        <w:t xml:space="preserve"> Energy Park's community engagement approach has enabled the development of sustainable, vibrant, and inclusive communities, a significant goal of any sustainable development initiative.</w:t>
      </w:r>
    </w:p>
    <w:p w14:paraId="66C1503B" w14:textId="77777777" w:rsidR="007C5AFF" w:rsidRDefault="007C5AFF" w:rsidP="007C5AFF">
      <w:pPr>
        <w:pStyle w:val="ListParagraph"/>
      </w:pPr>
    </w:p>
    <w:p w14:paraId="4488B8E3" w14:textId="33158A30" w:rsidR="007C5AFF" w:rsidRPr="00E56136" w:rsidRDefault="007C5AFF" w:rsidP="00E56136">
      <w:pPr>
        <w:rPr>
          <w:b/>
          <w:bCs/>
        </w:rPr>
      </w:pPr>
      <w:r w:rsidRPr="00E53AD2">
        <w:rPr>
          <w:b/>
          <w:bCs/>
        </w:rPr>
        <w:t>Strengths and Weaknesses of the Project</w:t>
      </w:r>
    </w:p>
    <w:p w14:paraId="79D8C242" w14:textId="4511EC2F" w:rsidR="007C5AFF" w:rsidRDefault="007C5AFF" w:rsidP="00E56136">
      <w:r>
        <w:t xml:space="preserve">The </w:t>
      </w:r>
      <w:proofErr w:type="spellStart"/>
      <w:r>
        <w:t>Tyseley</w:t>
      </w:r>
      <w:proofErr w:type="spellEnd"/>
      <w:r>
        <w:t xml:space="preserve"> Energy Park Community Engagement Project has several strengths, including its inclusive nature, which aligns with community engagement principles. The project has incorporated different models and tools to ensure that the community members are well-informed and able to provide feedback on the project's impacts. The project's approach has also enabled a transparent decision-making process, facilitated by clear communication channels. Finally, the project has had a significant impact on the quality of life for Birmingham residents, highlighting the effectiveness of community engagement initiatives.</w:t>
      </w:r>
    </w:p>
    <w:p w14:paraId="5DC10DAA" w14:textId="6B550BF1" w:rsidR="00E56136" w:rsidRPr="00E56136" w:rsidRDefault="007C5AFF" w:rsidP="00E56136">
      <w:r>
        <w:t>On the downside, the project's approach and engagement approach may not have been detailed enough, resulting in limited involvement from the community's broader range of members, such as vulnerable groups who may not have had sufficient access to the communication channels used in the project. Additionally, community engagement projects tend to be time-consuming and resource-intensive, which might be a challenge for some community initiatives with limited resources.</w:t>
      </w:r>
    </w:p>
    <w:p w14:paraId="7119D0F6" w14:textId="77777777" w:rsidR="00E56136" w:rsidRDefault="00E56136" w:rsidP="00E56136">
      <w:pPr>
        <w:jc w:val="center"/>
        <w:rPr>
          <w:b/>
          <w:bCs/>
        </w:rPr>
      </w:pPr>
    </w:p>
    <w:p w14:paraId="4BFFE51E" w14:textId="5B9EAB2D" w:rsidR="007C5AFF" w:rsidRPr="00E56136" w:rsidRDefault="007C5AFF" w:rsidP="00E56136">
      <w:pPr>
        <w:jc w:val="center"/>
      </w:pPr>
      <w:r w:rsidRPr="00E56136">
        <w:rPr>
          <w:b/>
          <w:bCs/>
        </w:rPr>
        <w:lastRenderedPageBreak/>
        <w:t>Conclusion</w:t>
      </w:r>
    </w:p>
    <w:p w14:paraId="14DC0B48" w14:textId="77777777" w:rsidR="00E53AD2" w:rsidRDefault="00E53AD2" w:rsidP="00E56136">
      <w:pPr>
        <w:jc w:val="center"/>
      </w:pPr>
    </w:p>
    <w:p w14:paraId="7D29F5F6" w14:textId="44F96888" w:rsidR="00E53AD2" w:rsidRDefault="00E53AD2" w:rsidP="00E53AD2">
      <w:r>
        <w:t xml:space="preserve">The </w:t>
      </w:r>
      <w:proofErr w:type="spellStart"/>
      <w:r>
        <w:t>Tyseley</w:t>
      </w:r>
      <w:proofErr w:type="spellEnd"/>
      <w:r>
        <w:t xml:space="preserve"> Energy Park Community Engagement Project is a remarkable example of how community engagement can be introduced in the developmental process to create sustainable and inclusive communities. The success of this project not only results from the inclusive nature of the approach that aligns with community engagement principles but also the incorporation of different models and tools to ensure that communities are well-informed, represented, and able to provide feedback on the project's impacts. These tools and models enabled transparent and open decision-making processes facilitated by clear communication channels, which proved vital in implementing the project successfully.</w:t>
      </w:r>
    </w:p>
    <w:p w14:paraId="6FB203D5" w14:textId="2F2C0040" w:rsidR="00E53AD2" w:rsidRDefault="00E53AD2" w:rsidP="00E53AD2">
      <w:r>
        <w:t>Furthermore, the project had a significant impact on the quality of life for Birmingham residents. For instance, through the project's operation, employment opportunities for local community members have been created, resulting in positive economic impacts on the community. Additionally, the increased use of renewable energy has resulted in a cleaner and healthier environment, which has positively affected the local community's well-being.</w:t>
      </w:r>
    </w:p>
    <w:p w14:paraId="7FFBCF30" w14:textId="46125EBB" w:rsidR="00E53AD2" w:rsidRDefault="00E53AD2" w:rsidP="00E53AD2">
      <w:r>
        <w:t>However, the project had some weaknesses, like the lack of involvement of some vulnerable groups such as those without access to online communication channels. Future community engagement initiatives should take a more targeted and collaborative approach and expand communication channels to ensure that all Birmingham residents are fully involved in the decision-making process.</w:t>
      </w:r>
    </w:p>
    <w:p w14:paraId="2B3BEEE6" w14:textId="7A485BDF" w:rsidR="007C5AFF" w:rsidRDefault="00E53AD2" w:rsidP="00E53AD2">
      <w:r>
        <w:t xml:space="preserve">In conclusion, this report highlights the importance of community engagement as an effective tool for sustainable development. Using the </w:t>
      </w:r>
      <w:proofErr w:type="spellStart"/>
      <w:r>
        <w:t>Tyseley</w:t>
      </w:r>
      <w:proofErr w:type="spellEnd"/>
      <w:r>
        <w:t xml:space="preserve"> Energy Park Community Engagement Project as a case study, the report has identified various community engagement models, tools, and platforms used in the project, as well as the project's impact and its strengths and weaknesses. The report emphasizes that community engagement remains a critical component of development initiatives that aim to promote inclusive, equitable, and sustainable communities, and the lessons learned from the </w:t>
      </w:r>
      <w:proofErr w:type="spellStart"/>
      <w:r>
        <w:t>Tyseley</w:t>
      </w:r>
      <w:proofErr w:type="spellEnd"/>
      <w:r>
        <w:t xml:space="preserve"> Energy Park Community Engagement Project provide valuable insights for any future projects aiming to adopt a similar approach.</w:t>
      </w:r>
    </w:p>
    <w:p w14:paraId="40FCE30F" w14:textId="77777777" w:rsidR="007C5AFF" w:rsidRDefault="007C5AFF" w:rsidP="007C5AFF">
      <w:pPr>
        <w:pStyle w:val="ListParagraph"/>
      </w:pPr>
    </w:p>
    <w:p w14:paraId="4258909C" w14:textId="77777777" w:rsidR="007C5AFF" w:rsidRDefault="007C5AFF" w:rsidP="007C5AFF">
      <w:pPr>
        <w:pStyle w:val="ListParagraph"/>
      </w:pPr>
    </w:p>
    <w:p w14:paraId="2967777F" w14:textId="77777777" w:rsidR="007C5AFF" w:rsidRDefault="007C5AFF" w:rsidP="007C5AFF">
      <w:pPr>
        <w:pStyle w:val="ListParagraph"/>
      </w:pPr>
    </w:p>
    <w:p w14:paraId="5BB81D5C" w14:textId="77777777" w:rsidR="007C5AFF" w:rsidRDefault="007C5AFF" w:rsidP="007C5AFF">
      <w:pPr>
        <w:pStyle w:val="ListParagraph"/>
      </w:pPr>
    </w:p>
    <w:p w14:paraId="7B8C27DF" w14:textId="77777777" w:rsidR="007C5AFF" w:rsidRDefault="007C5AFF" w:rsidP="007C5AFF">
      <w:pPr>
        <w:pStyle w:val="ListParagraph"/>
      </w:pPr>
    </w:p>
    <w:p w14:paraId="6E651349" w14:textId="77777777" w:rsidR="007C5AFF" w:rsidRDefault="007C5AFF" w:rsidP="007C5AFF">
      <w:pPr>
        <w:pStyle w:val="ListParagraph"/>
      </w:pPr>
    </w:p>
    <w:p w14:paraId="758AF7D1" w14:textId="77777777" w:rsidR="007C5AFF" w:rsidRDefault="007C5AFF" w:rsidP="007C5AFF">
      <w:pPr>
        <w:pStyle w:val="ListParagraph"/>
      </w:pPr>
    </w:p>
    <w:p w14:paraId="38223015" w14:textId="77777777" w:rsidR="007C5AFF" w:rsidRDefault="007C5AFF" w:rsidP="007C5AFF">
      <w:pPr>
        <w:pStyle w:val="ListParagraph"/>
      </w:pPr>
    </w:p>
    <w:p w14:paraId="6C614AAF" w14:textId="77777777" w:rsidR="007C5AFF" w:rsidRDefault="007C5AFF" w:rsidP="007C5AFF">
      <w:pPr>
        <w:pStyle w:val="ListParagraph"/>
      </w:pPr>
    </w:p>
    <w:p w14:paraId="686D6682" w14:textId="77777777" w:rsidR="007C5AFF" w:rsidRDefault="007C5AFF" w:rsidP="007C5AFF">
      <w:pPr>
        <w:pStyle w:val="ListParagraph"/>
      </w:pPr>
    </w:p>
    <w:p w14:paraId="23F1D78D" w14:textId="77777777" w:rsidR="007C5AFF" w:rsidRDefault="007C5AFF" w:rsidP="007C5AFF">
      <w:pPr>
        <w:pStyle w:val="ListParagraph"/>
      </w:pPr>
    </w:p>
    <w:p w14:paraId="6CD4CF36" w14:textId="77777777" w:rsidR="007C5AFF" w:rsidRDefault="007C5AFF" w:rsidP="00E53AD2"/>
    <w:p w14:paraId="7780857F" w14:textId="77777777" w:rsidR="00E56136" w:rsidRDefault="00E56136" w:rsidP="00E53AD2">
      <w:pPr>
        <w:pStyle w:val="ListParagraph"/>
        <w:jc w:val="center"/>
        <w:rPr>
          <w:b/>
          <w:bCs/>
        </w:rPr>
      </w:pPr>
    </w:p>
    <w:p w14:paraId="32E0DFDE" w14:textId="77777777" w:rsidR="00E56136" w:rsidRDefault="00E56136" w:rsidP="00E53AD2">
      <w:pPr>
        <w:pStyle w:val="ListParagraph"/>
        <w:jc w:val="center"/>
        <w:rPr>
          <w:b/>
          <w:bCs/>
        </w:rPr>
      </w:pPr>
    </w:p>
    <w:p w14:paraId="2A477870" w14:textId="77777777" w:rsidR="00E56136" w:rsidRDefault="00E56136" w:rsidP="00E53AD2">
      <w:pPr>
        <w:pStyle w:val="ListParagraph"/>
        <w:jc w:val="center"/>
        <w:rPr>
          <w:b/>
          <w:bCs/>
        </w:rPr>
      </w:pPr>
    </w:p>
    <w:p w14:paraId="5D4AE25E" w14:textId="77777777" w:rsidR="00E56136" w:rsidRDefault="00E56136" w:rsidP="00E56136">
      <w:pPr>
        <w:rPr>
          <w:b/>
          <w:bCs/>
        </w:rPr>
      </w:pPr>
    </w:p>
    <w:p w14:paraId="4325FE22" w14:textId="2407E0E1" w:rsidR="007C5AFF" w:rsidRDefault="007C5AFF" w:rsidP="00E56136">
      <w:pPr>
        <w:jc w:val="center"/>
        <w:rPr>
          <w:b/>
          <w:bCs/>
        </w:rPr>
      </w:pPr>
      <w:r w:rsidRPr="00E56136">
        <w:rPr>
          <w:b/>
          <w:bCs/>
        </w:rPr>
        <w:lastRenderedPageBreak/>
        <w:t>References:</w:t>
      </w:r>
    </w:p>
    <w:p w14:paraId="199C8646" w14:textId="77777777" w:rsidR="00E56136" w:rsidRPr="00E56136" w:rsidRDefault="00E56136" w:rsidP="00E56136">
      <w:pPr>
        <w:jc w:val="center"/>
        <w:rPr>
          <w:b/>
          <w:bCs/>
        </w:rPr>
      </w:pPr>
    </w:p>
    <w:p w14:paraId="5F9ADB98" w14:textId="0F37A6C3" w:rsidR="007C5AFF" w:rsidRDefault="007C5AFF" w:rsidP="00E56136">
      <w:pPr>
        <w:pStyle w:val="ListParagraph"/>
        <w:numPr>
          <w:ilvl w:val="0"/>
          <w:numId w:val="3"/>
        </w:numPr>
      </w:pPr>
      <w:r>
        <w:t>Arnstein, S.R. (1969). A Ladder Of Citizen Participation. Journal Of The American Institute Of Planners, 35(4), 216-224.</w:t>
      </w:r>
    </w:p>
    <w:p w14:paraId="0E1F539A" w14:textId="1A28F510" w:rsidR="007C5AFF" w:rsidRDefault="007C5AFF" w:rsidP="00E56136">
      <w:pPr>
        <w:pStyle w:val="ListParagraph"/>
        <w:numPr>
          <w:ilvl w:val="0"/>
          <w:numId w:val="3"/>
        </w:numPr>
      </w:pPr>
      <w:r>
        <w:t>IAP2. (2018). The International Association for Public Participation (IAP2) Spectrum of Public Participation.</w:t>
      </w:r>
    </w:p>
    <w:p w14:paraId="6B882B44" w14:textId="2709C5C8" w:rsidR="007C5AFF" w:rsidRDefault="007C5AFF" w:rsidP="00E56136">
      <w:pPr>
        <w:pStyle w:val="ListParagraph"/>
        <w:numPr>
          <w:ilvl w:val="0"/>
          <w:numId w:val="3"/>
        </w:numPr>
      </w:pPr>
      <w:r>
        <w:t xml:space="preserve">Lewis, S.C. and </w:t>
      </w:r>
      <w:proofErr w:type="spellStart"/>
      <w:r>
        <w:t>Matsaganis</w:t>
      </w:r>
      <w:proofErr w:type="spellEnd"/>
      <w:r>
        <w:t>, M.D. (2018). Social Media Use and Political Engagement: A Meta-Analysis of Research. Journal Of Broadcasting &amp; Electronic Media, 62 (2), 203-222.</w:t>
      </w:r>
    </w:p>
    <w:p w14:paraId="6A7C7608" w14:textId="3AB34ECC" w:rsidR="007C5AFF" w:rsidRDefault="007C5AFF" w:rsidP="00E56136">
      <w:pPr>
        <w:pStyle w:val="ListParagraph"/>
        <w:numPr>
          <w:ilvl w:val="0"/>
          <w:numId w:val="3"/>
        </w:numPr>
      </w:pPr>
      <w:proofErr w:type="spellStart"/>
      <w:r>
        <w:t>Tyseley</w:t>
      </w:r>
      <w:proofErr w:type="spellEnd"/>
      <w:r>
        <w:t xml:space="preserve"> Energy Park Community Engagement Project. (2021). About Us.</w:t>
      </w:r>
    </w:p>
    <w:p w14:paraId="01AE17F0" w14:textId="6CB0842D" w:rsidR="00E53AD2" w:rsidRDefault="007C5AFF" w:rsidP="00E56136">
      <w:pPr>
        <w:pStyle w:val="ListParagraph"/>
        <w:numPr>
          <w:ilvl w:val="0"/>
          <w:numId w:val="3"/>
        </w:numPr>
      </w:pPr>
      <w:r>
        <w:t>UNEP. (2015). Principles for effective communication and public participation. United Nations Environment Programme.</w:t>
      </w:r>
    </w:p>
    <w:p w14:paraId="068A243F" w14:textId="34CE2536" w:rsidR="00E56136" w:rsidRDefault="00E53AD2" w:rsidP="00E56136">
      <w:pPr>
        <w:pStyle w:val="ListParagraph"/>
        <w:numPr>
          <w:ilvl w:val="0"/>
          <w:numId w:val="3"/>
        </w:numPr>
      </w:pPr>
      <w:r>
        <w:t xml:space="preserve">Birmingham City Council (2019) </w:t>
      </w:r>
      <w:proofErr w:type="spellStart"/>
      <w:r>
        <w:t>Tyseley</w:t>
      </w:r>
      <w:proofErr w:type="spellEnd"/>
      <w:r>
        <w:t xml:space="preserve"> Energy Park | Birmingham City Council. Available at: https://www.birmingham.gov.uk/tyseleyenergypark (Accessed: 26 October 2023).</w:t>
      </w:r>
    </w:p>
    <w:p w14:paraId="64BEAADF" w14:textId="208DCE80" w:rsidR="00E53AD2" w:rsidRPr="0093432F" w:rsidRDefault="00E53AD2" w:rsidP="00E56136">
      <w:pPr>
        <w:pStyle w:val="ListParagraph"/>
        <w:numPr>
          <w:ilvl w:val="0"/>
          <w:numId w:val="3"/>
        </w:numPr>
      </w:pPr>
      <w:r>
        <w:t xml:space="preserve">Birmingham City Council (2018) </w:t>
      </w:r>
      <w:proofErr w:type="spellStart"/>
      <w:r>
        <w:t>Tyseley</w:t>
      </w:r>
      <w:proofErr w:type="spellEnd"/>
      <w:r>
        <w:t xml:space="preserve"> Energy Park Master Plan. Available at: https://www.birmingham.gov.uk/downloads/file/7796/tyseley_energy_park_master_plan (Accessed: 26 October 2023)</w:t>
      </w:r>
      <w:r>
        <w:t xml:space="preserve">. </w:t>
      </w:r>
    </w:p>
    <w:sectPr w:rsidR="00E53AD2" w:rsidRPr="00934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83350"/>
    <w:multiLevelType w:val="hybridMultilevel"/>
    <w:tmpl w:val="EFAA1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B92CB2"/>
    <w:multiLevelType w:val="hybridMultilevel"/>
    <w:tmpl w:val="E0A834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BB51AA8"/>
    <w:multiLevelType w:val="hybridMultilevel"/>
    <w:tmpl w:val="11EAB918"/>
    <w:lvl w:ilvl="0" w:tplc="08090001">
      <w:start w:val="1"/>
      <w:numFmt w:val="bullet"/>
      <w:lvlText w:val=""/>
      <w:lvlJc w:val="left"/>
      <w:pPr>
        <w:ind w:left="720" w:hanging="360"/>
      </w:pPr>
      <w:rPr>
        <w:rFonts w:ascii="Symbol" w:hAnsi="Symbol" w:hint="default"/>
      </w:rPr>
    </w:lvl>
    <w:lvl w:ilvl="1" w:tplc="3198FF1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215385">
    <w:abstractNumId w:val="0"/>
  </w:num>
  <w:num w:numId="2" w16cid:durableId="717752157">
    <w:abstractNumId w:val="1"/>
  </w:num>
  <w:num w:numId="3" w16cid:durableId="248854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7AD"/>
    <w:rsid w:val="007C5AFF"/>
    <w:rsid w:val="00883E95"/>
    <w:rsid w:val="0093432F"/>
    <w:rsid w:val="00B807AD"/>
    <w:rsid w:val="00E53AD2"/>
    <w:rsid w:val="00E56136"/>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A134E"/>
  <w15:chartTrackingRefBased/>
  <w15:docId w15:val="{D692C529-6481-4217-A274-725D7A867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3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2214</Words>
  <Characters>12624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2023-10-26T23:02:00Z</dcterms:created>
  <dcterms:modified xsi:type="dcterms:W3CDTF">2023-10-26T23:51:00Z</dcterms:modified>
</cp:coreProperties>
</file>