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8C64CB4" w:rsidP="0ACEB57D" w:rsidRDefault="08C64CB4" w14:paraId="729B7F71" w14:textId="425A2427">
      <w:pPr>
        <w:spacing w:after="160" w:line="259" w:lineRule="auto"/>
        <w:jc w:val="both"/>
        <w:rPr>
          <w:rFonts w:ascii="Arial" w:hAnsi="Arial" w:eastAsia="Arial" w:cs="Arial"/>
          <w:noProof w:val="0"/>
          <w:sz w:val="24"/>
          <w:szCs w:val="24"/>
          <w:lang w:val="en-GB"/>
        </w:rPr>
      </w:pPr>
      <w:r w:rsidRPr="0ACEB57D" w:rsidR="0ACEB57D">
        <w:rPr>
          <w:rFonts w:ascii="Arial" w:hAnsi="Arial" w:eastAsia="Arial" w:cs="Arial"/>
          <w:noProof w:val="0"/>
          <w:sz w:val="24"/>
          <w:szCs w:val="24"/>
          <w:lang w:val="en-GB"/>
        </w:rPr>
        <w:t>EAEE4404</w:t>
      </w:r>
    </w:p>
    <w:p w:rsidR="08C64CB4" w:rsidP="0ACEB57D" w:rsidRDefault="08C64CB4" w14:paraId="2BB48126" w14:textId="3005E0D8">
      <w:pPr>
        <w:spacing w:after="160" w:line="259" w:lineRule="auto"/>
        <w:jc w:val="both"/>
        <w:rPr>
          <w:rFonts w:ascii="Arial" w:hAnsi="Arial" w:eastAsia="Arial" w:cs="Arial"/>
          <w:noProof w:val="0"/>
          <w:sz w:val="24"/>
          <w:szCs w:val="24"/>
          <w:lang w:val="en-GB"/>
        </w:rPr>
      </w:pPr>
      <w:r w:rsidRPr="0ACEB57D" w:rsidR="0ACEB57D">
        <w:rPr>
          <w:rFonts w:ascii="Arial" w:hAnsi="Arial" w:eastAsia="Arial" w:cs="Arial"/>
          <w:noProof w:val="0"/>
          <w:sz w:val="24"/>
          <w:szCs w:val="24"/>
          <w:lang w:val="en-GB"/>
        </w:rPr>
        <w:t>Student number: 2011663</w:t>
      </w:r>
    </w:p>
    <w:p w:rsidR="08C64CB4" w:rsidP="0ACEB57D" w:rsidRDefault="08C64CB4" w14:paraId="2B73970C" w14:textId="7EE52CCD">
      <w:pPr>
        <w:spacing w:after="160" w:line="259" w:lineRule="auto"/>
        <w:jc w:val="both"/>
        <w:rPr>
          <w:rFonts w:ascii="Arial" w:hAnsi="Arial" w:eastAsia="Arial" w:cs="Arial"/>
          <w:noProof w:val="0"/>
          <w:sz w:val="24"/>
          <w:szCs w:val="24"/>
          <w:lang w:val="en-GB"/>
        </w:rPr>
      </w:pPr>
      <w:r w:rsidRPr="0ACEB57D" w:rsidR="0ACEB57D">
        <w:rPr>
          <w:rFonts w:ascii="Arial" w:hAnsi="Arial" w:eastAsia="Arial" w:cs="Arial"/>
          <w:noProof w:val="0"/>
          <w:sz w:val="24"/>
          <w:szCs w:val="24"/>
          <w:lang w:val="en-GB"/>
        </w:rPr>
        <w:t>Word count: 2719</w:t>
      </w:r>
    </w:p>
    <w:p w:rsidR="08C64CB4" w:rsidP="0ACEB57D" w:rsidRDefault="08C64CB4" w14:paraId="1DB8959F" w14:textId="7BAD35F8">
      <w:pPr>
        <w:pStyle w:val="Normal"/>
        <w:rPr>
          <w:rFonts w:ascii="Calibri" w:hAnsi="Calibri" w:eastAsia="Calibri" w:cs="Calibri"/>
          <w:noProof w:val="0"/>
          <w:sz w:val="22"/>
          <w:szCs w:val="22"/>
          <w:u w:val="single"/>
          <w:lang w:val="en-GB"/>
        </w:rPr>
      </w:pPr>
    </w:p>
    <w:p w:rsidR="08C64CB4" w:rsidP="0ACEB57D" w:rsidRDefault="08C64CB4" w14:paraId="0258C4CA" w14:textId="77BDE279">
      <w:pPr>
        <w:pStyle w:val="Normal"/>
        <w:rPr>
          <w:rFonts w:ascii="Calibri" w:hAnsi="Calibri" w:eastAsia="Calibri" w:cs="Calibri"/>
          <w:noProof w:val="0"/>
          <w:sz w:val="22"/>
          <w:szCs w:val="22"/>
          <w:u w:val="single"/>
          <w:lang w:val="en-GB"/>
        </w:rPr>
      </w:pPr>
      <w:r w:rsidRPr="0ACEB57D" w:rsidR="0ACEB57D">
        <w:rPr>
          <w:rFonts w:ascii="Calibri" w:hAnsi="Calibri" w:eastAsia="Calibri" w:cs="Calibri"/>
          <w:noProof w:val="0"/>
          <w:sz w:val="22"/>
          <w:szCs w:val="22"/>
          <w:u w:val="single"/>
          <w:lang w:val="en-GB"/>
        </w:rPr>
        <w:t>Section 1</w:t>
      </w:r>
    </w:p>
    <w:tbl>
      <w:tblPr>
        <w:tblStyle w:val="TableGrid"/>
        <w:tblW w:w="0" w:type="auto"/>
        <w:tblLayout w:type="fixed"/>
        <w:tblLook w:val="06A0" w:firstRow="1" w:lastRow="0" w:firstColumn="1" w:lastColumn="0" w:noHBand="1" w:noVBand="1"/>
      </w:tblPr>
      <w:tblGrid>
        <w:gridCol w:w="2085"/>
        <w:gridCol w:w="2235"/>
        <w:gridCol w:w="2040"/>
      </w:tblGrid>
      <w:tr w:rsidR="0ACEB57D" w:rsidTr="0ACEB57D" w14:paraId="324F21AB">
        <w:trPr>
          <w:trHeight w:val="300"/>
        </w:trPr>
        <w:tc>
          <w:tcPr>
            <w:tcW w:w="6360"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0ACEB57D" w:rsidP="0ACEB57D" w:rsidRDefault="0ACEB57D" w14:paraId="27A7AB46" w14:textId="026CBFE1">
            <w:pPr>
              <w:jc w:val="cente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0ACEB57D" w:rsidR="0ACEB57D">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Activity Plan</w:t>
            </w:r>
          </w:p>
        </w:tc>
      </w:tr>
      <w:tr w:rsidR="0ACEB57D" w:rsidTr="0ACEB57D" w14:paraId="1C8B421C">
        <w:trPr>
          <w:trHeight w:val="720"/>
        </w:trPr>
        <w:tc>
          <w:tcPr>
            <w:tcW w:w="6360"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0ACEB57D" w:rsidP="0ACEB57D" w:rsidRDefault="0ACEB57D" w14:paraId="009FA80B" w14:textId="13441204">
            <w:pPr>
              <w:pStyle w:val="Normal"/>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0ACEB57D" w:rsidR="0ACEB57D">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Activity:  Baking welsh cakes</w:t>
            </w:r>
          </w:p>
          <w:p w:rsidR="0ACEB57D" w:rsidP="0ACEB57D" w:rsidRDefault="0ACEB57D" w14:paraId="3B4D4CA5" w14:textId="047451A3">
            <w:pPr>
              <w:rPr>
                <w:rFonts w:ascii="Calibri" w:hAnsi="Calibri" w:eastAsia="Calibri" w:cs="Calibri" w:asciiTheme="minorAscii" w:hAnsiTheme="minorAscii" w:eastAsiaTheme="minorAscii" w:cstheme="minorAscii"/>
                <w:b w:val="0"/>
                <w:bCs w:val="0"/>
                <w:i w:val="0"/>
                <w:iCs w:val="0"/>
              </w:rPr>
            </w:pPr>
            <w:r>
              <w:br/>
            </w:r>
          </w:p>
        </w:tc>
      </w:tr>
      <w:tr w:rsidR="0ACEB57D" w:rsidTr="0ACEB57D" w14:paraId="38B91C8D">
        <w:trPr>
          <w:trHeight w:val="705"/>
        </w:trPr>
        <w:tc>
          <w:tcPr>
            <w:tcW w:w="208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ACEB57D" w:rsidP="0ACEB57D" w:rsidRDefault="0ACEB57D" w14:paraId="7E297C5B" w14:textId="78257492">
            <w:pPr>
              <w:rPr>
                <w:rFonts w:ascii="Calibri" w:hAnsi="Calibri" w:eastAsia="Calibri" w:cs="Calibri" w:asciiTheme="minorAscii" w:hAnsiTheme="minorAscii" w:eastAsiaTheme="minorAscii" w:cstheme="minorAscii"/>
                <w:b w:val="0"/>
                <w:bCs w:val="0"/>
                <w:i w:val="0"/>
                <w:iCs w:val="0"/>
                <w:color w:val="000000" w:themeColor="text1" w:themeTint="FF" w:themeShade="FF"/>
                <w:sz w:val="16"/>
                <w:szCs w:val="16"/>
              </w:rPr>
            </w:pPr>
          </w:p>
          <w:p w:rsidR="0ACEB57D" w:rsidP="0ACEB57D" w:rsidRDefault="0ACEB57D" w14:paraId="39B832BC" w14:textId="31DA45D0">
            <w:pPr>
              <w:rPr>
                <w:rFonts w:ascii="Calibri" w:hAnsi="Calibri" w:eastAsia="Calibri" w:cs="Calibri" w:asciiTheme="minorAscii" w:hAnsiTheme="minorAscii" w:eastAsiaTheme="minorAscii" w:cstheme="minorAscii"/>
                <w:b w:val="0"/>
                <w:bCs w:val="0"/>
                <w:i w:val="0"/>
                <w:iCs w:val="0"/>
              </w:rPr>
            </w:pPr>
            <w:r w:rsidRPr="0ACEB57D" w:rsidR="0ACEB57D">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 xml:space="preserve">Number of children: </w:t>
            </w:r>
            <w:r w:rsidRPr="0ACEB57D" w:rsidR="0ACEB57D">
              <w:rPr>
                <w:rFonts w:ascii="Calibri" w:hAnsi="Calibri" w:eastAsia="Calibri" w:cs="Calibri" w:asciiTheme="minorAscii" w:hAnsiTheme="minorAscii" w:eastAsiaTheme="minorAscii" w:cstheme="minorAscii"/>
                <w:b w:val="0"/>
                <w:bCs w:val="0"/>
                <w:i w:val="0"/>
                <w:iCs w:val="0"/>
                <w:sz w:val="22"/>
                <w:szCs w:val="22"/>
              </w:rPr>
              <w:t>12</w:t>
            </w:r>
            <w:r>
              <w:br/>
            </w:r>
          </w:p>
        </w:tc>
        <w:tc>
          <w:tcPr>
            <w:tcW w:w="223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ACEB57D" w:rsidP="0ACEB57D" w:rsidRDefault="0ACEB57D" w14:paraId="79424B43" w14:textId="7D00BDBC">
            <w:pPr>
              <w:rPr>
                <w:rFonts w:ascii="Calibri" w:hAnsi="Calibri" w:eastAsia="Calibri" w:cs="Calibri" w:asciiTheme="minorAscii" w:hAnsiTheme="minorAscii" w:eastAsiaTheme="minorAscii" w:cstheme="minorAscii"/>
                <w:b w:val="0"/>
                <w:bCs w:val="0"/>
                <w:i w:val="0"/>
                <w:iCs w:val="0"/>
                <w:color w:val="000000" w:themeColor="text1" w:themeTint="FF" w:themeShade="FF"/>
                <w:sz w:val="16"/>
                <w:szCs w:val="16"/>
              </w:rPr>
            </w:pPr>
          </w:p>
          <w:p w:rsidR="0ACEB57D" w:rsidP="0ACEB57D" w:rsidRDefault="0ACEB57D" w14:paraId="68C57EE9" w14:textId="0B638490">
            <w:pP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0ACEB57D" w:rsidR="0ACEB57D">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Age of children:</w:t>
            </w:r>
          </w:p>
          <w:p w:rsidR="0ACEB57D" w:rsidP="0ACEB57D" w:rsidRDefault="0ACEB57D" w14:paraId="68022CDA" w14:textId="5E6E8C9B">
            <w:pPr>
              <w:pStyle w:val="Normal"/>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0ACEB57D" w:rsidR="0ACEB57D">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6 years old</w:t>
            </w:r>
          </w:p>
        </w:tc>
        <w:tc>
          <w:tcPr>
            <w:tcW w:w="20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ACEB57D" w:rsidP="0ACEB57D" w:rsidRDefault="0ACEB57D" w14:paraId="57D87F0E" w14:textId="796BED04">
            <w:pPr>
              <w:pStyle w:val="Normal"/>
              <w:rPr>
                <w:rFonts w:ascii="Calibri" w:hAnsi="Calibri" w:eastAsia="Calibri" w:cs="Calibri" w:asciiTheme="minorAscii" w:hAnsiTheme="minorAscii" w:eastAsiaTheme="minorAscii" w:cstheme="minorAscii"/>
                <w:b w:val="0"/>
                <w:bCs w:val="0"/>
                <w:i w:val="0"/>
                <w:iCs w:val="0"/>
                <w:color w:val="000000" w:themeColor="text1" w:themeTint="FF" w:themeShade="FF"/>
                <w:sz w:val="16"/>
                <w:szCs w:val="16"/>
              </w:rPr>
            </w:pPr>
          </w:p>
          <w:p w:rsidR="0ACEB57D" w:rsidP="0ACEB57D" w:rsidRDefault="0ACEB57D" w14:paraId="0154B3AA" w14:textId="6768DE29">
            <w:pPr>
              <w:pStyle w:val="Normal"/>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ACEB57D" w:rsidR="0ACEB57D">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Number of adults: 2</w:t>
            </w:r>
          </w:p>
        </w:tc>
      </w:tr>
      <w:tr w:rsidR="0ACEB57D" w:rsidTr="0ACEB57D" w14:paraId="0DEF7796">
        <w:trPr>
          <w:trHeight w:val="720"/>
        </w:trPr>
        <w:tc>
          <w:tcPr>
            <w:tcW w:w="208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ACEB57D" w:rsidP="0ACEB57D" w:rsidRDefault="0ACEB57D" w14:paraId="4D35CF04" w14:textId="25F590AC">
            <w:pPr>
              <w:rPr>
                <w:rFonts w:ascii="Calibri" w:hAnsi="Calibri" w:eastAsia="Calibri" w:cs="Calibri" w:asciiTheme="minorAscii" w:hAnsiTheme="minorAscii" w:eastAsiaTheme="minorAscii" w:cstheme="minorAscii"/>
                <w:b w:val="0"/>
                <w:bCs w:val="0"/>
                <w:i w:val="0"/>
                <w:iCs w:val="0"/>
                <w:color w:val="000000" w:themeColor="text1" w:themeTint="FF" w:themeShade="FF"/>
                <w:sz w:val="16"/>
                <w:szCs w:val="16"/>
              </w:rPr>
            </w:pPr>
          </w:p>
          <w:p w:rsidR="0ACEB57D" w:rsidP="0ACEB57D" w:rsidRDefault="0ACEB57D" w14:paraId="1C2EA716" w14:textId="24C22C50">
            <w:pPr>
              <w:rPr>
                <w:rFonts w:ascii="Calibri" w:hAnsi="Calibri" w:eastAsia="Calibri" w:cs="Calibri" w:asciiTheme="minorAscii" w:hAnsiTheme="minorAscii" w:eastAsiaTheme="minorAscii" w:cstheme="minorAscii"/>
                <w:b w:val="0"/>
                <w:bCs w:val="0"/>
                <w:i w:val="0"/>
                <w:iCs w:val="0"/>
                <w:sz w:val="22"/>
                <w:szCs w:val="22"/>
              </w:rPr>
            </w:pPr>
            <w:r w:rsidRPr="0ACEB57D" w:rsidR="0ACEB57D">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 xml:space="preserve">Location: </w:t>
            </w:r>
            <w:r w:rsidRPr="0ACEB57D" w:rsidR="0ACEB57D">
              <w:rPr>
                <w:rFonts w:ascii="Calibri" w:hAnsi="Calibri" w:eastAsia="Calibri" w:cs="Calibri" w:asciiTheme="minorAscii" w:hAnsiTheme="minorAscii" w:eastAsiaTheme="minorAscii" w:cstheme="minorAscii"/>
                <w:b w:val="0"/>
                <w:bCs w:val="0"/>
                <w:i w:val="0"/>
                <w:iCs w:val="0"/>
                <w:sz w:val="22"/>
                <w:szCs w:val="22"/>
              </w:rPr>
              <w:t xml:space="preserve">Classroom </w:t>
            </w:r>
          </w:p>
        </w:tc>
        <w:tc>
          <w:tcPr>
            <w:tcW w:w="223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ACEB57D" w:rsidP="0ACEB57D" w:rsidRDefault="0ACEB57D" w14:paraId="152D727E" w14:textId="50EE0876">
            <w:pPr>
              <w:pStyle w:val="Normal"/>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p>
          <w:p w:rsidR="0ACEB57D" w:rsidP="0ACEB57D" w:rsidRDefault="0ACEB57D" w14:paraId="54323C57" w14:textId="75D5A896">
            <w:pPr>
              <w:pStyle w:val="Normal"/>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0ACEB57D" w:rsidR="0ACEB57D">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Preparation time: 1 hour</w:t>
            </w:r>
          </w:p>
        </w:tc>
        <w:tc>
          <w:tcPr>
            <w:tcW w:w="20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ACEB57D" w:rsidP="0ACEB57D" w:rsidRDefault="0ACEB57D" w14:paraId="3D040F8A" w14:textId="24EDAF15">
            <w:pPr>
              <w:rPr>
                <w:rFonts w:ascii="Calibri" w:hAnsi="Calibri" w:eastAsia="Calibri" w:cs="Calibri" w:asciiTheme="minorAscii" w:hAnsiTheme="minorAscii" w:eastAsiaTheme="minorAscii" w:cstheme="minorAscii"/>
                <w:b w:val="0"/>
                <w:bCs w:val="0"/>
                <w:i w:val="0"/>
                <w:iCs w:val="0"/>
                <w:color w:val="000000" w:themeColor="text1" w:themeTint="FF" w:themeShade="FF"/>
                <w:sz w:val="16"/>
                <w:szCs w:val="16"/>
              </w:rPr>
            </w:pPr>
          </w:p>
          <w:p w:rsidR="0ACEB57D" w:rsidP="0ACEB57D" w:rsidRDefault="0ACEB57D" w14:paraId="2C21060B" w14:textId="1287003A">
            <w:pP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0ACEB57D" w:rsidR="0ACEB57D">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Activity time: 2 hours</w:t>
            </w:r>
          </w:p>
        </w:tc>
      </w:tr>
      <w:tr w:rsidR="0ACEB57D" w:rsidTr="0ACEB57D" w14:paraId="6B992481">
        <w:trPr>
          <w:trHeight w:val="1245"/>
        </w:trPr>
        <w:tc>
          <w:tcPr>
            <w:tcW w:w="6360"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0ACEB57D" w:rsidP="0ACEB57D" w:rsidRDefault="0ACEB57D" w14:paraId="4C0DAF2F" w14:textId="0FB5E6B1">
            <w:pP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p>
          <w:p w:rsidR="0ACEB57D" w:rsidP="0ACEB57D" w:rsidRDefault="0ACEB57D" w14:paraId="35D7EBD6" w14:textId="2C7CF39F">
            <w:pP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0ACEB57D" w:rsidR="0ACEB57D">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 xml:space="preserve">Resources:  Weighing scales, measuring spoons, aprons, oven glove, rolling pin, chopping board, cooling rack, spatula </w:t>
            </w:r>
          </w:p>
          <w:p w:rsidR="0ACEB57D" w:rsidP="0ACEB57D" w:rsidRDefault="0ACEB57D" w14:paraId="2D47E3EA" w14:textId="75EDCE5A">
            <w:pPr>
              <w:pStyle w:val="Normal"/>
              <w:rPr>
                <w:rFonts w:ascii="Calibri" w:hAnsi="Calibri" w:eastAsia="Calibri" w:cs="Calibri" w:asciiTheme="minorAscii" w:hAnsiTheme="minorAscii" w:eastAsiaTheme="minorAscii" w:cstheme="minorAscii"/>
                <w:b w:val="0"/>
                <w:bCs w:val="0"/>
                <w:i w:val="0"/>
                <w:iCs w:val="0"/>
              </w:rPr>
            </w:pPr>
            <w:r>
              <w:br/>
            </w:r>
          </w:p>
        </w:tc>
      </w:tr>
      <w:tr w:rsidR="0ACEB57D" w:rsidTr="0ACEB57D" w14:paraId="4C3F85F5">
        <w:trPr>
          <w:trHeight w:val="1800"/>
        </w:trPr>
        <w:tc>
          <w:tcPr>
            <w:tcW w:w="6360"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0ACEB57D" w:rsidP="0ACEB57D" w:rsidRDefault="0ACEB57D" w14:paraId="0328D10E" w14:textId="46ADB712">
            <w:pPr>
              <w:rPr>
                <w:rFonts w:ascii="Calibri" w:hAnsi="Calibri" w:eastAsia="Calibri" w:cs="Calibri" w:asciiTheme="minorAscii" w:hAnsiTheme="minorAscii" w:eastAsiaTheme="minorAscii" w:cstheme="minorAscii"/>
                <w:b w:val="0"/>
                <w:bCs w:val="0"/>
                <w:i w:val="0"/>
                <w:iCs w:val="0"/>
                <w:color w:val="000000" w:themeColor="text1" w:themeTint="FF" w:themeShade="FF"/>
                <w:sz w:val="16"/>
                <w:szCs w:val="16"/>
              </w:rPr>
            </w:pPr>
          </w:p>
          <w:p w:rsidR="0ACEB57D" w:rsidP="0ACEB57D" w:rsidRDefault="0ACEB57D" w14:paraId="7F3D7498" w14:textId="3B6C45AB">
            <w:pP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0ACEB57D" w:rsidR="0ACEB57D">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Aim/s of activity:</w:t>
            </w:r>
          </w:p>
          <w:p w:rsidR="0ACEB57D" w:rsidP="0ACEB57D" w:rsidRDefault="0ACEB57D" w14:paraId="573F83C0" w14:textId="0BC15328">
            <w:pPr>
              <w:pStyle w:val="Normal"/>
              <w:ind w:left="0"/>
            </w:pPr>
          </w:p>
          <w:p w:rsidR="0ACEB57D" w:rsidP="0ACEB57D" w:rsidRDefault="0ACEB57D" w14:paraId="28CC537D" w14:textId="1F979FD1">
            <w:pPr>
              <w:pStyle w:val="ListParagraph"/>
              <w:numPr>
                <w:ilvl w:val="0"/>
                <w:numId w:val="8"/>
              </w:numPr>
              <w:jc w:val="left"/>
              <w:rPr>
                <w:rFonts w:ascii="Calibri" w:hAnsi="Calibri" w:eastAsia="Calibri" w:cs="Calibri" w:asciiTheme="minorAscii" w:hAnsiTheme="minorAscii" w:eastAsiaTheme="minorAscii" w:cstheme="minorAscii"/>
                <w:sz w:val="22"/>
                <w:szCs w:val="22"/>
              </w:rPr>
            </w:pPr>
            <w:r w:rsidR="0ACEB57D">
              <w:rPr/>
              <w:t>To successfully make Welsh cakes using the correct measurements to support mathematical development</w:t>
            </w:r>
          </w:p>
          <w:p w:rsidR="0ACEB57D" w:rsidP="0ACEB57D" w:rsidRDefault="0ACEB57D" w14:paraId="5A37997C" w14:textId="2386A96C">
            <w:pPr>
              <w:pStyle w:val="ListParagraph"/>
              <w:numPr>
                <w:ilvl w:val="0"/>
                <w:numId w:val="8"/>
              </w:numPr>
              <w:jc w:val="both"/>
              <w:rPr>
                <w:sz w:val="22"/>
                <w:szCs w:val="22"/>
              </w:rPr>
            </w:pPr>
            <w:r w:rsidR="0ACEB57D">
              <w:rPr/>
              <w:t>Monitor and plan ways for further development of mathematical skills</w:t>
            </w:r>
          </w:p>
          <w:p w:rsidR="0ACEB57D" w:rsidP="0ACEB57D" w:rsidRDefault="0ACEB57D" w14:paraId="756E0A94" w14:textId="7E659FCC">
            <w:pPr>
              <w:pStyle w:val="ListParagraph"/>
              <w:numPr>
                <w:ilvl w:val="0"/>
                <w:numId w:val="8"/>
              </w:numPr>
              <w:rPr>
                <w:sz w:val="22"/>
                <w:szCs w:val="22"/>
              </w:rPr>
            </w:pPr>
            <w:r w:rsidR="0ACEB57D">
              <w:rPr/>
              <w:t>Identify approaches to early mathematical development</w:t>
            </w:r>
          </w:p>
          <w:p w:rsidR="0ACEB57D" w:rsidP="0ACEB57D" w:rsidRDefault="0ACEB57D" w14:paraId="4B7EA308" w14:textId="26274C8B">
            <w:pPr>
              <w:pStyle w:val="Normal"/>
              <w:ind w:left="0"/>
              <w:rPr>
                <w:rFonts w:ascii="Calibri" w:hAnsi="Calibri" w:eastAsia="Calibri" w:cs="Calibri" w:asciiTheme="minorAscii" w:hAnsiTheme="minorAscii" w:eastAsiaTheme="minorAscii" w:cstheme="minorAscii"/>
                <w:b w:val="0"/>
                <w:bCs w:val="0"/>
                <w:i w:val="0"/>
                <w:iCs w:val="0"/>
              </w:rPr>
            </w:pPr>
            <w:r>
              <w:br/>
            </w:r>
          </w:p>
        </w:tc>
      </w:tr>
      <w:tr w:rsidR="0ACEB57D" w:rsidTr="0ACEB57D" w14:paraId="1FB00674">
        <w:trPr>
          <w:trHeight w:val="1425"/>
        </w:trPr>
        <w:tc>
          <w:tcPr>
            <w:tcW w:w="6360"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0ACEB57D" w:rsidP="0ACEB57D" w:rsidRDefault="0ACEB57D" w14:paraId="3854708F" w14:textId="379641F5">
            <w:pPr>
              <w:rPr>
                <w:rFonts w:ascii="Calibri" w:hAnsi="Calibri" w:eastAsia="Calibri" w:cs="Calibri" w:asciiTheme="minorAscii" w:hAnsiTheme="minorAscii" w:eastAsiaTheme="minorAscii" w:cstheme="minorAscii"/>
                <w:b w:val="0"/>
                <w:bCs w:val="0"/>
                <w:i w:val="0"/>
                <w:iCs w:val="0"/>
                <w:color w:val="000000" w:themeColor="text1" w:themeTint="FF" w:themeShade="FF"/>
                <w:sz w:val="16"/>
                <w:szCs w:val="16"/>
              </w:rPr>
            </w:pPr>
            <w:r>
              <w:br/>
            </w:r>
            <w:r w:rsidRPr="0ACEB57D" w:rsidR="0ACEB57D">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Links to outcomes:</w:t>
            </w:r>
          </w:p>
          <w:p w:rsidR="0ACEB57D" w:rsidP="0ACEB57D" w:rsidRDefault="0ACEB57D" w14:paraId="532FA0FB" w14:textId="358C6AF7">
            <w:pPr>
              <w:pStyle w:val="ListParagraph"/>
              <w:numPr>
                <w:ilvl w:val="0"/>
                <w:numId w:val="9"/>
              </w:numPr>
              <w:jc w:val="both"/>
              <w:rPr>
                <w:rFonts w:ascii="Calibri" w:hAnsi="Calibri" w:eastAsia="Calibri" w:cs="Calibri" w:asciiTheme="minorAscii" w:hAnsiTheme="minorAscii" w:eastAsiaTheme="minorAscii" w:cstheme="minorAscii"/>
                <w:b w:val="0"/>
                <w:bCs w:val="0"/>
                <w:i w:val="0"/>
                <w:iCs w:val="0"/>
                <w:noProof w:val="0"/>
                <w:sz w:val="22"/>
                <w:szCs w:val="22"/>
                <w:u w:val="none"/>
                <w:lang w:val="en-GB"/>
              </w:rPr>
            </w:pPr>
            <w:r w:rsidRPr="0ACEB57D" w:rsidR="0ACEB57D">
              <w:rPr>
                <w:rFonts w:ascii="Calibri" w:hAnsi="Calibri" w:eastAsia="Calibri" w:cs="Calibri" w:asciiTheme="minorAscii" w:hAnsiTheme="minorAscii" w:eastAsiaTheme="minorAscii" w:cstheme="minorAscii"/>
                <w:b w:val="0"/>
                <w:bCs w:val="0"/>
                <w:i w:val="0"/>
                <w:iCs w:val="0"/>
              </w:rPr>
              <w:t>Make sure children fully understand the task and how to use the resources to complete it.</w:t>
            </w:r>
          </w:p>
          <w:p w:rsidR="0ACEB57D" w:rsidP="0ACEB57D" w:rsidRDefault="0ACEB57D" w14:paraId="65DC3100" w14:textId="61C0921E">
            <w:pPr>
              <w:pStyle w:val="ListParagraph"/>
              <w:numPr>
                <w:ilvl w:val="0"/>
                <w:numId w:val="9"/>
              </w:numPr>
              <w:jc w:val="both"/>
              <w:rPr>
                <w:b w:val="0"/>
                <w:bCs w:val="0"/>
                <w:i w:val="0"/>
                <w:iCs w:val="0"/>
                <w:noProof w:val="0"/>
                <w:sz w:val="22"/>
                <w:szCs w:val="22"/>
                <w:u w:val="none"/>
                <w:lang w:val="en-GB"/>
              </w:rPr>
            </w:pPr>
            <w:r w:rsidRPr="0ACEB57D" w:rsidR="0ACEB57D">
              <w:rPr>
                <w:rFonts w:ascii="Calibri" w:hAnsi="Calibri" w:eastAsia="Calibri" w:cs="Calibri" w:asciiTheme="minorAscii" w:hAnsiTheme="minorAscii" w:eastAsiaTheme="minorAscii" w:cstheme="minorAscii"/>
                <w:b w:val="0"/>
                <w:bCs w:val="0"/>
                <w:i w:val="0"/>
                <w:iCs w:val="0"/>
                <w:noProof w:val="0"/>
                <w:sz w:val="22"/>
                <w:szCs w:val="22"/>
                <w:u w:val="none"/>
                <w:lang w:val="en-GB"/>
              </w:rPr>
              <w:t>To support children to use mathematical terms where relevant in daily activities.</w:t>
            </w:r>
          </w:p>
          <w:p w:rsidR="0ACEB57D" w:rsidP="0ACEB57D" w:rsidRDefault="0ACEB57D" w14:paraId="796D142D" w14:textId="0689ECC6">
            <w:pPr>
              <w:pStyle w:val="ListParagraph"/>
              <w:numPr>
                <w:ilvl w:val="0"/>
                <w:numId w:val="9"/>
              </w:numPr>
              <w:jc w:val="both"/>
              <w:rPr>
                <w:b w:val="0"/>
                <w:bCs w:val="0"/>
                <w:i w:val="0"/>
                <w:iCs w:val="0"/>
                <w:noProof w:val="0"/>
                <w:sz w:val="22"/>
                <w:szCs w:val="22"/>
                <w:u w:val="none"/>
                <w:lang w:val="en-GB"/>
              </w:rPr>
            </w:pPr>
            <w:r w:rsidRPr="0ACEB57D" w:rsidR="0ACEB57D">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Make sure adults are using mathematical language throughout the activity to make the children more familiar with the </w:t>
            </w:r>
            <w:r w:rsidRPr="0ACEB57D" w:rsidR="0ACEB57D">
              <w:rPr>
                <w:rFonts w:ascii="Calibri" w:hAnsi="Calibri" w:eastAsia="Calibri" w:cs="Calibri" w:asciiTheme="minorAscii" w:hAnsiTheme="minorAscii" w:eastAsiaTheme="minorAscii" w:cstheme="minorAscii"/>
                <w:b w:val="0"/>
                <w:bCs w:val="0"/>
                <w:i w:val="0"/>
                <w:iCs w:val="0"/>
                <w:noProof w:val="0"/>
                <w:sz w:val="22"/>
                <w:szCs w:val="22"/>
                <w:u w:val="none"/>
                <w:lang w:val="en-GB"/>
              </w:rPr>
              <w:t>vocabulary</w:t>
            </w:r>
            <w:r w:rsidRPr="0ACEB57D" w:rsidR="0ACEB57D">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and encourage them to use it too. </w:t>
            </w:r>
          </w:p>
          <w:p w:rsidR="0ACEB57D" w:rsidP="0ACEB57D" w:rsidRDefault="0ACEB57D" w14:paraId="34C5A816" w14:textId="376CA333">
            <w:pPr>
              <w:pStyle w:val="Normal"/>
              <w:rPr>
                <w:rFonts w:ascii="Calibri" w:hAnsi="Calibri" w:eastAsia="Calibri" w:cs="Calibri" w:asciiTheme="minorAscii" w:hAnsiTheme="minorAscii" w:eastAsiaTheme="minorAscii" w:cstheme="minorAscii"/>
                <w:b w:val="0"/>
                <w:bCs w:val="0"/>
                <w:i w:val="0"/>
                <w:iCs w:val="0"/>
              </w:rPr>
            </w:pPr>
            <w:r>
              <w:br/>
            </w:r>
          </w:p>
        </w:tc>
      </w:tr>
      <w:tr w:rsidR="0ACEB57D" w:rsidTr="0ACEB57D" w14:paraId="2D339C29">
        <w:trPr>
          <w:trHeight w:val="1080"/>
        </w:trPr>
        <w:tc>
          <w:tcPr>
            <w:tcW w:w="6360"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0ACEB57D" w:rsidP="0ACEB57D" w:rsidRDefault="0ACEB57D" w14:paraId="6FE1D806" w14:textId="591C63C4">
            <w:pP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p>
          <w:p w:rsidR="0ACEB57D" w:rsidP="0ACEB57D" w:rsidRDefault="0ACEB57D" w14:paraId="036F2C10" w14:textId="1DC63926">
            <w:pPr>
              <w:jc w:val="both"/>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0ACEB57D" w:rsidR="0ACEB57D">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 xml:space="preserve">Differentiation: This activity plan will be accessible for all children as those with additional learning needs will be fully supported throughout the activity. This activity can also be adapted if a child was struggling or finding it too easy. For example, if a child is finding it too easy, the adult could use more formal, advanced mathematical language and allow them to work with bigger numbers and larger measurements. This activity plan is accessible for children from all backgrounds. For example, if a family could not afford to pay for ingredients or was unable to get to a supermarket, the adults and school would be able to come up with a solution and ensure that all children are able to take part. </w:t>
            </w:r>
          </w:p>
          <w:p w:rsidR="0ACEB57D" w:rsidRDefault="0ACEB57D" w14:paraId="24B05CE5" w14:textId="474C54FD"/>
        </w:tc>
      </w:tr>
      <w:tr w:rsidR="0ACEB57D" w:rsidTr="0ACEB57D" w14:paraId="06E2B8E7">
        <w:trPr>
          <w:trHeight w:val="1065"/>
        </w:trPr>
        <w:tc>
          <w:tcPr>
            <w:tcW w:w="6360"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0ACEB57D" w:rsidP="0ACEB57D" w:rsidRDefault="0ACEB57D" w14:paraId="0584E99A" w14:textId="68635B83">
            <w:pPr>
              <w:pStyle w:val="Normal"/>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p>
          <w:p w:rsidR="0ACEB57D" w:rsidP="0ACEB57D" w:rsidRDefault="0ACEB57D" w14:paraId="3D2E68EA" w14:textId="7F29B2AC">
            <w:pPr>
              <w:pStyle w:val="Normal"/>
              <w:jc w:val="both"/>
              <w:rPr>
                <w:rFonts w:ascii="Calibri" w:hAnsi="Calibri" w:eastAsia="Calibri" w:cs="Calibri" w:asciiTheme="minorAscii" w:hAnsiTheme="minorAscii" w:eastAsiaTheme="minorAscii" w:cstheme="minorAscii"/>
                <w:b w:val="0"/>
                <w:bCs w:val="0"/>
                <w:i w:val="0"/>
                <w:iCs w:val="0"/>
              </w:rPr>
            </w:pPr>
            <w:r w:rsidRPr="0ACEB57D" w:rsidR="0ACEB57D">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Health and safety</w:t>
            </w:r>
            <w:r w:rsidRPr="0ACEB57D" w:rsidR="0ACEB57D">
              <w:rPr>
                <w:rFonts w:ascii="Calibri" w:hAnsi="Calibri" w:eastAsia="Calibri" w:cs="Calibri" w:asciiTheme="minorAscii" w:hAnsiTheme="minorAscii" w:eastAsiaTheme="minorAscii" w:cstheme="minorAscii"/>
                <w:b w:val="0"/>
                <w:bCs w:val="0"/>
                <w:i w:val="0"/>
                <w:iCs w:val="0"/>
                <w:color w:val="000000" w:themeColor="text1" w:themeTint="FF" w:themeShade="FF"/>
                <w:sz w:val="16"/>
                <w:szCs w:val="16"/>
              </w:rPr>
              <w:t xml:space="preserve">: </w:t>
            </w:r>
            <w:r w:rsidRPr="0ACEB57D" w:rsidR="0ACEB57D">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Throughout the activity ensure</w:t>
            </w:r>
            <w:r w:rsidRPr="0ACEB57D" w:rsidR="0ACEB57D">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that all adults are always observing, specifically when using electrical appliances, as well as ensuring that the children are aware of the fire exit and safety rules </w:t>
            </w:r>
            <w:proofErr w:type="spellStart"/>
            <w:r w:rsidRPr="0ACEB57D" w:rsidR="0ACEB57D">
              <w:rPr>
                <w:rFonts w:ascii="Calibri" w:hAnsi="Calibri" w:eastAsia="Calibri" w:cs="Calibri" w:asciiTheme="minorAscii" w:hAnsiTheme="minorAscii" w:eastAsiaTheme="minorAscii" w:cstheme="minorAscii"/>
                <w:b w:val="0"/>
                <w:bCs w:val="0"/>
                <w:i w:val="0"/>
                <w:iCs w:val="0"/>
                <w:noProof w:val="0"/>
                <w:sz w:val="22"/>
                <w:szCs w:val="22"/>
                <w:u w:val="none"/>
                <w:lang w:val="en-GB"/>
              </w:rPr>
              <w:t>incase</w:t>
            </w:r>
            <w:proofErr w:type="spellEnd"/>
            <w:r w:rsidRPr="0ACEB57D" w:rsidR="0ACEB57D">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of an emergency. Make sure that all children have washed their hands prior to baking, all have aprons on and long hair tied back. Make it clear to the children that there should be no running around the classroom throughout this activity and that all belongings are out of the way. </w:t>
            </w:r>
            <w:r>
              <w:br/>
            </w:r>
          </w:p>
        </w:tc>
      </w:tr>
      <w:tr w:rsidR="0ACEB57D" w:rsidTr="0ACEB57D" w14:paraId="2E6D0CFE">
        <w:trPr>
          <w:trHeight w:val="1080"/>
        </w:trPr>
        <w:tc>
          <w:tcPr>
            <w:tcW w:w="6360"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0ACEB57D" w:rsidP="0ACEB57D" w:rsidRDefault="0ACEB57D" w14:paraId="5DA35F62" w14:textId="4BFF7E7F">
            <w:pPr>
              <w:rPr>
                <w:rFonts w:ascii="Calibri" w:hAnsi="Calibri" w:eastAsia="Calibri" w:cs="Calibri" w:asciiTheme="minorAscii" w:hAnsiTheme="minorAscii" w:eastAsiaTheme="minorAscii" w:cstheme="minorAscii"/>
                <w:b w:val="0"/>
                <w:bCs w:val="0"/>
                <w:i w:val="0"/>
                <w:iCs w:val="0"/>
                <w:color w:val="000000" w:themeColor="text1" w:themeTint="FF" w:themeShade="FF"/>
                <w:sz w:val="16"/>
                <w:szCs w:val="16"/>
              </w:rPr>
            </w:pPr>
          </w:p>
          <w:p w:rsidR="0ACEB57D" w:rsidP="0ACEB57D" w:rsidRDefault="0ACEB57D" w14:paraId="66DE18B9" w14:textId="610997D3">
            <w:pPr>
              <w:jc w:val="both"/>
              <w:rPr>
                <w:rFonts w:ascii="Calibri" w:hAnsi="Calibri" w:eastAsia="Calibri" w:cs="Calibri" w:asciiTheme="minorAscii" w:hAnsiTheme="minorAscii" w:eastAsiaTheme="minorAscii" w:cstheme="minorAscii"/>
                <w:b w:val="0"/>
                <w:bCs w:val="0"/>
                <w:i w:val="0"/>
                <w:iCs w:val="0"/>
                <w:noProof w:val="0"/>
                <w:sz w:val="22"/>
                <w:szCs w:val="22"/>
                <w:u w:val="none"/>
                <w:lang w:val="en-GB"/>
              </w:rPr>
            </w:pPr>
            <w:r w:rsidRPr="0ACEB57D" w:rsidR="0ACEB57D">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 xml:space="preserve">Role of adult/adults: </w:t>
            </w:r>
            <w:r w:rsidRPr="0ACEB57D" w:rsidR="0ACEB57D">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To observe the activity ensuring that all children are safe. It is important that the adult checks prior to the baking activity that no children have any food allergies. As well as this, to thoroughly explain the task to make sure all children understand how it should be carried out. </w:t>
            </w:r>
          </w:p>
          <w:p w:rsidR="0ACEB57D" w:rsidP="0ACEB57D" w:rsidRDefault="0ACEB57D" w14:paraId="4F593E86" w14:textId="20B5F260">
            <w:pPr>
              <w:pStyle w:val="Normal"/>
              <w:rPr>
                <w:rFonts w:ascii="Calibri" w:hAnsi="Calibri" w:eastAsia="Calibri" w:cs="Calibri" w:asciiTheme="minorAscii" w:hAnsiTheme="minorAscii" w:eastAsiaTheme="minorAscii" w:cstheme="minorAscii"/>
                <w:b w:val="0"/>
                <w:bCs w:val="0"/>
                <w:i w:val="0"/>
                <w:iCs w:val="0"/>
                <w:noProof w:val="0"/>
                <w:sz w:val="22"/>
                <w:szCs w:val="22"/>
                <w:u w:val="none"/>
                <w:lang w:val="en-GB"/>
              </w:rPr>
            </w:pPr>
            <w:r w:rsidRPr="0ACEB57D" w:rsidR="0ACEB57D">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The adult should use mathematical language when relevant, for example when measuring ingredients, to encourage mathematical development. </w:t>
            </w:r>
          </w:p>
          <w:p w:rsidR="0ACEB57D" w:rsidP="0ACEB57D" w:rsidRDefault="0ACEB57D" w14:paraId="3EB05C8F" w14:textId="6E984B73">
            <w:pPr>
              <w:pStyle w:val="Normal"/>
              <w:rPr>
                <w:rFonts w:ascii="Calibri" w:hAnsi="Calibri" w:eastAsia="Calibri" w:cs="Calibri" w:asciiTheme="minorAscii" w:hAnsiTheme="minorAscii" w:eastAsiaTheme="minorAscii" w:cstheme="minorAscii"/>
                <w:b w:val="0"/>
                <w:bCs w:val="0"/>
                <w:i w:val="0"/>
                <w:iCs w:val="0"/>
              </w:rPr>
            </w:pPr>
            <w:r w:rsidRPr="0ACEB57D" w:rsidR="0ACEB57D">
              <w:rPr>
                <w:rFonts w:ascii="Calibri" w:hAnsi="Calibri" w:eastAsia="Calibri" w:cs="Calibri" w:asciiTheme="minorAscii" w:hAnsiTheme="minorAscii" w:eastAsiaTheme="minorAscii" w:cstheme="minorAscii"/>
                <w:b w:val="0"/>
                <w:bCs w:val="0"/>
                <w:i w:val="0"/>
                <w:iCs w:val="0"/>
              </w:rPr>
              <w:t>The adult should engage in conversations with the children and ask questions about the activity to monitor their mathematical development and see where they can improve.</w:t>
            </w:r>
          </w:p>
          <w:p w:rsidR="0ACEB57D" w:rsidP="0ACEB57D" w:rsidRDefault="0ACEB57D" w14:paraId="4013166E" w14:textId="40573B46">
            <w:pPr>
              <w:pStyle w:val="Normal"/>
              <w:rPr>
                <w:rFonts w:ascii="Calibri" w:hAnsi="Calibri" w:eastAsia="Calibri" w:cs="Calibri" w:asciiTheme="minorAscii" w:hAnsiTheme="minorAscii" w:eastAsiaTheme="minorAscii" w:cstheme="minorAscii"/>
                <w:b w:val="0"/>
                <w:bCs w:val="0"/>
                <w:i w:val="0"/>
                <w:iCs w:val="0"/>
              </w:rPr>
            </w:pPr>
            <w:r w:rsidRPr="0ACEB57D" w:rsidR="0ACEB57D">
              <w:rPr>
                <w:rFonts w:ascii="Calibri" w:hAnsi="Calibri" w:eastAsia="Calibri" w:cs="Calibri" w:asciiTheme="minorAscii" w:hAnsiTheme="minorAscii" w:eastAsiaTheme="minorAscii" w:cstheme="minorAscii"/>
                <w:b w:val="0"/>
                <w:bCs w:val="0"/>
                <w:i w:val="0"/>
                <w:iCs w:val="0"/>
              </w:rPr>
              <w:t xml:space="preserve">The adult should be confident with the activity and within their mathematical knowledge. </w:t>
            </w:r>
          </w:p>
        </w:tc>
      </w:tr>
      <w:tr w:rsidR="0ACEB57D" w:rsidTr="0ACEB57D" w14:paraId="79528909">
        <w:trPr>
          <w:trHeight w:val="7725"/>
        </w:trPr>
        <w:tc>
          <w:tcPr>
            <w:tcW w:w="6360"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0ACEB57D" w:rsidP="0ACEB57D" w:rsidRDefault="0ACEB57D" w14:paraId="3C414044" w14:textId="5CDB3B70">
            <w:pPr>
              <w:rPr>
                <w:rFonts w:ascii="Calibri" w:hAnsi="Calibri" w:eastAsia="Calibri" w:cs="Calibri" w:asciiTheme="minorAscii" w:hAnsiTheme="minorAscii" w:eastAsiaTheme="minorAscii" w:cstheme="minorAscii"/>
                <w:b w:val="0"/>
                <w:bCs w:val="0"/>
                <w:i w:val="0"/>
                <w:iCs w:val="0"/>
                <w:color w:val="000000" w:themeColor="text1" w:themeTint="FF" w:themeShade="FF"/>
                <w:sz w:val="16"/>
                <w:szCs w:val="16"/>
              </w:rPr>
            </w:pPr>
          </w:p>
          <w:p w:rsidR="0ACEB57D" w:rsidP="0ACEB57D" w:rsidRDefault="0ACEB57D" w14:paraId="5937ED8F" w14:textId="2A1EBE18">
            <w:pP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0ACEB57D" w:rsidR="0ACEB57D">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The activity:</w:t>
            </w:r>
          </w:p>
          <w:p w:rsidR="0ACEB57D" w:rsidP="0ACEB57D" w:rsidRDefault="0ACEB57D" w14:paraId="22497819" w14:textId="5D8C155E">
            <w:pPr>
              <w:pStyle w:val="Heading4"/>
              <w:rPr>
                <w:rFonts w:ascii="Calibri" w:hAnsi="Calibri" w:eastAsia="Calibri" w:cs="Calibri" w:asciiTheme="minorAscii" w:hAnsiTheme="minorAscii" w:eastAsiaTheme="minorAscii" w:cstheme="minorAscii"/>
                <w:b w:val="0"/>
                <w:bCs w:val="0"/>
                <w:i w:val="0"/>
                <w:iCs w:val="0"/>
                <w:noProof w:val="0"/>
                <w:color w:val="auto"/>
                <w:sz w:val="22"/>
                <w:szCs w:val="22"/>
                <w:u w:val="single"/>
                <w:lang w:val="en-US"/>
              </w:rPr>
            </w:pPr>
            <w:r w:rsidRPr="0ACEB57D" w:rsidR="0ACEB57D">
              <w:rPr>
                <w:rFonts w:ascii="Calibri" w:hAnsi="Calibri" w:eastAsia="Calibri" w:cs="Calibri" w:asciiTheme="minorAscii" w:hAnsiTheme="minorAscii" w:eastAsiaTheme="minorAscii" w:cstheme="minorAscii"/>
                <w:b w:val="0"/>
                <w:bCs w:val="0"/>
                <w:i w:val="0"/>
                <w:iCs w:val="0"/>
                <w:noProof w:val="0"/>
                <w:color w:val="auto"/>
                <w:sz w:val="22"/>
                <w:szCs w:val="22"/>
                <w:u w:val="single"/>
                <w:lang w:val="en-US"/>
              </w:rPr>
              <w:t>Ingredients</w:t>
            </w:r>
          </w:p>
          <w:p w:rsidR="0ACEB57D" w:rsidP="0ACEB57D" w:rsidRDefault="0ACEB57D" w14:paraId="0DC366A6" w14:textId="74B70BD0">
            <w:pPr>
              <w:pStyle w:val="ListParagraph"/>
              <w:numPr>
                <w:ilvl w:val="0"/>
                <w:numId w:val="4"/>
              </w:numPr>
              <w:rPr>
                <w:rFonts w:ascii="Calibri" w:hAnsi="Calibri" w:eastAsia="Calibri" w:cs="Calibri" w:asciiTheme="minorAscii" w:hAnsiTheme="minorAscii" w:eastAsiaTheme="minorAscii" w:cstheme="minorAscii"/>
                <w:color w:val="000000" w:themeColor="text1" w:themeTint="FF" w:themeShade="FF"/>
                <w:sz w:val="22"/>
                <w:szCs w:val="22"/>
              </w:rPr>
            </w:pPr>
            <w:r w:rsidRPr="0ACEB57D" w:rsidR="0ACEB57D">
              <w:rPr>
                <w:rFonts w:ascii="Calibri" w:hAnsi="Calibri" w:eastAsia="Calibri" w:cs="Calibri" w:asciiTheme="minorAscii" w:hAnsiTheme="minorAscii" w:eastAsiaTheme="minorAscii" w:cstheme="minorAscii"/>
                <w:b w:val="0"/>
                <w:bCs w:val="0"/>
                <w:i w:val="0"/>
                <w:iCs w:val="0"/>
                <w:noProof w:val="0"/>
                <w:color w:val="auto"/>
                <w:sz w:val="22"/>
                <w:szCs w:val="22"/>
                <w:lang w:val="en-US"/>
              </w:rPr>
              <w:t>225g plain flour</w:t>
            </w:r>
          </w:p>
          <w:p w:rsidR="0ACEB57D" w:rsidP="0ACEB57D" w:rsidRDefault="0ACEB57D" w14:paraId="03A7A7A0" w14:textId="3A1DFC8C">
            <w:pPr>
              <w:pStyle w:val="ListParagraph"/>
              <w:numPr>
                <w:ilvl w:val="0"/>
                <w:numId w:val="4"/>
              </w:numPr>
              <w:rPr>
                <w:rFonts w:ascii="Calibri" w:hAnsi="Calibri" w:eastAsia="Calibri" w:cs="Calibri" w:asciiTheme="minorAscii" w:hAnsiTheme="minorAscii" w:eastAsiaTheme="minorAscii" w:cstheme="minorAscii"/>
                <w:color w:val="000000" w:themeColor="text1" w:themeTint="FF" w:themeShade="FF"/>
                <w:sz w:val="22"/>
                <w:szCs w:val="22"/>
              </w:rPr>
            </w:pPr>
            <w:r w:rsidRPr="0ACEB57D" w:rsidR="0ACEB57D">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80g caster sugar</w:t>
            </w:r>
          </w:p>
          <w:p w:rsidR="0ACEB57D" w:rsidP="0ACEB57D" w:rsidRDefault="0ACEB57D" w14:paraId="4DBE792C" w14:textId="48C0E435">
            <w:pPr>
              <w:pStyle w:val="ListParagraph"/>
              <w:numPr>
                <w:ilvl w:val="0"/>
                <w:numId w:val="4"/>
              </w:numPr>
              <w:rPr>
                <w:rFonts w:ascii="Calibri" w:hAnsi="Calibri" w:eastAsia="Calibri" w:cs="Calibri" w:asciiTheme="minorAscii" w:hAnsiTheme="minorAscii" w:eastAsiaTheme="minorAscii" w:cstheme="minorAscii"/>
                <w:color w:val="000000" w:themeColor="text1" w:themeTint="FF" w:themeShade="FF"/>
                <w:sz w:val="22"/>
                <w:szCs w:val="22"/>
              </w:rPr>
            </w:pPr>
            <w:r w:rsidRPr="0ACEB57D" w:rsidR="0ACEB57D">
              <w:rPr>
                <w:rFonts w:ascii="Calibri" w:hAnsi="Calibri" w:eastAsia="Calibri" w:cs="Calibri" w:asciiTheme="minorAscii" w:hAnsiTheme="minorAscii" w:eastAsiaTheme="minorAscii" w:cstheme="minorAscii"/>
                <w:b w:val="0"/>
                <w:bCs w:val="0"/>
                <w:i w:val="0"/>
                <w:iCs w:val="0"/>
                <w:noProof w:val="0"/>
                <w:color w:val="auto"/>
                <w:sz w:val="22"/>
                <w:szCs w:val="22"/>
                <w:lang w:val="en-US"/>
              </w:rPr>
              <w:t>1/2 tsp baking powder</w:t>
            </w:r>
          </w:p>
          <w:p w:rsidR="0ACEB57D" w:rsidP="0ACEB57D" w:rsidRDefault="0ACEB57D" w14:paraId="784F48CF" w14:textId="566C6FF5">
            <w:pPr>
              <w:pStyle w:val="ListParagraph"/>
              <w:numPr>
                <w:ilvl w:val="0"/>
                <w:numId w:val="4"/>
              </w:numPr>
              <w:rPr>
                <w:rFonts w:ascii="Calibri" w:hAnsi="Calibri" w:eastAsia="Calibri" w:cs="Calibri" w:asciiTheme="minorAscii" w:hAnsiTheme="minorAscii" w:eastAsiaTheme="minorAscii" w:cstheme="minorAscii"/>
                <w:color w:val="000000" w:themeColor="text1" w:themeTint="FF" w:themeShade="FF"/>
                <w:sz w:val="22"/>
                <w:szCs w:val="22"/>
              </w:rPr>
            </w:pPr>
            <w:r w:rsidRPr="0ACEB57D" w:rsidR="0ACEB57D">
              <w:rPr>
                <w:rFonts w:ascii="Calibri" w:hAnsi="Calibri" w:eastAsia="Calibri" w:cs="Calibri" w:asciiTheme="minorAscii" w:hAnsiTheme="minorAscii" w:eastAsiaTheme="minorAscii" w:cstheme="minorAscii"/>
                <w:b w:val="0"/>
                <w:bCs w:val="0"/>
                <w:i w:val="0"/>
                <w:iCs w:val="0"/>
                <w:noProof w:val="0"/>
                <w:color w:val="auto"/>
                <w:sz w:val="22"/>
                <w:szCs w:val="22"/>
                <w:lang w:val="en-US"/>
              </w:rPr>
              <w:t>1/2 tsp mixed spice</w:t>
            </w:r>
          </w:p>
          <w:p w:rsidR="0ACEB57D" w:rsidP="0ACEB57D" w:rsidRDefault="0ACEB57D" w14:paraId="619FA8FA" w14:textId="74C93791">
            <w:pPr>
              <w:pStyle w:val="ListParagraph"/>
              <w:numPr>
                <w:ilvl w:val="0"/>
                <w:numId w:val="4"/>
              </w:numPr>
              <w:rPr>
                <w:rFonts w:ascii="Calibri" w:hAnsi="Calibri" w:eastAsia="Calibri" w:cs="Calibri" w:asciiTheme="minorAscii" w:hAnsiTheme="minorAscii" w:eastAsiaTheme="minorAscii" w:cstheme="minorAscii"/>
                <w:color w:val="000000" w:themeColor="text1" w:themeTint="FF" w:themeShade="FF"/>
                <w:sz w:val="22"/>
                <w:szCs w:val="22"/>
              </w:rPr>
            </w:pPr>
            <w:r w:rsidRPr="0ACEB57D" w:rsidR="0ACEB57D">
              <w:rPr>
                <w:rFonts w:ascii="Calibri" w:hAnsi="Calibri" w:eastAsia="Calibri" w:cs="Calibri" w:asciiTheme="minorAscii" w:hAnsiTheme="minorAscii" w:eastAsiaTheme="minorAscii" w:cstheme="minorAscii"/>
                <w:b w:val="0"/>
                <w:bCs w:val="0"/>
                <w:i w:val="0"/>
                <w:iCs w:val="0"/>
                <w:noProof w:val="0"/>
                <w:color w:val="auto"/>
                <w:sz w:val="22"/>
                <w:szCs w:val="22"/>
                <w:lang w:val="en-US"/>
              </w:rPr>
              <w:t>100g butter (Or half and half butter and lard mix.)</w:t>
            </w:r>
          </w:p>
          <w:p w:rsidR="0ACEB57D" w:rsidP="0ACEB57D" w:rsidRDefault="0ACEB57D" w14:paraId="63C2E030" w14:textId="1BDD7BEA">
            <w:pPr>
              <w:pStyle w:val="ListParagraph"/>
              <w:numPr>
                <w:ilvl w:val="0"/>
                <w:numId w:val="4"/>
              </w:numPr>
              <w:rPr>
                <w:rFonts w:ascii="Calibri" w:hAnsi="Calibri" w:eastAsia="Calibri" w:cs="Calibri" w:asciiTheme="minorAscii" w:hAnsiTheme="minorAscii" w:eastAsiaTheme="minorAscii" w:cstheme="minorAscii"/>
                <w:color w:val="000000" w:themeColor="text1" w:themeTint="FF" w:themeShade="FF"/>
                <w:sz w:val="22"/>
                <w:szCs w:val="22"/>
              </w:rPr>
            </w:pPr>
            <w:r w:rsidRPr="0ACEB57D" w:rsidR="0ACEB57D">
              <w:rPr>
                <w:rFonts w:ascii="Calibri" w:hAnsi="Calibri" w:eastAsia="Calibri" w:cs="Calibri" w:asciiTheme="minorAscii" w:hAnsiTheme="minorAscii" w:eastAsiaTheme="minorAscii" w:cstheme="minorAscii"/>
                <w:b w:val="0"/>
                <w:bCs w:val="0"/>
                <w:i w:val="0"/>
                <w:iCs w:val="0"/>
                <w:noProof w:val="0"/>
                <w:color w:val="auto"/>
                <w:sz w:val="22"/>
                <w:szCs w:val="22"/>
                <w:lang w:val="en-US"/>
              </w:rPr>
              <w:t>60g sultanas.</w:t>
            </w:r>
          </w:p>
          <w:p w:rsidR="0ACEB57D" w:rsidP="0ACEB57D" w:rsidRDefault="0ACEB57D" w14:paraId="06DFD640" w14:textId="2DDAEB61">
            <w:pPr>
              <w:pStyle w:val="ListParagraph"/>
              <w:numPr>
                <w:ilvl w:val="0"/>
                <w:numId w:val="4"/>
              </w:numPr>
              <w:rPr>
                <w:rFonts w:ascii="Calibri" w:hAnsi="Calibri" w:eastAsia="Calibri" w:cs="Calibri" w:asciiTheme="minorAscii" w:hAnsiTheme="minorAscii" w:eastAsiaTheme="minorAscii" w:cstheme="minorAscii"/>
                <w:color w:val="000000" w:themeColor="text1" w:themeTint="FF" w:themeShade="FF"/>
                <w:sz w:val="22"/>
                <w:szCs w:val="22"/>
              </w:rPr>
            </w:pPr>
            <w:r w:rsidRPr="0ACEB57D" w:rsidR="0ACEB57D">
              <w:rPr>
                <w:rFonts w:ascii="Calibri" w:hAnsi="Calibri" w:eastAsia="Calibri" w:cs="Calibri" w:asciiTheme="minorAscii" w:hAnsiTheme="minorAscii" w:eastAsiaTheme="minorAscii" w:cstheme="minorAscii"/>
                <w:b w:val="0"/>
                <w:bCs w:val="0"/>
                <w:i w:val="0"/>
                <w:iCs w:val="0"/>
                <w:noProof w:val="0"/>
                <w:color w:val="auto"/>
                <w:sz w:val="22"/>
                <w:szCs w:val="22"/>
                <w:lang w:val="en-US"/>
              </w:rPr>
              <w:t>1 egg</w:t>
            </w:r>
          </w:p>
          <w:p w:rsidR="0ACEB57D" w:rsidP="0ACEB57D" w:rsidRDefault="0ACEB57D" w14:paraId="0619FD6F" w14:textId="6A8F5D31">
            <w:pPr>
              <w:pStyle w:val="ListParagraph"/>
              <w:numPr>
                <w:ilvl w:val="0"/>
                <w:numId w:val="4"/>
              </w:numPr>
              <w:rPr>
                <w:rFonts w:ascii="Calibri" w:hAnsi="Calibri" w:eastAsia="Calibri" w:cs="Calibri" w:asciiTheme="minorAscii" w:hAnsiTheme="minorAscii" w:eastAsiaTheme="minorAscii" w:cstheme="minorAscii"/>
                <w:color w:val="000000" w:themeColor="text1" w:themeTint="FF" w:themeShade="FF"/>
                <w:sz w:val="22"/>
                <w:szCs w:val="22"/>
              </w:rPr>
            </w:pPr>
            <w:r w:rsidRPr="0ACEB57D" w:rsidR="0ACEB57D">
              <w:rPr>
                <w:rFonts w:ascii="Calibri" w:hAnsi="Calibri" w:eastAsia="Calibri" w:cs="Calibri" w:asciiTheme="minorAscii" w:hAnsiTheme="minorAscii" w:eastAsiaTheme="minorAscii" w:cstheme="minorAscii"/>
                <w:b w:val="0"/>
                <w:bCs w:val="0"/>
                <w:i w:val="0"/>
                <w:iCs w:val="0"/>
                <w:noProof w:val="0"/>
                <w:color w:val="auto"/>
                <w:sz w:val="22"/>
                <w:szCs w:val="22"/>
                <w:lang w:val="en-US"/>
              </w:rPr>
              <w:t>tablespoon of milk</w:t>
            </w:r>
          </w:p>
          <w:p w:rsidR="0ACEB57D" w:rsidP="0ACEB57D" w:rsidRDefault="0ACEB57D" w14:paraId="748C5A0C" w14:textId="7775D854">
            <w:pPr>
              <w:pStyle w:val="ListParagraph"/>
              <w:numPr>
                <w:ilvl w:val="0"/>
                <w:numId w:val="4"/>
              </w:numPr>
              <w:rPr>
                <w:rFonts w:ascii="Calibri" w:hAnsi="Calibri" w:eastAsia="Calibri" w:cs="Calibri" w:asciiTheme="minorAscii" w:hAnsiTheme="minorAscii" w:eastAsiaTheme="minorAscii" w:cstheme="minorAscii"/>
                <w:color w:val="000000" w:themeColor="text1" w:themeTint="FF" w:themeShade="FF"/>
                <w:sz w:val="22"/>
                <w:szCs w:val="22"/>
              </w:rPr>
            </w:pPr>
            <w:r w:rsidRPr="0ACEB57D" w:rsidR="0ACEB57D">
              <w:rPr>
                <w:rFonts w:ascii="Calibri" w:hAnsi="Calibri" w:eastAsia="Calibri" w:cs="Calibri" w:asciiTheme="minorAscii" w:hAnsiTheme="minorAscii" w:eastAsiaTheme="minorAscii" w:cstheme="minorAscii"/>
                <w:b w:val="0"/>
                <w:bCs w:val="0"/>
                <w:i w:val="0"/>
                <w:iCs w:val="0"/>
                <w:noProof w:val="0"/>
                <w:color w:val="auto"/>
                <w:sz w:val="22"/>
                <w:szCs w:val="22"/>
                <w:lang w:val="en-US"/>
              </w:rPr>
              <w:t>extra butter or lard for cooking</w:t>
            </w:r>
          </w:p>
          <w:p w:rsidR="0ACEB57D" w:rsidP="0ACEB57D" w:rsidRDefault="0ACEB57D" w14:paraId="246E49FB" w14:textId="1D911667">
            <w:pPr>
              <w:pStyle w:val="ListParagraph"/>
              <w:numPr>
                <w:ilvl w:val="0"/>
                <w:numId w:val="4"/>
              </w:numPr>
              <w:rPr>
                <w:noProof w:val="0"/>
                <w:color w:val="000000" w:themeColor="text1" w:themeTint="FF" w:themeShade="FF"/>
                <w:sz w:val="22"/>
                <w:szCs w:val="22"/>
                <w:lang w:val="en-US"/>
              </w:rPr>
            </w:pPr>
            <w:r w:rsidRPr="0ACEB57D" w:rsidR="0ACEB57D">
              <w:rPr>
                <w:rFonts w:ascii="Calibri" w:hAnsi="Calibri" w:eastAsia="Calibri" w:cs="Calibri" w:asciiTheme="minorAscii" w:hAnsiTheme="minorAscii" w:eastAsiaTheme="minorAscii" w:cstheme="minorAscii"/>
                <w:b w:val="0"/>
                <w:bCs w:val="0"/>
                <w:i w:val="0"/>
                <w:iCs w:val="0"/>
                <w:noProof w:val="0"/>
                <w:color w:val="auto"/>
                <w:sz w:val="22"/>
                <w:szCs w:val="22"/>
                <w:lang w:val="en-US"/>
              </w:rPr>
              <w:t>Raisins or chocolate chips</w:t>
            </w:r>
          </w:p>
          <w:p w:rsidR="0ACEB57D" w:rsidP="0ACEB57D" w:rsidRDefault="0ACEB57D" w14:paraId="7FEE1AB9" w14:textId="0D727941">
            <w:pPr>
              <w:pStyle w:val="ListParagraph"/>
              <w:numPr>
                <w:ilvl w:val="0"/>
                <w:numId w:val="4"/>
              </w:numPr>
              <w:rPr>
                <w:noProof w:val="0"/>
                <w:color w:val="000000" w:themeColor="text1" w:themeTint="FF" w:themeShade="FF"/>
                <w:sz w:val="22"/>
                <w:szCs w:val="22"/>
                <w:lang w:val="en-US"/>
              </w:rPr>
            </w:pPr>
            <w:r w:rsidRPr="0ACEB57D" w:rsidR="0ACEB57D">
              <w:rPr>
                <w:rFonts w:ascii="Calibri" w:hAnsi="Calibri" w:eastAsia="Calibri" w:cs="Calibri" w:asciiTheme="minorAscii" w:hAnsiTheme="minorAscii" w:eastAsiaTheme="minorAscii" w:cstheme="minorAscii"/>
                <w:b w:val="0"/>
                <w:bCs w:val="0"/>
                <w:i w:val="0"/>
                <w:iCs w:val="0"/>
                <w:noProof w:val="0"/>
                <w:color w:val="auto"/>
                <w:sz w:val="22"/>
                <w:szCs w:val="22"/>
                <w:lang w:val="en-US"/>
              </w:rPr>
              <w:t>Granulated sugar</w:t>
            </w:r>
          </w:p>
          <w:p w:rsidR="0ACEB57D" w:rsidP="0ACEB57D" w:rsidRDefault="0ACEB57D" w14:paraId="5E13A74B" w14:textId="182A4FE2">
            <w:pPr>
              <w:pStyle w:val="Normal"/>
              <w:rPr>
                <w:rFonts w:ascii="Calibri" w:hAnsi="Calibri" w:eastAsia="Calibri" w:cs="Calibri" w:asciiTheme="minorAscii" w:hAnsiTheme="minorAscii" w:eastAsiaTheme="minorAscii" w:cstheme="minorAscii"/>
                <w:b w:val="0"/>
                <w:bCs w:val="0"/>
                <w:i w:val="0"/>
                <w:iCs w:val="0"/>
              </w:rPr>
            </w:pPr>
          </w:p>
          <w:p w:rsidR="0ACEB57D" w:rsidP="0ACEB57D" w:rsidRDefault="0ACEB57D" w14:paraId="0FF95568" w14:textId="329EB8A0">
            <w:pPr>
              <w:pStyle w:val="Normal"/>
              <w:jc w:val="both"/>
              <w:rPr>
                <w:rFonts w:ascii="Calibri" w:hAnsi="Calibri" w:eastAsia="Calibri" w:cs="Calibri" w:asciiTheme="minorAscii" w:hAnsiTheme="minorAscii" w:eastAsiaTheme="minorAscii" w:cstheme="minorAscii"/>
                <w:b w:val="0"/>
                <w:bCs w:val="0"/>
                <w:i w:val="0"/>
                <w:iCs w:val="0"/>
              </w:rPr>
            </w:pPr>
            <w:r w:rsidRPr="0ACEB57D" w:rsidR="0ACEB57D">
              <w:rPr>
                <w:rFonts w:ascii="Calibri" w:hAnsi="Calibri" w:eastAsia="Calibri" w:cs="Calibri" w:asciiTheme="minorAscii" w:hAnsiTheme="minorAscii" w:eastAsiaTheme="minorAscii" w:cstheme="minorAscii"/>
                <w:b w:val="0"/>
                <w:bCs w:val="0"/>
                <w:i w:val="0"/>
                <w:iCs w:val="0"/>
              </w:rPr>
              <w:t xml:space="preserve">First of all, everyone will wash their hands with soap and water to ensure they are all clean. In addition to this, make sure everybody has an apron on and long hair tied back for hygiene. </w:t>
            </w:r>
          </w:p>
          <w:p w:rsidR="0ACEB57D" w:rsidP="0ACEB57D" w:rsidRDefault="0ACEB57D" w14:paraId="6245B4BF" w14:textId="1F019152">
            <w:pPr>
              <w:jc w:val="both"/>
              <w:rPr>
                <w:rFonts w:ascii="Calibri" w:hAnsi="Calibri" w:eastAsia="Calibri" w:cs="Calibri" w:asciiTheme="minorAscii" w:hAnsiTheme="minorAscii" w:eastAsiaTheme="minorAscii" w:cstheme="minorAscii"/>
                <w:b w:val="0"/>
                <w:bCs w:val="0"/>
                <w:i w:val="0"/>
                <w:iCs w:val="0"/>
              </w:rPr>
            </w:pPr>
            <w:r w:rsidRPr="0ACEB57D" w:rsidR="0ACEB57D">
              <w:rPr>
                <w:rFonts w:ascii="Calibri" w:hAnsi="Calibri" w:eastAsia="Calibri" w:cs="Calibri" w:asciiTheme="minorAscii" w:hAnsiTheme="minorAscii" w:eastAsiaTheme="minorAscii" w:cstheme="minorAscii"/>
                <w:b w:val="0"/>
                <w:bCs w:val="0"/>
                <w:i w:val="0"/>
                <w:iCs w:val="0"/>
              </w:rPr>
              <w:t xml:space="preserve">Start off by getting your mixing bowl and scales. Measure out 225 grams of plain flour on the measuring scale and add it to your mixing bowl. In addition to this, measure 80 grams of caster sugar and add this to the mixing bowl. 100 grams of butter also needs to be measured and added to the mixing bowl. Next, measure ½ teaspoon of baking powder and add it to the mixing bowl. Once these ingredients have been accurately measured and added to the bowl, then using your hands, mix and rub all these ingredients together to form a bread crumb substance. </w:t>
            </w:r>
          </w:p>
          <w:p w:rsidR="0ACEB57D" w:rsidP="0ACEB57D" w:rsidRDefault="0ACEB57D" w14:paraId="1D302236" w14:textId="446ABF2F">
            <w:pPr>
              <w:jc w:val="both"/>
              <w:rPr>
                <w:rFonts w:ascii="Calibri" w:hAnsi="Calibri" w:eastAsia="Calibri" w:cs="Calibri" w:asciiTheme="minorAscii" w:hAnsiTheme="minorAscii" w:eastAsiaTheme="minorAscii" w:cstheme="minorAscii"/>
                <w:b w:val="0"/>
                <w:bCs w:val="0"/>
                <w:i w:val="0"/>
                <w:iCs w:val="0"/>
              </w:rPr>
            </w:pPr>
            <w:r w:rsidRPr="0ACEB57D" w:rsidR="0ACEB57D">
              <w:rPr>
                <w:rFonts w:ascii="Calibri" w:hAnsi="Calibri" w:eastAsia="Calibri" w:cs="Calibri" w:asciiTheme="minorAscii" w:hAnsiTheme="minorAscii" w:eastAsiaTheme="minorAscii" w:cstheme="minorAscii"/>
                <w:b w:val="0"/>
                <w:bCs w:val="0"/>
                <w:i w:val="0"/>
                <w:iCs w:val="0"/>
              </w:rPr>
              <w:t>Next, gently crack one egg on the side of the mixing bowl and add it to the mix. Stir the egg into the mix using a wooden spoon until the mix forms into a dough. Although, if the dough is too dry to be rolled, measure a tablespoon of milk and add it to your mix. Then go ahead and chose your filling, this could be raisins, chocolate chips or jam. Fold into the mix.</w:t>
            </w:r>
          </w:p>
          <w:p w:rsidR="0ACEB57D" w:rsidP="0ACEB57D" w:rsidRDefault="0ACEB57D" w14:paraId="76F92CA8" w14:textId="49CA5E09">
            <w:pPr>
              <w:jc w:val="both"/>
              <w:rPr>
                <w:rFonts w:ascii="Calibri" w:hAnsi="Calibri" w:eastAsia="Calibri" w:cs="Calibri" w:asciiTheme="minorAscii" w:hAnsiTheme="minorAscii" w:eastAsiaTheme="minorAscii" w:cstheme="minorAscii"/>
                <w:b w:val="0"/>
                <w:bCs w:val="0"/>
                <w:i w:val="0"/>
                <w:iCs w:val="0"/>
              </w:rPr>
            </w:pPr>
            <w:r w:rsidRPr="0ACEB57D" w:rsidR="0ACEB57D">
              <w:rPr>
                <w:rFonts w:ascii="Calibri" w:hAnsi="Calibri" w:eastAsia="Calibri" w:cs="Calibri" w:asciiTheme="minorAscii" w:hAnsiTheme="minorAscii" w:eastAsiaTheme="minorAscii" w:cstheme="minorAscii"/>
                <w:b w:val="0"/>
                <w:bCs w:val="0"/>
                <w:i w:val="0"/>
                <w:iCs w:val="0"/>
              </w:rPr>
              <w:t xml:space="preserve">Once your dough is ready, lay out your rolling board and lightly cover it with flour, this will prevent the dough from sticking to the board. Then using a rolling pin, roll out your dough onto the board until it is around 1 </w:t>
            </w:r>
            <w:r w:rsidRPr="0ACEB57D" w:rsidR="0ACEB57D">
              <w:rPr>
                <w:rFonts w:ascii="Calibri" w:hAnsi="Calibri" w:eastAsia="Calibri" w:cs="Calibri" w:asciiTheme="minorAscii" w:hAnsiTheme="minorAscii" w:eastAsiaTheme="minorAscii" w:cstheme="minorAscii"/>
                <w:b w:val="0"/>
                <w:bCs w:val="0"/>
                <w:i w:val="0"/>
                <w:iCs w:val="0"/>
              </w:rPr>
              <w:t>centimeter</w:t>
            </w:r>
            <w:r w:rsidRPr="0ACEB57D" w:rsidR="0ACEB57D">
              <w:rPr>
                <w:rFonts w:ascii="Calibri" w:hAnsi="Calibri" w:eastAsia="Calibri" w:cs="Calibri" w:asciiTheme="minorAscii" w:hAnsiTheme="minorAscii" w:eastAsiaTheme="minorAscii" w:cstheme="minorAscii"/>
                <w:b w:val="0"/>
                <w:bCs w:val="0"/>
                <w:i w:val="0"/>
                <w:iCs w:val="0"/>
              </w:rPr>
              <w:t xml:space="preserve"> in thickness. </w:t>
            </w:r>
          </w:p>
          <w:p w:rsidR="0ACEB57D" w:rsidP="0ACEB57D" w:rsidRDefault="0ACEB57D" w14:paraId="4DD63270" w14:textId="6ED5E7B7">
            <w:pPr>
              <w:jc w:val="both"/>
              <w:rPr>
                <w:rFonts w:ascii="Calibri" w:hAnsi="Calibri" w:eastAsia="Calibri" w:cs="Calibri" w:asciiTheme="minorAscii" w:hAnsiTheme="minorAscii" w:eastAsiaTheme="minorAscii" w:cstheme="minorAscii"/>
                <w:b w:val="0"/>
                <w:bCs w:val="0"/>
                <w:i w:val="0"/>
                <w:iCs w:val="0"/>
              </w:rPr>
            </w:pPr>
            <w:r w:rsidRPr="0ACEB57D" w:rsidR="0ACEB57D">
              <w:rPr>
                <w:rFonts w:ascii="Calibri" w:hAnsi="Calibri" w:eastAsia="Calibri" w:cs="Calibri" w:asciiTheme="minorAscii" w:hAnsiTheme="minorAscii" w:eastAsiaTheme="minorAscii" w:cstheme="minorAscii"/>
                <w:b w:val="0"/>
                <w:bCs w:val="0"/>
                <w:i w:val="0"/>
                <w:iCs w:val="0"/>
              </w:rPr>
              <w:t xml:space="preserve">Following this, take any shape cutter of choice and press into the dough to cut out the Welsh cakes. Traditionally Welsh cakes are round but the pupils can use any shape cutter of choice. This recipe should make 15 Welsh cakes. </w:t>
            </w:r>
          </w:p>
          <w:p w:rsidR="0ACEB57D" w:rsidP="0ACEB57D" w:rsidRDefault="0ACEB57D" w14:paraId="723D55CD" w14:textId="6568CA93">
            <w:pPr>
              <w:jc w:val="both"/>
              <w:rPr>
                <w:rFonts w:ascii="Calibri" w:hAnsi="Calibri" w:eastAsia="Calibri" w:cs="Calibri" w:asciiTheme="minorAscii" w:hAnsiTheme="minorAscii" w:eastAsiaTheme="minorAscii" w:cstheme="minorAscii"/>
                <w:b w:val="0"/>
                <w:bCs w:val="0"/>
                <w:i w:val="0"/>
                <w:iCs w:val="0"/>
              </w:rPr>
            </w:pPr>
            <w:r w:rsidRPr="0ACEB57D" w:rsidR="0ACEB57D">
              <w:rPr>
                <w:rFonts w:ascii="Calibri" w:hAnsi="Calibri" w:eastAsia="Calibri" w:cs="Calibri" w:asciiTheme="minorAscii" w:hAnsiTheme="minorAscii" w:eastAsiaTheme="minorAscii" w:cstheme="minorAscii"/>
                <w:b w:val="0"/>
                <w:bCs w:val="0"/>
                <w:i w:val="0"/>
                <w:iCs w:val="0"/>
              </w:rPr>
              <w:t xml:space="preserve">Once this step has been completed, cook the welsh cakes for 3 minutes per side, until golden brown. Once taken out, choose topping of choice, this could include sugar, ice cream, chocolate syrup. Lightly coat welsh cakes in topping of choice and plate welsh cakes ready to be served and enjoyed. </w:t>
            </w:r>
            <w:r>
              <w:br/>
            </w:r>
          </w:p>
        </w:tc>
      </w:tr>
    </w:tbl>
    <w:p w:rsidR="08C64CB4" w:rsidP="0ACEB57D" w:rsidRDefault="08C64CB4" w14:paraId="26AB4626" w14:textId="0BC17B2A">
      <w:pPr>
        <w:pStyle w:val="Normal"/>
        <w:rPr>
          <w:rFonts w:ascii="Calibri" w:hAnsi="Calibri" w:eastAsia="Calibri" w:cs="Calibri"/>
          <w:noProof w:val="0"/>
          <w:sz w:val="22"/>
          <w:szCs w:val="22"/>
          <w:u w:val="none"/>
          <w:lang w:val="en-GB"/>
        </w:rPr>
      </w:pPr>
    </w:p>
    <w:p w:rsidR="08C64CB4" w:rsidP="08C64CB4" w:rsidRDefault="08C64CB4" w14:paraId="204D0349" w14:textId="29EE1BB1">
      <w:pPr>
        <w:pStyle w:val="Normal"/>
        <w:rPr>
          <w:u w:val="none"/>
        </w:rPr>
      </w:pPr>
      <w:r w:rsidRPr="0ACEB57D" w:rsidR="0ACEB57D">
        <w:rPr>
          <w:u w:val="single"/>
        </w:rPr>
        <w:t xml:space="preserve">Section 2 </w:t>
      </w:r>
    </w:p>
    <w:p w:rsidR="08C64CB4" w:rsidP="0ACEB57D" w:rsidRDefault="08C64CB4" w14:paraId="006E012A" w14:textId="68CDA506">
      <w:pPr>
        <w:pStyle w:val="Normal"/>
        <w:jc w:val="both"/>
        <w:rPr>
          <w:u w:val="none"/>
        </w:rPr>
      </w:pPr>
      <w:r w:rsidR="0ACEB57D">
        <w:rPr>
          <w:u w:val="none"/>
        </w:rPr>
        <w:t xml:space="preserve">This activity plan supports promoting children’s mathematical knowledge and developing their numeracy skills, however, there is also potential for the activity plan to support different areas of development, for example cognitive development. This is a particular strength of this activity plan. By supporting cognitive development at a young age, it allows children to develop this skill throughout their childhood, benefiting them in school as well as through to adulthood. This activity plan supports cognitive development as baking is providing children with everyday life skills such as counting, measuring and following a sequence. It encourages problem solving as it allows them to be rationale whilst applying problem solving concepts to real life situations, through ingredient preparation for example (Krenn, 2013). This baking activity supports cognitive development and problem-solving skills as it has a restricted time frame due to the limited hours in a school day, as well as limited space and appliances. By children using their problem-solving skills to react to these limitations, the more likely they are to find a resolution to their problem due to more similar experiences. Schank &amp; Ableson (1977) support this by stating that we are able to process many circumstances due to having stereotypical sequences of actions from past experiences. This activity plan also supports other areas of development, such as social development. As a result of following recipes and directions it encourages children to be independent and self-directed, supporting their social development as they are becoming more confident and developing their skills. Social development is fundamental throughout children’s early years and Vygotsky (1994) supports this as he believed that social interaction has a positive impact on children’s learning. In addition, baking has holistic development benefits as this activity fully supports all aspects of the child’s health whilst looking beyond their physical body and focussing on their social, emotional, physical and intellectual health by engaging with their teachers and classmates for guidance, reassurance and building confidence. The Early Years Learning Framework encourages adults to focus on the holistic approach throughout their teaching as it focuses on the child’s mind, body and spirit whilst embracing the authentic development potential, regardless of a child’s socio-economic background, culture, age or gender. Using a holistic approach to learning in this activity actively demonstrates a connection between a child’s mathematical development and their natural environment, whilst being able to build a strong relationship between the child and the adult through active learning. </w:t>
      </w:r>
    </w:p>
    <w:p w:rsidR="08C64CB4" w:rsidP="0ACEB57D" w:rsidRDefault="08C64CB4" w14:paraId="10A31FC6" w14:textId="51BEA540">
      <w:pPr>
        <w:pStyle w:val="Normal"/>
        <w:jc w:val="both"/>
        <w:rPr>
          <w:u w:val="none"/>
        </w:rPr>
      </w:pPr>
      <w:r w:rsidR="0ACEB57D">
        <w:rPr>
          <w:u w:val="none"/>
        </w:rPr>
        <w:t xml:space="preserve">This activity plan has its strengths; however, it does have room for improvement. One of the main strengths of this activity plan is that it allows children to become familiar with mathematical terms. This baking activity allows children to work with mathematical language, for example grams and ounces which are used when measuring ingredients. Throughout early years, play is an important part in mathematical and numeracy development and enables children to learn life skills such as working with numbers and collaborating with others. This is the first abstract concept that children encounter in mathematics and it encourages the principles of logical reasoning. As a result of the adult using mathematical language throughout the activity, it allows the child to become familiar with this terminology. Vygotsky (2011) Zone of Proximal </w:t>
      </w:r>
      <w:r w:rsidR="0ACEB57D">
        <w:rPr>
          <w:u w:val="none"/>
        </w:rPr>
        <w:t>Development</w:t>
      </w:r>
      <w:r w:rsidR="0ACEB57D">
        <w:rPr>
          <w:u w:val="none"/>
        </w:rPr>
        <w:t xml:space="preserve"> supports this idea, stating that a child can achieve a goal with guidance and encouragement from an adult with more skill.</w:t>
      </w:r>
      <w:r w:rsidRPr="0ACEB57D" w:rsidR="0ACEB57D">
        <w:rPr>
          <w:rFonts w:ascii="Calibri" w:hAnsi="Calibri" w:eastAsia="Calibri" w:cs="Calibri"/>
          <w:noProof w:val="0"/>
          <w:color w:val="626262"/>
          <w:sz w:val="21"/>
          <w:szCs w:val="21"/>
          <w:lang w:val="en-GB"/>
        </w:rPr>
        <w:t xml:space="preserve"> </w:t>
      </w:r>
      <w:r w:rsidR="0ACEB57D">
        <w:rPr>
          <w:u w:val="none"/>
        </w:rPr>
        <w:t xml:space="preserve">Another strength of this activity plan is it enables children to be creative. Children can be imaginative when deciding on the shapes of their welsh cakes, what flavours and toppings they would like to add. This encourages self-direction as they are deciding themselves how they would like their welsh cakes to turn out. On top of this, this activity is not only exposing children to mathematical concepts, it is also educating the children about their country and culture. Welsh cakes are a traditional Welsh dish and the children learning this allows them develop their understanding of the world around them. A further strength of this activity is that it will be a safe environment for all children. The practitioners will be observing the children at all times, specifically when using appliances. They will also ensure the children fully understand the task and the safety rules that go with it, for example making sure that they are wearing an oven glove when moving the tray into the oven to prevent burning themselves. The practitioner discussing the safety and sanitary rules prior, during and after the exercise effectively supports a safe environment throughout this activity.  </w:t>
      </w:r>
    </w:p>
    <w:p w:rsidR="08C64CB4" w:rsidP="0ACEB57D" w:rsidRDefault="08C64CB4" w14:paraId="4DBE4C0D" w14:textId="721FE666">
      <w:pPr>
        <w:pStyle w:val="Normal"/>
        <w:jc w:val="both"/>
        <w:rPr>
          <w:rFonts w:ascii="Calibri" w:hAnsi="Calibri" w:eastAsia="Calibri" w:cs="Calibri"/>
          <w:noProof w:val="0"/>
          <w:color w:val="626262"/>
          <w:sz w:val="21"/>
          <w:szCs w:val="21"/>
          <w:lang w:val="en-GB"/>
        </w:rPr>
      </w:pPr>
      <w:r w:rsidR="0ACEB57D">
        <w:rPr>
          <w:u w:val="none"/>
        </w:rPr>
        <w:t>However, a weakness of this activity is the lack of space and resources available within the classroom. Ideally more worktop surfaces would allow children more space to get creative within this activity but this is unavoidable due to the location of the activity. On top of this, due to the few hours in a school day, time is an issue in this activity. If there was no restricted time frame, it would allow children more time to explore independently and develop their mathematical skills. Another weakness would be the limited number of adults present. If there was to be more adults available, the children would have more support throughout the activity. However, this could be argued to be a positive of this activity as it allows the children to work more independently and figure things out for themselves. Vygotsky (2011) supports that this would in fact be a positive of this activity by saying the adult should only guide the child as much as they need, allowing them space to take independent steps on their own and continue their mathematical development, making the role of the adult clear in this activity plan.</w:t>
      </w:r>
    </w:p>
    <w:p w:rsidR="0ACEB57D" w:rsidP="0ACEB57D" w:rsidRDefault="0ACEB57D" w14:paraId="49C7FDE0" w14:textId="5179EFAF">
      <w:pPr>
        <w:pStyle w:val="Normal"/>
      </w:pPr>
    </w:p>
    <w:p w:rsidR="0ACEB57D" w:rsidP="0ACEB57D" w:rsidRDefault="0ACEB57D" w14:paraId="77E6429B" w14:textId="759FA690">
      <w:pPr>
        <w:pStyle w:val="Normal"/>
      </w:pPr>
      <w:r w:rsidRPr="0ACEB57D" w:rsidR="0ACEB57D">
        <w:rPr>
          <w:u w:val="single"/>
        </w:rPr>
        <w:t xml:space="preserve">Section 3 </w:t>
      </w:r>
    </w:p>
    <w:p w:rsidR="0ACEB57D" w:rsidP="0ACEB57D" w:rsidRDefault="0ACEB57D" w14:paraId="46CA2897" w14:textId="00077B61">
      <w:pPr>
        <w:pStyle w:val="Normal"/>
        <w:jc w:val="both"/>
        <w:rPr>
          <w:rFonts w:ascii="ArialMT" w:hAnsi="ArialMT" w:eastAsia="ArialMT" w:cs="ArialMT"/>
          <w:noProof w:val="0"/>
          <w:color w:val="auto"/>
          <w:sz w:val="24"/>
          <w:szCs w:val="24"/>
          <w:u w:val="none"/>
          <w:lang w:val="en-GB"/>
        </w:rPr>
      </w:pPr>
      <w:r w:rsidR="0ACEB57D">
        <w:rPr>
          <w:u w:val="none"/>
        </w:rPr>
        <w:t xml:space="preserve">A diverse range of resources are used throughout this activity plan to successfully bake Welsh cakes whilst encouraging mathematical development. The first resource being the weighing scales. This is a fundamental resource in this activity, allowing the children to accurately measure their ingredients in grams. This effectively supports mathematical development by exposing the children to mathematical terms like grams and ounces. This also develops their mathematical development by making them familiar working with numbers using addition and subtraction. This is done throughout the activity when measuring ingredients on the scales, knowing how many grams they need to subtract from the total to get the correct amount for example. Piaget (1991) supports this active hands-on learning, where children learn by doing and engaging in the task. He states that when a child is taught something, it will forever take away their chance of discovering it for themselves. Piaget agrees with the idea of the children using the weighing scales to measure ingredients themselves rather than the adult doing it for them to enhance their own mathematical development. Another resource that supports mathematical development is the cookie cutters. These come in multiple shapes and sizes, allowing the children to be imaginative when deciding which </w:t>
      </w:r>
      <w:proofErr w:type="gramStart"/>
      <w:r w:rsidR="0ACEB57D">
        <w:rPr>
          <w:u w:val="none"/>
        </w:rPr>
        <w:t>shape</w:t>
      </w:r>
      <w:proofErr w:type="gramEnd"/>
      <w:r w:rsidR="0ACEB57D">
        <w:rPr>
          <w:u w:val="none"/>
        </w:rPr>
        <w:t xml:space="preserve"> they would like to use. This encourages children to be creative and allows them the opportunity to experiment and tackle mathematical problems. This resource encourages mathematical language due to the children getting familiar with the names of each shape, for example these include circles, squares, triangles, stars and hexagons. This mathematical language will help children throughout school and allow them to recognise these shapes during day-to-day life. Gifford (2018) suggests that children's learning is built from previously learnt ideas and that children go on to use vocabulary from previously learnt mathematical experiences. A further resource that will support mathematical development is the measuring spoons. The children will use these to measure ingredients in teaspoons and tablespoons. Bruner suggests that when children engage in a concrete activity that enables them to explore and engage in it themselves, they become more familiar with the task and develop their mathematical confidence. Freudenthal (1973) agrees with Bruner, stating that children develop ideas and concepts as a result of their own experiences. Throughout this activity, the children are controlling their fine motor skills whilst using all resources. This includes when measuring ingredients, mixing ingredients and cleaning the work space once finished for example.  </w:t>
      </w:r>
    </w:p>
    <w:p w:rsidR="0ACEB57D" w:rsidP="0ACEB57D" w:rsidRDefault="0ACEB57D" w14:paraId="055F9532" w14:textId="195735D2">
      <w:pPr>
        <w:pStyle w:val="Normal"/>
        <w:jc w:val="both"/>
        <w:rPr>
          <w:u w:val="single"/>
        </w:rPr>
      </w:pPr>
    </w:p>
    <w:p w:rsidR="0ACEB57D" w:rsidP="0ACEB57D" w:rsidRDefault="0ACEB57D" w14:paraId="4ED3664B" w14:textId="04EEE835">
      <w:pPr>
        <w:pStyle w:val="Normal"/>
        <w:jc w:val="both"/>
        <w:rPr>
          <w:u w:val="none"/>
        </w:rPr>
      </w:pPr>
      <w:r w:rsidRPr="0ACEB57D" w:rsidR="0ACEB57D">
        <w:rPr>
          <w:u w:val="single"/>
        </w:rPr>
        <w:t>Section 4</w:t>
      </w:r>
    </w:p>
    <w:p w:rsidR="0ACEB57D" w:rsidP="0ACEB57D" w:rsidRDefault="0ACEB57D" w14:paraId="355A48C4" w14:textId="175107F4">
      <w:pPr>
        <w:pStyle w:val="Normal"/>
        <w:jc w:val="both"/>
        <w:rPr>
          <w:rFonts w:ascii="-webkit-standard" w:hAnsi="-webkit-standard" w:eastAsia="-webkit-standard" w:cs="-webkit-standard"/>
          <w:noProof w:val="0"/>
          <w:color w:val="222221"/>
          <w:sz w:val="24"/>
          <w:szCs w:val="24"/>
          <w:lang w:val="en-GB"/>
        </w:rPr>
      </w:pPr>
      <w:r w:rsidR="0ACEB57D">
        <w:rPr>
          <w:u w:val="none"/>
        </w:rPr>
        <w:t xml:space="preserve">Throughout this activity plan adults will be observing the children’s interactions and mathematical development with resources. To achieve mathematical development the adult will plan an activity that is line with the new curriculum. For a child to progress in mathematics, the adult must have the knowledge and confidence to understand and explain the mathematical concept to the child through symbols and fluency. This would include using mathematical language such as fractions and division. In addition to this, the adult should use relevant mathematical language to maximise mathematical development. The adults act as role models to the children, meaning if the adult forgets to use mathematical vocabulary throughout and whilst explaining the task, it is likely the children will not use it either as they are not as exposed to mathematical language. This is a disadvantage to the children’s mathematical development and Vygotsky (2011) supports this by emphasising that children must have guidance from a knowledgeable figure to support their development. It is important that the children are supported whilst still given the opportunity to work independently and Vygotsky's Zone of Proximal Development supports this by emphasising the difference between what a child can already do on their own compared to what they can achieve on their own when encouraged and supported by an adult. Children learn through their experiences and mistakes and adults can take this in a positive way to maximise their learning. Ryan and Williams (2010) encourage the idea that adults take a positive point of view of children’s mistakes and errors as a productive starting point for development. It is important for adults to build a positive and supportive relationship with the child (Drews, 2011) in order to prevent the child from feeling embarrassed or humiliated when they make these mistakes. It is instead the goal to make the child aware that making mistakes is a positive stage in their mathematical development and they can then revisit these mistakes to become better. Bruner’s spiral curriculum supports this idea of revisiting an activity to gain deeper knowledge of the topic. This approach to learning ensures that the information is reinforced and solidified each time the child revisits the task. The adults must be confident enough to understand how children develop and plan an activity that takes into account the child’s development needs and what they need to be able to come more confident within mathematics. This can be done by asking the children open ended questions to encourage the child to discuss their thoughts and support them if they have any problems. By engaging in the child’s conversation and making observations, it allows the adult to monitor the child’s mathematical development and gives them the opportunity to plan how they are going to support further development which is important for in supporting the child as mathematics enables everyone to have control of various aspects in life (Lee, 2006). Adults should create a welcoming environment for the children where they feel comfortable whilst they learn and mathematically develop at their own pace as this is important for their own early childhood development and teachers should support this with a hands-on approach to learning. </w:t>
      </w:r>
    </w:p>
    <w:p w:rsidR="0ACEB57D" w:rsidP="0ACEB57D" w:rsidRDefault="0ACEB57D" w14:paraId="62A18492" w14:textId="0458B86D">
      <w:pPr>
        <w:pStyle w:val="Normal"/>
      </w:pPr>
    </w:p>
    <w:p w:rsidR="0ACEB57D" w:rsidP="0ACEB57D" w:rsidRDefault="0ACEB57D" w14:paraId="3863B1CE" w14:textId="42671C05">
      <w:pPr>
        <w:rPr>
          <w:rFonts w:ascii="Calibri" w:hAnsi="Calibri" w:eastAsia="Calibri" w:cs="Calibri" w:asciiTheme="minorAscii" w:hAnsiTheme="minorAscii" w:eastAsiaTheme="minorAscii" w:cstheme="minorAscii"/>
          <w:b w:val="0"/>
          <w:bCs w:val="0"/>
          <w:noProof w:val="0"/>
          <w:sz w:val="22"/>
          <w:szCs w:val="22"/>
          <w:u w:val="single"/>
          <w:lang w:val="en-GB"/>
        </w:rPr>
      </w:pPr>
      <w:r w:rsidRPr="0ACEB57D" w:rsidR="0ACEB57D">
        <w:rPr>
          <w:rFonts w:ascii="Calibri" w:hAnsi="Calibri" w:eastAsia="Calibri" w:cs="Calibri" w:asciiTheme="minorAscii" w:hAnsiTheme="minorAscii" w:eastAsiaTheme="minorAscii" w:cstheme="minorAscii"/>
          <w:b w:val="0"/>
          <w:bCs w:val="0"/>
          <w:noProof w:val="0"/>
          <w:sz w:val="22"/>
          <w:szCs w:val="22"/>
          <w:u w:val="single"/>
          <w:lang w:val="en-GB"/>
        </w:rPr>
        <w:t>Reference list</w:t>
      </w:r>
    </w:p>
    <w:p w:rsidR="0ACEB57D" w:rsidP="0ACEB57D" w:rsidRDefault="0ACEB57D" w14:paraId="2CB2B078" w14:textId="7E2369EA">
      <w:pPr>
        <w:pStyle w:val="Normal"/>
        <w:rPr>
          <w:rFonts w:ascii="Calibri" w:hAnsi="Calibri" w:eastAsia="Calibri" w:cs="Calibri" w:asciiTheme="minorAscii" w:hAnsiTheme="minorAscii" w:eastAsiaTheme="minorAscii" w:cstheme="minorAscii"/>
          <w:b w:val="0"/>
          <w:bCs w:val="0"/>
          <w:i w:val="1"/>
          <w:iCs w:val="1"/>
          <w:noProof w:val="0"/>
          <w:sz w:val="22"/>
          <w:szCs w:val="22"/>
          <w:u w:val="none"/>
          <w:lang w:val="en-GB"/>
        </w:rPr>
      </w:pPr>
      <w:r w:rsidRPr="0ACEB57D" w:rsidR="0ACEB57D">
        <w:rPr>
          <w:rFonts w:ascii="Calibri" w:hAnsi="Calibri" w:eastAsia="Calibri" w:cs="Calibri" w:asciiTheme="minorAscii" w:hAnsiTheme="minorAscii" w:eastAsiaTheme="minorAscii" w:cstheme="minorAscii"/>
          <w:b w:val="0"/>
          <w:bCs w:val="0"/>
          <w:noProof w:val="0"/>
          <w:sz w:val="22"/>
          <w:szCs w:val="22"/>
          <w:u w:val="none"/>
          <w:lang w:val="en-GB"/>
        </w:rPr>
        <w:t xml:space="preserve">Education Wales (2019). </w:t>
      </w:r>
      <w:r w:rsidRPr="0ACEB57D" w:rsidR="0ACEB57D">
        <w:rPr>
          <w:rFonts w:ascii="Calibri" w:hAnsi="Calibri" w:eastAsia="Calibri" w:cs="Calibri" w:asciiTheme="minorAscii" w:hAnsiTheme="minorAscii" w:eastAsiaTheme="minorAscii" w:cstheme="minorAscii"/>
          <w:b w:val="0"/>
          <w:bCs w:val="0"/>
          <w:i w:val="1"/>
          <w:iCs w:val="1"/>
          <w:noProof w:val="0"/>
          <w:sz w:val="22"/>
          <w:szCs w:val="22"/>
          <w:u w:val="none"/>
          <w:lang w:val="en-GB"/>
        </w:rPr>
        <w:t xml:space="preserve">Mathematics and numeracy </w:t>
      </w:r>
      <w:hyperlink r:id="Rd35fd9ca927e47e9">
        <w:r w:rsidRPr="0ACEB57D" w:rsidR="0ACEB57D">
          <w:rPr>
            <w:rStyle w:val="Hyperlink"/>
            <w:rFonts w:ascii="Calibri" w:hAnsi="Calibri" w:eastAsia="Calibri" w:cs="Calibri" w:asciiTheme="minorAscii" w:hAnsiTheme="minorAscii" w:eastAsiaTheme="minorAscii" w:cstheme="minorAscii"/>
            <w:b w:val="0"/>
            <w:bCs w:val="0"/>
            <w:i w:val="1"/>
            <w:iCs w:val="1"/>
            <w:noProof w:val="0"/>
            <w:sz w:val="22"/>
            <w:szCs w:val="22"/>
            <w:lang w:val="en-GB"/>
          </w:rPr>
          <w:t>https://moodle.uwtsd.ac.uk/pluginfile.php/470604/mod_resource/content/1/draft-statutory-guidance-mathematics-and-numeracy.pdf</w:t>
        </w:r>
      </w:hyperlink>
    </w:p>
    <w:p w:rsidR="0ACEB57D" w:rsidP="0ACEB57D" w:rsidRDefault="0ACEB57D" w14:paraId="6550AF70" w14:textId="7B7774BE">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0ACEB57D" w:rsidR="0ACEB57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Johnston, H (2012</w:t>
      </w:r>
      <w:r w:rsidRPr="0ACEB57D" w:rsidR="0ACEB57D">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2"/>
          <w:szCs w:val="22"/>
          <w:u w:val="none"/>
          <w:lang w:val="en-GB"/>
        </w:rPr>
        <w:t xml:space="preserve">) </w:t>
      </w:r>
      <w:r w:rsidRPr="0ACEB57D" w:rsidR="0ACEB57D">
        <w:rPr>
          <w:rFonts w:ascii="Calibri" w:hAnsi="Calibri" w:eastAsia="Calibri" w:cs="Calibri" w:asciiTheme="minorAscii" w:hAnsiTheme="minorAscii" w:eastAsiaTheme="minorAscii" w:cstheme="minorAscii"/>
          <w:b w:val="0"/>
          <w:bCs w:val="0"/>
          <w:i w:val="1"/>
          <w:iCs w:val="1"/>
          <w:noProof w:val="0"/>
          <w:color w:val="333333"/>
          <w:sz w:val="22"/>
          <w:szCs w:val="22"/>
          <w:u w:val="none"/>
          <w:lang w:val="en-GB"/>
        </w:rPr>
        <w:t xml:space="preserve">The Spiral Curriculum. Research into Practice </w:t>
      </w:r>
      <w:hyperlink r:id="Rdaf156ac3866449b">
        <w:r w:rsidRPr="0ACEB57D" w:rsidR="0ACEB57D">
          <w:rPr>
            <w:rStyle w:val="Hyperlink"/>
            <w:rFonts w:ascii="Calibri" w:hAnsi="Calibri" w:eastAsia="Calibri" w:cs="Calibri" w:asciiTheme="minorAscii" w:hAnsiTheme="minorAscii" w:eastAsiaTheme="minorAscii" w:cstheme="minorAscii"/>
            <w:b w:val="0"/>
            <w:bCs w:val="0"/>
            <w:i w:val="1"/>
            <w:iCs w:val="1"/>
            <w:noProof w:val="0"/>
            <w:sz w:val="22"/>
            <w:szCs w:val="22"/>
            <w:lang w:val="en-GB"/>
          </w:rPr>
          <w:t>https://eric.ed.gov/?id=ED538282</w:t>
        </w:r>
      </w:hyperlink>
    </w:p>
    <w:p w:rsidR="0ACEB57D" w:rsidP="0ACEB57D" w:rsidRDefault="0ACEB57D" w14:paraId="6AF67694" w14:textId="76B55967">
      <w:pPr>
        <w:pStyle w:val="Normal"/>
        <w:rPr>
          <w:rFonts w:ascii="Calibri" w:hAnsi="Calibri" w:eastAsia="Calibri" w:cs="Calibri" w:asciiTheme="minorAscii" w:hAnsiTheme="minorAscii" w:eastAsiaTheme="minorAscii" w:cstheme="minorAscii"/>
          <w:b w:val="0"/>
          <w:bCs w:val="0"/>
          <w:i w:val="1"/>
          <w:iCs w:val="1"/>
          <w:noProof w:val="0"/>
          <w:sz w:val="22"/>
          <w:szCs w:val="22"/>
          <w:lang w:val="en-GB"/>
        </w:rPr>
      </w:pPr>
      <w:r w:rsidRPr="0ACEB57D" w:rsidR="0ACEB57D">
        <w:rPr>
          <w:rFonts w:ascii="Calibri" w:hAnsi="Calibri" w:eastAsia="Calibri" w:cs="Calibri" w:asciiTheme="minorAscii" w:hAnsiTheme="minorAscii" w:eastAsiaTheme="minorAscii" w:cstheme="minorAscii"/>
          <w:b w:val="0"/>
          <w:bCs w:val="0"/>
          <w:noProof w:val="0"/>
          <w:sz w:val="22"/>
          <w:szCs w:val="22"/>
          <w:lang w:val="en-GB"/>
        </w:rPr>
        <w:t xml:space="preserve">Minetola, J., Ziegenfuss, R. G., &amp; Chrisman, J. K. (2013). </w:t>
      </w:r>
      <w:r w:rsidRPr="0ACEB57D" w:rsidR="0ACEB57D">
        <w:rPr>
          <w:rFonts w:ascii="Calibri" w:hAnsi="Calibri" w:eastAsia="Calibri" w:cs="Calibri" w:asciiTheme="minorAscii" w:hAnsiTheme="minorAscii" w:eastAsiaTheme="minorAscii" w:cstheme="minorAscii"/>
          <w:b w:val="0"/>
          <w:bCs w:val="0"/>
          <w:i w:val="1"/>
          <w:iCs w:val="1"/>
          <w:noProof w:val="0"/>
          <w:sz w:val="22"/>
          <w:szCs w:val="22"/>
          <w:lang w:val="en-GB"/>
        </w:rPr>
        <w:t>Teaching young children mathematics. Routledge.</w:t>
      </w:r>
    </w:p>
    <w:p w:rsidR="0ACEB57D" w:rsidP="0ACEB57D" w:rsidRDefault="0ACEB57D" w14:paraId="5869467D" w14:textId="7FA587C8">
      <w:pPr>
        <w:pStyle w:val="Normal"/>
        <w:rPr>
          <w:rFonts w:ascii="Calibri" w:hAnsi="Calibri" w:eastAsia="Calibri" w:cs="Calibri"/>
          <w:noProof w:val="0"/>
          <w:color w:val="374858"/>
          <w:sz w:val="27"/>
          <w:szCs w:val="27"/>
          <w:lang w:val="en-GB"/>
        </w:rPr>
      </w:pPr>
      <w:r w:rsidRPr="0ACEB57D" w:rsidR="0ACEB57D">
        <w:rPr>
          <w:rFonts w:ascii="Calibri" w:hAnsi="Calibri" w:eastAsia="Calibri" w:cs="Calibri"/>
          <w:noProof w:val="0"/>
          <w:color w:val="374858"/>
          <w:sz w:val="27"/>
          <w:szCs w:val="27"/>
          <w:lang w:val="en-GB"/>
        </w:rPr>
        <w:t xml:space="preserve">Piaget, J. (1991). Six studies of psychology. </w:t>
      </w:r>
      <w:hyperlink r:id="R0ad1431884e34495">
        <w:r w:rsidRPr="0ACEB57D" w:rsidR="0ACEB57D">
          <w:rPr>
            <w:rStyle w:val="Hyperlink"/>
            <w:rFonts w:ascii="Calibri" w:hAnsi="Calibri" w:eastAsia="Calibri" w:cs="Calibri"/>
            <w:noProof w:val="0"/>
            <w:sz w:val="27"/>
            <w:szCs w:val="27"/>
            <w:lang w:val="en-GB"/>
          </w:rPr>
          <w:t>https://exploringyourmind.com/piaget-and-his-theory-about-learning/</w:t>
        </w:r>
      </w:hyperlink>
      <w:r w:rsidRPr="0ACEB57D" w:rsidR="0ACEB57D">
        <w:rPr>
          <w:rFonts w:ascii="Calibri" w:hAnsi="Calibri" w:eastAsia="Calibri" w:cs="Calibri"/>
          <w:noProof w:val="0"/>
          <w:color w:val="374858"/>
          <w:sz w:val="27"/>
          <w:szCs w:val="27"/>
          <w:lang w:val="en-GB"/>
        </w:rPr>
        <w:t>.</w:t>
      </w:r>
    </w:p>
    <w:p w:rsidR="0ACEB57D" w:rsidP="0ACEB57D" w:rsidRDefault="0ACEB57D" w14:paraId="55FE6C71" w14:textId="3E710802">
      <w:pPr>
        <w:pStyle w:val="Heading1"/>
        <w:rPr>
          <w:rFonts w:ascii="Calibri" w:hAnsi="Calibri" w:eastAsia="Calibri" w:cs="Calibri" w:asciiTheme="minorAscii" w:hAnsiTheme="minorAscii" w:eastAsiaTheme="minorAscii" w:cstheme="minorAscii"/>
          <w:i w:val="1"/>
          <w:iCs w:val="1"/>
          <w:noProof w:val="0"/>
          <w:color w:val="0F1111"/>
          <w:sz w:val="22"/>
          <w:szCs w:val="22"/>
          <w:lang w:val="en-GB"/>
        </w:rPr>
      </w:pPr>
      <w:r w:rsidRPr="0ACEB57D" w:rsidR="0ACEB57D">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Ryan &amp; Williams (2010).</w:t>
      </w:r>
      <w:r w:rsidRPr="0ACEB57D" w:rsidR="0ACEB57D">
        <w:rPr>
          <w:rFonts w:ascii="Calibri" w:hAnsi="Calibri" w:eastAsia="Calibri" w:cs="Calibri" w:asciiTheme="minorAscii" w:hAnsiTheme="minorAscii" w:eastAsiaTheme="minorAscii" w:cstheme="minorAscii"/>
          <w:b w:val="0"/>
          <w:bCs w:val="0"/>
          <w:noProof w:val="0"/>
          <w:sz w:val="22"/>
          <w:szCs w:val="22"/>
          <w:lang w:val="en-GB"/>
        </w:rPr>
        <w:t xml:space="preserve"> </w:t>
      </w:r>
      <w:r w:rsidRPr="0ACEB57D" w:rsidR="0ACEB57D">
        <w:rPr>
          <w:rFonts w:ascii="Calibri" w:hAnsi="Calibri" w:eastAsia="Calibri" w:cs="Calibri" w:asciiTheme="minorAscii" w:hAnsiTheme="minorAscii" w:eastAsiaTheme="minorAscii" w:cstheme="minorAscii"/>
          <w:i w:val="1"/>
          <w:iCs w:val="1"/>
          <w:noProof w:val="0"/>
          <w:color w:val="0F1111"/>
          <w:sz w:val="22"/>
          <w:szCs w:val="22"/>
          <w:lang w:val="en-GB"/>
        </w:rPr>
        <w:t>Children's mathematics 4-15: learning from errors and misconceptions</w:t>
      </w:r>
    </w:p>
    <w:p w:rsidR="0ACEB57D" w:rsidP="0ACEB57D" w:rsidRDefault="0ACEB57D" w14:paraId="1CBB9C03" w14:textId="178F3592">
      <w:pPr>
        <w:pStyle w:val="Normal"/>
        <w:rPr>
          <w:rFonts w:ascii="Calibri" w:hAnsi="Calibri" w:eastAsia="Calibri" w:cs="Calibri" w:asciiTheme="minorAscii" w:hAnsiTheme="minorAscii" w:eastAsiaTheme="minorAscii" w:cstheme="minorAscii"/>
          <w:b w:val="0"/>
          <w:bCs w:val="0"/>
          <w:noProof w:val="0"/>
          <w:sz w:val="22"/>
          <w:szCs w:val="22"/>
          <w:lang w:val="en-GB"/>
        </w:rPr>
      </w:pPr>
    </w:p>
    <w:p w:rsidR="0ACEB57D" w:rsidP="0ACEB57D" w:rsidRDefault="0ACEB57D" w14:paraId="13A3B0F5" w14:textId="5A08B9DC">
      <w:pPr>
        <w:pStyle w:val="Normal"/>
        <w:rPr>
          <w:rFonts w:ascii="Calibri" w:hAnsi="Calibri" w:eastAsia="Calibri" w:cs="Calibri" w:asciiTheme="minorAscii" w:hAnsiTheme="minorAscii" w:eastAsiaTheme="minorAscii" w:cstheme="minorAscii"/>
          <w:b w:val="0"/>
          <w:bCs w:val="0"/>
          <w:i w:val="1"/>
          <w:iCs w:val="1"/>
          <w:noProof w:val="0"/>
          <w:sz w:val="22"/>
          <w:szCs w:val="22"/>
          <w:lang w:val="en-GB"/>
        </w:rPr>
      </w:pPr>
      <w:r w:rsidRPr="0ACEB57D" w:rsidR="0ACEB57D">
        <w:rPr>
          <w:rFonts w:ascii="Calibri" w:hAnsi="Calibri" w:eastAsia="Calibri" w:cs="Calibri" w:asciiTheme="minorAscii" w:hAnsiTheme="minorAscii" w:eastAsiaTheme="minorAscii" w:cstheme="minorAscii"/>
          <w:b w:val="0"/>
          <w:bCs w:val="0"/>
          <w:noProof w:val="0"/>
          <w:sz w:val="22"/>
          <w:szCs w:val="22"/>
          <w:lang w:val="en-GB"/>
        </w:rPr>
        <w:t xml:space="preserve">Schank, R.C. &amp; Abelson, R. (1977). </w:t>
      </w:r>
      <w:r w:rsidRPr="0ACEB57D" w:rsidR="0ACEB57D">
        <w:rPr>
          <w:rFonts w:ascii="Calibri" w:hAnsi="Calibri" w:eastAsia="Calibri" w:cs="Calibri" w:asciiTheme="minorAscii" w:hAnsiTheme="minorAscii" w:eastAsiaTheme="minorAscii" w:cstheme="minorAscii"/>
          <w:b w:val="0"/>
          <w:bCs w:val="0"/>
          <w:i w:val="1"/>
          <w:iCs w:val="1"/>
          <w:noProof w:val="0"/>
          <w:sz w:val="22"/>
          <w:szCs w:val="22"/>
          <w:lang w:val="en-GB"/>
        </w:rPr>
        <w:t>Scripts, plans, goals, and understanding. Hillsdale, NJ: Erlbaum.</w:t>
      </w:r>
    </w:p>
    <w:p w:rsidR="0ACEB57D" w:rsidP="0ACEB57D" w:rsidRDefault="0ACEB57D" w14:paraId="24AD9C74" w14:textId="7AC6B2D8">
      <w:pPr>
        <w:pStyle w:val="Normal"/>
        <w:rPr>
          <w:rFonts w:ascii="Calibri" w:hAnsi="Calibri" w:eastAsia="Calibri" w:cs="Calibri" w:asciiTheme="minorAscii" w:hAnsiTheme="minorAscii" w:eastAsiaTheme="minorAscii" w:cstheme="minorAscii"/>
          <w:b w:val="0"/>
          <w:bCs w:val="0"/>
          <w:noProof w:val="0"/>
          <w:color w:val="333333"/>
          <w:sz w:val="22"/>
          <w:szCs w:val="22"/>
          <w:lang w:val="en-GB"/>
        </w:rPr>
      </w:pPr>
      <w:r w:rsidRPr="0ACEB57D" w:rsidR="0ACEB57D">
        <w:rPr>
          <w:rFonts w:ascii="Calibri" w:hAnsi="Calibri" w:eastAsia="Calibri" w:cs="Calibri" w:asciiTheme="minorAscii" w:hAnsiTheme="minorAscii" w:eastAsiaTheme="minorAscii" w:cstheme="minorAscii"/>
          <w:b w:val="0"/>
          <w:bCs w:val="0"/>
          <w:noProof w:val="0"/>
          <w:sz w:val="22"/>
          <w:szCs w:val="22"/>
          <w:lang w:val="en-GB"/>
        </w:rPr>
        <w:t xml:space="preserve">The Foundation Education (2018). </w:t>
      </w:r>
      <w:r w:rsidRPr="0ACEB57D" w:rsidR="0ACEB57D">
        <w:rPr>
          <w:rFonts w:ascii="Calibri" w:hAnsi="Calibri" w:eastAsia="Calibri" w:cs="Calibri" w:asciiTheme="minorAscii" w:hAnsiTheme="minorAscii" w:eastAsiaTheme="minorAscii" w:cstheme="minorAscii"/>
          <w:b w:val="0"/>
          <w:bCs w:val="0"/>
          <w:i w:val="1"/>
          <w:iCs w:val="1"/>
          <w:noProof w:val="0"/>
          <w:sz w:val="22"/>
          <w:szCs w:val="22"/>
          <w:lang w:val="en-GB"/>
        </w:rPr>
        <w:t xml:space="preserve">How can I support holistic development of childern?  </w:t>
      </w:r>
      <w:hyperlink r:id="R098ca38835cf4430">
        <w:r w:rsidRPr="0ACEB57D" w:rsidR="0ACEB57D">
          <w:rPr>
            <w:rStyle w:val="Hyperlink"/>
            <w:rFonts w:ascii="Calibri" w:hAnsi="Calibri" w:eastAsia="Calibri" w:cs="Calibri" w:asciiTheme="minorAscii" w:hAnsiTheme="minorAscii" w:eastAsiaTheme="minorAscii" w:cstheme="minorAscii"/>
            <w:b w:val="0"/>
            <w:bCs w:val="0"/>
            <w:noProof w:val="0"/>
            <w:sz w:val="22"/>
            <w:szCs w:val="22"/>
            <w:lang w:val="en-GB"/>
          </w:rPr>
          <w:t>https://www.foundationeducation.edu.au/articles/2018/03/support-holistic-development-children-early-childhood-education</w:t>
        </w:r>
      </w:hyperlink>
    </w:p>
    <w:p w:rsidR="0ACEB57D" w:rsidP="0ACEB57D" w:rsidRDefault="0ACEB57D" w14:paraId="63C78C0B" w14:textId="77D745FA">
      <w:pPr>
        <w:pStyle w:val="Normal"/>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pPr>
      <w:r w:rsidRPr="0ACEB57D" w:rsidR="0ACEB57D">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Vygotsky, L. S., &amp; Luria, A. (1994). Tool and symbol in child development. In R. van der Veer &amp; J. </w:t>
      </w:r>
      <w:proofErr w:type="spellStart"/>
      <w:r w:rsidRPr="0ACEB57D" w:rsidR="0ACEB57D">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Valsiner</w:t>
      </w:r>
      <w:proofErr w:type="spellEnd"/>
      <w:r w:rsidRPr="0ACEB57D" w:rsidR="0ACEB57D">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(Eds.). </w:t>
      </w:r>
      <w:r w:rsidRPr="0ACEB57D" w:rsidR="0ACEB57D">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2"/>
          <w:szCs w:val="22"/>
          <w:lang w:val="en-GB"/>
        </w:rPr>
        <w:t>The Vygotsky reader</w:t>
      </w:r>
      <w:r w:rsidRPr="0ACEB57D" w:rsidR="0ACEB57D">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w:t>
      </w:r>
    </w:p>
    <w:p w:rsidR="0ACEB57D" w:rsidP="0ACEB57D" w:rsidRDefault="0ACEB57D" w14:paraId="4BC0A6FE" w14:textId="544751AB">
      <w:pPr>
        <w:pStyle w:val="Normal"/>
        <w:rPr>
          <w:rFonts w:ascii="Calibri" w:hAnsi="Calibri" w:eastAsia="Calibri" w:cs="Calibri" w:asciiTheme="minorAscii" w:hAnsiTheme="minorAscii" w:eastAsiaTheme="minorAscii" w:cstheme="minorAscii"/>
          <w:b w:val="0"/>
          <w:bCs w:val="0"/>
          <w:noProof w:val="0"/>
          <w:sz w:val="22"/>
          <w:szCs w:val="22"/>
          <w:lang w:val="en-GB"/>
        </w:rPr>
      </w:pPr>
    </w:p>
    <w:p w:rsidR="0ACEB57D" w:rsidP="0ACEB57D" w:rsidRDefault="0ACEB57D" w14:paraId="55CEFF6E" w14:textId="764AC846">
      <w:pPr>
        <w:pStyle w:val="Normal"/>
        <w:rPr>
          <w:rFonts w:ascii="Calibri" w:hAnsi="Calibri" w:eastAsia="Calibri" w:cs="Calibri" w:asciiTheme="minorAscii" w:hAnsiTheme="minorAscii" w:eastAsiaTheme="minorAscii" w:cstheme="minorAscii"/>
          <w:b w:val="0"/>
          <w:bCs w:val="0"/>
          <w:i w:val="1"/>
          <w:iCs w:val="1"/>
          <w:noProof w:val="0"/>
          <w:color w:val="333333"/>
          <w:sz w:val="22"/>
          <w:szCs w:val="22"/>
          <w:u w:val="none"/>
          <w:lang w:val="en-GB"/>
        </w:rPr>
      </w:pPr>
    </w:p>
    <w:p w:rsidR="0ACEB57D" w:rsidP="0ACEB57D" w:rsidRDefault="0ACEB57D" w14:paraId="186BD7EF" w14:textId="7DACCF96">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p>
    <w:p w:rsidR="0ACEB57D" w:rsidP="0ACEB57D" w:rsidRDefault="0ACEB57D" w14:paraId="3B785EFB" w14:textId="36FE3FF1">
      <w:pPr>
        <w:pStyle w:val="Normal"/>
        <w:rPr>
          <w:rFonts w:ascii="Calibri" w:hAnsi="Calibri" w:eastAsia="Calibri" w:cs="Calibri"/>
          <w:noProof w:val="0"/>
          <w:color w:val="374858"/>
          <w:sz w:val="27"/>
          <w:szCs w:val="27"/>
          <w:lang w:val="en-GB"/>
        </w:rPr>
      </w:pPr>
    </w:p>
    <w:p w:rsidR="0ACEB57D" w:rsidP="0ACEB57D" w:rsidRDefault="0ACEB57D" w14:paraId="699F14F9" w14:textId="3BC5E761">
      <w:pPr>
        <w:pStyle w:val="Normal"/>
        <w:rPr>
          <w:rFonts w:ascii="Georgia" w:hAnsi="Georgia" w:eastAsia="Georgia" w:cs="Georgia"/>
          <w:noProof w:val="0"/>
          <w:color w:val="333333"/>
          <w:sz w:val="25"/>
          <w:szCs w:val="25"/>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5D52119"/>
    <w:rsid w:val="05D52119"/>
    <w:rsid w:val="08C64CB4"/>
    <w:rsid w:val="0ACEB5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D52119"/>
  <w15:chartTrackingRefBased/>
  <w15:docId w15:val="{f3ff77c1-7bc8-4586-a080-b0d2aebb667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a38316f5b264cca" /><Relationship Type="http://schemas.openxmlformats.org/officeDocument/2006/relationships/hyperlink" Target="https://moodle.uwtsd.ac.uk/pluginfile.php/470604/mod_resource/content/1/draft-statutory-guidance-mathematics-and-numeracy.pdf" TargetMode="External" Id="Rd35fd9ca927e47e9" /><Relationship Type="http://schemas.openxmlformats.org/officeDocument/2006/relationships/hyperlink" Target="https://eric.ed.gov/?id=ED538282" TargetMode="External" Id="Rdaf156ac3866449b" /><Relationship Type="http://schemas.openxmlformats.org/officeDocument/2006/relationships/hyperlink" Target="https://exploringyourmind.com/piaget-and-his-theory-about-learning/" TargetMode="External" Id="R0ad1431884e34495" /><Relationship Type="http://schemas.openxmlformats.org/officeDocument/2006/relationships/hyperlink" Target="https://www.foundationeducation.edu.au/articles/2018/03/support-holistic-development-children-early-childhood-education" TargetMode="External" Id="R098ca38835cf443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Guest User</dc:creator>
  <keywords/>
  <dc:description/>
  <lastModifiedBy>Guest User</lastModifiedBy>
  <revision>3</revision>
  <dcterms:created xsi:type="dcterms:W3CDTF">2021-02-04T11:07:43.4795329Z</dcterms:created>
  <dcterms:modified xsi:type="dcterms:W3CDTF">2021-02-28T21:38:25.6613066Z</dcterms:modified>
</coreProperties>
</file>