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7A90F5" w14:textId="77777777" w:rsidR="000D0E1B" w:rsidRPr="009B6B9A" w:rsidRDefault="00D26C3E" w:rsidP="00D26C3E">
      <w:pPr>
        <w:spacing w:line="360" w:lineRule="auto"/>
        <w:rPr>
          <w:rFonts w:ascii="Times New Roman" w:hAnsi="Times New Roman" w:cs="Times New Roman"/>
          <w:u w:val="single"/>
        </w:rPr>
      </w:pPr>
      <w:r w:rsidRPr="009B6B9A">
        <w:rPr>
          <w:rFonts w:ascii="Times New Roman" w:hAnsi="Times New Roman" w:cs="Times New Roman"/>
          <w:u w:val="single"/>
        </w:rPr>
        <w:t>Criminology and Forensic Psychology</w:t>
      </w:r>
    </w:p>
    <w:p w14:paraId="3017BC94" w14:textId="77777777" w:rsidR="00D26C3E" w:rsidRPr="009B6B9A" w:rsidRDefault="00D26C3E" w:rsidP="00D26C3E">
      <w:pPr>
        <w:spacing w:line="360" w:lineRule="auto"/>
        <w:rPr>
          <w:rFonts w:ascii="Times New Roman" w:hAnsi="Times New Roman" w:cs="Times New Roman"/>
          <w:u w:val="single"/>
        </w:rPr>
      </w:pPr>
      <w:r w:rsidRPr="009B6B9A">
        <w:rPr>
          <w:rFonts w:ascii="Times New Roman" w:hAnsi="Times New Roman" w:cs="Times New Roman"/>
          <w:u w:val="single"/>
        </w:rPr>
        <w:t>SSAP6005</w:t>
      </w:r>
      <w:bookmarkStart w:id="0" w:name="_GoBack"/>
      <w:bookmarkEnd w:id="0"/>
    </w:p>
    <w:p w14:paraId="19AA4EBD" w14:textId="77777777" w:rsidR="00D26C3E" w:rsidRPr="009B6B9A" w:rsidRDefault="00D26C3E" w:rsidP="00D26C3E">
      <w:pPr>
        <w:spacing w:line="360" w:lineRule="auto"/>
        <w:rPr>
          <w:rFonts w:ascii="Times New Roman" w:hAnsi="Times New Roman" w:cs="Times New Roman"/>
          <w:u w:val="single"/>
        </w:rPr>
      </w:pPr>
    </w:p>
    <w:p w14:paraId="01D43296" w14:textId="63191FDE" w:rsidR="00267EF3" w:rsidRPr="009B6B9A" w:rsidRDefault="009B6B9A" w:rsidP="009B6B9A">
      <w:pPr>
        <w:spacing w:line="360" w:lineRule="auto"/>
        <w:jc w:val="center"/>
        <w:rPr>
          <w:rFonts w:ascii="Times New Roman" w:hAnsi="Times New Roman" w:cs="Times New Roman"/>
          <w:u w:val="single"/>
        </w:rPr>
      </w:pPr>
      <w:r w:rsidRPr="009B6B9A">
        <w:rPr>
          <w:rFonts w:ascii="Times New Roman" w:hAnsi="Times New Roman" w:cs="Times New Roman"/>
          <w:u w:val="single"/>
        </w:rPr>
        <w:t>Critical Review</w:t>
      </w:r>
    </w:p>
    <w:p w14:paraId="55E88407" w14:textId="541DEE76" w:rsidR="009B6B9A" w:rsidRPr="009B6B9A" w:rsidRDefault="009B6B9A" w:rsidP="00796821">
      <w:pPr>
        <w:spacing w:line="360" w:lineRule="auto"/>
        <w:jc w:val="both"/>
        <w:rPr>
          <w:rFonts w:ascii="Times New Roman" w:hAnsi="Times New Roman" w:cs="Times New Roman"/>
          <w:u w:val="single"/>
        </w:rPr>
      </w:pPr>
    </w:p>
    <w:p w14:paraId="2CF331A8" w14:textId="77777777" w:rsidR="009B6B9A" w:rsidRPr="009B6B9A" w:rsidRDefault="009B6B9A" w:rsidP="00796821">
      <w:pPr>
        <w:spacing w:line="360" w:lineRule="auto"/>
        <w:jc w:val="both"/>
        <w:rPr>
          <w:rFonts w:ascii="Times New Roman" w:eastAsia="Times New Roman" w:hAnsi="Times New Roman" w:cs="Times New Roman"/>
        </w:rPr>
      </w:pPr>
      <w:r w:rsidRPr="009B6B9A">
        <w:rPr>
          <w:rFonts w:ascii="Times New Roman" w:eastAsia="Times New Roman" w:hAnsi="Times New Roman" w:cs="Times New Roman"/>
          <w:color w:val="222222"/>
          <w:shd w:val="clear" w:color="auto" w:fill="FFFFFF"/>
        </w:rPr>
        <w:t xml:space="preserve">Papalia, N., </w:t>
      </w:r>
      <w:proofErr w:type="spellStart"/>
      <w:r w:rsidRPr="009B6B9A">
        <w:rPr>
          <w:rFonts w:ascii="Times New Roman" w:eastAsia="Times New Roman" w:hAnsi="Times New Roman" w:cs="Times New Roman"/>
          <w:color w:val="222222"/>
          <w:shd w:val="clear" w:color="auto" w:fill="FFFFFF"/>
        </w:rPr>
        <w:t>Ogloff</w:t>
      </w:r>
      <w:proofErr w:type="spellEnd"/>
      <w:r w:rsidRPr="009B6B9A">
        <w:rPr>
          <w:rFonts w:ascii="Times New Roman" w:eastAsia="Times New Roman" w:hAnsi="Times New Roman" w:cs="Times New Roman"/>
          <w:color w:val="222222"/>
          <w:shd w:val="clear" w:color="auto" w:fill="FFFFFF"/>
        </w:rPr>
        <w:t xml:space="preserve">, J. R., </w:t>
      </w:r>
      <w:proofErr w:type="spellStart"/>
      <w:r w:rsidRPr="009B6B9A">
        <w:rPr>
          <w:rFonts w:ascii="Times New Roman" w:eastAsia="Times New Roman" w:hAnsi="Times New Roman" w:cs="Times New Roman"/>
          <w:color w:val="222222"/>
          <w:shd w:val="clear" w:color="auto" w:fill="FFFFFF"/>
        </w:rPr>
        <w:t>Cutajar</w:t>
      </w:r>
      <w:proofErr w:type="spellEnd"/>
      <w:r w:rsidRPr="009B6B9A">
        <w:rPr>
          <w:rFonts w:ascii="Times New Roman" w:eastAsia="Times New Roman" w:hAnsi="Times New Roman" w:cs="Times New Roman"/>
          <w:color w:val="222222"/>
          <w:shd w:val="clear" w:color="auto" w:fill="FFFFFF"/>
        </w:rPr>
        <w:t>, M., &amp; Mullen, P. E. (2018). Child sexual abuse and criminal offending: Gender-specific effects and the role of abuse characteristics and other adverse outcomes. </w:t>
      </w:r>
      <w:r w:rsidRPr="009B6B9A">
        <w:rPr>
          <w:rFonts w:ascii="Times New Roman" w:eastAsia="Times New Roman" w:hAnsi="Times New Roman" w:cs="Times New Roman"/>
          <w:color w:val="222222"/>
        </w:rPr>
        <w:t>Child maltreatment</w:t>
      </w:r>
      <w:r w:rsidRPr="009B6B9A">
        <w:rPr>
          <w:rFonts w:ascii="Times New Roman" w:eastAsia="Times New Roman" w:hAnsi="Times New Roman" w:cs="Times New Roman"/>
          <w:color w:val="222222"/>
          <w:shd w:val="clear" w:color="auto" w:fill="FFFFFF"/>
        </w:rPr>
        <w:t>, </w:t>
      </w:r>
      <w:r w:rsidRPr="009B6B9A">
        <w:rPr>
          <w:rFonts w:ascii="Times New Roman" w:eastAsia="Times New Roman" w:hAnsi="Times New Roman" w:cs="Times New Roman"/>
          <w:color w:val="222222"/>
        </w:rPr>
        <w:t>23</w:t>
      </w:r>
      <w:r w:rsidRPr="009B6B9A">
        <w:rPr>
          <w:rFonts w:ascii="Times New Roman" w:eastAsia="Times New Roman" w:hAnsi="Times New Roman" w:cs="Times New Roman"/>
          <w:color w:val="222222"/>
          <w:shd w:val="clear" w:color="auto" w:fill="FFFFFF"/>
        </w:rPr>
        <w:t>(4), 399-416.</w:t>
      </w:r>
    </w:p>
    <w:p w14:paraId="44A55858" w14:textId="1B68DFDB" w:rsidR="00D26C3E" w:rsidRDefault="00D26C3E" w:rsidP="00796821">
      <w:pPr>
        <w:jc w:val="both"/>
        <w:rPr>
          <w:rFonts w:ascii="Times New Roman" w:hAnsi="Times New Roman" w:cs="Times New Roman"/>
        </w:rPr>
      </w:pPr>
    </w:p>
    <w:p w14:paraId="6B3EAC62" w14:textId="76E18DA5" w:rsidR="009B6B9A" w:rsidRDefault="009B6B9A" w:rsidP="00796821">
      <w:pPr>
        <w:spacing w:line="360" w:lineRule="auto"/>
        <w:jc w:val="both"/>
        <w:rPr>
          <w:rFonts w:ascii="Times New Roman" w:hAnsi="Times New Roman" w:cs="Times New Roman"/>
        </w:rPr>
      </w:pPr>
      <w:r>
        <w:rPr>
          <w:rFonts w:ascii="Times New Roman" w:hAnsi="Times New Roman" w:cs="Times New Roman"/>
        </w:rPr>
        <w:t xml:space="preserve">       Sexual abuse in children remains to be seen as a major public health and social concern (Papalia et al., 2018). Following a meta-analysis of published studies between 2002 and 2009 estimated that the prevalence of sexual abuse in children is 8% for boys and 15% for girls (Barth et al., 2013; Papalia et al., 2018). Correlations between reported sexual abuse in children instances and negative social, physical, behavioural and psychiatric health outcomes have been found in various studies (Cashmore &amp; </w:t>
      </w:r>
      <w:proofErr w:type="spellStart"/>
      <w:r>
        <w:rPr>
          <w:rFonts w:ascii="Times New Roman" w:hAnsi="Times New Roman" w:cs="Times New Roman"/>
        </w:rPr>
        <w:t>Shackel</w:t>
      </w:r>
      <w:proofErr w:type="spellEnd"/>
      <w:r>
        <w:rPr>
          <w:rFonts w:ascii="Times New Roman" w:hAnsi="Times New Roman" w:cs="Times New Roman"/>
        </w:rPr>
        <w:t>, 2013; Gilbert et al., 2009; Putnam, 2003; Papalia et al., 2018). In the midst of possible negative effects from sexual abuse in children, there has been the assumption that children who are sexual abused are at a higher risk of partaking in future violence and criminal behaviours and more specifically crimes of a sexual nature (Curtis, 1963; Ryan, 1989; Papalia et al., 2018).</w:t>
      </w:r>
      <w:r w:rsidR="00546079">
        <w:rPr>
          <w:rFonts w:ascii="Times New Roman" w:hAnsi="Times New Roman" w:cs="Times New Roman"/>
        </w:rPr>
        <w:t xml:space="preserve"> </w:t>
      </w:r>
      <w:r>
        <w:rPr>
          <w:rFonts w:ascii="Times New Roman" w:hAnsi="Times New Roman" w:cs="Times New Roman"/>
        </w:rPr>
        <w:t xml:space="preserve">The aim of this essay it to critically review a study carried out by Papalia et al (2018), who specifically looked at how sexual abuse in children plays a role in gender effects, abuse characteristics and offending. </w:t>
      </w:r>
    </w:p>
    <w:p w14:paraId="4603FA30" w14:textId="76ABF2BA" w:rsidR="00546079" w:rsidRDefault="00546079" w:rsidP="00796821">
      <w:pPr>
        <w:spacing w:line="360" w:lineRule="auto"/>
        <w:jc w:val="both"/>
        <w:rPr>
          <w:rFonts w:ascii="Times New Roman" w:hAnsi="Times New Roman" w:cs="Times New Roman"/>
        </w:rPr>
      </w:pPr>
      <w:r>
        <w:rPr>
          <w:rFonts w:ascii="Times New Roman" w:hAnsi="Times New Roman" w:cs="Times New Roman"/>
        </w:rPr>
        <w:t xml:space="preserve">        </w:t>
      </w:r>
      <w:r w:rsidR="003455C5">
        <w:rPr>
          <w:rFonts w:ascii="Times New Roman" w:hAnsi="Times New Roman" w:cs="Times New Roman"/>
        </w:rPr>
        <w:t xml:space="preserve">At first glance </w:t>
      </w:r>
      <w:r w:rsidR="00AA762C">
        <w:rPr>
          <w:rFonts w:ascii="Times New Roman" w:hAnsi="Times New Roman" w:cs="Times New Roman"/>
        </w:rPr>
        <w:t>Papalia et al (2018) presents an</w:t>
      </w:r>
      <w:r w:rsidR="003455C5">
        <w:rPr>
          <w:rFonts w:ascii="Times New Roman" w:hAnsi="Times New Roman" w:cs="Times New Roman"/>
        </w:rPr>
        <w:t xml:space="preserve"> American Psychological Association (APA) formatted abstract </w:t>
      </w:r>
      <w:r w:rsidR="00C12CE9">
        <w:rPr>
          <w:rFonts w:ascii="Times New Roman" w:hAnsi="Times New Roman" w:cs="Times New Roman"/>
        </w:rPr>
        <w:t xml:space="preserve">that </w:t>
      </w:r>
      <w:r w:rsidR="003455C5">
        <w:rPr>
          <w:rFonts w:ascii="Times New Roman" w:hAnsi="Times New Roman" w:cs="Times New Roman"/>
        </w:rPr>
        <w:t>is between 150 – 200 words, the purpose of the study is succinctly explained in one sentence. All participant numbers match th</w:t>
      </w:r>
      <w:r w:rsidR="00913570">
        <w:rPr>
          <w:rFonts w:ascii="Times New Roman" w:hAnsi="Times New Roman" w:cs="Times New Roman"/>
        </w:rPr>
        <w:t>ose</w:t>
      </w:r>
      <w:r w:rsidR="003455C5">
        <w:rPr>
          <w:rFonts w:ascii="Times New Roman" w:hAnsi="Times New Roman" w:cs="Times New Roman"/>
        </w:rPr>
        <w:t xml:space="preserve"> in the methodology, showing the exact sample size and recruitment – 2759 participants from reported sexual abuse cases and 2677 participants from a community control group. Papalia et al (2018) gives the four key findings in the abstract following the APA guidelines, </w:t>
      </w:r>
      <w:r w:rsidR="00501EF3">
        <w:rPr>
          <w:rFonts w:ascii="Times New Roman" w:hAnsi="Times New Roman" w:cs="Times New Roman"/>
        </w:rPr>
        <w:t xml:space="preserve">although this takes most of the word count for the abstract. Due to this there are no implications given, the authors merely make a note that the implications for clinical practice and future research are discussed in the main body of the paper. </w:t>
      </w:r>
    </w:p>
    <w:p w14:paraId="572FFF47" w14:textId="17EEFC22" w:rsidR="004F7207" w:rsidRDefault="004F7207" w:rsidP="00205FEC">
      <w:pPr>
        <w:spacing w:line="360" w:lineRule="auto"/>
        <w:jc w:val="both"/>
        <w:rPr>
          <w:rFonts w:ascii="Times New Roman" w:hAnsi="Times New Roman" w:cs="Times New Roman"/>
        </w:rPr>
      </w:pPr>
      <w:r>
        <w:rPr>
          <w:rFonts w:ascii="Times New Roman" w:hAnsi="Times New Roman" w:cs="Times New Roman"/>
        </w:rPr>
        <w:t xml:space="preserve">        To introduce their paper, Papalia et al (2018) sets the scene of child sexual abuse and prevalence rates of criminal behaviour in both girls and boys. Despite the statistics and information given, Papalia et al (2018) fail to define child sexual abuse and the three categories </w:t>
      </w:r>
      <w:r>
        <w:rPr>
          <w:rFonts w:ascii="Times New Roman" w:hAnsi="Times New Roman" w:cs="Times New Roman"/>
        </w:rPr>
        <w:lastRenderedPageBreak/>
        <w:t xml:space="preserve">in which it falls. </w:t>
      </w:r>
      <w:r w:rsidR="00205FEC">
        <w:rPr>
          <w:rFonts w:ascii="Times New Roman" w:hAnsi="Times New Roman" w:cs="Times New Roman"/>
        </w:rPr>
        <w:t xml:space="preserve">The World Health Organisation (1999,2006) and the Committee on the Rights of the Child (2011) define the sexual abuse of children as: </w:t>
      </w:r>
    </w:p>
    <w:p w14:paraId="199EB45D" w14:textId="38DAD8BD" w:rsidR="00205FEC" w:rsidRDefault="00205FEC" w:rsidP="00205FEC">
      <w:pPr>
        <w:spacing w:line="360" w:lineRule="auto"/>
        <w:jc w:val="both"/>
        <w:rPr>
          <w:rFonts w:ascii="Times New Roman" w:hAnsi="Times New Roman" w:cs="Times New Roman"/>
          <w:i/>
          <w:iCs/>
        </w:rPr>
      </w:pPr>
      <w:r>
        <w:rPr>
          <w:rFonts w:ascii="Times New Roman" w:hAnsi="Times New Roman" w:cs="Times New Roman"/>
          <w:i/>
          <w:iCs/>
        </w:rPr>
        <w:t xml:space="preserve">“which the child is not developmentally prepared and cannot gibe consent, or that violates the laws or social taboos of society. Child sexual abuse is evidenced by this activity between a child and an adult or another child who by age or development is in a relationship of responsibility, trust or power, the activity being intended to gratify or satisfy the needs of the other person. This may include but is not limited to: </w:t>
      </w:r>
    </w:p>
    <w:p w14:paraId="3EB9AEFD" w14:textId="38556559" w:rsidR="00205FEC" w:rsidRDefault="00205FEC" w:rsidP="00205FEC">
      <w:pPr>
        <w:pStyle w:val="ListParagraph"/>
        <w:numPr>
          <w:ilvl w:val="0"/>
          <w:numId w:val="1"/>
        </w:numPr>
        <w:spacing w:line="360" w:lineRule="auto"/>
        <w:jc w:val="both"/>
        <w:rPr>
          <w:rFonts w:ascii="Times New Roman" w:hAnsi="Times New Roman" w:cs="Times New Roman"/>
          <w:i/>
          <w:iCs/>
        </w:rPr>
      </w:pPr>
      <w:r>
        <w:rPr>
          <w:rFonts w:ascii="Times New Roman" w:hAnsi="Times New Roman" w:cs="Times New Roman"/>
          <w:i/>
          <w:iCs/>
        </w:rPr>
        <w:t>The inducement or coercion of a child to engage in any unlawful sexual activity;</w:t>
      </w:r>
    </w:p>
    <w:p w14:paraId="3F1DE3DE" w14:textId="36E7C558" w:rsidR="00205FEC" w:rsidRDefault="00205FEC" w:rsidP="00205FEC">
      <w:pPr>
        <w:pStyle w:val="ListParagraph"/>
        <w:numPr>
          <w:ilvl w:val="0"/>
          <w:numId w:val="1"/>
        </w:numPr>
        <w:spacing w:line="360" w:lineRule="auto"/>
        <w:jc w:val="both"/>
        <w:rPr>
          <w:rFonts w:ascii="Times New Roman" w:hAnsi="Times New Roman" w:cs="Times New Roman"/>
          <w:i/>
          <w:iCs/>
        </w:rPr>
      </w:pPr>
      <w:r>
        <w:rPr>
          <w:rFonts w:ascii="Times New Roman" w:hAnsi="Times New Roman" w:cs="Times New Roman"/>
          <w:i/>
          <w:iCs/>
        </w:rPr>
        <w:t>The exploitative use of a child in prostitution or other unlawful sexual practices;</w:t>
      </w:r>
    </w:p>
    <w:p w14:paraId="7DDC9CEF" w14:textId="77777777" w:rsidR="00205FEC" w:rsidRDefault="00205FEC" w:rsidP="00205FEC">
      <w:pPr>
        <w:pStyle w:val="ListParagraph"/>
        <w:numPr>
          <w:ilvl w:val="0"/>
          <w:numId w:val="1"/>
        </w:numPr>
        <w:spacing w:line="360" w:lineRule="auto"/>
        <w:jc w:val="both"/>
        <w:rPr>
          <w:rFonts w:ascii="Times New Roman" w:hAnsi="Times New Roman" w:cs="Times New Roman"/>
          <w:i/>
          <w:iCs/>
        </w:rPr>
      </w:pPr>
      <w:r>
        <w:rPr>
          <w:rFonts w:ascii="Times New Roman" w:hAnsi="Times New Roman" w:cs="Times New Roman"/>
          <w:i/>
          <w:iCs/>
        </w:rPr>
        <w:t xml:space="preserve">The exploitative use of children in pornographic performance and materials.” </w:t>
      </w:r>
    </w:p>
    <w:p w14:paraId="748A963C" w14:textId="0E0F592C" w:rsidR="00205FEC" w:rsidRPr="00205FEC" w:rsidRDefault="00205FEC" w:rsidP="00205FEC">
      <w:pPr>
        <w:spacing w:line="360" w:lineRule="auto"/>
        <w:ind w:left="360"/>
        <w:jc w:val="both"/>
        <w:rPr>
          <w:rFonts w:ascii="Times New Roman" w:hAnsi="Times New Roman" w:cs="Times New Roman"/>
          <w:i/>
          <w:iCs/>
        </w:rPr>
      </w:pPr>
      <w:r w:rsidRPr="00205FEC">
        <w:rPr>
          <w:rFonts w:ascii="Times New Roman" w:hAnsi="Times New Roman" w:cs="Times New Roman"/>
          <w:i/>
          <w:iCs/>
        </w:rPr>
        <w:t>(pp. 15-16)</w:t>
      </w:r>
    </w:p>
    <w:p w14:paraId="37AA4DBC" w14:textId="69BDB84F" w:rsidR="00F4134A" w:rsidRDefault="00E73E12" w:rsidP="00796821">
      <w:pPr>
        <w:spacing w:line="360" w:lineRule="auto"/>
        <w:jc w:val="both"/>
        <w:rPr>
          <w:rFonts w:ascii="Times New Roman" w:hAnsi="Times New Roman" w:cs="Times New Roman"/>
        </w:rPr>
      </w:pPr>
      <w:r>
        <w:rPr>
          <w:rFonts w:ascii="Times New Roman" w:hAnsi="Times New Roman" w:cs="Times New Roman"/>
        </w:rPr>
        <w:t>Encompassing many activities, sexual abuse of children can be committed by all ages (</w:t>
      </w:r>
      <w:proofErr w:type="spellStart"/>
      <w:r>
        <w:rPr>
          <w:rFonts w:ascii="Times New Roman" w:hAnsi="Times New Roman" w:cs="Times New Roman"/>
        </w:rPr>
        <w:t>Kloppen</w:t>
      </w:r>
      <w:proofErr w:type="spellEnd"/>
      <w:r>
        <w:rPr>
          <w:rFonts w:ascii="Times New Roman" w:hAnsi="Times New Roman" w:cs="Times New Roman"/>
        </w:rPr>
        <w:t xml:space="preserve"> et al</w:t>
      </w:r>
      <w:r w:rsidR="001D287E">
        <w:rPr>
          <w:rFonts w:ascii="Times New Roman" w:hAnsi="Times New Roman" w:cs="Times New Roman"/>
        </w:rPr>
        <w:t>.,</w:t>
      </w:r>
      <w:r>
        <w:rPr>
          <w:rFonts w:ascii="Times New Roman" w:hAnsi="Times New Roman" w:cs="Times New Roman"/>
        </w:rPr>
        <w:t xml:space="preserve"> 2016). Sexual abuse of children </w:t>
      </w:r>
      <w:r w:rsidR="001D287E">
        <w:rPr>
          <w:rFonts w:ascii="Times New Roman" w:hAnsi="Times New Roman" w:cs="Times New Roman"/>
        </w:rPr>
        <w:t xml:space="preserve">can be split into three categories: contact abuse (touching a sexual manner), noncontact abuse (the filming, exhibition and other forms of, non-physical contact, sexual abuse) and penetrating abuse (abuse of an oral nature included) (Gilbert et al., 2009). </w:t>
      </w:r>
    </w:p>
    <w:p w14:paraId="705289DE" w14:textId="76F8E9E5" w:rsidR="00205FEC" w:rsidRPr="00F4134A" w:rsidRDefault="003C4DF8" w:rsidP="00796821">
      <w:pPr>
        <w:spacing w:line="360" w:lineRule="auto"/>
        <w:jc w:val="both"/>
        <w:rPr>
          <w:rFonts w:ascii="Times New Roman" w:hAnsi="Times New Roman" w:cs="Times New Roman"/>
        </w:rPr>
      </w:pPr>
      <w:r>
        <w:rPr>
          <w:rFonts w:ascii="Times New Roman" w:hAnsi="Times New Roman" w:cs="Times New Roman"/>
        </w:rPr>
        <w:t xml:space="preserve">        Using a meta-analysis of 24 countries, Papalia et al (2018) suggests that the lifetime prevalence rates for </w:t>
      </w:r>
      <w:r w:rsidR="00205FEC">
        <w:rPr>
          <w:rFonts w:ascii="Times New Roman" w:hAnsi="Times New Roman" w:cs="Times New Roman"/>
        </w:rPr>
        <w:t xml:space="preserve">the </w:t>
      </w:r>
      <w:r>
        <w:rPr>
          <w:rFonts w:ascii="Times New Roman" w:hAnsi="Times New Roman" w:cs="Times New Roman"/>
        </w:rPr>
        <w:t xml:space="preserve">generalised sexual abuse </w:t>
      </w:r>
      <w:r w:rsidR="00205FEC">
        <w:rPr>
          <w:rFonts w:ascii="Times New Roman" w:hAnsi="Times New Roman" w:cs="Times New Roman"/>
        </w:rPr>
        <w:t xml:space="preserve">of </w:t>
      </w:r>
      <w:r>
        <w:rPr>
          <w:rFonts w:ascii="Times New Roman" w:hAnsi="Times New Roman" w:cs="Times New Roman"/>
        </w:rPr>
        <w:t xml:space="preserve">children is 8% in boys and 15% in girls. </w:t>
      </w:r>
      <w:r w:rsidR="00205FEC">
        <w:rPr>
          <w:rFonts w:ascii="Times New Roman" w:hAnsi="Times New Roman" w:cs="Times New Roman"/>
        </w:rPr>
        <w:t>Other, less recent papers</w:t>
      </w:r>
      <w:r w:rsidR="00BB3F2A">
        <w:rPr>
          <w:rFonts w:ascii="Times New Roman" w:hAnsi="Times New Roman" w:cs="Times New Roman"/>
        </w:rPr>
        <w:t xml:space="preserve"> have more in-depth prevalence rates for the sexual abuse of children which more specifically looks at the different categories of sexual abuse in children. Using self-reporting meta analyses it was found that the lifetime prevalence rates ranged between 15-25% in girls and 5-17% in boys (Andrews et al., 2004; Barth et al., 2013; Pereda et al., 2009</w:t>
      </w:r>
      <w:r w:rsidR="00205FEC">
        <w:rPr>
          <w:rFonts w:ascii="Times New Roman" w:hAnsi="Times New Roman" w:cs="Times New Roman"/>
        </w:rPr>
        <w:t>;</w:t>
      </w:r>
      <w:r w:rsidR="00BB3F2A">
        <w:rPr>
          <w:rFonts w:ascii="Times New Roman" w:hAnsi="Times New Roman" w:cs="Times New Roman"/>
        </w:rPr>
        <w:t xml:space="preserve"> </w:t>
      </w:r>
      <w:proofErr w:type="spellStart"/>
      <w:r w:rsidR="00BB3F2A">
        <w:rPr>
          <w:rFonts w:ascii="Times New Roman" w:hAnsi="Times New Roman" w:cs="Times New Roman"/>
        </w:rPr>
        <w:t>Stoltenborgh</w:t>
      </w:r>
      <w:proofErr w:type="spellEnd"/>
      <w:r w:rsidR="00BB3F2A">
        <w:rPr>
          <w:rFonts w:ascii="Times New Roman" w:hAnsi="Times New Roman" w:cs="Times New Roman"/>
        </w:rPr>
        <w:t xml:space="preserve"> et al., 2011). In the three categories of sexual abuse in children it was found that the </w:t>
      </w:r>
      <w:r w:rsidR="008113AE">
        <w:rPr>
          <w:rFonts w:ascii="Times New Roman" w:hAnsi="Times New Roman" w:cs="Times New Roman"/>
        </w:rPr>
        <w:t xml:space="preserve">lifetime </w:t>
      </w:r>
      <w:r w:rsidR="00BB3F2A">
        <w:rPr>
          <w:rFonts w:ascii="Times New Roman" w:hAnsi="Times New Roman" w:cs="Times New Roman"/>
        </w:rPr>
        <w:t>prevalence</w:t>
      </w:r>
      <w:r w:rsidR="008113AE">
        <w:rPr>
          <w:rFonts w:ascii="Times New Roman" w:hAnsi="Times New Roman" w:cs="Times New Roman"/>
        </w:rPr>
        <w:t xml:space="preserve"> rates for penetrating sexual abuse ranges between 1-5% in boys and 5-10% in girls, for contact sexual abuse the lifetime prevalence rates are higher ranging from 13% in girls and between 4-6% in boys (Andrews et al., 2004</w:t>
      </w:r>
      <w:r w:rsidR="00205FEC">
        <w:rPr>
          <w:rFonts w:ascii="Times New Roman" w:hAnsi="Times New Roman" w:cs="Times New Roman"/>
        </w:rPr>
        <w:t xml:space="preserve">; </w:t>
      </w:r>
      <w:r w:rsidR="008113AE">
        <w:rPr>
          <w:rFonts w:ascii="Times New Roman" w:hAnsi="Times New Roman" w:cs="Times New Roman"/>
        </w:rPr>
        <w:t xml:space="preserve">Barth et al., 2013). </w:t>
      </w:r>
      <w:r w:rsidR="00205FEC">
        <w:rPr>
          <w:rFonts w:ascii="Times New Roman" w:hAnsi="Times New Roman" w:cs="Times New Roman"/>
        </w:rPr>
        <w:t xml:space="preserve">The age of a child is not stipulated throughout the introduction and literature review presented by Papalia et al (2018), this may be down to the fact that in a lot of child sexual abuse cases age is not recorded in order to protect the child (Mathews &amp; Collin-Vezina, 2017). While not discussed in great detail in the introduction and literature review, age is touched upon in the methodology of the study. </w:t>
      </w:r>
    </w:p>
    <w:p w14:paraId="48BFD950" w14:textId="63DD2021" w:rsidR="00205FEC" w:rsidRDefault="00205FEC" w:rsidP="00796821">
      <w:pPr>
        <w:spacing w:line="360" w:lineRule="auto"/>
        <w:jc w:val="both"/>
        <w:rPr>
          <w:rFonts w:ascii="Times New Roman" w:hAnsi="Times New Roman" w:cs="Times New Roman"/>
        </w:rPr>
      </w:pPr>
      <w:r>
        <w:rPr>
          <w:rFonts w:ascii="Times New Roman" w:hAnsi="Times New Roman" w:cs="Times New Roman"/>
        </w:rPr>
        <w:t xml:space="preserve">           While gender-specific effects is a variable discussed and analysed by Papalia et al (2018), the information presented to the reader in the literature review appears to be limited to Australia with very mixed arguments and no-significant results. On further research on gender </w:t>
      </w:r>
      <w:r>
        <w:rPr>
          <w:rFonts w:ascii="Times New Roman" w:hAnsi="Times New Roman" w:cs="Times New Roman"/>
        </w:rPr>
        <w:lastRenderedPageBreak/>
        <w:t>and the sexual abuse of children worldwide there is inconclusive evidence (</w:t>
      </w:r>
      <w:proofErr w:type="spellStart"/>
      <w:r>
        <w:rPr>
          <w:rFonts w:ascii="Times New Roman" w:hAnsi="Times New Roman" w:cs="Times New Roman"/>
        </w:rPr>
        <w:t>Krahe</w:t>
      </w:r>
      <w:proofErr w:type="spellEnd"/>
      <w:r>
        <w:rPr>
          <w:rFonts w:ascii="Times New Roman" w:hAnsi="Times New Roman" w:cs="Times New Roman"/>
        </w:rPr>
        <w:t xml:space="preserve"> &amp; Berger, 2017). Sexually abused girls are reported to experience a higher level of distress and self-blame in comparison to their male counterparts</w:t>
      </w:r>
      <w:r w:rsidR="00F76B16">
        <w:rPr>
          <w:rFonts w:ascii="Times New Roman" w:hAnsi="Times New Roman" w:cs="Times New Roman"/>
        </w:rPr>
        <w:t xml:space="preserve">, but others have found similar results for both boys and girls </w:t>
      </w:r>
      <w:r>
        <w:rPr>
          <w:rFonts w:ascii="Times New Roman" w:hAnsi="Times New Roman" w:cs="Times New Roman"/>
        </w:rPr>
        <w:t xml:space="preserve">(Ullman &amp; </w:t>
      </w:r>
      <w:proofErr w:type="spellStart"/>
      <w:r>
        <w:rPr>
          <w:rFonts w:ascii="Times New Roman" w:hAnsi="Times New Roman" w:cs="Times New Roman"/>
        </w:rPr>
        <w:t>Filipas</w:t>
      </w:r>
      <w:proofErr w:type="spellEnd"/>
      <w:r>
        <w:rPr>
          <w:rFonts w:ascii="Times New Roman" w:hAnsi="Times New Roman" w:cs="Times New Roman"/>
        </w:rPr>
        <w:t>, 2005</w:t>
      </w:r>
      <w:r w:rsidR="00F76B16">
        <w:rPr>
          <w:rFonts w:ascii="Times New Roman" w:hAnsi="Times New Roman" w:cs="Times New Roman"/>
        </w:rPr>
        <w:t xml:space="preserve">; </w:t>
      </w:r>
      <w:proofErr w:type="spellStart"/>
      <w:r w:rsidR="00F76B16">
        <w:rPr>
          <w:rFonts w:ascii="Times New Roman" w:hAnsi="Times New Roman" w:cs="Times New Roman"/>
        </w:rPr>
        <w:t>Banyard</w:t>
      </w:r>
      <w:proofErr w:type="spellEnd"/>
      <w:r w:rsidR="00F76B16">
        <w:rPr>
          <w:rFonts w:ascii="Times New Roman" w:hAnsi="Times New Roman" w:cs="Times New Roman"/>
        </w:rPr>
        <w:t xml:space="preserve"> et al., 2004). With a lack of males reporting sexual abuse as children, in most cases females have been studied (Messman-Moore &amp; Long, 2003). Theoretically, gender role differences and behaviour of a sexual nature suggest that both males and females who have been sexually abused as children may have a different response to the effect of the abuse on their sexual self-esteem (Morrison et al., 2015; </w:t>
      </w:r>
      <w:proofErr w:type="spellStart"/>
      <w:r w:rsidR="00F76B16">
        <w:rPr>
          <w:rFonts w:ascii="Times New Roman" w:hAnsi="Times New Roman" w:cs="Times New Roman"/>
        </w:rPr>
        <w:t>Krahe</w:t>
      </w:r>
      <w:proofErr w:type="spellEnd"/>
      <w:r w:rsidR="00F76B16">
        <w:rPr>
          <w:rFonts w:ascii="Times New Roman" w:hAnsi="Times New Roman" w:cs="Times New Roman"/>
        </w:rPr>
        <w:t xml:space="preserve"> &amp; Berger, 2017). This lowering of sexual self-esteem could lead to the pursing of interests of a sexual nature through aggression as a means of achieving sexual gratification, this suggests that there is a significant link to low sexual self-esteem and the perpetration of sexual aggression (</w:t>
      </w:r>
      <w:proofErr w:type="spellStart"/>
      <w:r w:rsidR="00F76B16">
        <w:rPr>
          <w:rFonts w:ascii="Times New Roman" w:hAnsi="Times New Roman" w:cs="Times New Roman"/>
        </w:rPr>
        <w:t>Krahe</w:t>
      </w:r>
      <w:proofErr w:type="spellEnd"/>
      <w:r w:rsidR="00F76B16">
        <w:rPr>
          <w:rFonts w:ascii="Times New Roman" w:hAnsi="Times New Roman" w:cs="Times New Roman"/>
        </w:rPr>
        <w:t xml:space="preserve"> &amp; Berger, 2017). Contrastingly females in society are seen to be sexual gatekeepers of males and this lower level of sexual self-esteem could make them seem weak to rejecting advances of a sexual nature that are unwanted. This suggests that there is a link between victims of assault of a sexual nature and a lower level of sexual self-esteem (</w:t>
      </w:r>
      <w:proofErr w:type="spellStart"/>
      <w:r w:rsidR="00F76B16">
        <w:rPr>
          <w:rFonts w:ascii="Times New Roman" w:hAnsi="Times New Roman" w:cs="Times New Roman"/>
        </w:rPr>
        <w:t>Jozkowski</w:t>
      </w:r>
      <w:proofErr w:type="spellEnd"/>
      <w:r w:rsidR="00F76B16">
        <w:rPr>
          <w:rFonts w:ascii="Times New Roman" w:hAnsi="Times New Roman" w:cs="Times New Roman"/>
        </w:rPr>
        <w:t xml:space="preserve"> &amp; Peterson, 2013). </w:t>
      </w:r>
    </w:p>
    <w:p w14:paraId="00A6DB8C" w14:textId="6538EA05" w:rsidR="00205FEC" w:rsidRDefault="00384583" w:rsidP="00796821">
      <w:pPr>
        <w:spacing w:line="360" w:lineRule="auto"/>
        <w:jc w:val="both"/>
        <w:rPr>
          <w:rFonts w:ascii="Times New Roman" w:hAnsi="Times New Roman" w:cs="Times New Roman"/>
        </w:rPr>
      </w:pPr>
      <w:r>
        <w:rPr>
          <w:rFonts w:ascii="Times New Roman" w:hAnsi="Times New Roman" w:cs="Times New Roman"/>
        </w:rPr>
        <w:t xml:space="preserve">        The theoretical framework </w:t>
      </w:r>
      <w:r w:rsidR="00D30279">
        <w:rPr>
          <w:rFonts w:ascii="Times New Roman" w:hAnsi="Times New Roman" w:cs="Times New Roman"/>
        </w:rPr>
        <w:t xml:space="preserve">presented by Papalia et al (2018) to support their study looks to explain the mechanics that underpin the relationship between the sexual abuse of children and criminal behaviour. </w:t>
      </w:r>
      <w:r w:rsidR="006D1AD2">
        <w:rPr>
          <w:rFonts w:ascii="Times New Roman" w:hAnsi="Times New Roman" w:cs="Times New Roman"/>
        </w:rPr>
        <w:t>Social Learning Theories presented by Bandura (197</w:t>
      </w:r>
      <w:r w:rsidR="004A2A1B">
        <w:rPr>
          <w:rFonts w:ascii="Times New Roman" w:hAnsi="Times New Roman" w:cs="Times New Roman"/>
        </w:rPr>
        <w:t>9</w:t>
      </w:r>
      <w:r w:rsidR="006D1AD2">
        <w:rPr>
          <w:rFonts w:ascii="Times New Roman" w:hAnsi="Times New Roman" w:cs="Times New Roman"/>
        </w:rPr>
        <w:t>)</w:t>
      </w:r>
      <w:r w:rsidR="008C2F9D">
        <w:rPr>
          <w:rFonts w:ascii="Times New Roman" w:hAnsi="Times New Roman" w:cs="Times New Roman"/>
        </w:rPr>
        <w:t>, Sutherland (1947)</w:t>
      </w:r>
      <w:r w:rsidR="006D1AD2">
        <w:rPr>
          <w:rFonts w:ascii="Times New Roman" w:hAnsi="Times New Roman" w:cs="Times New Roman"/>
        </w:rPr>
        <w:t xml:space="preserve"> and Askers and Jennings (</w:t>
      </w:r>
      <w:r w:rsidR="008C2F9D">
        <w:rPr>
          <w:rFonts w:ascii="Times New Roman" w:hAnsi="Times New Roman" w:cs="Times New Roman"/>
        </w:rPr>
        <w:t xml:space="preserve">2009) suggest that a child learns their behaviours through the interaction and communication with other people. Social learning theories have been the subject of many empirical researches which have been supportive in explanations of criminal and deviant behaviour (Askers &amp; Jennings, 2015). A meta-analysis carried out by Pratt et al (2010) systematically looks that the studies that measure the effects of social learning theories and criminal behaviour. In the 133 studies analysed, Pratt et al (2010) found </w:t>
      </w:r>
      <w:r w:rsidR="00DC10BE">
        <w:rPr>
          <w:rFonts w:ascii="Times New Roman" w:hAnsi="Times New Roman" w:cs="Times New Roman"/>
        </w:rPr>
        <w:t xml:space="preserve">statistically significant effect size percentages. These independent and significant effects sizes were seen as a criminal and deviant behaviour predictor (Pratt et al, 2010). Although it is good to note that even though research has found social learning theories to be an independent and robust predictor of criminal and deviant behaviour, there is scope for social learning theories to be integrated in to general crime theories (Askers &amp; Jennings, 2015). </w:t>
      </w:r>
      <w:r w:rsidR="00205FEC">
        <w:rPr>
          <w:rFonts w:ascii="Times New Roman" w:hAnsi="Times New Roman" w:cs="Times New Roman"/>
        </w:rPr>
        <w:t xml:space="preserve">Papalia et al (2018) clearly define the hypotheses and rationale behind the study based on the research discussed in the introduction and literature review. </w:t>
      </w:r>
    </w:p>
    <w:p w14:paraId="76898566" w14:textId="6A2CF04E" w:rsidR="00796821" w:rsidRDefault="00205FEC" w:rsidP="00796821">
      <w:pPr>
        <w:spacing w:line="360" w:lineRule="auto"/>
        <w:jc w:val="both"/>
        <w:rPr>
          <w:rFonts w:ascii="Times New Roman" w:hAnsi="Times New Roman" w:cs="Times New Roman"/>
        </w:rPr>
      </w:pPr>
      <w:r>
        <w:rPr>
          <w:rFonts w:ascii="Times New Roman" w:hAnsi="Times New Roman" w:cs="Times New Roman"/>
        </w:rPr>
        <w:t xml:space="preserve">          </w:t>
      </w:r>
      <w:r w:rsidR="00796821">
        <w:rPr>
          <w:rFonts w:ascii="Times New Roman" w:hAnsi="Times New Roman" w:cs="Times New Roman"/>
        </w:rPr>
        <w:t>The chosen method for th</w:t>
      </w:r>
      <w:r w:rsidR="008113AE">
        <w:rPr>
          <w:rFonts w:ascii="Times New Roman" w:hAnsi="Times New Roman" w:cs="Times New Roman"/>
        </w:rPr>
        <w:t>e</w:t>
      </w:r>
      <w:r w:rsidR="00796821">
        <w:rPr>
          <w:rFonts w:ascii="Times New Roman" w:hAnsi="Times New Roman" w:cs="Times New Roman"/>
        </w:rPr>
        <w:t xml:space="preserve"> study</w:t>
      </w:r>
      <w:r w:rsidR="008113AE">
        <w:rPr>
          <w:rFonts w:ascii="Times New Roman" w:hAnsi="Times New Roman" w:cs="Times New Roman"/>
        </w:rPr>
        <w:t xml:space="preserve"> carried out by Papalia et al (2018)</w:t>
      </w:r>
      <w:r w:rsidR="00796821">
        <w:rPr>
          <w:rFonts w:ascii="Times New Roman" w:hAnsi="Times New Roman" w:cs="Times New Roman"/>
        </w:rPr>
        <w:t xml:space="preserve"> is a data-linkage methodology, to which a number of strengths and weaknesses lie. To begin data-linkage methodology holds strengths in </w:t>
      </w:r>
      <w:r w:rsidR="00F14D7F">
        <w:rPr>
          <w:rFonts w:ascii="Times New Roman" w:hAnsi="Times New Roman" w:cs="Times New Roman"/>
        </w:rPr>
        <w:t xml:space="preserve">its transparency – with a strategy that is pre-defined, shareable </w:t>
      </w:r>
      <w:r w:rsidR="00F14D7F">
        <w:rPr>
          <w:rFonts w:ascii="Times New Roman" w:hAnsi="Times New Roman" w:cs="Times New Roman"/>
        </w:rPr>
        <w:lastRenderedPageBreak/>
        <w:t xml:space="preserve">and open datasets that show an established and well-defined performance (Ferrante &amp; Boyd, 2012). It is a systematic and robust approach that tests realistic strategies for performance evaluation (Ferrante &amp; Boyd, 2012). </w:t>
      </w:r>
      <w:r w:rsidR="00413E25">
        <w:rPr>
          <w:rFonts w:ascii="Times New Roman" w:hAnsi="Times New Roman" w:cs="Times New Roman"/>
        </w:rPr>
        <w:t xml:space="preserve">The use of a data-linkage methodological approach is highly transportable with the use of artificial and representative data. As well as being portable, a data-linkage methodology can be extended and adapted with minor modifications in order to evaluate larger data-linkage systems (Ferrante &amp; Boyd, 2012). Finally, data-linkage methodologies have the potential to be used to assess the inter-rater reliability of linkage officers (Ferrante &amp; Boyd, 2012). It is also good to point out that data-linkage methodology is not without its weaknesses. It is difficult to gauge the validity of comparative results due to the artificial nature of the data used, to overcome this it may be wise to include a performance of the software packages used on real world data sets (Ferrante &amp; Boyd, 2012). </w:t>
      </w:r>
    </w:p>
    <w:p w14:paraId="77E46C87" w14:textId="4479F21D" w:rsidR="00570286" w:rsidRDefault="00413E25" w:rsidP="00796821">
      <w:pPr>
        <w:spacing w:line="360" w:lineRule="auto"/>
        <w:jc w:val="both"/>
        <w:rPr>
          <w:rFonts w:ascii="Times New Roman" w:hAnsi="Times New Roman" w:cs="Times New Roman"/>
        </w:rPr>
      </w:pPr>
      <w:r>
        <w:rPr>
          <w:rFonts w:ascii="Times New Roman" w:hAnsi="Times New Roman" w:cs="Times New Roman"/>
        </w:rPr>
        <w:t xml:space="preserve">      Papalia et al (2018) has a chosen combined sample size of 5,436 split over the control group and the experimental group, </w:t>
      </w:r>
      <w:r w:rsidR="00D038FE">
        <w:rPr>
          <w:rFonts w:ascii="Times New Roman" w:hAnsi="Times New Roman" w:cs="Times New Roman"/>
        </w:rPr>
        <w:t xml:space="preserve">a sample of this size is strong for the reliability and validity of the study. </w:t>
      </w:r>
      <w:r w:rsidR="00691ECB">
        <w:rPr>
          <w:rFonts w:ascii="Times New Roman" w:hAnsi="Times New Roman" w:cs="Times New Roman"/>
        </w:rPr>
        <w:t>With current research coming to the conclusion that abuse that starts or is extended through the period of adolescents</w:t>
      </w:r>
      <w:r w:rsidR="00570286">
        <w:rPr>
          <w:rFonts w:ascii="Times New Roman" w:hAnsi="Times New Roman" w:cs="Times New Roman"/>
        </w:rPr>
        <w:t xml:space="preserve"> (after the onset of puberty)</w:t>
      </w:r>
      <w:r w:rsidR="00691ECB">
        <w:rPr>
          <w:rFonts w:ascii="Times New Roman" w:hAnsi="Times New Roman" w:cs="Times New Roman"/>
        </w:rPr>
        <w:t xml:space="preserve"> has an association with behavioural and psychological </w:t>
      </w:r>
      <w:r w:rsidR="00143F75">
        <w:rPr>
          <w:rFonts w:ascii="Times New Roman" w:hAnsi="Times New Roman" w:cs="Times New Roman"/>
        </w:rPr>
        <w:t>disruption</w:t>
      </w:r>
      <w:r w:rsidR="00570286">
        <w:rPr>
          <w:rFonts w:ascii="Times New Roman" w:hAnsi="Times New Roman" w:cs="Times New Roman"/>
        </w:rPr>
        <w:t xml:space="preserve"> </w:t>
      </w:r>
      <w:r w:rsidR="00143F75">
        <w:rPr>
          <w:rFonts w:ascii="Times New Roman" w:hAnsi="Times New Roman" w:cs="Times New Roman"/>
        </w:rPr>
        <w:t>(Papalia et al., 2018).</w:t>
      </w:r>
      <w:r w:rsidR="00570286">
        <w:rPr>
          <w:rFonts w:ascii="Times New Roman" w:hAnsi="Times New Roman" w:cs="Times New Roman"/>
        </w:rPr>
        <w:t xml:space="preserve"> With the use of the database maintained by police in Victoria, Australia (Law Enforcement Assistance Program [LEAP]), a comparison of sexual abused children victims and control groups was carried out looking into criminal behaviour history (Victoria Police, 2014). After missing data of charge dates, 44.6% of victims couldn’t not be determined in relation to the relationship between sexual abuse and offending, with the remaining 55.4% of victims of sexual abuse with criminal behaviour histories with examination dates preceding a criminal charge date (Papalia et al., 2018). </w:t>
      </w:r>
    </w:p>
    <w:p w14:paraId="2F8812A6" w14:textId="16F39957" w:rsidR="00570286" w:rsidRDefault="00570286" w:rsidP="00796821">
      <w:pPr>
        <w:spacing w:line="360" w:lineRule="auto"/>
        <w:jc w:val="both"/>
        <w:rPr>
          <w:rFonts w:ascii="Times New Roman" w:hAnsi="Times New Roman" w:cs="Times New Roman"/>
        </w:rPr>
      </w:pPr>
      <w:r>
        <w:rPr>
          <w:rFonts w:ascii="Times New Roman" w:hAnsi="Times New Roman" w:cs="Times New Roman"/>
          <w:color w:val="FF0000"/>
        </w:rPr>
        <w:t xml:space="preserve">       </w:t>
      </w:r>
      <w:r w:rsidR="002D4D4C">
        <w:rPr>
          <w:rFonts w:ascii="Times New Roman" w:hAnsi="Times New Roman" w:cs="Times New Roman"/>
        </w:rPr>
        <w:t xml:space="preserve">Papalia et al (2018) extracted </w:t>
      </w:r>
      <w:r w:rsidR="004421E0">
        <w:rPr>
          <w:rFonts w:ascii="Times New Roman" w:hAnsi="Times New Roman" w:cs="Times New Roman"/>
        </w:rPr>
        <w:t xml:space="preserve">mental health </w:t>
      </w:r>
      <w:r w:rsidR="002D4D4C">
        <w:rPr>
          <w:rFonts w:ascii="Times New Roman" w:hAnsi="Times New Roman" w:cs="Times New Roman"/>
        </w:rPr>
        <w:t>data from the Victorian public mental health service database Victorian Psychiatric Case Register/Redevelopment</w:t>
      </w:r>
      <w:r w:rsidR="004421E0">
        <w:rPr>
          <w:rFonts w:ascii="Times New Roman" w:hAnsi="Times New Roman" w:cs="Times New Roman"/>
        </w:rPr>
        <w:t xml:space="preserve"> of the Acute and Psychiatric Information Directions (VPCR/RAPID). </w:t>
      </w:r>
      <w:r w:rsidR="007074DF">
        <w:rPr>
          <w:rFonts w:ascii="Times New Roman" w:hAnsi="Times New Roman" w:cs="Times New Roman"/>
        </w:rPr>
        <w:t xml:space="preserve">For their study, Papalia et al (2018) compared victims of sexual abuse and certain types of criminal behaviour with problems with metal health. Within the methodology Papalia et al (2018) continue to be vague with the exact details of the type of sexual abuse that they are </w:t>
      </w:r>
      <w:r w:rsidR="00C62F73">
        <w:rPr>
          <w:rFonts w:ascii="Times New Roman" w:hAnsi="Times New Roman" w:cs="Times New Roman"/>
        </w:rPr>
        <w:t xml:space="preserve">measuring and present the reader with information that could be made more succinct to not confuse the reader. </w:t>
      </w:r>
      <w:r w:rsidR="00D652D9">
        <w:rPr>
          <w:rFonts w:ascii="Times New Roman" w:hAnsi="Times New Roman" w:cs="Times New Roman"/>
        </w:rPr>
        <w:t xml:space="preserve">Papalia et al (2018) gained ethical approval for this study from five different, independent human research ethics committees: Monash University, the Victoria Police, the Victorian Institute of Forensic Medicine, the Victorian Department of Human Services and Swinburne University of Technology. A waiver for consent was also included. </w:t>
      </w:r>
    </w:p>
    <w:p w14:paraId="1A4E4CEA" w14:textId="4E8800CC" w:rsidR="00D652D9" w:rsidRDefault="00D652D9" w:rsidP="00796821">
      <w:pPr>
        <w:spacing w:line="360" w:lineRule="auto"/>
        <w:jc w:val="both"/>
        <w:rPr>
          <w:rFonts w:ascii="Times New Roman" w:hAnsi="Times New Roman" w:cs="Times New Roman"/>
        </w:rPr>
      </w:pPr>
      <w:r>
        <w:rPr>
          <w:rFonts w:ascii="Times New Roman" w:hAnsi="Times New Roman" w:cs="Times New Roman"/>
        </w:rPr>
        <w:lastRenderedPageBreak/>
        <w:t xml:space="preserve">        At first glance, the results section of Papalia et al’s (2018) paper presents all means and standard deviations along with APA formatted tables. They found that in the group for those sexual abused, criminal behaviour of all forms were calculated and were found to be elevated significantly over the control group. Table one is the first time that the reader is presented with the criminal behaviour or charges that are sued within this study: theft, deception, property damage, violence, weapons offenses, drug offenses, breach of legal order, stalking/harassment, abduction, threat crimes, public order, prostitution, sexual offenses against a child under 16 years of age and homicide (Papalia et al., 2018). </w:t>
      </w:r>
      <w:r w:rsidR="0002469E">
        <w:rPr>
          <w:rFonts w:ascii="Times New Roman" w:hAnsi="Times New Roman" w:cs="Times New Roman"/>
        </w:rPr>
        <w:t xml:space="preserve">In relation to gender effects, it was also found that, excluding prostitution, criminal behaviour or offending of all forms was more common in the male victims of child sexual abuse; this is clearly demonstrated in table two (Papalia et al., 2018). </w:t>
      </w:r>
    </w:p>
    <w:p w14:paraId="66487D1A" w14:textId="2157D8B3" w:rsidR="0002469E" w:rsidRDefault="0002469E" w:rsidP="00796821">
      <w:pPr>
        <w:spacing w:line="360" w:lineRule="auto"/>
        <w:jc w:val="both"/>
        <w:rPr>
          <w:rFonts w:ascii="Times New Roman" w:hAnsi="Times New Roman" w:cs="Times New Roman"/>
          <w:i/>
          <w:iCs/>
        </w:rPr>
      </w:pPr>
      <w:r>
        <w:rPr>
          <w:rFonts w:ascii="Times New Roman" w:hAnsi="Times New Roman" w:cs="Times New Roman"/>
        </w:rPr>
        <w:t xml:space="preserve">       Papalia et al (2018) found four key results from their study</w:t>
      </w:r>
      <w:r w:rsidR="00FA233E">
        <w:rPr>
          <w:rFonts w:ascii="Times New Roman" w:hAnsi="Times New Roman" w:cs="Times New Roman"/>
        </w:rPr>
        <w:t xml:space="preserve">: </w:t>
      </w:r>
    </w:p>
    <w:p w14:paraId="4221095E" w14:textId="18E24AF2" w:rsidR="00FA233E" w:rsidRDefault="00FA233E" w:rsidP="00796821">
      <w:pPr>
        <w:spacing w:line="360" w:lineRule="auto"/>
        <w:jc w:val="both"/>
        <w:rPr>
          <w:rFonts w:ascii="Times New Roman" w:hAnsi="Times New Roman" w:cs="Times New Roman"/>
          <w:i/>
          <w:iCs/>
        </w:rPr>
      </w:pPr>
      <w:r>
        <w:rPr>
          <w:rFonts w:ascii="Times New Roman" w:hAnsi="Times New Roman" w:cs="Times New Roman"/>
          <w:i/>
          <w:iCs/>
        </w:rPr>
        <w:t xml:space="preserve">“1. CSA victims were more likely than comparisons with no known history of </w:t>
      </w:r>
      <w:r w:rsidR="00757F15">
        <w:rPr>
          <w:rFonts w:ascii="Times New Roman" w:hAnsi="Times New Roman" w:cs="Times New Roman"/>
          <w:i/>
          <w:iCs/>
        </w:rPr>
        <w:t>abuse to engage in all types of criminal behaviours; 2. Gender moderated the association between CSA and criminal offending, with stronger associations found among females for general and violent offending and among males for sexual offending; 3. Certain features of the index sexual abuse were associated with an increased likelihood of criminal behaviour; and 4. CSA victims who engaged in criminal offending were more likely to present with cumulative risks than victims not engaging in crime.” (pp. 408)</w:t>
      </w:r>
    </w:p>
    <w:p w14:paraId="629BEBD9" w14:textId="5B31F253" w:rsidR="00757F15" w:rsidRDefault="00757F15" w:rsidP="00796821">
      <w:pPr>
        <w:spacing w:line="360" w:lineRule="auto"/>
        <w:jc w:val="both"/>
        <w:rPr>
          <w:rFonts w:ascii="Times New Roman" w:hAnsi="Times New Roman" w:cs="Times New Roman"/>
        </w:rPr>
      </w:pPr>
      <w:r>
        <w:rPr>
          <w:rFonts w:ascii="Times New Roman" w:hAnsi="Times New Roman" w:cs="Times New Roman"/>
        </w:rPr>
        <w:t xml:space="preserve"> These findings are broken up into subsections and are well discussed, although there is a lack of up to date evidence to support their findings. All supporting evidence presented by Papalia et al (2018) ranges between 1982 and 2017, with the majority of the supporting evidence being more that 10 years old. </w:t>
      </w:r>
    </w:p>
    <w:p w14:paraId="262A5124" w14:textId="4CB64229" w:rsidR="00757F15" w:rsidRDefault="00757F15" w:rsidP="00796821">
      <w:pPr>
        <w:spacing w:line="360" w:lineRule="auto"/>
        <w:jc w:val="both"/>
        <w:rPr>
          <w:rFonts w:ascii="Times New Roman" w:hAnsi="Times New Roman" w:cs="Times New Roman"/>
        </w:rPr>
      </w:pPr>
      <w:r>
        <w:rPr>
          <w:rFonts w:ascii="Times New Roman" w:hAnsi="Times New Roman" w:cs="Times New Roman"/>
        </w:rPr>
        <w:t xml:space="preserve">        Papalia et al (2018) make clear reference to the limitations that can be found in the methodology of the study. </w:t>
      </w:r>
      <w:r w:rsidR="00896736">
        <w:rPr>
          <w:rFonts w:ascii="Times New Roman" w:hAnsi="Times New Roman" w:cs="Times New Roman"/>
        </w:rPr>
        <w:t xml:space="preserve">Due to the nature of the topic and the samples of sexual abuse, a bias could have been introduced that could explain in part the different observations the experimental and control groups. The disproportionate amount of sexual abuse of children cases that were officially reported reflects the children whose socioeconomic status is that much lower and sexual abuse is more severe (Papalia et al., 2018; Australian Institute of Family Studies, 2016). Many participants in the experimental group would have had exposure to the likes of poverty, poor parental adjustments, emotional deprivation, family disruption, physical abuse and poor opportunities in education, this is not likely to be the case for their control group counterparts (Papalia et al., 2018; Doidge et al., 2017). </w:t>
      </w:r>
    </w:p>
    <w:p w14:paraId="0714EAE0" w14:textId="0C4A3909" w:rsidR="00896736" w:rsidRDefault="00896736" w:rsidP="00796821">
      <w:pPr>
        <w:spacing w:line="360" w:lineRule="auto"/>
        <w:jc w:val="both"/>
        <w:rPr>
          <w:rFonts w:ascii="Times New Roman" w:hAnsi="Times New Roman" w:cs="Times New Roman"/>
        </w:rPr>
      </w:pPr>
      <w:r>
        <w:rPr>
          <w:rFonts w:ascii="Times New Roman" w:hAnsi="Times New Roman" w:cs="Times New Roman"/>
        </w:rPr>
        <w:lastRenderedPageBreak/>
        <w:t xml:space="preserve">       As Australia as a country is not as socioeconomically diverse as the rest of the world, the indicators used from the samples in Papalia et al’s (2018) study were narrower than if the samples had been taken from other</w:t>
      </w:r>
      <w:r w:rsidR="008B21AF">
        <w:rPr>
          <w:rFonts w:ascii="Times New Roman" w:hAnsi="Times New Roman" w:cs="Times New Roman"/>
        </w:rPr>
        <w:t>, more developed</w:t>
      </w:r>
      <w:r>
        <w:rPr>
          <w:rFonts w:ascii="Times New Roman" w:hAnsi="Times New Roman" w:cs="Times New Roman"/>
        </w:rPr>
        <w:t xml:space="preserve"> parts of the world.</w:t>
      </w:r>
      <w:r w:rsidR="008B21AF">
        <w:rPr>
          <w:rFonts w:ascii="Times New Roman" w:hAnsi="Times New Roman" w:cs="Times New Roman"/>
        </w:rPr>
        <w:t xml:space="preserve"> In opposition to this there are a number of areas of bias that may have seen a reduction in the likelihood of a difference being detected between both the experimental and control groups</w:t>
      </w:r>
      <w:r w:rsidR="00BC7AF2">
        <w:rPr>
          <w:rFonts w:ascii="Times New Roman" w:hAnsi="Times New Roman" w:cs="Times New Roman"/>
        </w:rPr>
        <w:t xml:space="preserve">. There is a likelihood that participants in the control group may have exposure to a form of sexual abuse but there was no way to remove them from the study (Papalia et al, 2018). As the participants in the experimental group had officially reported their sexual abuse there is a chance that they would have received a form of treatment as a means of counterbalancing the effects of the abuse. Criminal history of the sexually abused children may have been lost due to interstate movement and change of name (Papalia et al., 2016). </w:t>
      </w:r>
    </w:p>
    <w:p w14:paraId="167ABA41" w14:textId="48CAB11F" w:rsidR="00BC7AF2" w:rsidRDefault="00BC7AF2" w:rsidP="00796821">
      <w:pPr>
        <w:spacing w:line="360" w:lineRule="auto"/>
        <w:jc w:val="both"/>
        <w:rPr>
          <w:rFonts w:ascii="Times New Roman" w:hAnsi="Times New Roman" w:cs="Times New Roman"/>
        </w:rPr>
      </w:pPr>
      <w:r>
        <w:rPr>
          <w:rFonts w:ascii="Times New Roman" w:hAnsi="Times New Roman" w:cs="Times New Roman"/>
        </w:rPr>
        <w:t xml:space="preserve">      There are also generalisation implications for this study and its findings. More specifically, there may not be generalisation of the results to those that are of a higher or middle socioeconomic status if they have been sexually abused (Papalia et al., 2018). </w:t>
      </w:r>
    </w:p>
    <w:p w14:paraId="279B2E12" w14:textId="77777777" w:rsidR="00B735BB" w:rsidRDefault="00BC7AF2" w:rsidP="00796821">
      <w:pPr>
        <w:spacing w:line="360" w:lineRule="auto"/>
        <w:jc w:val="both"/>
        <w:rPr>
          <w:rFonts w:ascii="Times New Roman" w:hAnsi="Times New Roman" w:cs="Times New Roman"/>
        </w:rPr>
      </w:pPr>
      <w:r>
        <w:rPr>
          <w:rFonts w:ascii="Times New Roman" w:hAnsi="Times New Roman" w:cs="Times New Roman"/>
        </w:rPr>
        <w:t xml:space="preserve">      Papalia et al (2018) may good reference to the implications for further research of their study topic, with suggestions for interventions for both sexually abused males and females and for the practitioners or clinicians that may be delivering these interventions. For sexually abused males in adolescents a confusion reducing intervention may be suitable looking at boundary setting and sexuality, whereas for sexually abused females in adolescents target trauma interventions that have an association with violence may be beneficial (Papalia et al., 2018). As for practitioners and clinicians who assess or work with those that have suffered a form of sexual abuse should first evaluate the potential risk </w:t>
      </w:r>
      <w:r w:rsidR="004B7EE8">
        <w:rPr>
          <w:rFonts w:ascii="Times New Roman" w:hAnsi="Times New Roman" w:cs="Times New Roman"/>
        </w:rPr>
        <w:t xml:space="preserve">or presence of victimisation and problems with mental health, while incorporating the same issues into the interventions and referrals (Papalia et al., 2018).  </w:t>
      </w:r>
    </w:p>
    <w:p w14:paraId="22F9D9D1" w14:textId="58069E17" w:rsidR="00BC7AF2" w:rsidRDefault="00B735BB" w:rsidP="00796821">
      <w:pPr>
        <w:spacing w:line="360" w:lineRule="auto"/>
        <w:jc w:val="both"/>
        <w:rPr>
          <w:rFonts w:ascii="Times New Roman" w:hAnsi="Times New Roman" w:cs="Times New Roman"/>
        </w:rPr>
      </w:pPr>
      <w:r>
        <w:rPr>
          <w:rFonts w:ascii="Times New Roman" w:hAnsi="Times New Roman" w:cs="Times New Roman"/>
        </w:rPr>
        <w:t xml:space="preserve">       Papalia et al (2018) may a final note of stating that from this research the fact that a person is sexually abused does not mean that they are destined to engage in criminal behaviour, with 75% of the experimental group not being charged with an offence in the follow-up time. </w:t>
      </w:r>
      <w:r w:rsidR="004B7EE8">
        <w:rPr>
          <w:rFonts w:ascii="Times New Roman" w:hAnsi="Times New Roman" w:cs="Times New Roman"/>
        </w:rPr>
        <w:t xml:space="preserve"> </w:t>
      </w:r>
    </w:p>
    <w:p w14:paraId="0BABF9CE" w14:textId="71E0C7C7" w:rsidR="00757F15" w:rsidRPr="00757F15" w:rsidRDefault="00757F15" w:rsidP="00796821">
      <w:pPr>
        <w:spacing w:line="360" w:lineRule="auto"/>
        <w:jc w:val="both"/>
        <w:rPr>
          <w:rFonts w:ascii="Times New Roman" w:hAnsi="Times New Roman" w:cs="Times New Roman"/>
        </w:rPr>
      </w:pPr>
      <w:r>
        <w:rPr>
          <w:rFonts w:ascii="Times New Roman" w:hAnsi="Times New Roman" w:cs="Times New Roman"/>
        </w:rPr>
        <w:t xml:space="preserve">       </w:t>
      </w:r>
    </w:p>
    <w:p w14:paraId="280944B9" w14:textId="3B79BA57" w:rsidR="00796821" w:rsidRPr="00796821" w:rsidRDefault="00796821" w:rsidP="00796821">
      <w:pPr>
        <w:spacing w:line="360" w:lineRule="auto"/>
        <w:jc w:val="both"/>
        <w:rPr>
          <w:rFonts w:ascii="Times New Roman" w:hAnsi="Times New Roman" w:cs="Times New Roman"/>
        </w:rPr>
      </w:pPr>
      <w:r>
        <w:rPr>
          <w:rFonts w:ascii="Times New Roman" w:hAnsi="Times New Roman" w:cs="Times New Roman"/>
        </w:rPr>
        <w:t xml:space="preserve">         </w:t>
      </w:r>
    </w:p>
    <w:p w14:paraId="7964049E" w14:textId="43338D62" w:rsidR="00AA762C" w:rsidRPr="009B6B9A" w:rsidRDefault="00AA762C" w:rsidP="009B6B9A">
      <w:pPr>
        <w:spacing w:line="360" w:lineRule="auto"/>
        <w:rPr>
          <w:rFonts w:ascii="Times New Roman" w:hAnsi="Times New Roman" w:cs="Times New Roman"/>
        </w:rPr>
      </w:pPr>
      <w:r>
        <w:rPr>
          <w:rFonts w:ascii="Times New Roman" w:hAnsi="Times New Roman" w:cs="Times New Roman"/>
        </w:rPr>
        <w:t xml:space="preserve">        </w:t>
      </w:r>
    </w:p>
    <w:p w14:paraId="17C8D6B4" w14:textId="2637B8A6" w:rsidR="009B6B9A" w:rsidRDefault="00B7343A" w:rsidP="009B6B9A">
      <w:pPr>
        <w:spacing w:line="360" w:lineRule="auto"/>
        <w:rPr>
          <w:rFonts w:ascii="Times New Roman" w:hAnsi="Times New Roman" w:cs="Times New Roman"/>
          <w:u w:val="single"/>
        </w:rPr>
      </w:pPr>
      <w:r>
        <w:rPr>
          <w:rFonts w:ascii="Times New Roman" w:hAnsi="Times New Roman" w:cs="Times New Roman"/>
          <w:u w:val="single"/>
        </w:rPr>
        <w:t xml:space="preserve">Reference List </w:t>
      </w:r>
    </w:p>
    <w:p w14:paraId="3F72D73A" w14:textId="77777777" w:rsidR="00E21276" w:rsidRPr="00654C9C" w:rsidRDefault="00E21276" w:rsidP="00E21276">
      <w:pPr>
        <w:spacing w:line="360" w:lineRule="auto"/>
        <w:rPr>
          <w:rFonts w:ascii="Times New Roman" w:eastAsia="Times New Roman" w:hAnsi="Times New Roman" w:cs="Times New Roman"/>
        </w:rPr>
      </w:pPr>
    </w:p>
    <w:p w14:paraId="33B79ECB" w14:textId="77777777" w:rsidR="00E21276" w:rsidRDefault="00E21276" w:rsidP="00654C9C">
      <w:pPr>
        <w:spacing w:line="360" w:lineRule="auto"/>
        <w:ind w:left="720" w:hanging="720"/>
        <w:rPr>
          <w:rFonts w:ascii="Times New Roman" w:eastAsia="Times New Roman" w:hAnsi="Times New Roman" w:cs="Times New Roman"/>
          <w:color w:val="222222"/>
          <w:shd w:val="clear" w:color="auto" w:fill="FFFFFF"/>
        </w:rPr>
      </w:pPr>
      <w:r w:rsidRPr="00654C9C">
        <w:rPr>
          <w:rFonts w:ascii="Times New Roman" w:eastAsia="Times New Roman" w:hAnsi="Times New Roman" w:cs="Times New Roman"/>
          <w:color w:val="222222"/>
          <w:shd w:val="clear" w:color="auto" w:fill="FFFFFF"/>
        </w:rPr>
        <w:t>Akers, R. L., &amp; Jensen, G. F. (2017). The empirical status of social learning theory of crime and deviance: The past, present, and future. In </w:t>
      </w:r>
      <w:r w:rsidRPr="00654C9C">
        <w:rPr>
          <w:rFonts w:ascii="Times New Roman" w:eastAsia="Times New Roman" w:hAnsi="Times New Roman" w:cs="Times New Roman"/>
          <w:i/>
          <w:iCs/>
          <w:color w:val="222222"/>
        </w:rPr>
        <w:t>Taking stock</w:t>
      </w:r>
      <w:r w:rsidRPr="00654C9C">
        <w:rPr>
          <w:rFonts w:ascii="Times New Roman" w:eastAsia="Times New Roman" w:hAnsi="Times New Roman" w:cs="Times New Roman"/>
          <w:color w:val="222222"/>
          <w:shd w:val="clear" w:color="auto" w:fill="FFFFFF"/>
        </w:rPr>
        <w:t> (pp. 37-76). Routledge.</w:t>
      </w:r>
    </w:p>
    <w:p w14:paraId="2653999B" w14:textId="77777777" w:rsidR="00E21276" w:rsidRDefault="00E21276" w:rsidP="004A2A1B">
      <w:pPr>
        <w:pStyle w:val="NormalWeb"/>
        <w:spacing w:line="360" w:lineRule="auto"/>
        <w:ind w:left="720" w:hanging="720"/>
      </w:pPr>
      <w:r w:rsidRPr="004A2A1B">
        <w:lastRenderedPageBreak/>
        <w:t xml:space="preserve">Akers, R.L., &amp; Jennings, W.G. (2009). The social learning theory of crime and deviance. In M. </w:t>
      </w:r>
      <w:proofErr w:type="spellStart"/>
      <w:r w:rsidRPr="004A2A1B">
        <w:t>Krohn</w:t>
      </w:r>
      <w:proofErr w:type="spellEnd"/>
      <w:r w:rsidRPr="004A2A1B">
        <w:t xml:space="preserve">, A. Lizotte, &amp; G. Hall (Eds.), </w:t>
      </w:r>
      <w:r w:rsidRPr="004A2A1B">
        <w:rPr>
          <w:i/>
          <w:iCs/>
        </w:rPr>
        <w:t xml:space="preserve">Handbook on Criminology and Deviance </w:t>
      </w:r>
      <w:r w:rsidRPr="004A2A1B">
        <w:t>(pp. 103–120)</w:t>
      </w:r>
      <w:r w:rsidRPr="004A2A1B">
        <w:rPr>
          <w:i/>
          <w:iCs/>
        </w:rPr>
        <w:t xml:space="preserve">. </w:t>
      </w:r>
      <w:r w:rsidRPr="004A2A1B">
        <w:t xml:space="preserve">New York: Springer. </w:t>
      </w:r>
    </w:p>
    <w:p w14:paraId="70388A33" w14:textId="381D29A1" w:rsidR="00E21276" w:rsidRDefault="00E21276" w:rsidP="00654C9C">
      <w:pPr>
        <w:pStyle w:val="NormalWeb"/>
        <w:spacing w:line="360" w:lineRule="auto"/>
        <w:ind w:left="720" w:hanging="720"/>
      </w:pPr>
      <w:r w:rsidRPr="00654C9C">
        <w:t xml:space="preserve">Andrews, G., Corry, J., Slade, T., </w:t>
      </w:r>
      <w:proofErr w:type="spellStart"/>
      <w:r w:rsidRPr="00654C9C">
        <w:t>Issakidis</w:t>
      </w:r>
      <w:proofErr w:type="spellEnd"/>
      <w:r w:rsidRPr="00654C9C">
        <w:t xml:space="preserve">, C., &amp; Swanston, H. (2004). Child sexual abuse. In M. </w:t>
      </w:r>
      <w:proofErr w:type="spellStart"/>
      <w:r w:rsidRPr="00654C9C">
        <w:t>Ezzati</w:t>
      </w:r>
      <w:proofErr w:type="spellEnd"/>
      <w:r w:rsidRPr="00654C9C">
        <w:t xml:space="preserve">, A. D. Lopez, A. Rodgers &amp; C. J. L. Murray (Eds.), Comparative quantification of health risk (Vol. 2, pp. 1851–1940). Geneva, Switzerland: World Health Organization. </w:t>
      </w:r>
    </w:p>
    <w:p w14:paraId="51D2E5FF" w14:textId="0677731E" w:rsidR="00896736" w:rsidRPr="00896736" w:rsidRDefault="00896736" w:rsidP="00654C9C">
      <w:pPr>
        <w:pStyle w:val="NormalWeb"/>
        <w:spacing w:line="360" w:lineRule="auto"/>
        <w:ind w:left="720" w:hanging="720"/>
      </w:pPr>
      <w:r>
        <w:t xml:space="preserve">Australian Institute of Family Studies. (2016). </w:t>
      </w:r>
      <w:r>
        <w:rPr>
          <w:i/>
          <w:iCs/>
        </w:rPr>
        <w:t xml:space="preserve">Child abuse and neglect statistics. </w:t>
      </w:r>
      <w:r>
        <w:t xml:space="preserve">Canberra, Australia: Author. Retrieved from </w:t>
      </w:r>
      <w:hyperlink r:id="rId5" w:history="1">
        <w:r w:rsidRPr="00C32958">
          <w:rPr>
            <w:rStyle w:val="Hyperlink"/>
          </w:rPr>
          <w:t>https://aifs.gov.au/cfca/publications/child-abuse-and-neglect-statistics</w:t>
        </w:r>
      </w:hyperlink>
      <w:r>
        <w:t xml:space="preserve"> </w:t>
      </w:r>
    </w:p>
    <w:p w14:paraId="2234E5F7" w14:textId="62670BA5" w:rsidR="00896736" w:rsidRPr="004A2A1B" w:rsidRDefault="00E21276" w:rsidP="004A2A1B">
      <w:pPr>
        <w:pStyle w:val="NormalWeb"/>
      </w:pPr>
      <w:r w:rsidRPr="004A2A1B">
        <w:t xml:space="preserve">Bandura, A. (1979). </w:t>
      </w:r>
      <w:r w:rsidRPr="004A2A1B">
        <w:rPr>
          <w:i/>
          <w:iCs/>
        </w:rPr>
        <w:t xml:space="preserve">Social Learning Theory. </w:t>
      </w:r>
      <w:r w:rsidRPr="004A2A1B">
        <w:t>Englewood Cliffs, NJ: Prentice Hall.</w:t>
      </w:r>
    </w:p>
    <w:p w14:paraId="50F394F1" w14:textId="77777777" w:rsidR="00E21276" w:rsidRPr="00654C9C" w:rsidRDefault="00E21276" w:rsidP="00654C9C">
      <w:pPr>
        <w:spacing w:line="360" w:lineRule="auto"/>
        <w:ind w:left="720" w:hanging="720"/>
        <w:rPr>
          <w:rFonts w:ascii="Times New Roman" w:eastAsia="Times New Roman" w:hAnsi="Times New Roman" w:cs="Times New Roman"/>
        </w:rPr>
      </w:pPr>
      <w:proofErr w:type="spellStart"/>
      <w:r w:rsidRPr="00654C9C">
        <w:rPr>
          <w:rFonts w:ascii="Times New Roman" w:eastAsia="Times New Roman" w:hAnsi="Times New Roman" w:cs="Times New Roman"/>
          <w:color w:val="222222"/>
          <w:shd w:val="clear" w:color="auto" w:fill="FFFFFF"/>
        </w:rPr>
        <w:t>Banyard</w:t>
      </w:r>
      <w:proofErr w:type="spellEnd"/>
      <w:r w:rsidRPr="00654C9C">
        <w:rPr>
          <w:rFonts w:ascii="Times New Roman" w:eastAsia="Times New Roman" w:hAnsi="Times New Roman" w:cs="Times New Roman"/>
          <w:color w:val="222222"/>
          <w:shd w:val="clear" w:color="auto" w:fill="FFFFFF"/>
        </w:rPr>
        <w:t>, V. L., Williams, L. M., &amp; Siegel, J. A. (2004). Childhood sexual abuse: A gender perspective on context and consequences. </w:t>
      </w:r>
      <w:r w:rsidRPr="00654C9C">
        <w:rPr>
          <w:rFonts w:ascii="Times New Roman" w:eastAsia="Times New Roman" w:hAnsi="Times New Roman" w:cs="Times New Roman"/>
          <w:i/>
          <w:iCs/>
          <w:color w:val="222222"/>
        </w:rPr>
        <w:t>Child maltreatment</w:t>
      </w:r>
      <w:r w:rsidRPr="00654C9C">
        <w:rPr>
          <w:rFonts w:ascii="Times New Roman" w:eastAsia="Times New Roman" w:hAnsi="Times New Roman" w:cs="Times New Roman"/>
          <w:color w:val="222222"/>
          <w:shd w:val="clear" w:color="auto" w:fill="FFFFFF"/>
        </w:rPr>
        <w:t>, </w:t>
      </w:r>
      <w:r w:rsidRPr="00654C9C">
        <w:rPr>
          <w:rFonts w:ascii="Times New Roman" w:eastAsia="Times New Roman" w:hAnsi="Times New Roman" w:cs="Times New Roman"/>
          <w:i/>
          <w:iCs/>
          <w:color w:val="222222"/>
        </w:rPr>
        <w:t>9</w:t>
      </w:r>
      <w:r w:rsidRPr="00654C9C">
        <w:rPr>
          <w:rFonts w:ascii="Times New Roman" w:eastAsia="Times New Roman" w:hAnsi="Times New Roman" w:cs="Times New Roman"/>
          <w:color w:val="222222"/>
          <w:shd w:val="clear" w:color="auto" w:fill="FFFFFF"/>
        </w:rPr>
        <w:t>(3), 223-238.</w:t>
      </w:r>
    </w:p>
    <w:p w14:paraId="2BA5B579" w14:textId="77777777" w:rsidR="00E21276" w:rsidRPr="00B7343A" w:rsidRDefault="00E21276" w:rsidP="00B7343A">
      <w:pPr>
        <w:pStyle w:val="NormalWeb"/>
        <w:spacing w:line="360" w:lineRule="auto"/>
        <w:ind w:left="720" w:hanging="720"/>
      </w:pPr>
      <w:r w:rsidRPr="00B7343A">
        <w:t xml:space="preserve">Barth, J., </w:t>
      </w:r>
      <w:proofErr w:type="spellStart"/>
      <w:r w:rsidRPr="00B7343A">
        <w:t>Bermetz</w:t>
      </w:r>
      <w:proofErr w:type="spellEnd"/>
      <w:r w:rsidRPr="00B7343A">
        <w:t xml:space="preserve">, L., Heim, E., </w:t>
      </w:r>
      <w:proofErr w:type="spellStart"/>
      <w:r w:rsidRPr="00B7343A">
        <w:t>Trelle</w:t>
      </w:r>
      <w:proofErr w:type="spellEnd"/>
      <w:r w:rsidRPr="00B7343A">
        <w:t xml:space="preserve">, S., &amp; Tonia, T. (2013). The current prevalence of child sexual abuse worldwide: A systematic review and meta-analysis. International Journal of Public Health, 58, 469–483. doi:10.1007/s00038-012-0426-1 </w:t>
      </w:r>
    </w:p>
    <w:p w14:paraId="0F2FA738" w14:textId="77777777" w:rsidR="00E21276" w:rsidRPr="00654C9C" w:rsidRDefault="00E21276" w:rsidP="00654C9C">
      <w:pPr>
        <w:pStyle w:val="NormalWeb"/>
        <w:spacing w:line="360" w:lineRule="auto"/>
        <w:ind w:left="720" w:hanging="720"/>
      </w:pPr>
      <w:r w:rsidRPr="00654C9C">
        <w:t xml:space="preserve">Cashmore, J., &amp; </w:t>
      </w:r>
      <w:proofErr w:type="spellStart"/>
      <w:r w:rsidRPr="00654C9C">
        <w:t>Shackel</w:t>
      </w:r>
      <w:proofErr w:type="spellEnd"/>
      <w:r w:rsidRPr="00654C9C">
        <w:t xml:space="preserve">, R. (2013). The long-term effects of child sexual abuse. Canberra, Australia: Australian Institute of Family Studies. Retrieved from https://aifs.gov.au/cfca/publications/long- term-effects-child-sexual-abuse </w:t>
      </w:r>
    </w:p>
    <w:p w14:paraId="322ED507" w14:textId="77777777" w:rsidR="00E21276" w:rsidRPr="00B7343A" w:rsidRDefault="00E21276" w:rsidP="00B7343A">
      <w:pPr>
        <w:pStyle w:val="NormalWeb"/>
        <w:spacing w:line="360" w:lineRule="auto"/>
        <w:ind w:left="720" w:hanging="720"/>
      </w:pPr>
      <w:r w:rsidRPr="00B7343A">
        <w:t xml:space="preserve">Committee on the Rights of the Child. (2011). General comment No. 13 on the right of the child to freedom from all forms of violence. http://www.ohchr.org/EN/ </w:t>
      </w:r>
      <w:proofErr w:type="spellStart"/>
      <w:r w:rsidRPr="00B7343A">
        <w:t>HRBodies</w:t>
      </w:r>
      <w:proofErr w:type="spellEnd"/>
      <w:r w:rsidRPr="00B7343A">
        <w:t>/CRC/Pages/CRCIndex.aspx</w:t>
      </w:r>
      <w:r>
        <w:t xml:space="preserve"> </w:t>
      </w:r>
      <w:r w:rsidRPr="00B7343A">
        <w:t xml:space="preserve"> </w:t>
      </w:r>
    </w:p>
    <w:p w14:paraId="49AF4489" w14:textId="06C659ED" w:rsidR="00E21276" w:rsidRDefault="00E21276" w:rsidP="00654C9C">
      <w:pPr>
        <w:pStyle w:val="NormalWeb"/>
        <w:spacing w:line="360" w:lineRule="auto"/>
        <w:ind w:left="720" w:hanging="720"/>
      </w:pPr>
      <w:r w:rsidRPr="00654C9C">
        <w:t xml:space="preserve">Curtis, G. C. (1963). Violence breeds violence—perhaps? American Journal of Psychiatry, 120, 386–387. </w:t>
      </w:r>
      <w:proofErr w:type="spellStart"/>
      <w:r w:rsidRPr="00654C9C">
        <w:t>doi</w:t>
      </w:r>
      <w:proofErr w:type="spellEnd"/>
      <w:r w:rsidRPr="00654C9C">
        <w:t xml:space="preserve">: 10.1176/ajp.120.4.386 </w:t>
      </w:r>
    </w:p>
    <w:p w14:paraId="02749F16" w14:textId="1BCE1988" w:rsidR="00896736" w:rsidRPr="00896736" w:rsidRDefault="00896736" w:rsidP="00654C9C">
      <w:pPr>
        <w:pStyle w:val="NormalWeb"/>
        <w:spacing w:line="360" w:lineRule="auto"/>
        <w:ind w:left="720" w:hanging="720"/>
      </w:pPr>
      <w:r>
        <w:t xml:space="preserve">Doidge, J. C., Higgins, D. J., </w:t>
      </w:r>
      <w:proofErr w:type="spellStart"/>
      <w:r>
        <w:t>Delfabbro</w:t>
      </w:r>
      <w:proofErr w:type="spellEnd"/>
      <w:r>
        <w:t xml:space="preserve">, p., &amp; Segal, L. (2017). Risk factors for child maltreatment in an Australian population-based birth cohort. </w:t>
      </w:r>
      <w:r>
        <w:rPr>
          <w:i/>
          <w:iCs/>
        </w:rPr>
        <w:t>Child Abuse &amp; Neglect, 64,</w:t>
      </w:r>
      <w:r>
        <w:t xml:space="preserve"> 47-60. </w:t>
      </w:r>
      <w:proofErr w:type="gramStart"/>
      <w:r>
        <w:t>doi:10.1016/j.chiabu</w:t>
      </w:r>
      <w:proofErr w:type="gramEnd"/>
      <w:r>
        <w:t xml:space="preserve">.2016.12.002 </w:t>
      </w:r>
    </w:p>
    <w:p w14:paraId="63E51130" w14:textId="77777777" w:rsidR="00E21276" w:rsidRPr="00654C9C" w:rsidRDefault="00E21276" w:rsidP="00654C9C">
      <w:pPr>
        <w:spacing w:line="360" w:lineRule="auto"/>
        <w:ind w:left="720" w:hanging="720"/>
        <w:rPr>
          <w:rFonts w:ascii="Times New Roman" w:eastAsia="Times New Roman" w:hAnsi="Times New Roman" w:cs="Times New Roman"/>
        </w:rPr>
      </w:pPr>
      <w:r w:rsidRPr="00654C9C">
        <w:rPr>
          <w:rFonts w:ascii="Times New Roman" w:eastAsia="Times New Roman" w:hAnsi="Times New Roman" w:cs="Times New Roman"/>
          <w:color w:val="222222"/>
          <w:shd w:val="clear" w:color="auto" w:fill="FFFFFF"/>
        </w:rPr>
        <w:lastRenderedPageBreak/>
        <w:t>Ferrante, A., &amp; Boyd, J. (2012). A transparent and transportable methodology for evaluating Data Linkage software. </w:t>
      </w:r>
      <w:r w:rsidRPr="00654C9C">
        <w:rPr>
          <w:rFonts w:ascii="Times New Roman" w:eastAsia="Times New Roman" w:hAnsi="Times New Roman" w:cs="Times New Roman"/>
          <w:i/>
          <w:iCs/>
          <w:color w:val="222222"/>
        </w:rPr>
        <w:t>Journal of biomedical informatics</w:t>
      </w:r>
      <w:r w:rsidRPr="00654C9C">
        <w:rPr>
          <w:rFonts w:ascii="Times New Roman" w:eastAsia="Times New Roman" w:hAnsi="Times New Roman" w:cs="Times New Roman"/>
          <w:color w:val="222222"/>
          <w:shd w:val="clear" w:color="auto" w:fill="FFFFFF"/>
        </w:rPr>
        <w:t>, </w:t>
      </w:r>
      <w:r w:rsidRPr="00654C9C">
        <w:rPr>
          <w:rFonts w:ascii="Times New Roman" w:eastAsia="Times New Roman" w:hAnsi="Times New Roman" w:cs="Times New Roman"/>
          <w:i/>
          <w:iCs/>
          <w:color w:val="222222"/>
        </w:rPr>
        <w:t>45</w:t>
      </w:r>
      <w:r w:rsidRPr="00654C9C">
        <w:rPr>
          <w:rFonts w:ascii="Times New Roman" w:eastAsia="Times New Roman" w:hAnsi="Times New Roman" w:cs="Times New Roman"/>
          <w:color w:val="222222"/>
          <w:shd w:val="clear" w:color="auto" w:fill="FFFFFF"/>
        </w:rPr>
        <w:t>(1), 165-172.</w:t>
      </w:r>
    </w:p>
    <w:p w14:paraId="65D13AF9" w14:textId="77777777" w:rsidR="00E21276" w:rsidRPr="00654C9C" w:rsidRDefault="00E21276" w:rsidP="00654C9C">
      <w:pPr>
        <w:pStyle w:val="NormalWeb"/>
        <w:spacing w:line="360" w:lineRule="auto"/>
        <w:ind w:left="720" w:hanging="720"/>
      </w:pPr>
      <w:r w:rsidRPr="00654C9C">
        <w:t>Gilbert</w:t>
      </w:r>
      <w:r>
        <w:t>,</w:t>
      </w:r>
      <w:r w:rsidRPr="00654C9C">
        <w:t xml:space="preserve"> R</w:t>
      </w:r>
      <w:r>
        <w:t>.</w:t>
      </w:r>
      <w:r w:rsidRPr="00654C9C">
        <w:t xml:space="preserve">, </w:t>
      </w:r>
      <w:proofErr w:type="spellStart"/>
      <w:r w:rsidRPr="00654C9C">
        <w:t>Spatz</w:t>
      </w:r>
      <w:proofErr w:type="spellEnd"/>
      <w:r w:rsidRPr="00654C9C">
        <w:t xml:space="preserve"> </w:t>
      </w:r>
      <w:proofErr w:type="spellStart"/>
      <w:r w:rsidRPr="00654C9C">
        <w:t>Widom</w:t>
      </w:r>
      <w:proofErr w:type="spellEnd"/>
      <w:r>
        <w:t>,</w:t>
      </w:r>
      <w:r w:rsidRPr="00654C9C">
        <w:t xml:space="preserve"> C</w:t>
      </w:r>
      <w:r>
        <w:t>.</w:t>
      </w:r>
      <w:r w:rsidRPr="00654C9C">
        <w:t>, Browne</w:t>
      </w:r>
      <w:r>
        <w:t>,</w:t>
      </w:r>
      <w:r w:rsidRPr="00654C9C">
        <w:t xml:space="preserve"> K</w:t>
      </w:r>
      <w:r>
        <w:t>.</w:t>
      </w:r>
      <w:r w:rsidRPr="00654C9C">
        <w:t>, Fergusson</w:t>
      </w:r>
      <w:r>
        <w:t>,</w:t>
      </w:r>
      <w:r w:rsidRPr="00654C9C">
        <w:t xml:space="preserve"> D</w:t>
      </w:r>
      <w:r>
        <w:t>.</w:t>
      </w:r>
      <w:r w:rsidRPr="00654C9C">
        <w:t>, Webb</w:t>
      </w:r>
      <w:r>
        <w:t>,</w:t>
      </w:r>
      <w:r w:rsidRPr="00654C9C">
        <w:t xml:space="preserve"> E</w:t>
      </w:r>
      <w:r>
        <w:t xml:space="preserve">. &amp; </w:t>
      </w:r>
      <w:r w:rsidRPr="00654C9C">
        <w:t>Janson</w:t>
      </w:r>
      <w:r>
        <w:t>,</w:t>
      </w:r>
      <w:r w:rsidRPr="00654C9C">
        <w:t xml:space="preserve"> S</w:t>
      </w:r>
      <w:r>
        <w:t>.</w:t>
      </w:r>
      <w:r w:rsidRPr="00654C9C">
        <w:t xml:space="preserve"> (2009) Burden and consequences of child maltreatment in high-income countries. Lancet 373(9657):61–68. doi:</w:t>
      </w:r>
      <w:r w:rsidRPr="00654C9C">
        <w:rPr>
          <w:color w:val="0000FF"/>
        </w:rPr>
        <w:t xml:space="preserve">10.1016/S0140-6736(08)61706-7 </w:t>
      </w:r>
    </w:p>
    <w:p w14:paraId="26D048D0" w14:textId="2F87F5C7" w:rsidR="00E21276" w:rsidRDefault="00E21276" w:rsidP="00B7343A">
      <w:pPr>
        <w:spacing w:line="360" w:lineRule="auto"/>
        <w:ind w:left="720" w:hanging="720"/>
        <w:rPr>
          <w:rFonts w:ascii="Times New Roman" w:eastAsia="Times New Roman" w:hAnsi="Times New Roman" w:cs="Times New Roman"/>
        </w:rPr>
      </w:pPr>
      <w:proofErr w:type="spellStart"/>
      <w:r>
        <w:rPr>
          <w:rFonts w:ascii="Times New Roman" w:hAnsi="Times New Roman" w:cs="Times New Roman"/>
        </w:rPr>
        <w:t>Jozkowski</w:t>
      </w:r>
      <w:proofErr w:type="spellEnd"/>
      <w:r>
        <w:rPr>
          <w:rFonts w:ascii="Times New Roman" w:hAnsi="Times New Roman" w:cs="Times New Roman"/>
        </w:rPr>
        <w:t xml:space="preserve">, K. N. &amp; Peterson, Z. D. (2013). College students and sexual consent: Unique insights. </w:t>
      </w:r>
      <w:r>
        <w:rPr>
          <w:rFonts w:ascii="Times New Roman" w:hAnsi="Times New Roman" w:cs="Times New Roman"/>
          <w:i/>
          <w:iCs/>
        </w:rPr>
        <w:t>Journal of Sex Research, 50</w:t>
      </w:r>
      <w:r>
        <w:rPr>
          <w:rFonts w:ascii="Times New Roman" w:hAnsi="Times New Roman" w:cs="Times New Roman"/>
        </w:rPr>
        <w:t xml:space="preserve">, 517-523. </w:t>
      </w:r>
      <w:hyperlink r:id="rId6" w:history="1">
        <w:r w:rsidRPr="00B7343A">
          <w:rPr>
            <w:rStyle w:val="Hyperlink"/>
            <w:rFonts w:ascii="Times New Roman" w:eastAsia="Times New Roman" w:hAnsi="Times New Roman" w:cs="Times New Roman"/>
          </w:rPr>
          <w:t>http://dx.doi.org/10.1080/00224499.2012.700739</w:t>
        </w:r>
      </w:hyperlink>
    </w:p>
    <w:p w14:paraId="0DECAFC2" w14:textId="77777777" w:rsidR="00896736" w:rsidRDefault="00896736" w:rsidP="00B7343A">
      <w:pPr>
        <w:spacing w:line="360" w:lineRule="auto"/>
        <w:ind w:left="720" w:hanging="720"/>
        <w:rPr>
          <w:rFonts w:ascii="Times New Roman" w:eastAsia="Times New Roman" w:hAnsi="Times New Roman" w:cs="Times New Roman"/>
        </w:rPr>
      </w:pPr>
    </w:p>
    <w:p w14:paraId="1F860BB0" w14:textId="4C1F5E7F" w:rsidR="00E21276" w:rsidRDefault="00E21276" w:rsidP="00654C9C">
      <w:pPr>
        <w:spacing w:line="360" w:lineRule="auto"/>
        <w:ind w:left="720" w:hanging="720"/>
        <w:rPr>
          <w:rFonts w:ascii="Times New Roman" w:eastAsia="Times New Roman" w:hAnsi="Times New Roman" w:cs="Times New Roman"/>
          <w:color w:val="222222"/>
          <w:shd w:val="clear" w:color="auto" w:fill="FFFFFF"/>
        </w:rPr>
      </w:pPr>
      <w:proofErr w:type="spellStart"/>
      <w:r w:rsidRPr="00654C9C">
        <w:rPr>
          <w:rFonts w:ascii="Times New Roman" w:eastAsia="Times New Roman" w:hAnsi="Times New Roman" w:cs="Times New Roman"/>
          <w:color w:val="222222"/>
          <w:shd w:val="clear" w:color="auto" w:fill="FFFFFF"/>
        </w:rPr>
        <w:t>Kloppen, K.,</w:t>
      </w:r>
      <w:proofErr w:type="spellEnd"/>
      <w:r w:rsidRPr="00654C9C">
        <w:rPr>
          <w:rFonts w:ascii="Times New Roman" w:eastAsia="Times New Roman" w:hAnsi="Times New Roman" w:cs="Times New Roman"/>
          <w:color w:val="222222"/>
          <w:shd w:val="clear" w:color="auto" w:fill="FFFFFF"/>
        </w:rPr>
        <w:t xml:space="preserve"> Haugland, S., </w:t>
      </w:r>
      <w:proofErr w:type="spellStart"/>
      <w:r w:rsidRPr="00654C9C">
        <w:rPr>
          <w:rFonts w:ascii="Times New Roman" w:eastAsia="Times New Roman" w:hAnsi="Times New Roman" w:cs="Times New Roman"/>
          <w:color w:val="222222"/>
          <w:shd w:val="clear" w:color="auto" w:fill="FFFFFF"/>
        </w:rPr>
        <w:t>Svedin</w:t>
      </w:r>
      <w:proofErr w:type="spellEnd"/>
      <w:r w:rsidRPr="00654C9C">
        <w:rPr>
          <w:rFonts w:ascii="Times New Roman" w:eastAsia="Times New Roman" w:hAnsi="Times New Roman" w:cs="Times New Roman"/>
          <w:color w:val="222222"/>
          <w:shd w:val="clear" w:color="auto" w:fill="FFFFFF"/>
        </w:rPr>
        <w:t xml:space="preserve">, C. G., </w:t>
      </w:r>
      <w:proofErr w:type="spellStart"/>
      <w:r w:rsidRPr="00654C9C">
        <w:rPr>
          <w:rFonts w:ascii="Times New Roman" w:eastAsia="Times New Roman" w:hAnsi="Times New Roman" w:cs="Times New Roman"/>
          <w:color w:val="222222"/>
          <w:shd w:val="clear" w:color="auto" w:fill="FFFFFF"/>
        </w:rPr>
        <w:t>Mæhle</w:t>
      </w:r>
      <w:proofErr w:type="spellEnd"/>
      <w:r w:rsidRPr="00654C9C">
        <w:rPr>
          <w:rFonts w:ascii="Times New Roman" w:eastAsia="Times New Roman" w:hAnsi="Times New Roman" w:cs="Times New Roman"/>
          <w:color w:val="222222"/>
          <w:shd w:val="clear" w:color="auto" w:fill="FFFFFF"/>
        </w:rPr>
        <w:t>, M., &amp; Breivik, K. (2016). Prevalence of child sexual abuse in the Nordic countries: a literature review. </w:t>
      </w:r>
      <w:r w:rsidRPr="00654C9C">
        <w:rPr>
          <w:rFonts w:ascii="Times New Roman" w:eastAsia="Times New Roman" w:hAnsi="Times New Roman" w:cs="Times New Roman"/>
          <w:i/>
          <w:iCs/>
          <w:color w:val="222222"/>
        </w:rPr>
        <w:t>Journal of child sexual abuse</w:t>
      </w:r>
      <w:r w:rsidRPr="00654C9C">
        <w:rPr>
          <w:rFonts w:ascii="Times New Roman" w:eastAsia="Times New Roman" w:hAnsi="Times New Roman" w:cs="Times New Roman"/>
          <w:color w:val="222222"/>
          <w:shd w:val="clear" w:color="auto" w:fill="FFFFFF"/>
        </w:rPr>
        <w:t>, </w:t>
      </w:r>
      <w:r w:rsidRPr="00654C9C">
        <w:rPr>
          <w:rFonts w:ascii="Times New Roman" w:eastAsia="Times New Roman" w:hAnsi="Times New Roman" w:cs="Times New Roman"/>
          <w:i/>
          <w:iCs/>
          <w:color w:val="222222"/>
        </w:rPr>
        <w:t>25</w:t>
      </w:r>
      <w:r w:rsidRPr="00654C9C">
        <w:rPr>
          <w:rFonts w:ascii="Times New Roman" w:eastAsia="Times New Roman" w:hAnsi="Times New Roman" w:cs="Times New Roman"/>
          <w:color w:val="222222"/>
          <w:shd w:val="clear" w:color="auto" w:fill="FFFFFF"/>
        </w:rPr>
        <w:t>(1), 37-55.</w:t>
      </w:r>
    </w:p>
    <w:p w14:paraId="6A7910BD" w14:textId="77777777" w:rsidR="00896736" w:rsidRDefault="00896736" w:rsidP="00654C9C">
      <w:pPr>
        <w:spacing w:line="360" w:lineRule="auto"/>
        <w:ind w:left="720" w:hanging="720"/>
        <w:rPr>
          <w:rFonts w:ascii="Times New Roman" w:eastAsia="Times New Roman" w:hAnsi="Times New Roman" w:cs="Times New Roman"/>
          <w:color w:val="222222"/>
          <w:shd w:val="clear" w:color="auto" w:fill="FFFFFF"/>
        </w:rPr>
      </w:pPr>
    </w:p>
    <w:p w14:paraId="747B1449" w14:textId="4184245C" w:rsidR="00E21276" w:rsidRDefault="00E21276" w:rsidP="00654C9C">
      <w:pPr>
        <w:spacing w:line="360" w:lineRule="auto"/>
        <w:ind w:left="720" w:hanging="720"/>
        <w:rPr>
          <w:rFonts w:ascii="Times New Roman" w:eastAsia="Times New Roman" w:hAnsi="Times New Roman" w:cs="Times New Roman"/>
          <w:color w:val="222222"/>
          <w:shd w:val="clear" w:color="auto" w:fill="FFFFFF"/>
        </w:rPr>
      </w:pPr>
      <w:proofErr w:type="spellStart"/>
      <w:r w:rsidRPr="00654C9C">
        <w:rPr>
          <w:rFonts w:ascii="Times New Roman" w:eastAsia="Times New Roman" w:hAnsi="Times New Roman" w:cs="Times New Roman"/>
          <w:color w:val="222222"/>
          <w:shd w:val="clear" w:color="auto" w:fill="FFFFFF"/>
        </w:rPr>
        <w:t>Krahé</w:t>
      </w:r>
      <w:proofErr w:type="spellEnd"/>
      <w:r w:rsidRPr="00654C9C">
        <w:rPr>
          <w:rFonts w:ascii="Times New Roman" w:eastAsia="Times New Roman" w:hAnsi="Times New Roman" w:cs="Times New Roman"/>
          <w:color w:val="222222"/>
          <w:shd w:val="clear" w:color="auto" w:fill="FFFFFF"/>
        </w:rPr>
        <w:t>, B., &amp; Berger, A. (2017). Gendered pathways from child sexual abuse to sexual aggression victimization and perpetration in adolescence and young adulthood. </w:t>
      </w:r>
      <w:r w:rsidRPr="00654C9C">
        <w:rPr>
          <w:rFonts w:ascii="Times New Roman" w:eastAsia="Times New Roman" w:hAnsi="Times New Roman" w:cs="Times New Roman"/>
          <w:i/>
          <w:iCs/>
          <w:color w:val="222222"/>
        </w:rPr>
        <w:t>Child Abuse &amp; Neglect</w:t>
      </w:r>
      <w:r w:rsidRPr="00654C9C">
        <w:rPr>
          <w:rFonts w:ascii="Times New Roman" w:eastAsia="Times New Roman" w:hAnsi="Times New Roman" w:cs="Times New Roman"/>
          <w:color w:val="222222"/>
          <w:shd w:val="clear" w:color="auto" w:fill="FFFFFF"/>
        </w:rPr>
        <w:t>, </w:t>
      </w:r>
      <w:r w:rsidRPr="00654C9C">
        <w:rPr>
          <w:rFonts w:ascii="Times New Roman" w:eastAsia="Times New Roman" w:hAnsi="Times New Roman" w:cs="Times New Roman"/>
          <w:i/>
          <w:iCs/>
          <w:color w:val="222222"/>
        </w:rPr>
        <w:t>63</w:t>
      </w:r>
      <w:r w:rsidRPr="00654C9C">
        <w:rPr>
          <w:rFonts w:ascii="Times New Roman" w:eastAsia="Times New Roman" w:hAnsi="Times New Roman" w:cs="Times New Roman"/>
          <w:color w:val="222222"/>
          <w:shd w:val="clear" w:color="auto" w:fill="FFFFFF"/>
        </w:rPr>
        <w:t>, 261-272.</w:t>
      </w:r>
    </w:p>
    <w:p w14:paraId="0573C760" w14:textId="77777777" w:rsidR="00896736" w:rsidRDefault="00896736" w:rsidP="00654C9C">
      <w:pPr>
        <w:spacing w:line="360" w:lineRule="auto"/>
        <w:ind w:left="720" w:hanging="720"/>
        <w:rPr>
          <w:rFonts w:ascii="Times New Roman" w:eastAsia="Times New Roman" w:hAnsi="Times New Roman" w:cs="Times New Roman"/>
          <w:color w:val="222222"/>
          <w:shd w:val="clear" w:color="auto" w:fill="FFFFFF"/>
        </w:rPr>
      </w:pPr>
    </w:p>
    <w:p w14:paraId="30C61AF3" w14:textId="45B45B35" w:rsidR="00E21276" w:rsidRDefault="00E21276" w:rsidP="00654C9C">
      <w:pPr>
        <w:spacing w:line="360" w:lineRule="auto"/>
        <w:ind w:left="720" w:hanging="720"/>
        <w:rPr>
          <w:rFonts w:ascii="Times New Roman" w:eastAsia="Times New Roman" w:hAnsi="Times New Roman" w:cs="Times New Roman"/>
          <w:color w:val="222222"/>
          <w:shd w:val="clear" w:color="auto" w:fill="FFFFFF"/>
        </w:rPr>
      </w:pPr>
      <w:r w:rsidRPr="00654C9C">
        <w:rPr>
          <w:rFonts w:ascii="Times New Roman" w:eastAsia="Times New Roman" w:hAnsi="Times New Roman" w:cs="Times New Roman"/>
          <w:color w:val="222222"/>
          <w:shd w:val="clear" w:color="auto" w:fill="FFFFFF"/>
        </w:rPr>
        <w:t>Mathews, B., &amp; Collin-</w:t>
      </w:r>
      <w:proofErr w:type="spellStart"/>
      <w:r w:rsidRPr="00654C9C">
        <w:rPr>
          <w:rFonts w:ascii="Times New Roman" w:eastAsia="Times New Roman" w:hAnsi="Times New Roman" w:cs="Times New Roman"/>
          <w:color w:val="222222"/>
          <w:shd w:val="clear" w:color="auto" w:fill="FFFFFF"/>
        </w:rPr>
        <w:t>Vézina</w:t>
      </w:r>
      <w:proofErr w:type="spellEnd"/>
      <w:r w:rsidRPr="00654C9C">
        <w:rPr>
          <w:rFonts w:ascii="Times New Roman" w:eastAsia="Times New Roman" w:hAnsi="Times New Roman" w:cs="Times New Roman"/>
          <w:color w:val="222222"/>
          <w:shd w:val="clear" w:color="auto" w:fill="FFFFFF"/>
        </w:rPr>
        <w:t>, D. (2019). Child sexual abuse: Toward a conceptual model and definition. </w:t>
      </w:r>
      <w:r w:rsidRPr="00654C9C">
        <w:rPr>
          <w:rFonts w:ascii="Times New Roman" w:eastAsia="Times New Roman" w:hAnsi="Times New Roman" w:cs="Times New Roman"/>
          <w:i/>
          <w:iCs/>
          <w:color w:val="222222"/>
        </w:rPr>
        <w:t>Trauma, Violence, &amp; Abuse</w:t>
      </w:r>
      <w:r w:rsidRPr="00654C9C">
        <w:rPr>
          <w:rFonts w:ascii="Times New Roman" w:eastAsia="Times New Roman" w:hAnsi="Times New Roman" w:cs="Times New Roman"/>
          <w:color w:val="222222"/>
          <w:shd w:val="clear" w:color="auto" w:fill="FFFFFF"/>
        </w:rPr>
        <w:t>, </w:t>
      </w:r>
      <w:r w:rsidRPr="00654C9C">
        <w:rPr>
          <w:rFonts w:ascii="Times New Roman" w:eastAsia="Times New Roman" w:hAnsi="Times New Roman" w:cs="Times New Roman"/>
          <w:i/>
          <w:iCs/>
          <w:color w:val="222222"/>
        </w:rPr>
        <w:t>20</w:t>
      </w:r>
      <w:r w:rsidRPr="00654C9C">
        <w:rPr>
          <w:rFonts w:ascii="Times New Roman" w:eastAsia="Times New Roman" w:hAnsi="Times New Roman" w:cs="Times New Roman"/>
          <w:color w:val="222222"/>
          <w:shd w:val="clear" w:color="auto" w:fill="FFFFFF"/>
        </w:rPr>
        <w:t>(2), 131-148.</w:t>
      </w:r>
    </w:p>
    <w:p w14:paraId="331BD5F9" w14:textId="77777777" w:rsidR="00896736" w:rsidRDefault="00896736" w:rsidP="00654C9C">
      <w:pPr>
        <w:spacing w:line="360" w:lineRule="auto"/>
        <w:ind w:left="720" w:hanging="720"/>
        <w:rPr>
          <w:rFonts w:ascii="Times New Roman" w:eastAsia="Times New Roman" w:hAnsi="Times New Roman" w:cs="Times New Roman"/>
          <w:color w:val="222222"/>
          <w:shd w:val="clear" w:color="auto" w:fill="FFFFFF"/>
        </w:rPr>
      </w:pPr>
    </w:p>
    <w:p w14:paraId="3B049B71" w14:textId="1CC36B3B" w:rsidR="00E21276" w:rsidRDefault="00E21276" w:rsidP="00B7343A">
      <w:pPr>
        <w:spacing w:line="36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Messman-Moore, T. L. &amp; Long, P. J. (2003). The role of childhood sexual abuse sequelae in the sexual revictimization of women: An empirical review and theoretical reformulation. Clinical Psychology Review, 23, 537-571. </w:t>
      </w:r>
      <w:hyperlink r:id="rId7" w:history="1">
        <w:r w:rsidR="00896736" w:rsidRPr="00B7343A">
          <w:rPr>
            <w:rStyle w:val="Hyperlink"/>
            <w:rFonts w:ascii="Times New Roman" w:eastAsia="Times New Roman" w:hAnsi="Times New Roman" w:cs="Times New Roman"/>
          </w:rPr>
          <w:t>http://dx.doi.org/10.1016/S0272-7358(02)00203-9</w:t>
        </w:r>
      </w:hyperlink>
    </w:p>
    <w:p w14:paraId="057DC1BC" w14:textId="77777777" w:rsidR="00896736" w:rsidRPr="00B7343A" w:rsidRDefault="00896736" w:rsidP="00B7343A">
      <w:pPr>
        <w:spacing w:line="360" w:lineRule="auto"/>
        <w:ind w:left="720" w:hanging="720"/>
        <w:rPr>
          <w:rFonts w:ascii="Times New Roman" w:eastAsia="Times New Roman" w:hAnsi="Times New Roman" w:cs="Times New Roman"/>
        </w:rPr>
      </w:pPr>
    </w:p>
    <w:p w14:paraId="3ACC1C9C" w14:textId="0FF57753" w:rsidR="00E21276" w:rsidRDefault="00E21276" w:rsidP="00B7343A">
      <w:pPr>
        <w:spacing w:line="360" w:lineRule="auto"/>
        <w:ind w:left="720" w:hanging="720"/>
        <w:rPr>
          <w:rFonts w:ascii="Times New Roman" w:eastAsia="Times New Roman" w:hAnsi="Times New Roman" w:cs="Times New Roman"/>
        </w:rPr>
      </w:pPr>
      <w:r>
        <w:rPr>
          <w:rFonts w:ascii="Times New Roman" w:hAnsi="Times New Roman" w:cs="Times New Roman"/>
        </w:rPr>
        <w:t xml:space="preserve">Morrison, D. M., Masters, N. T., Wells, E. A., Casey, E., </w:t>
      </w:r>
      <w:proofErr w:type="spellStart"/>
      <w:r>
        <w:rPr>
          <w:rFonts w:ascii="Times New Roman" w:hAnsi="Times New Roman" w:cs="Times New Roman"/>
        </w:rPr>
        <w:t>Beadnell</w:t>
      </w:r>
      <w:proofErr w:type="spellEnd"/>
      <w:r>
        <w:rPr>
          <w:rFonts w:ascii="Times New Roman" w:hAnsi="Times New Roman" w:cs="Times New Roman"/>
        </w:rPr>
        <w:t xml:space="preserve">, B. &amp; Hoppe, M. J. (2015). ‘He enjoys giving her pleasure’: Diversity and complexity in young men’s sexual scripts. </w:t>
      </w:r>
      <w:r>
        <w:rPr>
          <w:rFonts w:ascii="Times New Roman" w:hAnsi="Times New Roman" w:cs="Times New Roman"/>
          <w:i/>
          <w:iCs/>
        </w:rPr>
        <w:t>Archives of Sexual Behaviour, 44</w:t>
      </w:r>
      <w:r>
        <w:rPr>
          <w:rFonts w:ascii="Times New Roman" w:hAnsi="Times New Roman" w:cs="Times New Roman"/>
        </w:rPr>
        <w:t xml:space="preserve">, 655-668. </w:t>
      </w:r>
      <w:hyperlink r:id="rId8" w:history="1">
        <w:r w:rsidRPr="00B7343A">
          <w:rPr>
            <w:rStyle w:val="Hyperlink"/>
            <w:rFonts w:ascii="Times New Roman" w:eastAsia="Times New Roman" w:hAnsi="Times New Roman" w:cs="Times New Roman"/>
          </w:rPr>
          <w:t>http://dx.doi.org/10.1007/s10508-014-0354-7</w:t>
        </w:r>
      </w:hyperlink>
    </w:p>
    <w:p w14:paraId="56EF6A2A" w14:textId="77777777" w:rsidR="00896736" w:rsidRDefault="00896736" w:rsidP="00B7343A">
      <w:pPr>
        <w:spacing w:line="360" w:lineRule="auto"/>
        <w:ind w:left="720" w:hanging="720"/>
        <w:rPr>
          <w:rFonts w:ascii="Times New Roman" w:eastAsia="Times New Roman" w:hAnsi="Times New Roman" w:cs="Times New Roman"/>
        </w:rPr>
      </w:pPr>
    </w:p>
    <w:p w14:paraId="43726F5A" w14:textId="77777777" w:rsidR="00E21276" w:rsidRDefault="00E21276" w:rsidP="00654C9C">
      <w:pPr>
        <w:spacing w:line="360" w:lineRule="auto"/>
        <w:ind w:left="720" w:hanging="720"/>
        <w:rPr>
          <w:rFonts w:ascii="Times New Roman" w:eastAsia="Times New Roman" w:hAnsi="Times New Roman" w:cs="Times New Roman"/>
          <w:color w:val="222222"/>
          <w:shd w:val="clear" w:color="auto" w:fill="FFFFFF"/>
        </w:rPr>
      </w:pPr>
      <w:r w:rsidRPr="00654C9C">
        <w:rPr>
          <w:rFonts w:ascii="Times New Roman" w:eastAsia="Times New Roman" w:hAnsi="Times New Roman" w:cs="Times New Roman"/>
          <w:color w:val="222222"/>
          <w:shd w:val="clear" w:color="auto" w:fill="FFFFFF"/>
        </w:rPr>
        <w:lastRenderedPageBreak/>
        <w:t xml:space="preserve">Pereda, N., </w:t>
      </w:r>
      <w:proofErr w:type="spellStart"/>
      <w:r w:rsidRPr="00654C9C">
        <w:rPr>
          <w:rFonts w:ascii="Times New Roman" w:eastAsia="Times New Roman" w:hAnsi="Times New Roman" w:cs="Times New Roman"/>
          <w:color w:val="222222"/>
          <w:shd w:val="clear" w:color="auto" w:fill="FFFFFF"/>
        </w:rPr>
        <w:t>Guilera</w:t>
      </w:r>
      <w:proofErr w:type="spellEnd"/>
      <w:r w:rsidRPr="00654C9C">
        <w:rPr>
          <w:rFonts w:ascii="Times New Roman" w:eastAsia="Times New Roman" w:hAnsi="Times New Roman" w:cs="Times New Roman"/>
          <w:color w:val="222222"/>
          <w:shd w:val="clear" w:color="auto" w:fill="FFFFFF"/>
        </w:rPr>
        <w:t xml:space="preserve">, G., </w:t>
      </w:r>
      <w:proofErr w:type="spellStart"/>
      <w:r w:rsidRPr="00654C9C">
        <w:rPr>
          <w:rFonts w:ascii="Times New Roman" w:eastAsia="Times New Roman" w:hAnsi="Times New Roman" w:cs="Times New Roman"/>
          <w:color w:val="222222"/>
          <w:shd w:val="clear" w:color="auto" w:fill="FFFFFF"/>
        </w:rPr>
        <w:t>Forns</w:t>
      </w:r>
      <w:proofErr w:type="spellEnd"/>
      <w:r w:rsidRPr="00654C9C">
        <w:rPr>
          <w:rFonts w:ascii="Times New Roman" w:eastAsia="Times New Roman" w:hAnsi="Times New Roman" w:cs="Times New Roman"/>
          <w:color w:val="222222"/>
          <w:shd w:val="clear" w:color="auto" w:fill="FFFFFF"/>
        </w:rPr>
        <w:t>, M., &amp; Gómez-Benito, J. (2009). The prevalence of child sexual abuse in community and student samples: A meta-analysis. </w:t>
      </w:r>
      <w:r w:rsidRPr="00654C9C">
        <w:rPr>
          <w:rFonts w:ascii="Times New Roman" w:eastAsia="Times New Roman" w:hAnsi="Times New Roman" w:cs="Times New Roman"/>
          <w:i/>
          <w:iCs/>
          <w:color w:val="222222"/>
        </w:rPr>
        <w:t>Clinical psychology review</w:t>
      </w:r>
      <w:r w:rsidRPr="00654C9C">
        <w:rPr>
          <w:rFonts w:ascii="Times New Roman" w:eastAsia="Times New Roman" w:hAnsi="Times New Roman" w:cs="Times New Roman"/>
          <w:color w:val="222222"/>
          <w:shd w:val="clear" w:color="auto" w:fill="FFFFFF"/>
        </w:rPr>
        <w:t>, </w:t>
      </w:r>
      <w:r w:rsidRPr="00654C9C">
        <w:rPr>
          <w:rFonts w:ascii="Times New Roman" w:eastAsia="Times New Roman" w:hAnsi="Times New Roman" w:cs="Times New Roman"/>
          <w:i/>
          <w:iCs/>
          <w:color w:val="222222"/>
        </w:rPr>
        <w:t>29</w:t>
      </w:r>
      <w:r w:rsidRPr="00654C9C">
        <w:rPr>
          <w:rFonts w:ascii="Times New Roman" w:eastAsia="Times New Roman" w:hAnsi="Times New Roman" w:cs="Times New Roman"/>
          <w:color w:val="222222"/>
          <w:shd w:val="clear" w:color="auto" w:fill="FFFFFF"/>
        </w:rPr>
        <w:t>(4), 328-338.</w:t>
      </w:r>
    </w:p>
    <w:p w14:paraId="1826B201" w14:textId="77777777" w:rsidR="00E21276" w:rsidRPr="004A2A1B" w:rsidRDefault="00E21276" w:rsidP="004A2A1B">
      <w:pPr>
        <w:pStyle w:val="NormalWeb"/>
        <w:spacing w:line="360" w:lineRule="auto"/>
        <w:ind w:left="720" w:hanging="720"/>
      </w:pPr>
      <w:r w:rsidRPr="004A2A1B">
        <w:t xml:space="preserve">Pratt, T., Cullen, F.T., Sellers, C.S., Winfree, T.L., Jr., </w:t>
      </w:r>
      <w:proofErr w:type="spellStart"/>
      <w:r w:rsidRPr="004A2A1B">
        <w:t>Madensen</w:t>
      </w:r>
      <w:proofErr w:type="spellEnd"/>
      <w:r w:rsidRPr="004A2A1B">
        <w:t xml:space="preserve">, T.D., Daigle, L.E. (2010). The </w:t>
      </w:r>
      <w:r>
        <w:t>e</w:t>
      </w:r>
      <w:r w:rsidRPr="004A2A1B">
        <w:t xml:space="preserve">mpirical status of social learning theory: A meta‐analysis. </w:t>
      </w:r>
      <w:r w:rsidRPr="004A2A1B">
        <w:rPr>
          <w:i/>
          <w:iCs/>
        </w:rPr>
        <w:t>Justice Quarterly</w:t>
      </w:r>
      <w:r w:rsidRPr="004A2A1B">
        <w:t xml:space="preserve">, </w:t>
      </w:r>
      <w:r w:rsidRPr="004A2A1B">
        <w:rPr>
          <w:i/>
          <w:iCs/>
        </w:rPr>
        <w:t>27</w:t>
      </w:r>
      <w:r w:rsidRPr="004A2A1B">
        <w:t xml:space="preserve">, 765–802. </w:t>
      </w:r>
    </w:p>
    <w:p w14:paraId="1F878FD4" w14:textId="77777777" w:rsidR="00E21276" w:rsidRPr="00654C9C" w:rsidRDefault="00E21276" w:rsidP="00654C9C">
      <w:pPr>
        <w:pStyle w:val="NormalWeb"/>
        <w:spacing w:line="360" w:lineRule="auto"/>
        <w:ind w:left="720" w:hanging="720"/>
      </w:pPr>
      <w:r w:rsidRPr="00654C9C">
        <w:t xml:space="preserve">Putnam, F. W. (2003). Ten-year research update review: Child sexual abuse. Journal of the American Academy of Child &amp; Adolescent Psychiatry, 42, 269–278. doi:10.1097/00004583-200303000- 00006 </w:t>
      </w:r>
    </w:p>
    <w:p w14:paraId="2EA58C16" w14:textId="77777777" w:rsidR="00E21276" w:rsidRPr="00654C9C" w:rsidRDefault="00E21276" w:rsidP="00654C9C">
      <w:pPr>
        <w:pStyle w:val="NormalWeb"/>
        <w:spacing w:line="360" w:lineRule="auto"/>
        <w:ind w:left="720" w:hanging="720"/>
      </w:pPr>
      <w:r w:rsidRPr="00654C9C">
        <w:t xml:space="preserve">Ryan, G. (1989). Victim to victimizer: Rethinking victims treatment. Journal of Interpersonal Violence, 4, 325–341. doi:10.1177/ 088626089004003006 </w:t>
      </w:r>
    </w:p>
    <w:p w14:paraId="1FFBFA31" w14:textId="77777777" w:rsidR="00E21276" w:rsidRPr="00B7343A" w:rsidRDefault="00E21276" w:rsidP="00B7343A">
      <w:pPr>
        <w:spacing w:before="100" w:beforeAutospacing="1" w:after="100" w:afterAutospacing="1" w:line="360" w:lineRule="auto"/>
        <w:ind w:left="720" w:hanging="720"/>
        <w:rPr>
          <w:rFonts w:ascii="Times New Roman" w:eastAsia="Times New Roman" w:hAnsi="Times New Roman" w:cs="Times New Roman"/>
        </w:rPr>
      </w:pPr>
      <w:proofErr w:type="spellStart"/>
      <w:r w:rsidRPr="00B7343A">
        <w:rPr>
          <w:rFonts w:ascii="Times New Roman" w:eastAsia="Times New Roman" w:hAnsi="Times New Roman" w:cs="Times New Roman"/>
        </w:rPr>
        <w:t>Stoltenborgh</w:t>
      </w:r>
      <w:proofErr w:type="spellEnd"/>
      <w:r w:rsidRPr="00B7343A">
        <w:rPr>
          <w:rFonts w:ascii="Times New Roman" w:eastAsia="Times New Roman" w:hAnsi="Times New Roman" w:cs="Times New Roman"/>
        </w:rPr>
        <w:t xml:space="preserve">, M., van </w:t>
      </w:r>
      <w:proofErr w:type="spellStart"/>
      <w:r w:rsidRPr="00B7343A">
        <w:rPr>
          <w:rFonts w:ascii="Times New Roman" w:eastAsia="Times New Roman" w:hAnsi="Times New Roman" w:cs="Times New Roman"/>
        </w:rPr>
        <w:t>Ijzendoorn</w:t>
      </w:r>
      <w:proofErr w:type="spellEnd"/>
      <w:r w:rsidRPr="00B7343A">
        <w:rPr>
          <w:rFonts w:ascii="Times New Roman" w:eastAsia="Times New Roman" w:hAnsi="Times New Roman" w:cs="Times New Roman"/>
        </w:rPr>
        <w:t xml:space="preserve">, M., </w:t>
      </w:r>
      <w:proofErr w:type="spellStart"/>
      <w:r w:rsidRPr="00B7343A">
        <w:rPr>
          <w:rFonts w:ascii="Times New Roman" w:eastAsia="Times New Roman" w:hAnsi="Times New Roman" w:cs="Times New Roman"/>
        </w:rPr>
        <w:t>Euser</w:t>
      </w:r>
      <w:proofErr w:type="spellEnd"/>
      <w:r w:rsidRPr="00B7343A">
        <w:rPr>
          <w:rFonts w:ascii="Times New Roman" w:eastAsia="Times New Roman" w:hAnsi="Times New Roman" w:cs="Times New Roman"/>
        </w:rPr>
        <w:t xml:space="preserve">, E., &amp; </w:t>
      </w:r>
      <w:proofErr w:type="spellStart"/>
      <w:r w:rsidRPr="00B7343A">
        <w:rPr>
          <w:rFonts w:ascii="Times New Roman" w:eastAsia="Times New Roman" w:hAnsi="Times New Roman" w:cs="Times New Roman"/>
        </w:rPr>
        <w:t>Bakermans-Kranenburg</w:t>
      </w:r>
      <w:proofErr w:type="spellEnd"/>
      <w:r w:rsidRPr="00B7343A">
        <w:rPr>
          <w:rFonts w:ascii="Times New Roman" w:eastAsia="Times New Roman" w:hAnsi="Times New Roman" w:cs="Times New Roman"/>
        </w:rPr>
        <w:t>, M. (2011). A global perspective on child sexual abuse: Meta-analysis of prevalence around the world. Child Maltreat-</w:t>
      </w:r>
      <w:proofErr w:type="spellStart"/>
      <w:r w:rsidRPr="00B7343A">
        <w:rPr>
          <w:rFonts w:ascii="Times New Roman" w:eastAsia="Times New Roman" w:hAnsi="Times New Roman" w:cs="Times New Roman"/>
        </w:rPr>
        <w:t>ment</w:t>
      </w:r>
      <w:proofErr w:type="spellEnd"/>
      <w:r w:rsidRPr="00B7343A">
        <w:rPr>
          <w:rFonts w:ascii="Times New Roman" w:eastAsia="Times New Roman" w:hAnsi="Times New Roman" w:cs="Times New Roman"/>
        </w:rPr>
        <w:t>, 16, 79–101. doi:10.1177/1077559511403920</w:t>
      </w:r>
    </w:p>
    <w:p w14:paraId="20B9E73F" w14:textId="39C8C43F" w:rsidR="00E21276" w:rsidRDefault="00E21276" w:rsidP="004A2A1B">
      <w:pPr>
        <w:pStyle w:val="NormalWeb"/>
      </w:pPr>
      <w:r w:rsidRPr="004A2A1B">
        <w:t xml:space="preserve">Sutherland, E.H. (1947). </w:t>
      </w:r>
      <w:r w:rsidRPr="004A2A1B">
        <w:rPr>
          <w:i/>
          <w:iCs/>
        </w:rPr>
        <w:t>Principles of Criminology</w:t>
      </w:r>
      <w:r w:rsidRPr="004A2A1B">
        <w:t xml:space="preserve">. 4th edition. Philadelphia: J.B. Lippincott. </w:t>
      </w:r>
    </w:p>
    <w:p w14:paraId="661D6972" w14:textId="77777777" w:rsidR="00896736" w:rsidRPr="004A2A1B" w:rsidRDefault="00896736" w:rsidP="004A2A1B">
      <w:pPr>
        <w:pStyle w:val="NormalWeb"/>
      </w:pPr>
    </w:p>
    <w:p w14:paraId="16E90D44" w14:textId="2DF01833" w:rsidR="00E21276" w:rsidRDefault="00E21276" w:rsidP="00B7343A">
      <w:pPr>
        <w:spacing w:line="360" w:lineRule="auto"/>
        <w:ind w:left="720" w:hanging="720"/>
        <w:rPr>
          <w:rFonts w:ascii="Times New Roman" w:eastAsia="Times New Roman" w:hAnsi="Times New Roman" w:cs="Times New Roman"/>
        </w:rPr>
      </w:pPr>
      <w:r>
        <w:rPr>
          <w:rFonts w:ascii="Times New Roman" w:hAnsi="Times New Roman" w:cs="Times New Roman"/>
        </w:rPr>
        <w:t xml:space="preserve">Ullman, S. E. &amp; </w:t>
      </w:r>
      <w:proofErr w:type="spellStart"/>
      <w:r>
        <w:rPr>
          <w:rFonts w:ascii="Times New Roman" w:hAnsi="Times New Roman" w:cs="Times New Roman"/>
        </w:rPr>
        <w:t>Filipas</w:t>
      </w:r>
      <w:proofErr w:type="spellEnd"/>
      <w:r>
        <w:rPr>
          <w:rFonts w:ascii="Times New Roman" w:hAnsi="Times New Roman" w:cs="Times New Roman"/>
        </w:rPr>
        <w:t xml:space="preserve">, H. H. (2005). Gendered differences in social reactions to abuse disclosures, post-abuse coping, and PTSD of child sexual abuse survivors. </w:t>
      </w:r>
      <w:r>
        <w:rPr>
          <w:rFonts w:ascii="Times New Roman" w:hAnsi="Times New Roman" w:cs="Times New Roman"/>
          <w:i/>
          <w:iCs/>
        </w:rPr>
        <w:t>Child Abuse &amp; Neglect, 29</w:t>
      </w:r>
      <w:r>
        <w:rPr>
          <w:rFonts w:ascii="Times New Roman" w:hAnsi="Times New Roman" w:cs="Times New Roman"/>
        </w:rPr>
        <w:t xml:space="preserve">, 767-782. </w:t>
      </w:r>
      <w:hyperlink r:id="rId9" w:history="1">
        <w:r w:rsidRPr="00B7343A">
          <w:rPr>
            <w:rStyle w:val="Hyperlink"/>
            <w:rFonts w:ascii="Times New Roman" w:eastAsia="Times New Roman" w:hAnsi="Times New Roman" w:cs="Times New Roman"/>
          </w:rPr>
          <w:t>http://dx.doi.org/10.1016/j.chiabu.2005.01.005</w:t>
        </w:r>
      </w:hyperlink>
    </w:p>
    <w:p w14:paraId="6EDD1911" w14:textId="33179863" w:rsidR="00757F15" w:rsidRDefault="00757F15" w:rsidP="00B7343A">
      <w:pPr>
        <w:spacing w:line="360" w:lineRule="auto"/>
        <w:ind w:left="720" w:hanging="720"/>
        <w:rPr>
          <w:rFonts w:ascii="Times New Roman" w:eastAsia="Times New Roman" w:hAnsi="Times New Roman" w:cs="Times New Roman"/>
        </w:rPr>
      </w:pPr>
    </w:p>
    <w:p w14:paraId="2B3DE781" w14:textId="4C347B24" w:rsidR="00757F15" w:rsidRPr="00757F15" w:rsidRDefault="00757F15" w:rsidP="00B7343A">
      <w:pPr>
        <w:spacing w:line="360" w:lineRule="auto"/>
        <w:ind w:left="720" w:hanging="720"/>
        <w:rPr>
          <w:rFonts w:ascii="Times New Roman" w:eastAsia="Times New Roman" w:hAnsi="Times New Roman" w:cs="Times New Roman"/>
        </w:rPr>
      </w:pPr>
      <w:r>
        <w:rPr>
          <w:rFonts w:ascii="Times New Roman" w:eastAsia="Times New Roman" w:hAnsi="Times New Roman" w:cs="Times New Roman"/>
        </w:rPr>
        <w:t xml:space="preserve">Victorian Police. (2014). </w:t>
      </w:r>
      <w:r>
        <w:rPr>
          <w:rFonts w:ascii="Times New Roman" w:eastAsia="Times New Roman" w:hAnsi="Times New Roman" w:cs="Times New Roman"/>
          <w:i/>
          <w:iCs/>
        </w:rPr>
        <w:t xml:space="preserve">Crime statistics 2013/2014. </w:t>
      </w:r>
      <w:proofErr w:type="spellStart"/>
      <w:r>
        <w:rPr>
          <w:rFonts w:ascii="Times New Roman" w:eastAsia="Times New Roman" w:hAnsi="Times New Roman" w:cs="Times New Roman"/>
        </w:rPr>
        <w:t>Melborne</w:t>
      </w:r>
      <w:proofErr w:type="spellEnd"/>
      <w:r>
        <w:rPr>
          <w:rFonts w:ascii="Times New Roman" w:eastAsia="Times New Roman" w:hAnsi="Times New Roman" w:cs="Times New Roman"/>
        </w:rPr>
        <w:t xml:space="preserve">, Australia: The Crime Statistics Agency. Retrieved from </w:t>
      </w:r>
      <w:hyperlink r:id="rId10" w:history="1">
        <w:r w:rsidRPr="00C32958">
          <w:rPr>
            <w:rStyle w:val="Hyperlink"/>
            <w:rFonts w:ascii="Times New Roman" w:eastAsia="Times New Roman" w:hAnsi="Times New Roman" w:cs="Times New Roman"/>
          </w:rPr>
          <w:t>https://www.police.vic.gov.au/content.asp?Document_ID=782</w:t>
        </w:r>
      </w:hyperlink>
      <w:r>
        <w:rPr>
          <w:rFonts w:ascii="Times New Roman" w:eastAsia="Times New Roman" w:hAnsi="Times New Roman" w:cs="Times New Roman"/>
        </w:rPr>
        <w:t xml:space="preserve"> </w:t>
      </w:r>
    </w:p>
    <w:p w14:paraId="05AEB815" w14:textId="77777777" w:rsidR="00E21276" w:rsidRPr="00B7343A" w:rsidRDefault="00E21276" w:rsidP="00B7343A">
      <w:pPr>
        <w:pStyle w:val="NormalWeb"/>
        <w:spacing w:line="360" w:lineRule="auto"/>
        <w:ind w:left="720" w:hanging="720"/>
      </w:pPr>
      <w:proofErr w:type="gramStart"/>
      <w:r w:rsidRPr="00B7343A">
        <w:t>WHO.</w:t>
      </w:r>
      <w:proofErr w:type="gramEnd"/>
      <w:r w:rsidRPr="00B7343A">
        <w:t xml:space="preserve"> (1999). Report of the consultation on child abuse prevention. Geneva, Switzerland: Author. http://apps.who.int/iris/handle/10665/65900 </w:t>
      </w:r>
    </w:p>
    <w:p w14:paraId="1AD8B0F5" w14:textId="77777777" w:rsidR="00E21276" w:rsidRPr="00B7343A" w:rsidRDefault="00E21276" w:rsidP="00B7343A">
      <w:pPr>
        <w:pStyle w:val="NormalWeb"/>
        <w:spacing w:line="360" w:lineRule="auto"/>
        <w:ind w:left="720" w:hanging="720"/>
      </w:pPr>
      <w:r w:rsidRPr="00B7343A">
        <w:t xml:space="preserve">World Health Organization and International Society for Prevention of Child Abuse and Neglect. (2006). Preventing child maltreat- </w:t>
      </w:r>
      <w:proofErr w:type="spellStart"/>
      <w:r w:rsidRPr="00B7343A">
        <w:t>ment</w:t>
      </w:r>
      <w:proofErr w:type="spellEnd"/>
      <w:r w:rsidRPr="00B7343A">
        <w:t xml:space="preserve">: A guide to taking action and </w:t>
      </w:r>
      <w:r w:rsidRPr="00B7343A">
        <w:lastRenderedPageBreak/>
        <w:t xml:space="preserve">generating evidence. Geneva, Switzerland: WHO. http:// www.who.int/violence_injury_prevention/publications/violence/ </w:t>
      </w:r>
      <w:proofErr w:type="spellStart"/>
      <w:r w:rsidRPr="00B7343A">
        <w:t>child_maltreatment</w:t>
      </w:r>
      <w:proofErr w:type="spellEnd"/>
      <w:r w:rsidRPr="00B7343A">
        <w:t xml:space="preserve">/ </w:t>
      </w:r>
    </w:p>
    <w:p w14:paraId="21D84F26" w14:textId="77777777" w:rsidR="00654C9C" w:rsidRPr="00654C9C" w:rsidRDefault="00654C9C" w:rsidP="00654C9C">
      <w:pPr>
        <w:spacing w:line="360" w:lineRule="auto"/>
        <w:ind w:left="720" w:hanging="720"/>
        <w:rPr>
          <w:rFonts w:ascii="Times New Roman" w:eastAsia="Times New Roman" w:hAnsi="Times New Roman" w:cs="Times New Roman"/>
        </w:rPr>
      </w:pPr>
    </w:p>
    <w:p w14:paraId="74C07E89" w14:textId="77777777" w:rsidR="00654C9C" w:rsidRDefault="00654C9C" w:rsidP="00654C9C">
      <w:pPr>
        <w:pStyle w:val="NormalWeb"/>
      </w:pPr>
    </w:p>
    <w:p w14:paraId="0AA851E7" w14:textId="77777777" w:rsidR="004A2A1B" w:rsidRPr="004A2A1B" w:rsidRDefault="004A2A1B" w:rsidP="004A2A1B">
      <w:pPr>
        <w:pStyle w:val="NormalWeb"/>
        <w:spacing w:line="360" w:lineRule="auto"/>
        <w:ind w:left="720" w:hanging="720"/>
      </w:pPr>
    </w:p>
    <w:p w14:paraId="4EBB2E75" w14:textId="77777777" w:rsidR="00B7343A" w:rsidRDefault="00B7343A" w:rsidP="00B7343A">
      <w:pPr>
        <w:spacing w:line="360" w:lineRule="auto"/>
        <w:ind w:left="720" w:hanging="720"/>
        <w:rPr>
          <w:rFonts w:ascii="Times New Roman" w:eastAsia="Times New Roman" w:hAnsi="Times New Roman" w:cs="Times New Roman"/>
        </w:rPr>
      </w:pPr>
    </w:p>
    <w:p w14:paraId="305E65CA" w14:textId="77777777" w:rsidR="00B7343A" w:rsidRPr="00B7343A" w:rsidRDefault="00B7343A" w:rsidP="00B7343A">
      <w:pPr>
        <w:spacing w:line="360" w:lineRule="auto"/>
        <w:ind w:left="720" w:hanging="720"/>
        <w:rPr>
          <w:rFonts w:ascii="Times New Roman" w:hAnsi="Times New Roman" w:cs="Times New Roman"/>
        </w:rPr>
      </w:pPr>
    </w:p>
    <w:sectPr w:rsidR="00B7343A" w:rsidRPr="00B7343A" w:rsidSect="00C33C8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0A193A"/>
    <w:multiLevelType w:val="hybridMultilevel"/>
    <w:tmpl w:val="77629056"/>
    <w:lvl w:ilvl="0" w:tplc="7B222908">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C3E"/>
    <w:rsid w:val="0002469E"/>
    <w:rsid w:val="000D0E1B"/>
    <w:rsid w:val="00143F75"/>
    <w:rsid w:val="00155D85"/>
    <w:rsid w:val="001A09EC"/>
    <w:rsid w:val="001D287E"/>
    <w:rsid w:val="00205FEC"/>
    <w:rsid w:val="00267EF3"/>
    <w:rsid w:val="002D4D4C"/>
    <w:rsid w:val="003455C5"/>
    <w:rsid w:val="00384583"/>
    <w:rsid w:val="003C4DF8"/>
    <w:rsid w:val="00413E25"/>
    <w:rsid w:val="004421E0"/>
    <w:rsid w:val="004A2A1B"/>
    <w:rsid w:val="004B7EE8"/>
    <w:rsid w:val="004F7207"/>
    <w:rsid w:val="00501EF3"/>
    <w:rsid w:val="00546079"/>
    <w:rsid w:val="00570286"/>
    <w:rsid w:val="00654C9C"/>
    <w:rsid w:val="00691ECB"/>
    <w:rsid w:val="006C7102"/>
    <w:rsid w:val="006D1AD2"/>
    <w:rsid w:val="006F1CAD"/>
    <w:rsid w:val="007074DF"/>
    <w:rsid w:val="00725322"/>
    <w:rsid w:val="00757F15"/>
    <w:rsid w:val="00796821"/>
    <w:rsid w:val="008113AE"/>
    <w:rsid w:val="00896736"/>
    <w:rsid w:val="008B21AF"/>
    <w:rsid w:val="008C2F9D"/>
    <w:rsid w:val="00913570"/>
    <w:rsid w:val="009B6B9A"/>
    <w:rsid w:val="00A20BC0"/>
    <w:rsid w:val="00AA762C"/>
    <w:rsid w:val="00AB74D3"/>
    <w:rsid w:val="00B16E19"/>
    <w:rsid w:val="00B6566B"/>
    <w:rsid w:val="00B7343A"/>
    <w:rsid w:val="00B735BB"/>
    <w:rsid w:val="00B834CC"/>
    <w:rsid w:val="00BB3F2A"/>
    <w:rsid w:val="00BC7AF2"/>
    <w:rsid w:val="00BE36BE"/>
    <w:rsid w:val="00C12CE9"/>
    <w:rsid w:val="00C33C81"/>
    <w:rsid w:val="00C62F73"/>
    <w:rsid w:val="00D038FE"/>
    <w:rsid w:val="00D26C3E"/>
    <w:rsid w:val="00D30279"/>
    <w:rsid w:val="00D51216"/>
    <w:rsid w:val="00D652D9"/>
    <w:rsid w:val="00DC10BE"/>
    <w:rsid w:val="00E21276"/>
    <w:rsid w:val="00E73E12"/>
    <w:rsid w:val="00F14D7F"/>
    <w:rsid w:val="00F4134A"/>
    <w:rsid w:val="00F76B16"/>
    <w:rsid w:val="00FA2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0DF0C"/>
  <w14:defaultImageDpi w14:val="32767"/>
  <w15:chartTrackingRefBased/>
  <w15:docId w15:val="{F03DBC56-D3DC-304E-A757-E91AC7F5D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B6B9A"/>
  </w:style>
  <w:style w:type="paragraph" w:styleId="ListParagraph">
    <w:name w:val="List Paragraph"/>
    <w:basedOn w:val="Normal"/>
    <w:uiPriority w:val="34"/>
    <w:qFormat/>
    <w:rsid w:val="00205FEC"/>
    <w:pPr>
      <w:ind w:left="720"/>
      <w:contextualSpacing/>
    </w:pPr>
  </w:style>
  <w:style w:type="paragraph" w:styleId="NormalWeb">
    <w:name w:val="Normal (Web)"/>
    <w:basedOn w:val="Normal"/>
    <w:uiPriority w:val="99"/>
    <w:semiHidden/>
    <w:unhideWhenUsed/>
    <w:rsid w:val="00B7343A"/>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B7343A"/>
    <w:rPr>
      <w:color w:val="0563C1" w:themeColor="hyperlink"/>
      <w:u w:val="single"/>
    </w:rPr>
  </w:style>
  <w:style w:type="character" w:styleId="UnresolvedMention">
    <w:name w:val="Unresolved Mention"/>
    <w:basedOn w:val="DefaultParagraphFont"/>
    <w:uiPriority w:val="99"/>
    <w:rsid w:val="00B734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65716">
      <w:bodyDiv w:val="1"/>
      <w:marLeft w:val="0"/>
      <w:marRight w:val="0"/>
      <w:marTop w:val="0"/>
      <w:marBottom w:val="0"/>
      <w:divBdr>
        <w:top w:val="none" w:sz="0" w:space="0" w:color="auto"/>
        <w:left w:val="none" w:sz="0" w:space="0" w:color="auto"/>
        <w:bottom w:val="none" w:sz="0" w:space="0" w:color="auto"/>
        <w:right w:val="none" w:sz="0" w:space="0" w:color="auto"/>
      </w:divBdr>
    </w:div>
    <w:div w:id="111556724">
      <w:bodyDiv w:val="1"/>
      <w:marLeft w:val="0"/>
      <w:marRight w:val="0"/>
      <w:marTop w:val="0"/>
      <w:marBottom w:val="0"/>
      <w:divBdr>
        <w:top w:val="none" w:sz="0" w:space="0" w:color="auto"/>
        <w:left w:val="none" w:sz="0" w:space="0" w:color="auto"/>
        <w:bottom w:val="none" w:sz="0" w:space="0" w:color="auto"/>
        <w:right w:val="none" w:sz="0" w:space="0" w:color="auto"/>
      </w:divBdr>
      <w:divsChild>
        <w:div w:id="518784724">
          <w:marLeft w:val="0"/>
          <w:marRight w:val="0"/>
          <w:marTop w:val="0"/>
          <w:marBottom w:val="0"/>
          <w:divBdr>
            <w:top w:val="none" w:sz="0" w:space="0" w:color="auto"/>
            <w:left w:val="none" w:sz="0" w:space="0" w:color="auto"/>
            <w:bottom w:val="none" w:sz="0" w:space="0" w:color="auto"/>
            <w:right w:val="none" w:sz="0" w:space="0" w:color="auto"/>
          </w:divBdr>
          <w:divsChild>
            <w:div w:id="1810051410">
              <w:marLeft w:val="0"/>
              <w:marRight w:val="0"/>
              <w:marTop w:val="0"/>
              <w:marBottom w:val="0"/>
              <w:divBdr>
                <w:top w:val="none" w:sz="0" w:space="0" w:color="auto"/>
                <w:left w:val="none" w:sz="0" w:space="0" w:color="auto"/>
                <w:bottom w:val="none" w:sz="0" w:space="0" w:color="auto"/>
                <w:right w:val="none" w:sz="0" w:space="0" w:color="auto"/>
              </w:divBdr>
              <w:divsChild>
                <w:div w:id="82011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47661">
      <w:bodyDiv w:val="1"/>
      <w:marLeft w:val="0"/>
      <w:marRight w:val="0"/>
      <w:marTop w:val="0"/>
      <w:marBottom w:val="0"/>
      <w:divBdr>
        <w:top w:val="none" w:sz="0" w:space="0" w:color="auto"/>
        <w:left w:val="none" w:sz="0" w:space="0" w:color="auto"/>
        <w:bottom w:val="none" w:sz="0" w:space="0" w:color="auto"/>
        <w:right w:val="none" w:sz="0" w:space="0" w:color="auto"/>
      </w:divBdr>
      <w:divsChild>
        <w:div w:id="1285887538">
          <w:marLeft w:val="0"/>
          <w:marRight w:val="0"/>
          <w:marTop w:val="0"/>
          <w:marBottom w:val="0"/>
          <w:divBdr>
            <w:top w:val="none" w:sz="0" w:space="0" w:color="auto"/>
            <w:left w:val="none" w:sz="0" w:space="0" w:color="auto"/>
            <w:bottom w:val="none" w:sz="0" w:space="0" w:color="auto"/>
            <w:right w:val="none" w:sz="0" w:space="0" w:color="auto"/>
          </w:divBdr>
          <w:divsChild>
            <w:div w:id="696153882">
              <w:marLeft w:val="0"/>
              <w:marRight w:val="0"/>
              <w:marTop w:val="0"/>
              <w:marBottom w:val="0"/>
              <w:divBdr>
                <w:top w:val="none" w:sz="0" w:space="0" w:color="auto"/>
                <w:left w:val="none" w:sz="0" w:space="0" w:color="auto"/>
                <w:bottom w:val="none" w:sz="0" w:space="0" w:color="auto"/>
                <w:right w:val="none" w:sz="0" w:space="0" w:color="auto"/>
              </w:divBdr>
              <w:divsChild>
                <w:div w:id="1535534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39457">
      <w:bodyDiv w:val="1"/>
      <w:marLeft w:val="0"/>
      <w:marRight w:val="0"/>
      <w:marTop w:val="0"/>
      <w:marBottom w:val="0"/>
      <w:divBdr>
        <w:top w:val="none" w:sz="0" w:space="0" w:color="auto"/>
        <w:left w:val="none" w:sz="0" w:space="0" w:color="auto"/>
        <w:bottom w:val="none" w:sz="0" w:space="0" w:color="auto"/>
        <w:right w:val="none" w:sz="0" w:space="0" w:color="auto"/>
      </w:divBdr>
      <w:divsChild>
        <w:div w:id="382680966">
          <w:marLeft w:val="0"/>
          <w:marRight w:val="0"/>
          <w:marTop w:val="0"/>
          <w:marBottom w:val="0"/>
          <w:divBdr>
            <w:top w:val="none" w:sz="0" w:space="0" w:color="auto"/>
            <w:left w:val="none" w:sz="0" w:space="0" w:color="auto"/>
            <w:bottom w:val="none" w:sz="0" w:space="0" w:color="auto"/>
            <w:right w:val="none" w:sz="0" w:space="0" w:color="auto"/>
          </w:divBdr>
          <w:divsChild>
            <w:div w:id="1649627145">
              <w:marLeft w:val="0"/>
              <w:marRight w:val="0"/>
              <w:marTop w:val="0"/>
              <w:marBottom w:val="0"/>
              <w:divBdr>
                <w:top w:val="none" w:sz="0" w:space="0" w:color="auto"/>
                <w:left w:val="none" w:sz="0" w:space="0" w:color="auto"/>
                <w:bottom w:val="none" w:sz="0" w:space="0" w:color="auto"/>
                <w:right w:val="none" w:sz="0" w:space="0" w:color="auto"/>
              </w:divBdr>
              <w:divsChild>
                <w:div w:id="1687365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302592">
      <w:bodyDiv w:val="1"/>
      <w:marLeft w:val="0"/>
      <w:marRight w:val="0"/>
      <w:marTop w:val="0"/>
      <w:marBottom w:val="0"/>
      <w:divBdr>
        <w:top w:val="none" w:sz="0" w:space="0" w:color="auto"/>
        <w:left w:val="none" w:sz="0" w:space="0" w:color="auto"/>
        <w:bottom w:val="none" w:sz="0" w:space="0" w:color="auto"/>
        <w:right w:val="none" w:sz="0" w:space="0" w:color="auto"/>
      </w:divBdr>
    </w:div>
    <w:div w:id="297222522">
      <w:bodyDiv w:val="1"/>
      <w:marLeft w:val="0"/>
      <w:marRight w:val="0"/>
      <w:marTop w:val="0"/>
      <w:marBottom w:val="0"/>
      <w:divBdr>
        <w:top w:val="none" w:sz="0" w:space="0" w:color="auto"/>
        <w:left w:val="none" w:sz="0" w:space="0" w:color="auto"/>
        <w:bottom w:val="none" w:sz="0" w:space="0" w:color="auto"/>
        <w:right w:val="none" w:sz="0" w:space="0" w:color="auto"/>
      </w:divBdr>
      <w:divsChild>
        <w:div w:id="720905846">
          <w:marLeft w:val="0"/>
          <w:marRight w:val="0"/>
          <w:marTop w:val="0"/>
          <w:marBottom w:val="0"/>
          <w:divBdr>
            <w:top w:val="none" w:sz="0" w:space="0" w:color="auto"/>
            <w:left w:val="none" w:sz="0" w:space="0" w:color="auto"/>
            <w:bottom w:val="none" w:sz="0" w:space="0" w:color="auto"/>
            <w:right w:val="none" w:sz="0" w:space="0" w:color="auto"/>
          </w:divBdr>
          <w:divsChild>
            <w:div w:id="1304039640">
              <w:marLeft w:val="0"/>
              <w:marRight w:val="0"/>
              <w:marTop w:val="0"/>
              <w:marBottom w:val="0"/>
              <w:divBdr>
                <w:top w:val="none" w:sz="0" w:space="0" w:color="auto"/>
                <w:left w:val="none" w:sz="0" w:space="0" w:color="auto"/>
                <w:bottom w:val="none" w:sz="0" w:space="0" w:color="auto"/>
                <w:right w:val="none" w:sz="0" w:space="0" w:color="auto"/>
              </w:divBdr>
              <w:divsChild>
                <w:div w:id="136501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405808">
      <w:bodyDiv w:val="1"/>
      <w:marLeft w:val="0"/>
      <w:marRight w:val="0"/>
      <w:marTop w:val="0"/>
      <w:marBottom w:val="0"/>
      <w:divBdr>
        <w:top w:val="none" w:sz="0" w:space="0" w:color="auto"/>
        <w:left w:val="none" w:sz="0" w:space="0" w:color="auto"/>
        <w:bottom w:val="none" w:sz="0" w:space="0" w:color="auto"/>
        <w:right w:val="none" w:sz="0" w:space="0" w:color="auto"/>
      </w:divBdr>
      <w:divsChild>
        <w:div w:id="1005590043">
          <w:marLeft w:val="0"/>
          <w:marRight w:val="0"/>
          <w:marTop w:val="0"/>
          <w:marBottom w:val="0"/>
          <w:divBdr>
            <w:top w:val="none" w:sz="0" w:space="0" w:color="auto"/>
            <w:left w:val="none" w:sz="0" w:space="0" w:color="auto"/>
            <w:bottom w:val="none" w:sz="0" w:space="0" w:color="auto"/>
            <w:right w:val="none" w:sz="0" w:space="0" w:color="auto"/>
          </w:divBdr>
          <w:divsChild>
            <w:div w:id="823815731">
              <w:marLeft w:val="0"/>
              <w:marRight w:val="0"/>
              <w:marTop w:val="0"/>
              <w:marBottom w:val="0"/>
              <w:divBdr>
                <w:top w:val="none" w:sz="0" w:space="0" w:color="auto"/>
                <w:left w:val="none" w:sz="0" w:space="0" w:color="auto"/>
                <w:bottom w:val="none" w:sz="0" w:space="0" w:color="auto"/>
                <w:right w:val="none" w:sz="0" w:space="0" w:color="auto"/>
              </w:divBdr>
              <w:divsChild>
                <w:div w:id="190412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639882">
      <w:bodyDiv w:val="1"/>
      <w:marLeft w:val="0"/>
      <w:marRight w:val="0"/>
      <w:marTop w:val="0"/>
      <w:marBottom w:val="0"/>
      <w:divBdr>
        <w:top w:val="none" w:sz="0" w:space="0" w:color="auto"/>
        <w:left w:val="none" w:sz="0" w:space="0" w:color="auto"/>
        <w:bottom w:val="none" w:sz="0" w:space="0" w:color="auto"/>
        <w:right w:val="none" w:sz="0" w:space="0" w:color="auto"/>
      </w:divBdr>
      <w:divsChild>
        <w:div w:id="1896351218">
          <w:marLeft w:val="0"/>
          <w:marRight w:val="0"/>
          <w:marTop w:val="0"/>
          <w:marBottom w:val="0"/>
          <w:divBdr>
            <w:top w:val="none" w:sz="0" w:space="0" w:color="auto"/>
            <w:left w:val="none" w:sz="0" w:space="0" w:color="auto"/>
            <w:bottom w:val="none" w:sz="0" w:space="0" w:color="auto"/>
            <w:right w:val="none" w:sz="0" w:space="0" w:color="auto"/>
          </w:divBdr>
          <w:divsChild>
            <w:div w:id="1004279339">
              <w:marLeft w:val="0"/>
              <w:marRight w:val="0"/>
              <w:marTop w:val="0"/>
              <w:marBottom w:val="0"/>
              <w:divBdr>
                <w:top w:val="none" w:sz="0" w:space="0" w:color="auto"/>
                <w:left w:val="none" w:sz="0" w:space="0" w:color="auto"/>
                <w:bottom w:val="none" w:sz="0" w:space="0" w:color="auto"/>
                <w:right w:val="none" w:sz="0" w:space="0" w:color="auto"/>
              </w:divBdr>
              <w:divsChild>
                <w:div w:id="38368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454268">
      <w:bodyDiv w:val="1"/>
      <w:marLeft w:val="0"/>
      <w:marRight w:val="0"/>
      <w:marTop w:val="0"/>
      <w:marBottom w:val="0"/>
      <w:divBdr>
        <w:top w:val="none" w:sz="0" w:space="0" w:color="auto"/>
        <w:left w:val="none" w:sz="0" w:space="0" w:color="auto"/>
        <w:bottom w:val="none" w:sz="0" w:space="0" w:color="auto"/>
        <w:right w:val="none" w:sz="0" w:space="0" w:color="auto"/>
      </w:divBdr>
    </w:div>
    <w:div w:id="553196646">
      <w:bodyDiv w:val="1"/>
      <w:marLeft w:val="0"/>
      <w:marRight w:val="0"/>
      <w:marTop w:val="0"/>
      <w:marBottom w:val="0"/>
      <w:divBdr>
        <w:top w:val="none" w:sz="0" w:space="0" w:color="auto"/>
        <w:left w:val="none" w:sz="0" w:space="0" w:color="auto"/>
        <w:bottom w:val="none" w:sz="0" w:space="0" w:color="auto"/>
        <w:right w:val="none" w:sz="0" w:space="0" w:color="auto"/>
      </w:divBdr>
    </w:div>
    <w:div w:id="635448479">
      <w:bodyDiv w:val="1"/>
      <w:marLeft w:val="0"/>
      <w:marRight w:val="0"/>
      <w:marTop w:val="0"/>
      <w:marBottom w:val="0"/>
      <w:divBdr>
        <w:top w:val="none" w:sz="0" w:space="0" w:color="auto"/>
        <w:left w:val="none" w:sz="0" w:space="0" w:color="auto"/>
        <w:bottom w:val="none" w:sz="0" w:space="0" w:color="auto"/>
        <w:right w:val="none" w:sz="0" w:space="0" w:color="auto"/>
      </w:divBdr>
      <w:divsChild>
        <w:div w:id="1669095932">
          <w:marLeft w:val="0"/>
          <w:marRight w:val="0"/>
          <w:marTop w:val="0"/>
          <w:marBottom w:val="0"/>
          <w:divBdr>
            <w:top w:val="none" w:sz="0" w:space="0" w:color="auto"/>
            <w:left w:val="none" w:sz="0" w:space="0" w:color="auto"/>
            <w:bottom w:val="none" w:sz="0" w:space="0" w:color="auto"/>
            <w:right w:val="none" w:sz="0" w:space="0" w:color="auto"/>
          </w:divBdr>
          <w:divsChild>
            <w:div w:id="2038240737">
              <w:marLeft w:val="0"/>
              <w:marRight w:val="0"/>
              <w:marTop w:val="0"/>
              <w:marBottom w:val="0"/>
              <w:divBdr>
                <w:top w:val="none" w:sz="0" w:space="0" w:color="auto"/>
                <w:left w:val="none" w:sz="0" w:space="0" w:color="auto"/>
                <w:bottom w:val="none" w:sz="0" w:space="0" w:color="auto"/>
                <w:right w:val="none" w:sz="0" w:space="0" w:color="auto"/>
              </w:divBdr>
              <w:divsChild>
                <w:div w:id="113410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298571">
      <w:bodyDiv w:val="1"/>
      <w:marLeft w:val="0"/>
      <w:marRight w:val="0"/>
      <w:marTop w:val="0"/>
      <w:marBottom w:val="0"/>
      <w:divBdr>
        <w:top w:val="none" w:sz="0" w:space="0" w:color="auto"/>
        <w:left w:val="none" w:sz="0" w:space="0" w:color="auto"/>
        <w:bottom w:val="none" w:sz="0" w:space="0" w:color="auto"/>
        <w:right w:val="none" w:sz="0" w:space="0" w:color="auto"/>
      </w:divBdr>
      <w:divsChild>
        <w:div w:id="379864096">
          <w:marLeft w:val="0"/>
          <w:marRight w:val="0"/>
          <w:marTop w:val="0"/>
          <w:marBottom w:val="0"/>
          <w:divBdr>
            <w:top w:val="none" w:sz="0" w:space="0" w:color="auto"/>
            <w:left w:val="none" w:sz="0" w:space="0" w:color="auto"/>
            <w:bottom w:val="none" w:sz="0" w:space="0" w:color="auto"/>
            <w:right w:val="none" w:sz="0" w:space="0" w:color="auto"/>
          </w:divBdr>
          <w:divsChild>
            <w:div w:id="925967256">
              <w:marLeft w:val="0"/>
              <w:marRight w:val="0"/>
              <w:marTop w:val="0"/>
              <w:marBottom w:val="0"/>
              <w:divBdr>
                <w:top w:val="none" w:sz="0" w:space="0" w:color="auto"/>
                <w:left w:val="none" w:sz="0" w:space="0" w:color="auto"/>
                <w:bottom w:val="none" w:sz="0" w:space="0" w:color="auto"/>
                <w:right w:val="none" w:sz="0" w:space="0" w:color="auto"/>
              </w:divBdr>
              <w:divsChild>
                <w:div w:id="190671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900021">
      <w:bodyDiv w:val="1"/>
      <w:marLeft w:val="0"/>
      <w:marRight w:val="0"/>
      <w:marTop w:val="0"/>
      <w:marBottom w:val="0"/>
      <w:divBdr>
        <w:top w:val="none" w:sz="0" w:space="0" w:color="auto"/>
        <w:left w:val="none" w:sz="0" w:space="0" w:color="auto"/>
        <w:bottom w:val="none" w:sz="0" w:space="0" w:color="auto"/>
        <w:right w:val="none" w:sz="0" w:space="0" w:color="auto"/>
      </w:divBdr>
      <w:divsChild>
        <w:div w:id="557329142">
          <w:marLeft w:val="0"/>
          <w:marRight w:val="0"/>
          <w:marTop w:val="0"/>
          <w:marBottom w:val="0"/>
          <w:divBdr>
            <w:top w:val="none" w:sz="0" w:space="0" w:color="auto"/>
            <w:left w:val="none" w:sz="0" w:space="0" w:color="auto"/>
            <w:bottom w:val="none" w:sz="0" w:space="0" w:color="auto"/>
            <w:right w:val="none" w:sz="0" w:space="0" w:color="auto"/>
          </w:divBdr>
          <w:divsChild>
            <w:div w:id="2076736601">
              <w:marLeft w:val="0"/>
              <w:marRight w:val="0"/>
              <w:marTop w:val="0"/>
              <w:marBottom w:val="0"/>
              <w:divBdr>
                <w:top w:val="none" w:sz="0" w:space="0" w:color="auto"/>
                <w:left w:val="none" w:sz="0" w:space="0" w:color="auto"/>
                <w:bottom w:val="none" w:sz="0" w:space="0" w:color="auto"/>
                <w:right w:val="none" w:sz="0" w:space="0" w:color="auto"/>
              </w:divBdr>
              <w:divsChild>
                <w:div w:id="156726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543457">
      <w:bodyDiv w:val="1"/>
      <w:marLeft w:val="0"/>
      <w:marRight w:val="0"/>
      <w:marTop w:val="0"/>
      <w:marBottom w:val="0"/>
      <w:divBdr>
        <w:top w:val="none" w:sz="0" w:space="0" w:color="auto"/>
        <w:left w:val="none" w:sz="0" w:space="0" w:color="auto"/>
        <w:bottom w:val="none" w:sz="0" w:space="0" w:color="auto"/>
        <w:right w:val="none" w:sz="0" w:space="0" w:color="auto"/>
      </w:divBdr>
      <w:divsChild>
        <w:div w:id="1992753260">
          <w:marLeft w:val="0"/>
          <w:marRight w:val="0"/>
          <w:marTop w:val="0"/>
          <w:marBottom w:val="0"/>
          <w:divBdr>
            <w:top w:val="none" w:sz="0" w:space="0" w:color="auto"/>
            <w:left w:val="none" w:sz="0" w:space="0" w:color="auto"/>
            <w:bottom w:val="none" w:sz="0" w:space="0" w:color="auto"/>
            <w:right w:val="none" w:sz="0" w:space="0" w:color="auto"/>
          </w:divBdr>
          <w:divsChild>
            <w:div w:id="2026595148">
              <w:marLeft w:val="0"/>
              <w:marRight w:val="0"/>
              <w:marTop w:val="0"/>
              <w:marBottom w:val="0"/>
              <w:divBdr>
                <w:top w:val="none" w:sz="0" w:space="0" w:color="auto"/>
                <w:left w:val="none" w:sz="0" w:space="0" w:color="auto"/>
                <w:bottom w:val="none" w:sz="0" w:space="0" w:color="auto"/>
                <w:right w:val="none" w:sz="0" w:space="0" w:color="auto"/>
              </w:divBdr>
              <w:divsChild>
                <w:div w:id="127232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163349">
      <w:bodyDiv w:val="1"/>
      <w:marLeft w:val="0"/>
      <w:marRight w:val="0"/>
      <w:marTop w:val="0"/>
      <w:marBottom w:val="0"/>
      <w:divBdr>
        <w:top w:val="none" w:sz="0" w:space="0" w:color="auto"/>
        <w:left w:val="none" w:sz="0" w:space="0" w:color="auto"/>
        <w:bottom w:val="none" w:sz="0" w:space="0" w:color="auto"/>
        <w:right w:val="none" w:sz="0" w:space="0" w:color="auto"/>
      </w:divBdr>
      <w:divsChild>
        <w:div w:id="1732194908">
          <w:marLeft w:val="0"/>
          <w:marRight w:val="0"/>
          <w:marTop w:val="0"/>
          <w:marBottom w:val="0"/>
          <w:divBdr>
            <w:top w:val="none" w:sz="0" w:space="0" w:color="auto"/>
            <w:left w:val="none" w:sz="0" w:space="0" w:color="auto"/>
            <w:bottom w:val="none" w:sz="0" w:space="0" w:color="auto"/>
            <w:right w:val="none" w:sz="0" w:space="0" w:color="auto"/>
          </w:divBdr>
          <w:divsChild>
            <w:div w:id="335814340">
              <w:marLeft w:val="0"/>
              <w:marRight w:val="0"/>
              <w:marTop w:val="0"/>
              <w:marBottom w:val="0"/>
              <w:divBdr>
                <w:top w:val="none" w:sz="0" w:space="0" w:color="auto"/>
                <w:left w:val="none" w:sz="0" w:space="0" w:color="auto"/>
                <w:bottom w:val="none" w:sz="0" w:space="0" w:color="auto"/>
                <w:right w:val="none" w:sz="0" w:space="0" w:color="auto"/>
              </w:divBdr>
              <w:divsChild>
                <w:div w:id="1684476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62612">
          <w:marLeft w:val="0"/>
          <w:marRight w:val="0"/>
          <w:marTop w:val="0"/>
          <w:marBottom w:val="0"/>
          <w:divBdr>
            <w:top w:val="none" w:sz="0" w:space="0" w:color="auto"/>
            <w:left w:val="none" w:sz="0" w:space="0" w:color="auto"/>
            <w:bottom w:val="none" w:sz="0" w:space="0" w:color="auto"/>
            <w:right w:val="none" w:sz="0" w:space="0" w:color="auto"/>
          </w:divBdr>
          <w:divsChild>
            <w:div w:id="668480454">
              <w:marLeft w:val="0"/>
              <w:marRight w:val="0"/>
              <w:marTop w:val="0"/>
              <w:marBottom w:val="0"/>
              <w:divBdr>
                <w:top w:val="none" w:sz="0" w:space="0" w:color="auto"/>
                <w:left w:val="none" w:sz="0" w:space="0" w:color="auto"/>
                <w:bottom w:val="none" w:sz="0" w:space="0" w:color="auto"/>
                <w:right w:val="none" w:sz="0" w:space="0" w:color="auto"/>
              </w:divBdr>
              <w:divsChild>
                <w:div w:id="183449189">
                  <w:marLeft w:val="0"/>
                  <w:marRight w:val="0"/>
                  <w:marTop w:val="0"/>
                  <w:marBottom w:val="0"/>
                  <w:divBdr>
                    <w:top w:val="none" w:sz="0" w:space="0" w:color="auto"/>
                    <w:left w:val="none" w:sz="0" w:space="0" w:color="auto"/>
                    <w:bottom w:val="none" w:sz="0" w:space="0" w:color="auto"/>
                    <w:right w:val="none" w:sz="0" w:space="0" w:color="auto"/>
                  </w:divBdr>
                </w:div>
                <w:div w:id="1405029264">
                  <w:marLeft w:val="0"/>
                  <w:marRight w:val="0"/>
                  <w:marTop w:val="0"/>
                  <w:marBottom w:val="0"/>
                  <w:divBdr>
                    <w:top w:val="none" w:sz="0" w:space="0" w:color="auto"/>
                    <w:left w:val="none" w:sz="0" w:space="0" w:color="auto"/>
                    <w:bottom w:val="none" w:sz="0" w:space="0" w:color="auto"/>
                    <w:right w:val="none" w:sz="0" w:space="0" w:color="auto"/>
                  </w:divBdr>
                </w:div>
              </w:divsChild>
            </w:div>
            <w:div w:id="1564020870">
              <w:marLeft w:val="0"/>
              <w:marRight w:val="0"/>
              <w:marTop w:val="0"/>
              <w:marBottom w:val="0"/>
              <w:divBdr>
                <w:top w:val="none" w:sz="0" w:space="0" w:color="auto"/>
                <w:left w:val="none" w:sz="0" w:space="0" w:color="auto"/>
                <w:bottom w:val="none" w:sz="0" w:space="0" w:color="auto"/>
                <w:right w:val="none" w:sz="0" w:space="0" w:color="auto"/>
              </w:divBdr>
              <w:divsChild>
                <w:div w:id="154167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428811">
      <w:bodyDiv w:val="1"/>
      <w:marLeft w:val="0"/>
      <w:marRight w:val="0"/>
      <w:marTop w:val="0"/>
      <w:marBottom w:val="0"/>
      <w:divBdr>
        <w:top w:val="none" w:sz="0" w:space="0" w:color="auto"/>
        <w:left w:val="none" w:sz="0" w:space="0" w:color="auto"/>
        <w:bottom w:val="none" w:sz="0" w:space="0" w:color="auto"/>
        <w:right w:val="none" w:sz="0" w:space="0" w:color="auto"/>
      </w:divBdr>
      <w:divsChild>
        <w:div w:id="993874208">
          <w:marLeft w:val="0"/>
          <w:marRight w:val="0"/>
          <w:marTop w:val="0"/>
          <w:marBottom w:val="0"/>
          <w:divBdr>
            <w:top w:val="none" w:sz="0" w:space="0" w:color="auto"/>
            <w:left w:val="none" w:sz="0" w:space="0" w:color="auto"/>
            <w:bottom w:val="none" w:sz="0" w:space="0" w:color="auto"/>
            <w:right w:val="none" w:sz="0" w:space="0" w:color="auto"/>
          </w:divBdr>
          <w:divsChild>
            <w:div w:id="1408454159">
              <w:marLeft w:val="0"/>
              <w:marRight w:val="0"/>
              <w:marTop w:val="0"/>
              <w:marBottom w:val="0"/>
              <w:divBdr>
                <w:top w:val="none" w:sz="0" w:space="0" w:color="auto"/>
                <w:left w:val="none" w:sz="0" w:space="0" w:color="auto"/>
                <w:bottom w:val="none" w:sz="0" w:space="0" w:color="auto"/>
                <w:right w:val="none" w:sz="0" w:space="0" w:color="auto"/>
              </w:divBdr>
              <w:divsChild>
                <w:div w:id="9437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595786">
      <w:bodyDiv w:val="1"/>
      <w:marLeft w:val="0"/>
      <w:marRight w:val="0"/>
      <w:marTop w:val="0"/>
      <w:marBottom w:val="0"/>
      <w:divBdr>
        <w:top w:val="none" w:sz="0" w:space="0" w:color="auto"/>
        <w:left w:val="none" w:sz="0" w:space="0" w:color="auto"/>
        <w:bottom w:val="none" w:sz="0" w:space="0" w:color="auto"/>
        <w:right w:val="none" w:sz="0" w:space="0" w:color="auto"/>
      </w:divBdr>
    </w:div>
    <w:div w:id="1261723245">
      <w:bodyDiv w:val="1"/>
      <w:marLeft w:val="0"/>
      <w:marRight w:val="0"/>
      <w:marTop w:val="0"/>
      <w:marBottom w:val="0"/>
      <w:divBdr>
        <w:top w:val="none" w:sz="0" w:space="0" w:color="auto"/>
        <w:left w:val="none" w:sz="0" w:space="0" w:color="auto"/>
        <w:bottom w:val="none" w:sz="0" w:space="0" w:color="auto"/>
        <w:right w:val="none" w:sz="0" w:space="0" w:color="auto"/>
      </w:divBdr>
    </w:div>
    <w:div w:id="1370643503">
      <w:bodyDiv w:val="1"/>
      <w:marLeft w:val="0"/>
      <w:marRight w:val="0"/>
      <w:marTop w:val="0"/>
      <w:marBottom w:val="0"/>
      <w:divBdr>
        <w:top w:val="none" w:sz="0" w:space="0" w:color="auto"/>
        <w:left w:val="none" w:sz="0" w:space="0" w:color="auto"/>
        <w:bottom w:val="none" w:sz="0" w:space="0" w:color="auto"/>
        <w:right w:val="none" w:sz="0" w:space="0" w:color="auto"/>
      </w:divBdr>
      <w:divsChild>
        <w:div w:id="1503668616">
          <w:marLeft w:val="0"/>
          <w:marRight w:val="0"/>
          <w:marTop w:val="0"/>
          <w:marBottom w:val="0"/>
          <w:divBdr>
            <w:top w:val="none" w:sz="0" w:space="0" w:color="auto"/>
            <w:left w:val="none" w:sz="0" w:space="0" w:color="auto"/>
            <w:bottom w:val="none" w:sz="0" w:space="0" w:color="auto"/>
            <w:right w:val="none" w:sz="0" w:space="0" w:color="auto"/>
          </w:divBdr>
          <w:divsChild>
            <w:div w:id="2015379723">
              <w:marLeft w:val="0"/>
              <w:marRight w:val="0"/>
              <w:marTop w:val="0"/>
              <w:marBottom w:val="0"/>
              <w:divBdr>
                <w:top w:val="none" w:sz="0" w:space="0" w:color="auto"/>
                <w:left w:val="none" w:sz="0" w:space="0" w:color="auto"/>
                <w:bottom w:val="none" w:sz="0" w:space="0" w:color="auto"/>
                <w:right w:val="none" w:sz="0" w:space="0" w:color="auto"/>
              </w:divBdr>
              <w:divsChild>
                <w:div w:id="1656185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895678">
      <w:bodyDiv w:val="1"/>
      <w:marLeft w:val="0"/>
      <w:marRight w:val="0"/>
      <w:marTop w:val="0"/>
      <w:marBottom w:val="0"/>
      <w:divBdr>
        <w:top w:val="none" w:sz="0" w:space="0" w:color="auto"/>
        <w:left w:val="none" w:sz="0" w:space="0" w:color="auto"/>
        <w:bottom w:val="none" w:sz="0" w:space="0" w:color="auto"/>
        <w:right w:val="none" w:sz="0" w:space="0" w:color="auto"/>
      </w:divBdr>
      <w:divsChild>
        <w:div w:id="1018193833">
          <w:marLeft w:val="0"/>
          <w:marRight w:val="0"/>
          <w:marTop w:val="0"/>
          <w:marBottom w:val="0"/>
          <w:divBdr>
            <w:top w:val="none" w:sz="0" w:space="0" w:color="auto"/>
            <w:left w:val="none" w:sz="0" w:space="0" w:color="auto"/>
            <w:bottom w:val="none" w:sz="0" w:space="0" w:color="auto"/>
            <w:right w:val="none" w:sz="0" w:space="0" w:color="auto"/>
          </w:divBdr>
          <w:divsChild>
            <w:div w:id="901139957">
              <w:marLeft w:val="0"/>
              <w:marRight w:val="0"/>
              <w:marTop w:val="0"/>
              <w:marBottom w:val="0"/>
              <w:divBdr>
                <w:top w:val="none" w:sz="0" w:space="0" w:color="auto"/>
                <w:left w:val="none" w:sz="0" w:space="0" w:color="auto"/>
                <w:bottom w:val="none" w:sz="0" w:space="0" w:color="auto"/>
                <w:right w:val="none" w:sz="0" w:space="0" w:color="auto"/>
              </w:divBdr>
              <w:divsChild>
                <w:div w:id="169210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481733">
      <w:bodyDiv w:val="1"/>
      <w:marLeft w:val="0"/>
      <w:marRight w:val="0"/>
      <w:marTop w:val="0"/>
      <w:marBottom w:val="0"/>
      <w:divBdr>
        <w:top w:val="none" w:sz="0" w:space="0" w:color="auto"/>
        <w:left w:val="none" w:sz="0" w:space="0" w:color="auto"/>
        <w:bottom w:val="none" w:sz="0" w:space="0" w:color="auto"/>
        <w:right w:val="none" w:sz="0" w:space="0" w:color="auto"/>
      </w:divBdr>
      <w:divsChild>
        <w:div w:id="243955806">
          <w:marLeft w:val="0"/>
          <w:marRight w:val="0"/>
          <w:marTop w:val="0"/>
          <w:marBottom w:val="0"/>
          <w:divBdr>
            <w:top w:val="none" w:sz="0" w:space="0" w:color="auto"/>
            <w:left w:val="none" w:sz="0" w:space="0" w:color="auto"/>
            <w:bottom w:val="none" w:sz="0" w:space="0" w:color="auto"/>
            <w:right w:val="none" w:sz="0" w:space="0" w:color="auto"/>
          </w:divBdr>
          <w:divsChild>
            <w:div w:id="1876232239">
              <w:marLeft w:val="0"/>
              <w:marRight w:val="0"/>
              <w:marTop w:val="0"/>
              <w:marBottom w:val="0"/>
              <w:divBdr>
                <w:top w:val="none" w:sz="0" w:space="0" w:color="auto"/>
                <w:left w:val="none" w:sz="0" w:space="0" w:color="auto"/>
                <w:bottom w:val="none" w:sz="0" w:space="0" w:color="auto"/>
                <w:right w:val="none" w:sz="0" w:space="0" w:color="auto"/>
              </w:divBdr>
              <w:divsChild>
                <w:div w:id="1427339182">
                  <w:marLeft w:val="0"/>
                  <w:marRight w:val="0"/>
                  <w:marTop w:val="0"/>
                  <w:marBottom w:val="0"/>
                  <w:divBdr>
                    <w:top w:val="none" w:sz="0" w:space="0" w:color="auto"/>
                    <w:left w:val="none" w:sz="0" w:space="0" w:color="auto"/>
                    <w:bottom w:val="none" w:sz="0" w:space="0" w:color="auto"/>
                    <w:right w:val="none" w:sz="0" w:space="0" w:color="auto"/>
                  </w:divBdr>
                  <w:divsChild>
                    <w:div w:id="1077165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975380">
      <w:bodyDiv w:val="1"/>
      <w:marLeft w:val="0"/>
      <w:marRight w:val="0"/>
      <w:marTop w:val="0"/>
      <w:marBottom w:val="0"/>
      <w:divBdr>
        <w:top w:val="none" w:sz="0" w:space="0" w:color="auto"/>
        <w:left w:val="none" w:sz="0" w:space="0" w:color="auto"/>
        <w:bottom w:val="none" w:sz="0" w:space="0" w:color="auto"/>
        <w:right w:val="none" w:sz="0" w:space="0" w:color="auto"/>
      </w:divBdr>
    </w:div>
    <w:div w:id="1580674201">
      <w:bodyDiv w:val="1"/>
      <w:marLeft w:val="0"/>
      <w:marRight w:val="0"/>
      <w:marTop w:val="0"/>
      <w:marBottom w:val="0"/>
      <w:divBdr>
        <w:top w:val="none" w:sz="0" w:space="0" w:color="auto"/>
        <w:left w:val="none" w:sz="0" w:space="0" w:color="auto"/>
        <w:bottom w:val="none" w:sz="0" w:space="0" w:color="auto"/>
        <w:right w:val="none" w:sz="0" w:space="0" w:color="auto"/>
      </w:divBdr>
    </w:div>
    <w:div w:id="1709332931">
      <w:bodyDiv w:val="1"/>
      <w:marLeft w:val="0"/>
      <w:marRight w:val="0"/>
      <w:marTop w:val="0"/>
      <w:marBottom w:val="0"/>
      <w:divBdr>
        <w:top w:val="none" w:sz="0" w:space="0" w:color="auto"/>
        <w:left w:val="none" w:sz="0" w:space="0" w:color="auto"/>
        <w:bottom w:val="none" w:sz="0" w:space="0" w:color="auto"/>
        <w:right w:val="none" w:sz="0" w:space="0" w:color="auto"/>
      </w:divBdr>
    </w:div>
    <w:div w:id="1745688563">
      <w:bodyDiv w:val="1"/>
      <w:marLeft w:val="0"/>
      <w:marRight w:val="0"/>
      <w:marTop w:val="0"/>
      <w:marBottom w:val="0"/>
      <w:divBdr>
        <w:top w:val="none" w:sz="0" w:space="0" w:color="auto"/>
        <w:left w:val="none" w:sz="0" w:space="0" w:color="auto"/>
        <w:bottom w:val="none" w:sz="0" w:space="0" w:color="auto"/>
        <w:right w:val="none" w:sz="0" w:space="0" w:color="auto"/>
      </w:divBdr>
      <w:divsChild>
        <w:div w:id="378239020">
          <w:marLeft w:val="0"/>
          <w:marRight w:val="0"/>
          <w:marTop w:val="0"/>
          <w:marBottom w:val="0"/>
          <w:divBdr>
            <w:top w:val="none" w:sz="0" w:space="0" w:color="auto"/>
            <w:left w:val="none" w:sz="0" w:space="0" w:color="auto"/>
            <w:bottom w:val="none" w:sz="0" w:space="0" w:color="auto"/>
            <w:right w:val="none" w:sz="0" w:space="0" w:color="auto"/>
          </w:divBdr>
          <w:divsChild>
            <w:div w:id="30495390">
              <w:marLeft w:val="0"/>
              <w:marRight w:val="0"/>
              <w:marTop w:val="0"/>
              <w:marBottom w:val="0"/>
              <w:divBdr>
                <w:top w:val="none" w:sz="0" w:space="0" w:color="auto"/>
                <w:left w:val="none" w:sz="0" w:space="0" w:color="auto"/>
                <w:bottom w:val="none" w:sz="0" w:space="0" w:color="auto"/>
                <w:right w:val="none" w:sz="0" w:space="0" w:color="auto"/>
              </w:divBdr>
              <w:divsChild>
                <w:div w:id="163953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945481">
      <w:bodyDiv w:val="1"/>
      <w:marLeft w:val="0"/>
      <w:marRight w:val="0"/>
      <w:marTop w:val="0"/>
      <w:marBottom w:val="0"/>
      <w:divBdr>
        <w:top w:val="none" w:sz="0" w:space="0" w:color="auto"/>
        <w:left w:val="none" w:sz="0" w:space="0" w:color="auto"/>
        <w:bottom w:val="none" w:sz="0" w:space="0" w:color="auto"/>
        <w:right w:val="none" w:sz="0" w:space="0" w:color="auto"/>
      </w:divBdr>
    </w:div>
    <w:div w:id="1895504784">
      <w:bodyDiv w:val="1"/>
      <w:marLeft w:val="0"/>
      <w:marRight w:val="0"/>
      <w:marTop w:val="0"/>
      <w:marBottom w:val="0"/>
      <w:divBdr>
        <w:top w:val="none" w:sz="0" w:space="0" w:color="auto"/>
        <w:left w:val="none" w:sz="0" w:space="0" w:color="auto"/>
        <w:bottom w:val="none" w:sz="0" w:space="0" w:color="auto"/>
        <w:right w:val="none" w:sz="0" w:space="0" w:color="auto"/>
      </w:divBdr>
    </w:div>
    <w:div w:id="2004158981">
      <w:bodyDiv w:val="1"/>
      <w:marLeft w:val="0"/>
      <w:marRight w:val="0"/>
      <w:marTop w:val="0"/>
      <w:marBottom w:val="0"/>
      <w:divBdr>
        <w:top w:val="none" w:sz="0" w:space="0" w:color="auto"/>
        <w:left w:val="none" w:sz="0" w:space="0" w:color="auto"/>
        <w:bottom w:val="none" w:sz="0" w:space="0" w:color="auto"/>
        <w:right w:val="none" w:sz="0" w:space="0" w:color="auto"/>
      </w:divBdr>
    </w:div>
    <w:div w:id="2008362372">
      <w:bodyDiv w:val="1"/>
      <w:marLeft w:val="0"/>
      <w:marRight w:val="0"/>
      <w:marTop w:val="0"/>
      <w:marBottom w:val="0"/>
      <w:divBdr>
        <w:top w:val="none" w:sz="0" w:space="0" w:color="auto"/>
        <w:left w:val="none" w:sz="0" w:space="0" w:color="auto"/>
        <w:bottom w:val="none" w:sz="0" w:space="0" w:color="auto"/>
        <w:right w:val="none" w:sz="0" w:space="0" w:color="auto"/>
      </w:divBdr>
    </w:div>
    <w:div w:id="2076004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07/s10508-014-0354-7" TargetMode="External"/><Relationship Id="rId3" Type="http://schemas.openxmlformats.org/officeDocument/2006/relationships/settings" Target="settings.xml"/><Relationship Id="rId7" Type="http://schemas.openxmlformats.org/officeDocument/2006/relationships/hyperlink" Target="http://dx.doi.org/10.1016/S0272-7358(02)00203-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dx.doi.org/10.1080/00224499.2012.700739" TargetMode="External"/><Relationship Id="rId11" Type="http://schemas.openxmlformats.org/officeDocument/2006/relationships/fontTable" Target="fontTable.xml"/><Relationship Id="rId5" Type="http://schemas.openxmlformats.org/officeDocument/2006/relationships/hyperlink" Target="https://aifs.gov.au/cfca/publications/child-abuse-and-neglect-statistics" TargetMode="External"/><Relationship Id="rId10" Type="http://schemas.openxmlformats.org/officeDocument/2006/relationships/hyperlink" Target="https://www.police.vic.gov.au/content.asp?Document_ID=782" TargetMode="External"/><Relationship Id="rId4" Type="http://schemas.openxmlformats.org/officeDocument/2006/relationships/webSettings" Target="webSettings.xml"/><Relationship Id="rId9" Type="http://schemas.openxmlformats.org/officeDocument/2006/relationships/hyperlink" Target="http://dx.doi.org/10.1016/j.chiabu.2005.01.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736</TotalTime>
  <Pages>10</Pages>
  <Words>3410</Words>
  <Characters>19437</Characters>
  <Application>Microsoft Office Word</Application>
  <DocSecurity>0</DocSecurity>
  <Lines>161</Lines>
  <Paragraphs>45</Paragraphs>
  <ScaleCrop>false</ScaleCrop>
  <Company/>
  <LinksUpToDate>false</LinksUpToDate>
  <CharactersWithSpaces>22802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Axon (1300113)</dc:creator>
  <cp:keywords/>
  <dc:description/>
  <cp:lastModifiedBy>Chelsea Axon (1300113)</cp:lastModifiedBy>
  <cp:revision>77</cp:revision>
  <dcterms:created xsi:type="dcterms:W3CDTF">2019-11-04T16:28:00Z</dcterms:created>
  <dcterms:modified xsi:type="dcterms:W3CDTF">2019-11-15T17:40:00Z</dcterms:modified>
</cp:coreProperties>
</file>