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7B7F7A" w14:textId="56EE1DBB" w:rsidR="0029366F" w:rsidRPr="005A3DC1" w:rsidRDefault="00C472BF" w:rsidP="00C472BF">
      <w:pPr>
        <w:tabs>
          <w:tab w:val="left" w:pos="2038"/>
          <w:tab w:val="left" w:pos="2856"/>
          <w:tab w:val="left" w:pos="5394"/>
        </w:tabs>
        <w:spacing w:line="360" w:lineRule="auto"/>
        <w:rPr>
          <w:rFonts w:cstheme="minorHAnsi"/>
          <w:u w:val="single"/>
        </w:rPr>
      </w:pPr>
      <w:r w:rsidRPr="005A3DC1">
        <w:rPr>
          <w:rFonts w:cstheme="minorHAnsi"/>
          <w:u w:val="single"/>
        </w:rPr>
        <w:t>References</w:t>
      </w:r>
      <w:r w:rsidR="00E96BB8" w:rsidRPr="005A3DC1">
        <w:rPr>
          <w:rFonts w:cstheme="minorHAnsi"/>
          <w:u w:val="single"/>
        </w:rPr>
        <w:t xml:space="preserve"> </w:t>
      </w:r>
      <w:r w:rsidRPr="005A3DC1">
        <w:rPr>
          <w:rFonts w:cstheme="minorHAnsi"/>
          <w:u w:val="single"/>
        </w:rPr>
        <w:t xml:space="preserve">– Part A </w:t>
      </w:r>
    </w:p>
    <w:p w14:paraId="0F63B5F6" w14:textId="77777777" w:rsidR="0029366F" w:rsidRPr="005A3DC1" w:rsidRDefault="0029366F" w:rsidP="00C472BF">
      <w:pPr>
        <w:tabs>
          <w:tab w:val="left" w:pos="2038"/>
          <w:tab w:val="left" w:pos="2856"/>
          <w:tab w:val="left" w:pos="5394"/>
        </w:tabs>
        <w:spacing w:line="360" w:lineRule="auto"/>
        <w:rPr>
          <w:rFonts w:cstheme="minorHAnsi"/>
        </w:rPr>
      </w:pPr>
    </w:p>
    <w:p w14:paraId="16220A01" w14:textId="3520BD5F" w:rsidR="0029366F" w:rsidRPr="005A3DC1" w:rsidRDefault="0029366F" w:rsidP="00C472BF">
      <w:pPr>
        <w:tabs>
          <w:tab w:val="left" w:pos="2038"/>
          <w:tab w:val="left" w:pos="2856"/>
          <w:tab w:val="left" w:pos="5394"/>
        </w:tabs>
        <w:spacing w:line="276" w:lineRule="auto"/>
        <w:rPr>
          <w:rFonts w:cstheme="minorHAnsi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Age Cymru. (2019). Connecting generations: A toolkit for intergenerational practice in Wales. Retrieved from </w:t>
      </w:r>
      <w:hyperlink r:id="rId7" w:history="1">
        <w:r w:rsidR="001E1843" w:rsidRPr="005A3DC1">
          <w:rPr>
            <w:rStyle w:val="Hyperlink"/>
            <w:rFonts w:cstheme="minorHAnsi"/>
          </w:rPr>
          <w:t>https://www.ageuk.org.uk/cymru/latest-news/connecting-generations</w:t>
        </w:r>
      </w:hyperlink>
    </w:p>
    <w:p w14:paraId="3B7930E6" w14:textId="77777777" w:rsidR="00411235" w:rsidRPr="005A3DC1" w:rsidRDefault="00411235" w:rsidP="00C472BF">
      <w:pPr>
        <w:tabs>
          <w:tab w:val="left" w:pos="2038"/>
          <w:tab w:val="left" w:pos="2856"/>
          <w:tab w:val="left" w:pos="5394"/>
        </w:tabs>
        <w:spacing w:line="276" w:lineRule="auto"/>
        <w:rPr>
          <w:rFonts w:cstheme="minorHAnsi"/>
        </w:rPr>
      </w:pPr>
    </w:p>
    <w:p w14:paraId="4B728CB8" w14:textId="2A4AF128" w:rsidR="00B907DB" w:rsidRPr="005A3DC1" w:rsidRDefault="00B907DB" w:rsidP="00C472BF">
      <w:pPr>
        <w:tabs>
          <w:tab w:val="left" w:pos="2038"/>
          <w:tab w:val="left" w:pos="2856"/>
          <w:tab w:val="left" w:pos="5394"/>
        </w:tabs>
        <w:spacing w:line="276" w:lineRule="auto"/>
        <w:rPr>
          <w:rFonts w:cstheme="minorHAnsi"/>
        </w:rPr>
      </w:pPr>
      <w:proofErr w:type="spellStart"/>
      <w:r w:rsidRPr="005A3DC1">
        <w:rPr>
          <w:rFonts w:cstheme="minorHAnsi"/>
          <w:color w:val="0D0D0D"/>
          <w:shd w:val="clear" w:color="auto" w:fill="FFFFFF"/>
        </w:rPr>
        <w:t>Algase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 xml:space="preserve">, D. L., Beattie, E. R. A.,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Antonakos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 xml:space="preserve">, C., &amp;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Beel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-Bates, C. A. (2003). Boredom during meals: Revising the experience of long-term care residents. Geriatric Nursing, 24(1), 18-24</w:t>
      </w:r>
    </w:p>
    <w:p w14:paraId="6EE8E1A8" w14:textId="77777777" w:rsidR="001E1843" w:rsidRPr="005A3DC1" w:rsidRDefault="001E1843" w:rsidP="00C472BF">
      <w:pPr>
        <w:tabs>
          <w:tab w:val="left" w:pos="2038"/>
          <w:tab w:val="left" w:pos="2856"/>
          <w:tab w:val="left" w:pos="5394"/>
        </w:tabs>
        <w:spacing w:line="276" w:lineRule="auto"/>
        <w:rPr>
          <w:rFonts w:cstheme="minorHAnsi"/>
        </w:rPr>
      </w:pPr>
    </w:p>
    <w:p w14:paraId="5EA23DE4" w14:textId="77777777" w:rsidR="0027625D" w:rsidRPr="005A3DC1" w:rsidRDefault="0027625D" w:rsidP="00C472BF">
      <w:pPr>
        <w:tabs>
          <w:tab w:val="left" w:pos="2038"/>
          <w:tab w:val="left" w:pos="2856"/>
          <w:tab w:val="left" w:pos="5394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262E7EA4" w14:textId="4D4F5830" w:rsidR="00682EF1" w:rsidRPr="005A3DC1" w:rsidRDefault="0027625D" w:rsidP="00C472BF">
      <w:pPr>
        <w:tabs>
          <w:tab w:val="left" w:pos="2038"/>
          <w:tab w:val="left" w:pos="2856"/>
          <w:tab w:val="left" w:pos="5394"/>
        </w:tabs>
        <w:spacing w:line="276" w:lineRule="auto"/>
        <w:rPr>
          <w:rFonts w:cstheme="minorHAnsi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Benton, S. L., &amp; Cashin, W. E. (2014). Student ratings of teaching: A summary of the research. IDEA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Center</w:t>
      </w:r>
      <w:proofErr w:type="spellEnd"/>
      <w:r w:rsidR="00EF24F7" w:rsidRPr="005A3DC1">
        <w:rPr>
          <w:rFonts w:cstheme="minorHAnsi"/>
        </w:rPr>
        <w:tab/>
      </w:r>
    </w:p>
    <w:p w14:paraId="47F847EE" w14:textId="77777777" w:rsidR="005479A9" w:rsidRPr="005A3DC1" w:rsidRDefault="005479A9" w:rsidP="00C472BF">
      <w:pPr>
        <w:tabs>
          <w:tab w:val="left" w:pos="2038"/>
          <w:tab w:val="left" w:pos="2856"/>
          <w:tab w:val="left" w:pos="5394"/>
        </w:tabs>
        <w:spacing w:line="276" w:lineRule="auto"/>
        <w:rPr>
          <w:rFonts w:cstheme="minorHAnsi"/>
        </w:rPr>
      </w:pPr>
    </w:p>
    <w:p w14:paraId="44DED9AF" w14:textId="550C4819" w:rsidR="00EF24F7" w:rsidRPr="005A3DC1" w:rsidRDefault="005479A9" w:rsidP="00C472BF">
      <w:pPr>
        <w:pStyle w:val="NormalWeb"/>
        <w:spacing w:line="276" w:lineRule="auto"/>
        <w:ind w:left="567" w:hanging="567"/>
        <w:rPr>
          <w:rFonts w:asciiTheme="minorHAnsi" w:hAnsiTheme="minorHAnsi" w:cstheme="minorHAnsi"/>
          <w:color w:val="000000" w:themeColor="text1"/>
        </w:rPr>
      </w:pPr>
      <w:r w:rsidRPr="005A3DC1">
        <w:rPr>
          <w:rFonts w:asciiTheme="minorHAnsi" w:hAnsiTheme="minorHAnsi" w:cstheme="minorHAnsi"/>
          <w:i/>
          <w:iCs/>
          <w:color w:val="000000" w:themeColor="text1"/>
        </w:rPr>
        <w:t>BERA (2018) Ethical guidelines for educational research, Fourth edition</w:t>
      </w:r>
      <w:r w:rsidRPr="005A3DC1">
        <w:rPr>
          <w:rFonts w:asciiTheme="minorHAnsi" w:hAnsiTheme="minorHAnsi" w:cstheme="minorHAnsi"/>
          <w:color w:val="000000" w:themeColor="text1"/>
        </w:rPr>
        <w:t>. Available at: https://www.bera.ac.uk/publication/ethical-guidelines-for-educational-research-2018-online (Accessed: 06 February 2024).</w:t>
      </w:r>
      <w:r w:rsidR="00271A18" w:rsidRPr="005A3DC1">
        <w:rPr>
          <w:rFonts w:asciiTheme="minorHAnsi" w:hAnsiTheme="minorHAnsi" w:cstheme="minorHAnsi"/>
          <w:color w:val="0D0D0D"/>
          <w:shd w:val="clear" w:color="auto" w:fill="FFFFFF"/>
        </w:rPr>
        <w:tab/>
      </w:r>
    </w:p>
    <w:p w14:paraId="568D3840" w14:textId="77777777" w:rsidR="00271A18" w:rsidRPr="005A3DC1" w:rsidRDefault="00271A18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48E829FD" w14:textId="2E804FA6" w:rsidR="00271A18" w:rsidRPr="005A3DC1" w:rsidRDefault="00271A18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Biggs, S., &amp; Powell, J. (2001). Carer-friendly communities: A carer's perspective. Policy Press</w:t>
      </w:r>
    </w:p>
    <w:p w14:paraId="614AC8B0" w14:textId="77777777" w:rsidR="0027625D" w:rsidRPr="005A3DC1" w:rsidRDefault="0027625D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59C6775C" w14:textId="77777777" w:rsidR="001E1843" w:rsidRPr="005A3DC1" w:rsidRDefault="001E1843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34F7B2C1" w14:textId="1A8550E9" w:rsidR="001E1843" w:rsidRPr="005A3DC1" w:rsidRDefault="001E1843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Bronfenbrenner, U. (1979). The ecology of human development: Experiments by nature and design. Harvard University Press</w:t>
      </w:r>
    </w:p>
    <w:p w14:paraId="7E2D1B43" w14:textId="77777777" w:rsidR="001E1843" w:rsidRPr="005A3DC1" w:rsidRDefault="001E1843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0C600A67" w14:textId="77777777" w:rsidR="002E6FC1" w:rsidRPr="005A3DC1" w:rsidRDefault="002E6FC1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353D8260" w14:textId="1B53EC71" w:rsidR="002E6FC1" w:rsidRPr="005A3DC1" w:rsidRDefault="002E6FC1" w:rsidP="00C472BF">
      <w:pPr>
        <w:tabs>
          <w:tab w:val="left" w:pos="2038"/>
          <w:tab w:val="left" w:pos="5394"/>
          <w:tab w:val="left" w:pos="8008"/>
        </w:tabs>
        <w:spacing w:line="276" w:lineRule="auto"/>
        <w:rPr>
          <w:rFonts w:cstheme="minorHAnsi"/>
          <w:color w:val="0D0D0D"/>
          <w:shd w:val="clear" w:color="auto" w:fill="FFFFFF"/>
        </w:rPr>
      </w:pPr>
      <w:proofErr w:type="spellStart"/>
      <w:r w:rsidRPr="005A3DC1">
        <w:rPr>
          <w:rFonts w:cstheme="minorHAnsi"/>
          <w:color w:val="0D0D0D"/>
          <w:shd w:val="clear" w:color="auto" w:fill="FFFFFF"/>
        </w:rPr>
        <w:t>Buffel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T., Handler, S., &amp; Phillipson, C. (2012). Age-friendly cities and communities: A global perspective. Bristol, UK: Policy Press</w:t>
      </w:r>
    </w:p>
    <w:p w14:paraId="482982AC" w14:textId="77777777" w:rsidR="00EF24F7" w:rsidRPr="005A3DC1" w:rsidRDefault="00EF24F7" w:rsidP="00C472BF">
      <w:pPr>
        <w:tabs>
          <w:tab w:val="left" w:pos="2038"/>
          <w:tab w:val="left" w:pos="5394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240F2BA6" w14:textId="7F8F1E90" w:rsidR="00757083" w:rsidRPr="005A3DC1" w:rsidRDefault="00757083" w:rsidP="00C472BF">
      <w:pPr>
        <w:tabs>
          <w:tab w:val="left" w:pos="2038"/>
          <w:tab w:val="left" w:pos="5394"/>
        </w:tabs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Cohen-Mansfield, J., Hazan, H.,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Lerman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Y., &amp; Shalom, V. (2016). Correlates and predictors of loneliness in older-adults: A review of quantitative results informed by qualitative insights. International Psychogeriatrics, 28(4), 557-576</w:t>
      </w:r>
    </w:p>
    <w:p w14:paraId="516E3344" w14:textId="77777777" w:rsidR="00757083" w:rsidRPr="005A3DC1" w:rsidRDefault="00757083" w:rsidP="00C472BF">
      <w:pPr>
        <w:tabs>
          <w:tab w:val="left" w:pos="2038"/>
          <w:tab w:val="left" w:pos="5394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69FF0802" w14:textId="77777777" w:rsidR="006C35D5" w:rsidRPr="005A3DC1" w:rsidRDefault="006C35D5" w:rsidP="00C472BF">
      <w:pPr>
        <w:tabs>
          <w:tab w:val="left" w:pos="2038"/>
        </w:tabs>
        <w:spacing w:line="276" w:lineRule="auto"/>
        <w:rPr>
          <w:rFonts w:cstheme="minorHAnsi"/>
        </w:rPr>
      </w:pPr>
    </w:p>
    <w:p w14:paraId="5D2B5CEA" w14:textId="3C46C678" w:rsidR="006C35D5" w:rsidRPr="005A3DC1" w:rsidRDefault="006C35D5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Dewey, J. (1938). Experience and education. Kappa Delta Pi</w:t>
      </w:r>
      <w:r w:rsidR="001E1843" w:rsidRPr="005A3DC1">
        <w:rPr>
          <w:rFonts w:cstheme="minorHAnsi"/>
          <w:color w:val="0D0D0D"/>
          <w:shd w:val="clear" w:color="auto" w:fill="FFFFFF"/>
        </w:rPr>
        <w:tab/>
      </w:r>
    </w:p>
    <w:p w14:paraId="65BFC0F2" w14:textId="77777777" w:rsidR="006C11F7" w:rsidRPr="005A3DC1" w:rsidRDefault="006C11F7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7BF5F743" w14:textId="4437D361" w:rsidR="006C11F7" w:rsidRPr="005A3DC1" w:rsidRDefault="006C11F7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  <w:proofErr w:type="spellStart"/>
      <w:r w:rsidRPr="005A3DC1">
        <w:rPr>
          <w:rFonts w:cstheme="minorHAnsi"/>
          <w:color w:val="0D0D0D"/>
          <w:shd w:val="clear" w:color="auto" w:fill="FFFFFF"/>
        </w:rPr>
        <w:t>Deslandes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R., &amp; Bertrand, R. (2005). Motivation of parents to become involved in their children’s education: A self-determination perspective. Journal of Educational Psychology, 97(4), 724-734</w:t>
      </w:r>
    </w:p>
    <w:p w14:paraId="68F94329" w14:textId="77777777" w:rsidR="00E10416" w:rsidRPr="005A3DC1" w:rsidRDefault="00E10416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5DD49AF6" w14:textId="77777777" w:rsidR="008A7417" w:rsidRPr="005A3DC1" w:rsidRDefault="008A7417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66A7D402" w14:textId="1A206FFD" w:rsidR="008A7417" w:rsidRPr="005A3DC1" w:rsidRDefault="008A7417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lastRenderedPageBreak/>
        <w:t xml:space="preserve">Eisenberg, N., &amp; Miller, P. A. (1987). Empathy and prosocial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behavior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. Psychological Bulletin, 101(1), 91–119</w:t>
      </w:r>
    </w:p>
    <w:p w14:paraId="030CF059" w14:textId="77777777" w:rsidR="00AA0BFA" w:rsidRPr="005A3DC1" w:rsidRDefault="00AA0BFA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73A1770D" w14:textId="77777777" w:rsidR="001E1843" w:rsidRPr="005A3DC1" w:rsidRDefault="001E1843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09D5D65C" w14:textId="1E2935BB" w:rsidR="002E6FC1" w:rsidRPr="005A3DC1" w:rsidRDefault="002E6FC1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222222"/>
          <w:shd w:val="clear" w:color="auto" w:fill="FFFFFF"/>
        </w:rPr>
        <w:t>Fernando, S., 2010.</w:t>
      </w:r>
      <w:r w:rsidRPr="005A3DC1">
        <w:rPr>
          <w:rStyle w:val="apple-converted-space"/>
          <w:rFonts w:cstheme="minorHAnsi"/>
          <w:color w:val="222222"/>
          <w:shd w:val="clear" w:color="auto" w:fill="FFFFFF"/>
        </w:rPr>
        <w:t> </w:t>
      </w:r>
      <w:r w:rsidRPr="005A3DC1">
        <w:rPr>
          <w:rFonts w:cstheme="minorHAnsi"/>
          <w:i/>
          <w:iCs/>
          <w:color w:val="222222"/>
        </w:rPr>
        <w:t>Mental health, race and culture</w:t>
      </w:r>
      <w:r w:rsidRPr="005A3DC1">
        <w:rPr>
          <w:rFonts w:cstheme="minorHAnsi"/>
          <w:color w:val="222222"/>
          <w:shd w:val="clear" w:color="auto" w:fill="FFFFFF"/>
        </w:rPr>
        <w:t>. Bloomsbury Publishing.</w:t>
      </w:r>
    </w:p>
    <w:p w14:paraId="21CD0F0E" w14:textId="77777777" w:rsidR="002E6FC1" w:rsidRPr="005A3DC1" w:rsidRDefault="002E6FC1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437C0ADA" w14:textId="509E24B2" w:rsidR="002E6FC1" w:rsidRPr="005A3DC1" w:rsidRDefault="002E6FC1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222222"/>
          <w:shd w:val="clear" w:color="auto" w:fill="FFFFFF"/>
        </w:rPr>
        <w:t>Foster, L. and Walker, A., 2015. Active and successful aging: A European policy perspective.</w:t>
      </w:r>
      <w:r w:rsidRPr="005A3DC1">
        <w:rPr>
          <w:rStyle w:val="apple-converted-space"/>
          <w:rFonts w:cstheme="minorHAnsi"/>
          <w:color w:val="222222"/>
          <w:shd w:val="clear" w:color="auto" w:fill="FFFFFF"/>
        </w:rPr>
        <w:t> </w:t>
      </w:r>
      <w:r w:rsidRPr="005A3DC1">
        <w:rPr>
          <w:rFonts w:cstheme="minorHAnsi"/>
          <w:i/>
          <w:iCs/>
          <w:color w:val="222222"/>
        </w:rPr>
        <w:t>The gerontologist</w:t>
      </w:r>
      <w:r w:rsidRPr="005A3DC1">
        <w:rPr>
          <w:rFonts w:cstheme="minorHAnsi"/>
          <w:color w:val="222222"/>
          <w:shd w:val="clear" w:color="auto" w:fill="FFFFFF"/>
        </w:rPr>
        <w:t>,</w:t>
      </w:r>
      <w:r w:rsidRPr="005A3DC1">
        <w:rPr>
          <w:rStyle w:val="apple-converted-space"/>
          <w:rFonts w:cstheme="minorHAnsi"/>
          <w:color w:val="222222"/>
          <w:shd w:val="clear" w:color="auto" w:fill="FFFFFF"/>
        </w:rPr>
        <w:t> </w:t>
      </w:r>
      <w:r w:rsidRPr="005A3DC1">
        <w:rPr>
          <w:rFonts w:cstheme="minorHAnsi"/>
          <w:i/>
          <w:iCs/>
          <w:color w:val="222222"/>
        </w:rPr>
        <w:t>55</w:t>
      </w:r>
      <w:r w:rsidRPr="005A3DC1">
        <w:rPr>
          <w:rFonts w:cstheme="minorHAnsi"/>
          <w:color w:val="222222"/>
          <w:shd w:val="clear" w:color="auto" w:fill="FFFFFF"/>
        </w:rPr>
        <w:t>(1), pp.83-90.</w:t>
      </w:r>
    </w:p>
    <w:p w14:paraId="5AFD1EE7" w14:textId="77777777" w:rsidR="001E1843" w:rsidRPr="005A3DC1" w:rsidRDefault="001E1843" w:rsidP="00C472BF">
      <w:pPr>
        <w:tabs>
          <w:tab w:val="left" w:pos="2038"/>
          <w:tab w:val="left" w:pos="6656"/>
        </w:tabs>
        <w:spacing w:line="276" w:lineRule="auto"/>
        <w:rPr>
          <w:rFonts w:cstheme="minorHAnsi"/>
          <w:color w:val="0D0D0D"/>
          <w:shd w:val="clear" w:color="auto" w:fill="FFFFFF"/>
        </w:rPr>
      </w:pPr>
    </w:p>
    <w:p w14:paraId="13D5BB6B" w14:textId="77777777" w:rsidR="00682EF1" w:rsidRPr="005A3DC1" w:rsidRDefault="00682EF1" w:rsidP="00C472BF">
      <w:pPr>
        <w:spacing w:line="276" w:lineRule="auto"/>
        <w:rPr>
          <w:rFonts w:cstheme="minorHAnsi"/>
        </w:rPr>
      </w:pPr>
    </w:p>
    <w:p w14:paraId="34F7ABD7" w14:textId="77777777" w:rsidR="00CB48E9" w:rsidRPr="005A3DC1" w:rsidRDefault="00CB48E9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2D18A4A0" w14:textId="1BE66D77" w:rsidR="00CB48E9" w:rsidRPr="005A3DC1" w:rsidRDefault="00CB48E9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Howard, T. C. (2010). Why race and culture matter in schools: Closing the achievement gap in America’s classrooms. New York, NY: Teachers College Press</w:t>
      </w:r>
    </w:p>
    <w:p w14:paraId="33FD72A8" w14:textId="77777777" w:rsidR="001243D4" w:rsidRPr="005A3DC1" w:rsidRDefault="001243D4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58783763" w14:textId="77777777" w:rsidR="002F5C45" w:rsidRPr="005A3DC1" w:rsidRDefault="002F5C4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5462A245" w14:textId="17239263" w:rsidR="002F5C45" w:rsidRPr="005A3DC1" w:rsidRDefault="002F5C45" w:rsidP="00C472BF">
      <w:pPr>
        <w:spacing w:line="276" w:lineRule="auto"/>
        <w:rPr>
          <w:rFonts w:eastAsia="Times New Roman" w:cstheme="minorHAnsi"/>
          <w:color w:val="0D0D0D"/>
          <w:kern w:val="0"/>
          <w:lang w:eastAsia="en-GB"/>
          <w14:ligatures w14:val="none"/>
        </w:rPr>
      </w:pPr>
      <w:r w:rsidRPr="005A3DC1">
        <w:rPr>
          <w:rFonts w:cstheme="minorHAnsi"/>
          <w:color w:val="0D0D0D"/>
          <w:shd w:val="clear" w:color="auto" w:fill="FFFFFF"/>
        </w:rPr>
        <w:t>Hughes, M., &amp; Atkinson, M. (2015). Ageism and age discrimination in social care in Wales. Cardiff University</w:t>
      </w:r>
    </w:p>
    <w:p w14:paraId="13AF72DF" w14:textId="77777777" w:rsidR="00682EF1" w:rsidRPr="005A3DC1" w:rsidRDefault="00682EF1" w:rsidP="00C472BF">
      <w:pPr>
        <w:spacing w:line="276" w:lineRule="auto"/>
        <w:rPr>
          <w:rFonts w:eastAsia="Times New Roman" w:cstheme="minorHAnsi"/>
          <w:color w:val="0D0D0D"/>
          <w:kern w:val="0"/>
          <w:lang w:eastAsia="en-GB"/>
          <w14:ligatures w14:val="none"/>
        </w:rPr>
      </w:pPr>
    </w:p>
    <w:p w14:paraId="4C499CF2" w14:textId="77777777" w:rsidR="00AA0BFA" w:rsidRPr="005A3DC1" w:rsidRDefault="00AA0BFA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6B156274" w14:textId="60B13576" w:rsidR="00AA0BFA" w:rsidRPr="005A3DC1" w:rsidRDefault="00AA0BFA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proofErr w:type="spellStart"/>
      <w:r w:rsidRPr="005A3DC1">
        <w:rPr>
          <w:rFonts w:cstheme="minorHAnsi"/>
          <w:color w:val="0D0D0D"/>
          <w:shd w:val="clear" w:color="auto" w:fill="FFFFFF"/>
        </w:rPr>
        <w:t>Jeynes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W. H. (2007). The relationship between parental involvement and urban secondary school student academic achievement: A meta-analysis. Urban Education, 42(1), 82-110</w:t>
      </w:r>
    </w:p>
    <w:p w14:paraId="33457576" w14:textId="77777777" w:rsidR="0029366F" w:rsidRPr="005A3DC1" w:rsidRDefault="0029366F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113645DD" w14:textId="77777777" w:rsidR="00682EF1" w:rsidRPr="005A3DC1" w:rsidRDefault="00682EF1" w:rsidP="00C472BF">
      <w:pPr>
        <w:spacing w:line="276" w:lineRule="auto"/>
        <w:rPr>
          <w:rFonts w:eastAsia="Times New Roman" w:cstheme="minorHAnsi"/>
          <w:color w:val="0D0D0D"/>
          <w:kern w:val="0"/>
          <w:lang w:eastAsia="en-GB"/>
          <w14:ligatures w14:val="none"/>
        </w:rPr>
      </w:pPr>
    </w:p>
    <w:p w14:paraId="15A886EA" w14:textId="2FF18F81" w:rsidR="00682EF1" w:rsidRPr="005A3DC1" w:rsidRDefault="00682EF1" w:rsidP="00C472BF">
      <w:pPr>
        <w:spacing w:line="276" w:lineRule="auto"/>
        <w:rPr>
          <w:rFonts w:eastAsia="Times New Roman" w:cstheme="minorHAnsi"/>
          <w:color w:val="0D0D0D"/>
          <w:kern w:val="0"/>
          <w:lang w:eastAsia="en-GB"/>
          <w14:ligatures w14:val="none"/>
        </w:rPr>
      </w:pPr>
      <w:proofErr w:type="spellStart"/>
      <w:r w:rsidRPr="005A3DC1">
        <w:rPr>
          <w:rFonts w:cstheme="minorHAnsi"/>
          <w:color w:val="0D0D0D"/>
          <w:shd w:val="clear" w:color="auto" w:fill="FFFFFF"/>
        </w:rPr>
        <w:t>Karasik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R. J., &amp; Finch, H. W. (2008). Changing age stereotypes among adolescents. Educational Gerontology, 34(8), 686-696</w:t>
      </w:r>
    </w:p>
    <w:p w14:paraId="7B61A32A" w14:textId="77777777" w:rsidR="00682EF1" w:rsidRPr="005A3DC1" w:rsidRDefault="00682EF1" w:rsidP="00C472BF">
      <w:pPr>
        <w:spacing w:line="276" w:lineRule="auto"/>
        <w:rPr>
          <w:rFonts w:eastAsia="Times New Roman" w:cstheme="minorHAnsi"/>
          <w:color w:val="0D0D0D"/>
          <w:kern w:val="0"/>
          <w:lang w:eastAsia="en-GB"/>
          <w14:ligatures w14:val="none"/>
        </w:rPr>
      </w:pPr>
    </w:p>
    <w:p w14:paraId="569EAD4E" w14:textId="176DDED0" w:rsidR="00682EF1" w:rsidRPr="005A3DC1" w:rsidRDefault="00682EF1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Knight, T.,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Ricciardelli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 xml:space="preserve">, L. A., &amp;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Caltabiano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M. L. (2006). The developmental origins of the negative stereotype of aging. Journal of Gerontology, 61B(2), P59-P66</w:t>
      </w:r>
    </w:p>
    <w:p w14:paraId="0DDD7FF3" w14:textId="77777777" w:rsidR="001E1843" w:rsidRPr="005A3DC1" w:rsidRDefault="001E1843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16DB3935" w14:textId="77777777" w:rsidR="00E96BB8" w:rsidRPr="005A3DC1" w:rsidRDefault="00E96BB8" w:rsidP="00C472BF">
      <w:pPr>
        <w:spacing w:line="276" w:lineRule="auto"/>
        <w:rPr>
          <w:rFonts w:cstheme="minorHAnsi"/>
        </w:rPr>
      </w:pPr>
    </w:p>
    <w:p w14:paraId="1EDAEE40" w14:textId="0C412E84" w:rsidR="00682EF1" w:rsidRPr="005A3DC1" w:rsidRDefault="00682EF1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Levitt, M. J.,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Guacci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-Franco, N., &amp; Levitt, J. L. (2008). Convoys of social support in childhood and early adolescence: Structure and function. Developmental Psychology, 44(4), 1085-1101</w:t>
      </w:r>
    </w:p>
    <w:p w14:paraId="5DFE4EA9" w14:textId="77777777" w:rsidR="00EF24F7" w:rsidRPr="005A3DC1" w:rsidRDefault="00EF24F7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41D3DFEF" w14:textId="3F05AC5B" w:rsidR="001E1843" w:rsidRPr="005A3DC1" w:rsidRDefault="00EF24F7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Levy, B. R. (2009). Stereotype embodiment: A psychosocial approach to aging. Current Directions in Psychological Science, 18(6), 332-336</w:t>
      </w:r>
    </w:p>
    <w:p w14:paraId="601C92F1" w14:textId="77777777" w:rsidR="002F5C45" w:rsidRPr="005A3DC1" w:rsidRDefault="002F5C4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40D5DC50" w14:textId="7BFA1154" w:rsidR="002F5C45" w:rsidRPr="005A3DC1" w:rsidRDefault="002F5C4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Levy, B. R.,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Zonderman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 xml:space="preserve">, A. B., Slade, M. D., &amp;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Ferrucci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L. (2009). Age stereotypes held earlier in life predict cardiovascular events in later life. Psychological Science, 20(3), 296-298</w:t>
      </w:r>
    </w:p>
    <w:p w14:paraId="5914E1F1" w14:textId="77777777" w:rsidR="002F5C45" w:rsidRPr="005A3DC1" w:rsidRDefault="002F5C4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3C4A891E" w14:textId="77777777" w:rsidR="00A85CEE" w:rsidRPr="005A3DC1" w:rsidRDefault="00A85CEE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14E6733A" w14:textId="3AD0F7D2" w:rsidR="00A85CEE" w:rsidRPr="005A3DC1" w:rsidRDefault="00A85CEE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McTighe, J., &amp; Seif, E. (2011). Teaching for understanding: What it is and how to do it. ASCD.</w:t>
      </w:r>
    </w:p>
    <w:p w14:paraId="6354A45A" w14:textId="77777777" w:rsidR="00FD2D04" w:rsidRPr="005A3DC1" w:rsidRDefault="00FD2D04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37E4A30E" w14:textId="2E778CA4" w:rsidR="00FD2D04" w:rsidRPr="005A3DC1" w:rsidRDefault="00FD2D04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Narvaez, D. (2014). Introduction to moral development and an ethical society. Journal of Moral Education, 43(4), 345-352</w:t>
      </w:r>
    </w:p>
    <w:p w14:paraId="3C5A6732" w14:textId="77777777" w:rsidR="001E1843" w:rsidRPr="005A3DC1" w:rsidRDefault="001E1843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654BACE2" w14:textId="77777777" w:rsidR="006C35D5" w:rsidRPr="005A3DC1" w:rsidRDefault="006C35D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27403920" w14:textId="45277F3E" w:rsidR="006C35D5" w:rsidRPr="005A3DC1" w:rsidRDefault="006C35D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Newman, S., Larkin, E., &amp; Lynott, J. (2014). Intergenerational service-learning: To transform students, institutions, communities, and the academy. Journal of Intergenerational Relationships, 12(3), 208-221</w:t>
      </w:r>
    </w:p>
    <w:p w14:paraId="66D76FEE" w14:textId="77777777" w:rsidR="0027625D" w:rsidRPr="005A3DC1" w:rsidRDefault="0027625D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51E9F746" w14:textId="296C3E69" w:rsidR="0027625D" w:rsidRPr="005A3DC1" w:rsidRDefault="0027625D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Nicol, D., &amp; Macfarlane-Dick, D. (2006). Formative assessment and self-regulated learning: A model and seven principles of good feedback practice. Studies in Higher Education, 31(2), 199-218 </w:t>
      </w:r>
    </w:p>
    <w:p w14:paraId="483BBD79" w14:textId="77777777" w:rsidR="006C35D5" w:rsidRPr="005A3DC1" w:rsidRDefault="006C35D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6AC8B4D3" w14:textId="4D1EFFC9" w:rsidR="00757083" w:rsidRPr="005A3DC1" w:rsidRDefault="00757083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Oppenheim, A. N. (1992). Questionnaire design, interviewing, and attitude measurement. London: Pinter Publishers</w:t>
      </w:r>
    </w:p>
    <w:p w14:paraId="0EB31097" w14:textId="77777777" w:rsidR="00B74242" w:rsidRPr="005A3DC1" w:rsidRDefault="00B74242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419C8099" w14:textId="4F2E654B" w:rsidR="00E25A30" w:rsidRPr="005A3DC1" w:rsidRDefault="00E25A30" w:rsidP="00C472BF">
      <w:pPr>
        <w:pStyle w:val="NormalWeb"/>
        <w:spacing w:line="276" w:lineRule="auto"/>
        <w:ind w:left="567" w:hanging="567"/>
        <w:rPr>
          <w:rFonts w:asciiTheme="minorHAnsi" w:hAnsiTheme="minorHAnsi" w:cstheme="minorHAnsi"/>
          <w:color w:val="000000"/>
        </w:rPr>
      </w:pPr>
      <w:r w:rsidRPr="005A3DC1">
        <w:rPr>
          <w:rFonts w:asciiTheme="minorHAnsi" w:hAnsiTheme="minorHAnsi" w:cstheme="minorHAnsi"/>
          <w:color w:val="000000"/>
        </w:rPr>
        <w:t>Oxford Press, (2018)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4 things you need to do to prepare for curriculum change in Wales</w:t>
      </w:r>
      <w:r w:rsidRPr="005A3DC1">
        <w:rPr>
          <w:rFonts w:asciiTheme="minorHAnsi" w:hAnsiTheme="minorHAnsi" w:cstheme="minorHAnsi"/>
          <w:color w:val="000000"/>
        </w:rPr>
        <w:t>,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Oxford Education Blog</w:t>
      </w:r>
      <w:r w:rsidRPr="005A3DC1">
        <w:rPr>
          <w:rFonts w:asciiTheme="minorHAnsi" w:hAnsiTheme="minorHAnsi" w:cstheme="minorHAnsi"/>
          <w:color w:val="000000"/>
        </w:rPr>
        <w:t>. Available at: https://educationblog.oup.com/primary/4-things-you-need-to-do-to-prepare-for-curriculum-change-in-wales (Accessed: 23 February 2024).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172D233" w14:textId="77777777" w:rsidR="00B74242" w:rsidRPr="005A3DC1" w:rsidRDefault="00B74242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3509E01A" w14:textId="77777777" w:rsidR="00757083" w:rsidRPr="005A3DC1" w:rsidRDefault="00757083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6507A1CB" w14:textId="3989214B" w:rsidR="006C35D5" w:rsidRPr="005A3DC1" w:rsidRDefault="006C35D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Rogoff, B. (1990). Apprenticeship in thinking: Cognitive development in social context. Oxford University Press</w:t>
      </w:r>
    </w:p>
    <w:p w14:paraId="5EC7F592" w14:textId="77777777" w:rsidR="002F5C45" w:rsidRPr="005A3DC1" w:rsidRDefault="002F5C45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341D99D8" w14:textId="77777777" w:rsidR="002E6FC1" w:rsidRPr="005A3DC1" w:rsidRDefault="002E6FC1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67E59621" w14:textId="107B3A0C" w:rsidR="00F96610" w:rsidRPr="005A3DC1" w:rsidRDefault="00D879BE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 xml:space="preserve">Presser, S.,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Rothgeb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 xml:space="preserve">, J. M., Couper, M. P., </w:t>
      </w:r>
      <w:proofErr w:type="spellStart"/>
      <w:r w:rsidRPr="005A3DC1">
        <w:rPr>
          <w:rFonts w:cstheme="minorHAnsi"/>
          <w:color w:val="0D0D0D"/>
          <w:shd w:val="clear" w:color="auto" w:fill="FFFFFF"/>
        </w:rPr>
        <w:t>Lessler</w:t>
      </w:r>
      <w:proofErr w:type="spellEnd"/>
      <w:r w:rsidRPr="005A3DC1">
        <w:rPr>
          <w:rFonts w:cstheme="minorHAnsi"/>
          <w:color w:val="0D0D0D"/>
          <w:shd w:val="clear" w:color="auto" w:fill="FFFFFF"/>
        </w:rPr>
        <w:t>, J. T., Martin, E., Martin, J., &amp; Singer, E. (2004). Methods for testing and evaluating survey questionnaires. John Wiley &amp; Sons</w:t>
      </w:r>
    </w:p>
    <w:p w14:paraId="0FAD2FE0" w14:textId="77777777" w:rsidR="00D879BE" w:rsidRPr="005A3DC1" w:rsidRDefault="00D879BE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176BFAA4" w14:textId="58B15737" w:rsidR="00F96610" w:rsidRPr="005A3DC1" w:rsidRDefault="00F96610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t>Sánchez, M. (2006). An analysis of the role of intergenerational interactions on the mental health of older adults. Journal of Gerontological Social Work, 47(1-2), 89-107</w:t>
      </w:r>
    </w:p>
    <w:p w14:paraId="50C879E2" w14:textId="77777777" w:rsidR="008A7417" w:rsidRPr="005A3DC1" w:rsidRDefault="008A7417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</w:p>
    <w:p w14:paraId="4328540D" w14:textId="77777777" w:rsidR="008A7417" w:rsidRPr="005A3DC1" w:rsidRDefault="008A7417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5A3DC1">
        <w:rPr>
          <w:rFonts w:asciiTheme="minorHAnsi" w:hAnsiTheme="minorHAnsi" w:cstheme="minorHAnsi"/>
          <w:color w:val="000000"/>
        </w:rPr>
        <w:t>Senedd (2021)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Donaldson Review: The ‘purposes’ and content of a curriculum for Wales</w:t>
      </w:r>
      <w:r w:rsidRPr="005A3DC1">
        <w:rPr>
          <w:rFonts w:asciiTheme="minorHAnsi" w:hAnsiTheme="minorHAnsi" w:cstheme="minorHAnsi"/>
          <w:color w:val="000000"/>
        </w:rPr>
        <w:t>,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spellStart"/>
      <w:r w:rsidRPr="005A3DC1">
        <w:rPr>
          <w:rFonts w:asciiTheme="minorHAnsi" w:hAnsiTheme="minorHAnsi" w:cstheme="minorHAnsi"/>
          <w:i/>
          <w:iCs/>
          <w:color w:val="000000"/>
        </w:rPr>
        <w:t>Ymwchil</w:t>
      </w:r>
      <w:proofErr w:type="spellEnd"/>
      <w:r w:rsidRPr="005A3DC1">
        <w:rPr>
          <w:rFonts w:asciiTheme="minorHAnsi" w:hAnsiTheme="minorHAnsi" w:cstheme="minorHAnsi"/>
          <w:i/>
          <w:iCs/>
          <w:color w:val="000000"/>
        </w:rPr>
        <w:t xml:space="preserve"> y Senedd | Senedd Research</w:t>
      </w:r>
      <w:r w:rsidRPr="005A3DC1">
        <w:rPr>
          <w:rFonts w:asciiTheme="minorHAnsi" w:hAnsiTheme="minorHAnsi" w:cstheme="minorHAnsi"/>
          <w:color w:val="000000"/>
        </w:rPr>
        <w:t>. Available at: https://research.senedd.wales/research-articles/donaldson-review-the-purposes-and-content-of-a-curriculum-for-wales/#:~:text=The%20four%20purposes%20are%20that,of%20Wales%20and%20the%20world. (Accessed: 21 February 2024).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23FF202" w14:textId="16400024" w:rsidR="008A7417" w:rsidRPr="005A3DC1" w:rsidRDefault="00F650E3" w:rsidP="00C472BF">
      <w:pPr>
        <w:spacing w:line="276" w:lineRule="auto"/>
        <w:rPr>
          <w:rFonts w:cstheme="minorHAnsi"/>
          <w:color w:val="0D0D0D"/>
          <w:shd w:val="clear" w:color="auto" w:fill="FFFFFF"/>
        </w:rPr>
      </w:pPr>
      <w:r w:rsidRPr="005A3DC1">
        <w:rPr>
          <w:rFonts w:cstheme="minorHAnsi"/>
          <w:color w:val="0D0D0D"/>
          <w:shd w:val="clear" w:color="auto" w:fill="FFFFFF"/>
        </w:rPr>
        <w:lastRenderedPageBreak/>
        <w:t>Smith, J., &amp; Collins, C. (2018). Involvement in intergenerational practice and its impact on ageism. Journal of Intergenerational Relationships, 16(3), 352–365</w:t>
      </w:r>
    </w:p>
    <w:p w14:paraId="4BDF0F6C" w14:textId="77777777" w:rsidR="00F96610" w:rsidRPr="005A3DC1" w:rsidRDefault="00F96610" w:rsidP="00C472BF">
      <w:pPr>
        <w:spacing w:line="276" w:lineRule="auto"/>
        <w:rPr>
          <w:rFonts w:cstheme="minorHAnsi"/>
          <w:color w:val="0D0D0D"/>
          <w:highlight w:val="yellow"/>
          <w:shd w:val="clear" w:color="auto" w:fill="FFFFFF"/>
        </w:rPr>
      </w:pPr>
    </w:p>
    <w:p w14:paraId="55A20A17" w14:textId="44533792" w:rsidR="00411235" w:rsidRPr="005A3DC1" w:rsidRDefault="00411235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5A3DC1">
        <w:rPr>
          <w:rFonts w:asciiTheme="minorHAnsi" w:hAnsiTheme="minorHAnsi" w:cstheme="minorHAnsi"/>
          <w:color w:val="000000"/>
        </w:rPr>
        <w:t>Welsh government (2023</w:t>
      </w:r>
      <w:r w:rsidR="005479A9" w:rsidRPr="005A3DC1">
        <w:rPr>
          <w:rFonts w:asciiTheme="minorHAnsi" w:hAnsiTheme="minorHAnsi" w:cstheme="minorHAnsi"/>
          <w:color w:val="000000"/>
        </w:rPr>
        <w:t>c</w:t>
      </w:r>
      <w:r w:rsidRPr="005A3DC1">
        <w:rPr>
          <w:rFonts w:asciiTheme="minorHAnsi" w:hAnsiTheme="minorHAnsi" w:cstheme="minorHAnsi"/>
          <w:color w:val="000000"/>
        </w:rPr>
        <w:t xml:space="preserve">) </w:t>
      </w:r>
      <w:r w:rsidRPr="005A3DC1">
        <w:rPr>
          <w:rFonts w:asciiTheme="minorHAnsi" w:hAnsiTheme="minorHAnsi" w:cstheme="minorHAnsi"/>
          <w:i/>
          <w:iCs/>
          <w:color w:val="000000"/>
        </w:rPr>
        <w:t>Annex 4: Developing community engagement in community focused schools [HTML]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GOV.WALES</w:t>
      </w:r>
      <w:r w:rsidRPr="005A3DC1">
        <w:rPr>
          <w:rFonts w:asciiTheme="minorHAnsi" w:hAnsiTheme="minorHAnsi" w:cstheme="minorHAnsi"/>
          <w:color w:val="000000"/>
        </w:rPr>
        <w:t>. Available at: https://www.gov.wales/annex-4-developing-community-engagement-community-focused-schools-html (Accessed: 21 February 2024).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0A1ECEA3" w14:textId="1AA972F3" w:rsidR="00C472BF" w:rsidRPr="005A3DC1" w:rsidRDefault="00411235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5A3DC1">
        <w:rPr>
          <w:rFonts w:asciiTheme="minorHAnsi" w:hAnsiTheme="minorHAnsi" w:cstheme="minorHAnsi"/>
          <w:color w:val="000000"/>
        </w:rPr>
        <w:t>Welsh government (2020)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 xml:space="preserve">Connected communities: Loneliness strategy </w:t>
      </w:r>
      <w:proofErr w:type="spellStart"/>
      <w:r w:rsidRPr="005A3DC1">
        <w:rPr>
          <w:rFonts w:asciiTheme="minorHAnsi" w:hAnsiTheme="minorHAnsi" w:cstheme="minorHAnsi"/>
          <w:i/>
          <w:iCs/>
          <w:color w:val="000000"/>
        </w:rPr>
        <w:t>english</w:t>
      </w:r>
      <w:proofErr w:type="spellEnd"/>
      <w:r w:rsidRPr="005A3DC1">
        <w:rPr>
          <w:rFonts w:asciiTheme="minorHAnsi" w:hAnsiTheme="minorHAnsi" w:cstheme="minorHAnsi"/>
          <w:color w:val="000000"/>
        </w:rPr>
        <w:t>,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Connected communities</w:t>
      </w:r>
      <w:r w:rsidRPr="005A3DC1">
        <w:rPr>
          <w:rFonts w:asciiTheme="minorHAnsi" w:hAnsiTheme="minorHAnsi" w:cstheme="minorHAnsi"/>
          <w:color w:val="000000"/>
        </w:rPr>
        <w:t>. Available at: https://www.gov.wales/sites/default/files/publications/2020-02/connected-communities-strategy-document.pdf (Accessed: 19 February 2024).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5B293FC9" w14:textId="5116257D" w:rsidR="005479A9" w:rsidRPr="005A3DC1" w:rsidRDefault="005479A9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 w:themeColor="text1"/>
        </w:rPr>
      </w:pPr>
      <w:r w:rsidRPr="005A3DC1">
        <w:rPr>
          <w:rFonts w:asciiTheme="minorHAnsi" w:hAnsiTheme="minorHAnsi" w:cstheme="minorHAnsi"/>
          <w:color w:val="000000" w:themeColor="text1"/>
        </w:rPr>
        <w:t>Welsh Government (2023a)</w:t>
      </w:r>
      <w:r w:rsidRPr="005A3DC1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5A3DC1">
        <w:rPr>
          <w:rFonts w:asciiTheme="minorHAnsi" w:hAnsiTheme="minorHAnsi" w:cstheme="minorHAnsi"/>
          <w:i/>
          <w:iCs/>
          <w:color w:val="000000" w:themeColor="text1"/>
        </w:rPr>
        <w:t>My Local School</w:t>
      </w:r>
      <w:r w:rsidRPr="005A3DC1">
        <w:rPr>
          <w:rFonts w:asciiTheme="minorHAnsi" w:hAnsiTheme="minorHAnsi" w:cstheme="minorHAnsi"/>
          <w:color w:val="000000" w:themeColor="text1"/>
        </w:rPr>
        <w:t>,</w:t>
      </w:r>
      <w:r w:rsidRPr="005A3DC1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5A3DC1">
        <w:rPr>
          <w:rFonts w:asciiTheme="minorHAnsi" w:hAnsiTheme="minorHAnsi" w:cstheme="minorHAnsi"/>
          <w:i/>
          <w:iCs/>
          <w:color w:val="000000" w:themeColor="text1"/>
        </w:rPr>
        <w:t xml:space="preserve"> Primary School</w:t>
      </w:r>
      <w:r w:rsidRPr="005A3DC1">
        <w:rPr>
          <w:rFonts w:asciiTheme="minorHAnsi" w:hAnsiTheme="minorHAnsi" w:cstheme="minorHAnsi"/>
          <w:color w:val="000000" w:themeColor="text1"/>
        </w:rPr>
        <w:t>. Available at: https://mylocalschool.gov.wales/School/6692114?lang=en (Accessed: 21 February 2024).</w:t>
      </w:r>
      <w:r w:rsidRPr="005A3DC1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</w:p>
    <w:p w14:paraId="16545CE0" w14:textId="77777777" w:rsidR="00C472BF" w:rsidRPr="005A3DC1" w:rsidRDefault="00C472BF" w:rsidP="00C472BF">
      <w:pPr>
        <w:spacing w:line="276" w:lineRule="auto"/>
        <w:rPr>
          <w:rFonts w:cstheme="minorHAnsi"/>
          <w:color w:val="000000" w:themeColor="text1"/>
        </w:rPr>
      </w:pPr>
      <w:r w:rsidRPr="005A3DC1">
        <w:rPr>
          <w:rFonts w:cstheme="minorHAnsi"/>
          <w:color w:val="000000" w:themeColor="text1"/>
        </w:rPr>
        <w:t>Welsh Government (2018) New professional standards for teachers and leaders.</w:t>
      </w:r>
    </w:p>
    <w:p w14:paraId="3D7BC1A3" w14:textId="77777777" w:rsidR="00C472BF" w:rsidRPr="005A3DC1" w:rsidRDefault="00C472BF" w:rsidP="00C472BF">
      <w:pPr>
        <w:spacing w:line="276" w:lineRule="auto"/>
        <w:rPr>
          <w:rFonts w:cstheme="minorHAnsi"/>
          <w:color w:val="000000" w:themeColor="text1"/>
        </w:rPr>
      </w:pPr>
      <w:r w:rsidRPr="005A3DC1">
        <w:rPr>
          <w:rFonts w:cstheme="minorHAnsi"/>
          <w:color w:val="000000" w:themeColor="text1"/>
        </w:rPr>
        <w:t>Cardiff: Welsh Government. [Online]. Available from:</w:t>
      </w:r>
    </w:p>
    <w:p w14:paraId="4FC04FE6" w14:textId="77777777" w:rsidR="00C472BF" w:rsidRPr="005A3DC1" w:rsidRDefault="00C472BF" w:rsidP="00C472BF">
      <w:pPr>
        <w:spacing w:line="276" w:lineRule="auto"/>
        <w:rPr>
          <w:rFonts w:cstheme="minorHAnsi"/>
          <w:color w:val="000000" w:themeColor="text1"/>
        </w:rPr>
      </w:pPr>
      <w:r w:rsidRPr="005A3DC1">
        <w:rPr>
          <w:rFonts w:cstheme="minorHAnsi"/>
          <w:color w:val="000000" w:themeColor="text1"/>
        </w:rPr>
        <w:t>http://learning.gov.wales/docs/learningwales/publications/170901-professional-</w:t>
      </w:r>
    </w:p>
    <w:p w14:paraId="1FC6018C" w14:textId="77777777" w:rsidR="00C472BF" w:rsidRPr="005A3DC1" w:rsidRDefault="00C472BF" w:rsidP="00C472BF">
      <w:pPr>
        <w:spacing w:line="276" w:lineRule="auto"/>
        <w:rPr>
          <w:rFonts w:cstheme="minorHAnsi"/>
          <w:color w:val="000000" w:themeColor="text1"/>
        </w:rPr>
      </w:pPr>
      <w:r w:rsidRPr="005A3DC1">
        <w:rPr>
          <w:rFonts w:cstheme="minorHAnsi"/>
          <w:color w:val="000000" w:themeColor="text1"/>
        </w:rPr>
        <w:t>standards-for-teaching-and-leadership-en.pdf</w:t>
      </w:r>
    </w:p>
    <w:p w14:paraId="0A362D48" w14:textId="44FB1F77" w:rsidR="00C472BF" w:rsidRPr="005A3DC1" w:rsidRDefault="00C472BF" w:rsidP="00C472BF">
      <w:pPr>
        <w:spacing w:line="276" w:lineRule="auto"/>
        <w:rPr>
          <w:rFonts w:cstheme="minorHAnsi"/>
          <w:color w:val="000000" w:themeColor="text1"/>
        </w:rPr>
      </w:pPr>
      <w:r w:rsidRPr="005A3DC1">
        <w:rPr>
          <w:rFonts w:cstheme="minorHAnsi"/>
          <w:color w:val="000000" w:themeColor="text1"/>
        </w:rPr>
        <w:t>[Accessed 22 February 2024]</w:t>
      </w:r>
    </w:p>
    <w:p w14:paraId="00A45C61" w14:textId="77777777" w:rsidR="00C472BF" w:rsidRPr="005A3DC1" w:rsidRDefault="00C472BF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 w:themeColor="text1"/>
        </w:rPr>
      </w:pPr>
    </w:p>
    <w:p w14:paraId="19D32E40" w14:textId="56693C4B" w:rsidR="00411235" w:rsidRPr="005A3DC1" w:rsidRDefault="00411235" w:rsidP="00C472BF">
      <w:pPr>
        <w:pStyle w:val="NormalWeb"/>
        <w:spacing w:line="276" w:lineRule="auto"/>
        <w:ind w:left="567" w:hanging="567"/>
        <w:rPr>
          <w:rFonts w:asciiTheme="minorHAnsi" w:hAnsiTheme="minorHAnsi" w:cstheme="minorHAnsi"/>
          <w:color w:val="000000"/>
        </w:rPr>
      </w:pPr>
      <w:r w:rsidRPr="005A3DC1">
        <w:rPr>
          <w:rFonts w:asciiTheme="minorHAnsi" w:hAnsiTheme="minorHAnsi" w:cstheme="minorHAnsi"/>
          <w:color w:val="000000"/>
        </w:rPr>
        <w:t>Welsh Government (2023</w:t>
      </w:r>
      <w:r w:rsidR="005479A9" w:rsidRPr="005A3DC1">
        <w:rPr>
          <w:rFonts w:asciiTheme="minorHAnsi" w:hAnsiTheme="minorHAnsi" w:cstheme="minorHAnsi"/>
          <w:color w:val="000000"/>
        </w:rPr>
        <w:t>b</w:t>
      </w:r>
      <w:r w:rsidRPr="005A3DC1">
        <w:rPr>
          <w:rFonts w:asciiTheme="minorHAnsi" w:hAnsiTheme="minorHAnsi" w:cstheme="minorHAnsi"/>
          <w:color w:val="000000"/>
        </w:rPr>
        <w:t xml:space="preserve">) </w:t>
      </w:r>
      <w:r w:rsidRPr="005A3DC1">
        <w:rPr>
          <w:rFonts w:asciiTheme="minorHAnsi" w:hAnsiTheme="minorHAnsi" w:cstheme="minorHAnsi"/>
          <w:i/>
          <w:iCs/>
          <w:color w:val="000000"/>
        </w:rPr>
        <w:t>Our national mission: High standards and aspirations for all [HTML]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GOV.WALES</w:t>
      </w:r>
      <w:r w:rsidRPr="005A3DC1">
        <w:rPr>
          <w:rFonts w:asciiTheme="minorHAnsi" w:hAnsiTheme="minorHAnsi" w:cstheme="minorHAnsi"/>
          <w:color w:val="000000"/>
        </w:rPr>
        <w:t>. Available at: https://www.gov.wales/our-national-mission-high-standards-and-aspirations-all-html (Accessed: 21 February 2024).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C339D06" w14:textId="52F8B510" w:rsidR="0029366F" w:rsidRPr="005A3DC1" w:rsidRDefault="0029366F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5A3DC1">
        <w:rPr>
          <w:rFonts w:asciiTheme="minorHAnsi" w:hAnsiTheme="minorHAnsi" w:cstheme="minorHAnsi"/>
          <w:color w:val="000000"/>
        </w:rPr>
        <w:t>Welsh Government (2015)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Well-being of Future generations (</w:t>
      </w:r>
      <w:proofErr w:type="spellStart"/>
      <w:r w:rsidRPr="005A3DC1">
        <w:rPr>
          <w:rFonts w:asciiTheme="minorHAnsi" w:hAnsiTheme="minorHAnsi" w:cstheme="minorHAnsi"/>
          <w:i/>
          <w:iCs/>
          <w:color w:val="000000"/>
        </w:rPr>
        <w:t>wales</w:t>
      </w:r>
      <w:proofErr w:type="spellEnd"/>
      <w:r w:rsidRPr="005A3DC1">
        <w:rPr>
          <w:rFonts w:asciiTheme="minorHAnsi" w:hAnsiTheme="minorHAnsi" w:cstheme="minorHAnsi"/>
          <w:i/>
          <w:iCs/>
          <w:color w:val="000000"/>
        </w:rPr>
        <w:t>) act 2015: The essentials [HTML]</w:t>
      </w:r>
      <w:r w:rsidRPr="005A3DC1">
        <w:rPr>
          <w:rFonts w:asciiTheme="minorHAnsi" w:hAnsiTheme="minorHAnsi" w:cstheme="minorHAnsi"/>
          <w:color w:val="000000"/>
        </w:rPr>
        <w:t>,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GOV.WALES</w:t>
      </w:r>
      <w:r w:rsidRPr="005A3DC1">
        <w:rPr>
          <w:rFonts w:asciiTheme="minorHAnsi" w:hAnsiTheme="minorHAnsi" w:cstheme="minorHAnsi"/>
          <w:color w:val="000000"/>
        </w:rPr>
        <w:t>. Available at: https://www.gov.wales/well-being-future-generations-act-essentials-html#60668 (Accessed: 19 February 2024).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5E65373D" w14:textId="77777777" w:rsidR="00E96BB8" w:rsidRPr="005A3DC1" w:rsidRDefault="00E96BB8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proofErr w:type="spellStart"/>
      <w:r w:rsidRPr="005A3DC1">
        <w:rPr>
          <w:rFonts w:asciiTheme="minorHAnsi" w:hAnsiTheme="minorHAnsi" w:cstheme="minorHAnsi"/>
          <w:color w:val="000000"/>
        </w:rPr>
        <w:t>Whightwick</w:t>
      </w:r>
      <w:proofErr w:type="spellEnd"/>
      <w:r w:rsidRPr="005A3DC1">
        <w:rPr>
          <w:rFonts w:asciiTheme="minorHAnsi" w:hAnsiTheme="minorHAnsi" w:cstheme="minorHAnsi"/>
          <w:color w:val="000000"/>
        </w:rPr>
        <w:t>, A. (2022)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How much school meals cost in every part of Wales</w:t>
      </w:r>
      <w:r w:rsidRPr="005A3DC1">
        <w:rPr>
          <w:rFonts w:asciiTheme="minorHAnsi" w:hAnsiTheme="minorHAnsi" w:cstheme="minorHAnsi"/>
          <w:color w:val="000000"/>
        </w:rPr>
        <w:t>,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A3DC1">
        <w:rPr>
          <w:rFonts w:asciiTheme="minorHAnsi" w:hAnsiTheme="minorHAnsi" w:cstheme="minorHAnsi"/>
          <w:i/>
          <w:iCs/>
          <w:color w:val="000000"/>
        </w:rPr>
        <w:t>Wales Online</w:t>
      </w:r>
      <w:r w:rsidRPr="005A3DC1">
        <w:rPr>
          <w:rFonts w:asciiTheme="minorHAnsi" w:hAnsiTheme="minorHAnsi" w:cstheme="minorHAnsi"/>
          <w:color w:val="000000"/>
        </w:rPr>
        <w:t>. Available at: https://www.walesonline.co.uk/news/education/how-much-school-meals-cost-24360844 (Accessed: 18 February 2024).</w:t>
      </w:r>
      <w:r w:rsidRPr="005A3DC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6AE47FC" w14:textId="3A2EBDE5" w:rsidR="00F96610" w:rsidRPr="005A3DC1" w:rsidRDefault="00F96610" w:rsidP="00C472BF">
      <w:pPr>
        <w:pStyle w:val="NormalWeb"/>
        <w:spacing w:line="276" w:lineRule="auto"/>
        <w:ind w:left="567" w:hanging="567"/>
        <w:rPr>
          <w:rFonts w:asciiTheme="minorHAnsi" w:hAnsiTheme="minorHAnsi" w:cstheme="minorHAnsi"/>
          <w:color w:val="0D0D0D"/>
          <w:shd w:val="clear" w:color="auto" w:fill="FFFFFF"/>
        </w:rPr>
      </w:pPr>
      <w:r w:rsidRPr="005A3DC1">
        <w:rPr>
          <w:rFonts w:asciiTheme="minorHAnsi" w:hAnsiTheme="minorHAnsi" w:cstheme="minorHAnsi"/>
          <w:color w:val="0D0D0D"/>
          <w:shd w:val="clear" w:color="auto" w:fill="FFFFFF"/>
        </w:rPr>
        <w:t>Wong, Y. J. (2008). The effects of reminiscence on psychological well-being of older adults: A meta-analysis. Aging &amp; Mental Health, 12(3), 291-300</w:t>
      </w:r>
    </w:p>
    <w:p w14:paraId="32DF72B1" w14:textId="6CC08B03" w:rsidR="002F5C45" w:rsidRPr="005A3DC1" w:rsidRDefault="002F5C45" w:rsidP="00C472BF">
      <w:pPr>
        <w:pStyle w:val="NormalWeb"/>
        <w:spacing w:line="276" w:lineRule="auto"/>
        <w:ind w:left="567" w:hanging="567"/>
        <w:rPr>
          <w:rFonts w:asciiTheme="minorHAnsi" w:hAnsiTheme="minorHAnsi" w:cstheme="minorHAnsi"/>
          <w:color w:val="0D0D0D"/>
          <w:shd w:val="clear" w:color="auto" w:fill="FFFFFF"/>
        </w:rPr>
      </w:pPr>
      <w:r w:rsidRPr="005A3DC1">
        <w:rPr>
          <w:rFonts w:asciiTheme="minorHAnsi" w:hAnsiTheme="minorHAnsi" w:cstheme="minorHAnsi"/>
          <w:color w:val="0D0D0D"/>
          <w:shd w:val="clear" w:color="auto" w:fill="FFFFFF"/>
        </w:rPr>
        <w:t>Wright, P. (2012). Age-inclusive tourism: An exploratory case study. Journal of Sustainable Tourism, 20(7), 891-908</w:t>
      </w:r>
    </w:p>
    <w:p w14:paraId="2EF6B49D" w14:textId="3AC335C4" w:rsidR="00757083" w:rsidRPr="005A3DC1" w:rsidRDefault="00757083" w:rsidP="00C472BF">
      <w:pPr>
        <w:pStyle w:val="NormalWeb"/>
        <w:spacing w:line="276" w:lineRule="auto"/>
        <w:rPr>
          <w:rFonts w:asciiTheme="minorHAnsi" w:hAnsiTheme="minorHAnsi" w:cstheme="minorHAnsi"/>
          <w:color w:val="0D0D0D"/>
          <w:shd w:val="clear" w:color="auto" w:fill="FFFFFF"/>
        </w:rPr>
      </w:pPr>
      <w:proofErr w:type="spellStart"/>
      <w:r w:rsidRPr="005A3DC1">
        <w:rPr>
          <w:rFonts w:asciiTheme="minorHAnsi" w:hAnsiTheme="minorHAnsi" w:cstheme="minorHAnsi"/>
          <w:color w:val="0D0D0D"/>
          <w:shd w:val="clear" w:color="auto" w:fill="FFFFFF"/>
        </w:rPr>
        <w:lastRenderedPageBreak/>
        <w:t>Vasta</w:t>
      </w:r>
      <w:proofErr w:type="spellEnd"/>
      <w:r w:rsidRPr="005A3DC1">
        <w:rPr>
          <w:rFonts w:asciiTheme="minorHAnsi" w:hAnsiTheme="minorHAnsi" w:cstheme="minorHAnsi"/>
          <w:color w:val="0D0D0D"/>
          <w:shd w:val="clear" w:color="auto" w:fill="FFFFFF"/>
        </w:rPr>
        <w:t>, E., Harris, A., &amp; Jamal, T. (2016). The social construction of communities of practice: A comparative case study of communication practices. Management Learning, 47(1), 10–27</w:t>
      </w:r>
    </w:p>
    <w:p w14:paraId="27FF8151" w14:textId="5F1B6EF8" w:rsidR="00050C48" w:rsidRPr="005A3DC1" w:rsidRDefault="006C35D5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5A3DC1">
        <w:rPr>
          <w:rFonts w:asciiTheme="minorHAnsi" w:hAnsiTheme="minorHAnsi" w:cstheme="minorHAnsi"/>
          <w:color w:val="0D0D0D"/>
          <w:shd w:val="clear" w:color="auto" w:fill="FFFFFF"/>
        </w:rPr>
        <w:t>Vygotsky, L. S. (1978). Mind in society: The development of higher psychological processes. Harvard University Press</w:t>
      </w:r>
    </w:p>
    <w:p w14:paraId="5360D023" w14:textId="77777777" w:rsidR="002E43E0" w:rsidRPr="00C472BF" w:rsidRDefault="002E43E0" w:rsidP="00C472BF">
      <w:pPr>
        <w:pStyle w:val="NormalWeb"/>
        <w:spacing w:line="276" w:lineRule="auto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</w:p>
    <w:p w14:paraId="44C913DD" w14:textId="77777777" w:rsidR="002E43E0" w:rsidRPr="00C472BF" w:rsidRDefault="002E43E0" w:rsidP="00C472BF">
      <w:pPr>
        <w:pStyle w:val="NormalWeb"/>
        <w:spacing w:line="276" w:lineRule="auto"/>
        <w:ind w:left="567" w:hanging="567"/>
        <w:rPr>
          <w:rFonts w:asciiTheme="minorHAnsi" w:hAnsiTheme="minorHAnsi" w:cstheme="minorHAnsi"/>
          <w:color w:val="000000"/>
        </w:rPr>
      </w:pPr>
    </w:p>
    <w:p w14:paraId="57BBC3FF" w14:textId="77777777" w:rsidR="00E96BB8" w:rsidRPr="00C472BF" w:rsidRDefault="00E96BB8" w:rsidP="00C472BF">
      <w:pPr>
        <w:spacing w:line="276" w:lineRule="auto"/>
        <w:rPr>
          <w:rFonts w:cstheme="minorHAnsi"/>
        </w:rPr>
      </w:pPr>
    </w:p>
    <w:sectPr w:rsidR="00E96BB8" w:rsidRPr="00C472BF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997106" w14:textId="77777777" w:rsidR="002E6FC1" w:rsidRDefault="002E6FC1" w:rsidP="002E6FC1">
      <w:r>
        <w:separator/>
      </w:r>
    </w:p>
  </w:endnote>
  <w:endnote w:type="continuationSeparator" w:id="0">
    <w:p w14:paraId="7BB7EF34" w14:textId="77777777" w:rsidR="002E6FC1" w:rsidRDefault="002E6FC1" w:rsidP="002E6F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835A57" w14:textId="77777777" w:rsidR="002E6FC1" w:rsidRDefault="002E6FC1" w:rsidP="002E6FC1">
      <w:r>
        <w:separator/>
      </w:r>
    </w:p>
  </w:footnote>
  <w:footnote w:type="continuationSeparator" w:id="0">
    <w:p w14:paraId="66B8D7E9" w14:textId="77777777" w:rsidR="002E6FC1" w:rsidRDefault="002E6FC1" w:rsidP="002E6FC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28651D" w14:textId="206F4208" w:rsidR="00C472BF" w:rsidRDefault="00C472BF">
    <w:pPr>
      <w:pStyle w:val="Header"/>
    </w:pPr>
    <w:r>
      <w:t>ECAD7003</w:t>
    </w:r>
    <w:r>
      <w:ptab w:relativeTo="margin" w:alignment="right" w:leader="none"/>
    </w:r>
    <w:r>
      <w:t>1900691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6C79A8"/>
    <w:multiLevelType w:val="multilevel"/>
    <w:tmpl w:val="0D98F9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0177265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BB8"/>
    <w:rsid w:val="00050C48"/>
    <w:rsid w:val="001243D4"/>
    <w:rsid w:val="001E1843"/>
    <w:rsid w:val="00271A18"/>
    <w:rsid w:val="0027625D"/>
    <w:rsid w:val="0029366F"/>
    <w:rsid w:val="002E43E0"/>
    <w:rsid w:val="002E6FC1"/>
    <w:rsid w:val="002F5C45"/>
    <w:rsid w:val="003F17F2"/>
    <w:rsid w:val="00411235"/>
    <w:rsid w:val="004A2F1D"/>
    <w:rsid w:val="00541205"/>
    <w:rsid w:val="005479A9"/>
    <w:rsid w:val="005A3DC1"/>
    <w:rsid w:val="00682EF1"/>
    <w:rsid w:val="006C11F7"/>
    <w:rsid w:val="006C35D5"/>
    <w:rsid w:val="00757083"/>
    <w:rsid w:val="007D7A11"/>
    <w:rsid w:val="008A7417"/>
    <w:rsid w:val="009870B3"/>
    <w:rsid w:val="00A85CEE"/>
    <w:rsid w:val="00AA0BFA"/>
    <w:rsid w:val="00B74242"/>
    <w:rsid w:val="00B907DB"/>
    <w:rsid w:val="00C472BF"/>
    <w:rsid w:val="00C55E56"/>
    <w:rsid w:val="00CB48E9"/>
    <w:rsid w:val="00D050F6"/>
    <w:rsid w:val="00D879BE"/>
    <w:rsid w:val="00E10416"/>
    <w:rsid w:val="00E25A30"/>
    <w:rsid w:val="00E96BB8"/>
    <w:rsid w:val="00EF24F7"/>
    <w:rsid w:val="00F377FF"/>
    <w:rsid w:val="00F650E3"/>
    <w:rsid w:val="00F96610"/>
    <w:rsid w:val="00FD2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7C5EE05"/>
  <w15:chartTrackingRefBased/>
  <w15:docId w15:val="{4DFD1386-9D6D-DC45-86C2-E1699EACD5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6BB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96BB8"/>
  </w:style>
  <w:style w:type="character" w:styleId="Hyperlink">
    <w:name w:val="Hyperlink"/>
    <w:basedOn w:val="DefaultParagraphFont"/>
    <w:uiPriority w:val="99"/>
    <w:unhideWhenUsed/>
    <w:rsid w:val="001E18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843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1243D4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2E6F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6FC1"/>
  </w:style>
  <w:style w:type="paragraph" w:styleId="Footer">
    <w:name w:val="footer"/>
    <w:basedOn w:val="Normal"/>
    <w:link w:val="FooterChar"/>
    <w:uiPriority w:val="99"/>
    <w:unhideWhenUsed/>
    <w:rsid w:val="002E6F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6F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6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0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9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9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25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2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6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0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7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7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ageuk.org.uk/cymru/latest-news/connecting-generation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</TotalTime>
  <Pages>5</Pages>
  <Words>1100</Words>
  <Characters>6273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 (1900691)</dc:creator>
  <cp:keywords/>
  <dc:description/>
  <cp:lastModifiedBy>Morgan Jones (1900691)</cp:lastModifiedBy>
  <cp:revision>8</cp:revision>
  <dcterms:created xsi:type="dcterms:W3CDTF">2024-02-18T16:27:00Z</dcterms:created>
  <dcterms:modified xsi:type="dcterms:W3CDTF">2024-03-02T13:26:00Z</dcterms:modified>
</cp:coreProperties>
</file>