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A367BD" w14:textId="77777777" w:rsidR="00C743A5" w:rsidRDefault="00C743A5" w:rsidP="00C743A5">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MODULE CODE:</w:t>
      </w:r>
      <w:r>
        <w:rPr>
          <w:rFonts w:ascii="Arial" w:eastAsia="Times New Roman" w:hAnsi="Arial" w:cs="Times New Roman"/>
          <w:b/>
          <w:szCs w:val="20"/>
          <w:lang w:eastAsia="en-GB"/>
        </w:rPr>
        <w:tab/>
        <w:t>SJIE5005</w:t>
      </w:r>
    </w:p>
    <w:p w14:paraId="6DCFA608" w14:textId="77777777" w:rsidR="00C743A5" w:rsidRDefault="00C743A5" w:rsidP="00C743A5">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TITLE:</w:t>
      </w:r>
      <w:r>
        <w:rPr>
          <w:rFonts w:ascii="Arial" w:eastAsia="Times New Roman" w:hAnsi="Arial" w:cs="Times New Roman"/>
          <w:b/>
          <w:szCs w:val="20"/>
          <w:lang w:eastAsia="en-GB"/>
        </w:rPr>
        <w:tab/>
      </w:r>
      <w:r>
        <w:rPr>
          <w:rFonts w:ascii="Arial" w:eastAsia="Times New Roman" w:hAnsi="Arial" w:cs="Times New Roman"/>
          <w:b/>
          <w:szCs w:val="20"/>
          <w:lang w:eastAsia="en-GB"/>
        </w:rPr>
        <w:tab/>
      </w:r>
      <w:r>
        <w:rPr>
          <w:rFonts w:ascii="Arial" w:eastAsia="Times New Roman" w:hAnsi="Arial" w:cs="Times New Roman"/>
          <w:b/>
          <w:szCs w:val="20"/>
          <w:lang w:eastAsia="en-GB"/>
        </w:rPr>
        <w:tab/>
        <w:t>Children and Young People’s Mental Health and Wellbeing</w:t>
      </w:r>
    </w:p>
    <w:p w14:paraId="52218215" w14:textId="77777777" w:rsidR="00C743A5" w:rsidRDefault="00C743A5" w:rsidP="00C743A5">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DATED:</w:t>
      </w:r>
      <w:r>
        <w:rPr>
          <w:rFonts w:ascii="Arial" w:eastAsia="Times New Roman" w:hAnsi="Arial" w:cs="Times New Roman"/>
          <w:b/>
          <w:szCs w:val="20"/>
          <w:lang w:eastAsia="en-GB"/>
        </w:rPr>
        <w:tab/>
      </w:r>
      <w:r>
        <w:rPr>
          <w:rFonts w:ascii="Arial" w:eastAsia="Times New Roman" w:hAnsi="Arial" w:cs="Times New Roman"/>
          <w:b/>
          <w:szCs w:val="20"/>
          <w:lang w:eastAsia="en-GB"/>
        </w:rPr>
        <w:tab/>
        <w:t>17/03/2016</w:t>
      </w:r>
    </w:p>
    <w:p w14:paraId="6A883F29" w14:textId="77777777" w:rsidR="00C743A5" w:rsidRDefault="00C743A5" w:rsidP="00C743A5">
      <w:pPr>
        <w:spacing w:after="0" w:line="240" w:lineRule="auto"/>
        <w:rPr>
          <w:rFonts w:ascii="Arial" w:eastAsia="Times New Roman" w:hAnsi="Arial" w:cs="Times New Roman"/>
          <w:b/>
          <w:szCs w:val="20"/>
          <w:lang w:eastAsia="en-GB"/>
        </w:rPr>
      </w:pPr>
    </w:p>
    <w:p w14:paraId="07EBF871" w14:textId="77777777" w:rsidR="00C743A5" w:rsidRDefault="00C743A5" w:rsidP="00C743A5">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 xml:space="preserve">LEVEL:  </w:t>
      </w:r>
      <w:r>
        <w:rPr>
          <w:rFonts w:ascii="Arial" w:eastAsia="Times New Roman" w:hAnsi="Arial" w:cs="Times New Roman"/>
          <w:b/>
          <w:szCs w:val="20"/>
          <w:lang w:eastAsia="en-GB"/>
        </w:rPr>
        <w:tab/>
      </w:r>
      <w:r>
        <w:rPr>
          <w:rFonts w:ascii="Arial" w:eastAsia="Times New Roman" w:hAnsi="Arial" w:cs="Times New Roman"/>
          <w:b/>
          <w:szCs w:val="20"/>
          <w:lang w:eastAsia="en-GB"/>
        </w:rPr>
        <w:tab/>
        <w:t>5</w:t>
      </w:r>
      <w:r>
        <w:rPr>
          <w:rFonts w:ascii="Arial" w:eastAsia="Times New Roman" w:hAnsi="Arial" w:cs="Times New Roman"/>
          <w:b/>
          <w:szCs w:val="20"/>
          <w:lang w:eastAsia="en-GB"/>
        </w:rPr>
        <w:tab/>
      </w:r>
    </w:p>
    <w:p w14:paraId="02A6B3C9" w14:textId="77777777" w:rsidR="00C743A5" w:rsidRDefault="00C743A5" w:rsidP="00C743A5">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CREDITS:</w:t>
      </w:r>
      <w:r>
        <w:rPr>
          <w:rFonts w:ascii="Arial" w:eastAsia="Times New Roman" w:hAnsi="Arial" w:cs="Times New Roman"/>
          <w:b/>
          <w:szCs w:val="20"/>
          <w:lang w:eastAsia="en-GB"/>
        </w:rPr>
        <w:tab/>
      </w:r>
      <w:r>
        <w:rPr>
          <w:rFonts w:ascii="Arial" w:eastAsia="Times New Roman" w:hAnsi="Arial" w:cs="Times New Roman"/>
          <w:b/>
          <w:szCs w:val="20"/>
          <w:lang w:eastAsia="en-GB"/>
        </w:rPr>
        <w:tab/>
        <w:t>20</w:t>
      </w:r>
      <w:r>
        <w:rPr>
          <w:rFonts w:ascii="Arial" w:eastAsia="Times New Roman" w:hAnsi="Arial" w:cs="Times New Roman"/>
          <w:b/>
          <w:szCs w:val="20"/>
          <w:lang w:eastAsia="en-GB"/>
        </w:rPr>
        <w:tab/>
      </w:r>
    </w:p>
    <w:p w14:paraId="504BEA5A" w14:textId="77777777" w:rsidR="00C743A5" w:rsidRDefault="00C743A5" w:rsidP="00C743A5">
      <w:pPr>
        <w:spacing w:after="0" w:line="240" w:lineRule="auto"/>
        <w:rPr>
          <w:rFonts w:ascii="Arial" w:eastAsia="Times New Roman" w:hAnsi="Arial" w:cs="Times New Roman"/>
          <w:b/>
          <w:szCs w:val="20"/>
          <w:lang w:eastAsia="en-GB"/>
        </w:rPr>
      </w:pPr>
    </w:p>
    <w:p w14:paraId="0B6A71B7" w14:textId="77777777" w:rsidR="00C743A5" w:rsidRDefault="00C743A5" w:rsidP="00C743A5">
      <w:pPr>
        <w:spacing w:after="0" w:line="240" w:lineRule="auto"/>
        <w:rPr>
          <w:rFonts w:ascii="Arial" w:eastAsia="Times New Roman" w:hAnsi="Arial" w:cs="Times New Roman"/>
          <w:b/>
          <w:szCs w:val="20"/>
          <w:lang w:eastAsia="en-GB"/>
        </w:rPr>
      </w:pPr>
      <w:r>
        <w:rPr>
          <w:rFonts w:ascii="Arial" w:eastAsia="Times New Roman" w:hAnsi="Arial" w:cs="Times New Roman"/>
          <w:b/>
          <w:szCs w:val="20"/>
          <w:lang w:eastAsia="en-GB"/>
        </w:rPr>
        <w:t>JACS CODE:</w:t>
      </w:r>
      <w:r>
        <w:rPr>
          <w:rFonts w:ascii="Arial" w:eastAsia="Times New Roman" w:hAnsi="Arial" w:cs="Times New Roman"/>
          <w:b/>
          <w:szCs w:val="20"/>
          <w:lang w:eastAsia="en-GB"/>
        </w:rPr>
        <w:tab/>
      </w:r>
      <w:r>
        <w:rPr>
          <w:rFonts w:ascii="Arial" w:eastAsia="Times New Roman" w:hAnsi="Arial" w:cs="Times New Roman"/>
          <w:b/>
          <w:szCs w:val="20"/>
          <w:lang w:eastAsia="en-GB"/>
        </w:rPr>
        <w:tab/>
        <w:t>X360 Academic Studies in Specialist Education</w:t>
      </w:r>
    </w:p>
    <w:p w14:paraId="0D993CFF" w14:textId="77777777" w:rsidR="00C743A5" w:rsidRDefault="00C743A5" w:rsidP="00C743A5">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4AC5A900"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1BF13ED7"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r>
        <w:rPr>
          <w:rFonts w:ascii="Arial" w:eastAsia="Times New Roman" w:hAnsi="Arial" w:cs="Arial"/>
          <w:b/>
          <w:szCs w:val="20"/>
          <w:lang w:eastAsia="en-GB"/>
        </w:rPr>
        <w:t>AIM(S)</w:t>
      </w:r>
    </w:p>
    <w:p w14:paraId="11048FC8"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770C9EAE" w14:textId="77777777" w:rsidR="00C743A5" w:rsidRDefault="00C743A5" w:rsidP="00C743A5">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To enable students to gain an understanding of children and young people’s mental health and its importance to their wellbeing.</w:t>
      </w:r>
    </w:p>
    <w:p w14:paraId="3A306DCD" w14:textId="77777777" w:rsidR="00C743A5" w:rsidRDefault="00C743A5" w:rsidP="00C743A5">
      <w:pPr>
        <w:numPr>
          <w:ilvl w:val="0"/>
          <w:numId w:val="1"/>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To introduce students to a range of strategies</w:t>
      </w:r>
      <w:r>
        <w:rPr>
          <w:rFonts w:ascii="Arial" w:eastAsia="Times New Roman" w:hAnsi="Arial" w:cs="Arial"/>
          <w:color w:val="FF0000"/>
          <w:szCs w:val="20"/>
          <w:lang w:eastAsia="en-GB"/>
        </w:rPr>
        <w:t xml:space="preserve"> </w:t>
      </w:r>
      <w:r>
        <w:rPr>
          <w:rFonts w:ascii="Arial" w:eastAsia="Times New Roman" w:hAnsi="Arial" w:cs="Arial"/>
          <w:szCs w:val="20"/>
          <w:lang w:eastAsia="en-GB"/>
        </w:rPr>
        <w:t>and interventions used to improve</w:t>
      </w:r>
    </w:p>
    <w:p w14:paraId="6EF11D39" w14:textId="77777777" w:rsidR="00C743A5" w:rsidRDefault="00C743A5" w:rsidP="00C743A5">
      <w:pPr>
        <w:overflowPunct w:val="0"/>
        <w:autoSpaceDE w:val="0"/>
        <w:autoSpaceDN w:val="0"/>
        <w:adjustRightInd w:val="0"/>
        <w:spacing w:after="0" w:line="240" w:lineRule="auto"/>
        <w:ind w:left="720"/>
        <w:jc w:val="both"/>
        <w:textAlignment w:val="baseline"/>
        <w:rPr>
          <w:rFonts w:ascii="Arial" w:eastAsia="Times New Roman" w:hAnsi="Arial" w:cs="Arial"/>
          <w:b/>
          <w:szCs w:val="20"/>
          <w:lang w:eastAsia="en-GB"/>
        </w:rPr>
      </w:pPr>
      <w:r>
        <w:rPr>
          <w:rFonts w:ascii="Arial" w:eastAsia="Times New Roman" w:hAnsi="Arial" w:cs="Arial"/>
          <w:szCs w:val="20"/>
          <w:lang w:eastAsia="en-GB"/>
        </w:rPr>
        <w:t>children’s mental health.</w:t>
      </w:r>
    </w:p>
    <w:p w14:paraId="32FB060C"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6323DB64"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r>
        <w:rPr>
          <w:rFonts w:ascii="Arial" w:eastAsia="Times New Roman" w:hAnsi="Arial" w:cs="Arial"/>
          <w:b/>
          <w:szCs w:val="20"/>
          <w:lang w:eastAsia="en-GB"/>
        </w:rPr>
        <w:t>LEARNING OUTCOMES</w:t>
      </w:r>
    </w:p>
    <w:p w14:paraId="71A46DC8"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4C14856C"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Upon the successful completion of this module, the student should be able to demonstrate the ability to:</w:t>
      </w:r>
    </w:p>
    <w:p w14:paraId="4A4F4C23"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5F28B4A1" w14:textId="77777777" w:rsidR="00C743A5" w:rsidRDefault="00C743A5" w:rsidP="00C743A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demonstrate a critical understanding of the mental health issues children face;</w:t>
      </w:r>
    </w:p>
    <w:p w14:paraId="37A65D21" w14:textId="77777777" w:rsidR="00C743A5" w:rsidRDefault="00C743A5" w:rsidP="00C743A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demonstrate a critical awareness of the importance of children’s poor mental health and its impact on their well-being, home- and school-life;</w:t>
      </w:r>
    </w:p>
    <w:p w14:paraId="044F9043" w14:textId="77777777" w:rsidR="00C743A5" w:rsidRDefault="00C743A5" w:rsidP="00C743A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identify appropriate treatments and interventions to improve mental health and wellbeing in children;</w:t>
      </w:r>
    </w:p>
    <w:p w14:paraId="7B5E0293" w14:textId="77777777" w:rsidR="00C743A5" w:rsidRDefault="00C743A5" w:rsidP="00C743A5">
      <w:pPr>
        <w:numPr>
          <w:ilvl w:val="0"/>
          <w:numId w:val="2"/>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organise their knowledge and learning through use of a range of information resources, and present their work at the appropriate level.</w:t>
      </w:r>
    </w:p>
    <w:p w14:paraId="6095AFFF"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698DA75F"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INDICATIVE CONTENT</w:t>
      </w:r>
    </w:p>
    <w:p w14:paraId="7A5ACA44"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080E7BFB" w14:textId="77777777" w:rsidR="00C743A5" w:rsidRDefault="00C743A5" w:rsidP="00C743A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An introduction to the diversity of mental health issues children face, e.g. depression, ADHD and Autism.</w:t>
      </w:r>
    </w:p>
    <w:p w14:paraId="2EB7079A" w14:textId="77777777" w:rsidR="00C743A5" w:rsidRDefault="00C743A5" w:rsidP="00C743A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An exploration of the challenges experienced by those with mental health issues e.g. the effect on academic achievement and relationships.</w:t>
      </w:r>
    </w:p>
    <w:p w14:paraId="3EAB7A5C" w14:textId="77777777" w:rsidR="00C743A5" w:rsidRDefault="00C743A5" w:rsidP="00C743A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An introduction to the role of the professional in improving mental health and wellbeing in children e.g. educational psychologists, therapists, counsellors and medical treatments.</w:t>
      </w:r>
    </w:p>
    <w:p w14:paraId="5381E5FA" w14:textId="77777777" w:rsidR="00C743A5" w:rsidRDefault="00C743A5" w:rsidP="00C743A5">
      <w:pPr>
        <w:numPr>
          <w:ilvl w:val="0"/>
          <w:numId w:val="3"/>
        </w:num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An overview of the ways to raise awareness and improve mental health and wellbeing in children.</w:t>
      </w:r>
    </w:p>
    <w:p w14:paraId="39607765"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44D133C9"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LEARNING AND TEACHING STRATEGY</w:t>
      </w:r>
    </w:p>
    <w:p w14:paraId="28BC748C"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60CFE01F"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1D5E71F" w14:textId="77777777" w:rsidR="00C743A5" w:rsidRDefault="00C743A5" w:rsidP="00C743A5">
      <w:pPr>
        <w:overflowPunct w:val="0"/>
        <w:autoSpaceDE w:val="0"/>
        <w:autoSpaceDN w:val="0"/>
        <w:adjustRightInd w:val="0"/>
        <w:spacing w:before="120"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The allocation of teaching to deliver the module is:</w:t>
      </w:r>
    </w:p>
    <w:p w14:paraId="26104C48"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tbl>
      <w:tblPr>
        <w:tblStyle w:val="TableGrid6"/>
        <w:tblW w:w="0" w:type="auto"/>
        <w:tblInd w:w="108" w:type="dxa"/>
        <w:tblLayout w:type="fixed"/>
        <w:tblLook w:val="04A0" w:firstRow="1" w:lastRow="0" w:firstColumn="1" w:lastColumn="0" w:noHBand="0" w:noVBand="1"/>
      </w:tblPr>
      <w:tblGrid>
        <w:gridCol w:w="3969"/>
        <w:gridCol w:w="1701"/>
        <w:gridCol w:w="1843"/>
      </w:tblGrid>
      <w:tr w:rsidR="00C743A5" w14:paraId="409C8F10" w14:textId="77777777" w:rsidTr="00C743A5">
        <w:tc>
          <w:tcPr>
            <w:tcW w:w="3969" w:type="dxa"/>
            <w:tcBorders>
              <w:top w:val="single" w:sz="4" w:space="0" w:color="auto"/>
              <w:left w:val="single" w:sz="4" w:space="0" w:color="auto"/>
              <w:bottom w:val="single" w:sz="4" w:space="0" w:color="auto"/>
              <w:right w:val="single" w:sz="4" w:space="0" w:color="auto"/>
            </w:tcBorders>
            <w:hideMark/>
          </w:tcPr>
          <w:p w14:paraId="5A4B2C96" w14:textId="77777777" w:rsidR="00C743A5" w:rsidRDefault="00C743A5">
            <w:pPr>
              <w:overflowPunct w:val="0"/>
              <w:autoSpaceDE w:val="0"/>
              <w:autoSpaceDN w:val="0"/>
              <w:adjustRightInd w:val="0"/>
              <w:spacing w:line="240" w:lineRule="auto"/>
              <w:jc w:val="both"/>
              <w:textAlignment w:val="baseline"/>
              <w:rPr>
                <w:rFonts w:ascii="Arial" w:hAnsi="Arial" w:cs="Arial"/>
                <w:b/>
                <w:lang w:eastAsia="en-GB"/>
              </w:rPr>
            </w:pPr>
            <w:r>
              <w:rPr>
                <w:rFonts w:ascii="Arial" w:hAnsi="Arial" w:cs="Arial"/>
                <w:b/>
                <w:lang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10FA6CCF" w14:textId="77777777" w:rsidR="00C743A5" w:rsidRDefault="00C743A5">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722CED67" w14:textId="77777777" w:rsidR="00C743A5" w:rsidRDefault="00C743A5">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Percentage</w:t>
            </w:r>
          </w:p>
        </w:tc>
      </w:tr>
      <w:tr w:rsidR="00C743A5" w14:paraId="63CC7B71" w14:textId="77777777" w:rsidTr="00C743A5">
        <w:tc>
          <w:tcPr>
            <w:tcW w:w="3969" w:type="dxa"/>
            <w:tcBorders>
              <w:top w:val="single" w:sz="4" w:space="0" w:color="auto"/>
              <w:left w:val="single" w:sz="4" w:space="0" w:color="auto"/>
              <w:bottom w:val="single" w:sz="4" w:space="0" w:color="auto"/>
              <w:right w:val="single" w:sz="4" w:space="0" w:color="auto"/>
            </w:tcBorders>
            <w:hideMark/>
          </w:tcPr>
          <w:p w14:paraId="51294263" w14:textId="77777777" w:rsidR="00C743A5" w:rsidRDefault="00C743A5">
            <w:pPr>
              <w:overflowPunct w:val="0"/>
              <w:autoSpaceDE w:val="0"/>
              <w:autoSpaceDN w:val="0"/>
              <w:adjustRightInd w:val="0"/>
              <w:spacing w:line="240" w:lineRule="auto"/>
              <w:jc w:val="both"/>
              <w:textAlignment w:val="baseline"/>
              <w:rPr>
                <w:rFonts w:ascii="Arial" w:hAnsi="Arial" w:cs="Arial"/>
                <w:lang w:eastAsia="en-GB"/>
              </w:rPr>
            </w:pPr>
            <w:r>
              <w:rPr>
                <w:rFonts w:ascii="Arial" w:hAnsi="Arial" w:cs="Arial"/>
                <w:lang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36E4A72F"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60</w:t>
            </w:r>
          </w:p>
        </w:tc>
        <w:tc>
          <w:tcPr>
            <w:tcW w:w="1843" w:type="dxa"/>
            <w:tcBorders>
              <w:top w:val="single" w:sz="4" w:space="0" w:color="auto"/>
              <w:left w:val="single" w:sz="4" w:space="0" w:color="auto"/>
              <w:bottom w:val="single" w:sz="4" w:space="0" w:color="auto"/>
              <w:right w:val="single" w:sz="4" w:space="0" w:color="auto"/>
            </w:tcBorders>
            <w:hideMark/>
          </w:tcPr>
          <w:p w14:paraId="7CEE7A08"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30%</w:t>
            </w:r>
          </w:p>
        </w:tc>
      </w:tr>
      <w:tr w:rsidR="00C743A5" w14:paraId="64E7586F" w14:textId="77777777" w:rsidTr="00C743A5">
        <w:tc>
          <w:tcPr>
            <w:tcW w:w="3969" w:type="dxa"/>
            <w:tcBorders>
              <w:top w:val="single" w:sz="4" w:space="0" w:color="auto"/>
              <w:left w:val="single" w:sz="4" w:space="0" w:color="auto"/>
              <w:bottom w:val="single" w:sz="4" w:space="0" w:color="auto"/>
              <w:right w:val="single" w:sz="4" w:space="0" w:color="auto"/>
            </w:tcBorders>
            <w:hideMark/>
          </w:tcPr>
          <w:p w14:paraId="36A885AD" w14:textId="77777777" w:rsidR="00C743A5" w:rsidRDefault="00C743A5">
            <w:pPr>
              <w:overflowPunct w:val="0"/>
              <w:autoSpaceDE w:val="0"/>
              <w:autoSpaceDN w:val="0"/>
              <w:adjustRightInd w:val="0"/>
              <w:spacing w:line="240" w:lineRule="auto"/>
              <w:jc w:val="both"/>
              <w:textAlignment w:val="baseline"/>
              <w:rPr>
                <w:rFonts w:ascii="Arial" w:hAnsi="Arial" w:cs="Arial"/>
                <w:lang w:eastAsia="en-GB"/>
              </w:rPr>
            </w:pPr>
            <w:r>
              <w:rPr>
                <w:rFonts w:ascii="Arial" w:hAnsi="Arial" w:cs="Arial"/>
                <w:lang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7A1D1FB3"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120</w:t>
            </w:r>
          </w:p>
        </w:tc>
        <w:tc>
          <w:tcPr>
            <w:tcW w:w="1843" w:type="dxa"/>
            <w:tcBorders>
              <w:top w:val="single" w:sz="4" w:space="0" w:color="auto"/>
              <w:left w:val="single" w:sz="4" w:space="0" w:color="auto"/>
              <w:bottom w:val="single" w:sz="4" w:space="0" w:color="auto"/>
              <w:right w:val="single" w:sz="4" w:space="0" w:color="auto"/>
            </w:tcBorders>
            <w:hideMark/>
          </w:tcPr>
          <w:p w14:paraId="4A561EC5"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60%</w:t>
            </w:r>
          </w:p>
        </w:tc>
      </w:tr>
      <w:tr w:rsidR="00C743A5" w14:paraId="42A68054" w14:textId="77777777" w:rsidTr="00C743A5">
        <w:tc>
          <w:tcPr>
            <w:tcW w:w="3969" w:type="dxa"/>
            <w:tcBorders>
              <w:top w:val="single" w:sz="4" w:space="0" w:color="auto"/>
              <w:left w:val="single" w:sz="4" w:space="0" w:color="auto"/>
              <w:bottom w:val="single" w:sz="4" w:space="0" w:color="auto"/>
              <w:right w:val="single" w:sz="4" w:space="0" w:color="auto"/>
            </w:tcBorders>
            <w:hideMark/>
          </w:tcPr>
          <w:p w14:paraId="1A38979B" w14:textId="77777777" w:rsidR="00C743A5" w:rsidRDefault="00C743A5">
            <w:pPr>
              <w:overflowPunct w:val="0"/>
              <w:autoSpaceDE w:val="0"/>
              <w:autoSpaceDN w:val="0"/>
              <w:adjustRightInd w:val="0"/>
              <w:spacing w:line="240" w:lineRule="auto"/>
              <w:jc w:val="both"/>
              <w:textAlignment w:val="baseline"/>
              <w:rPr>
                <w:rFonts w:ascii="Arial" w:hAnsi="Arial" w:cs="Arial"/>
                <w:lang w:eastAsia="en-GB"/>
              </w:rPr>
            </w:pPr>
            <w:r>
              <w:rPr>
                <w:rFonts w:ascii="Arial" w:hAnsi="Arial" w:cs="Arial"/>
                <w:lang w:eastAsia="en-GB"/>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081CE3C3"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20</w:t>
            </w:r>
          </w:p>
        </w:tc>
        <w:tc>
          <w:tcPr>
            <w:tcW w:w="1843" w:type="dxa"/>
            <w:tcBorders>
              <w:top w:val="single" w:sz="4" w:space="0" w:color="auto"/>
              <w:left w:val="single" w:sz="4" w:space="0" w:color="auto"/>
              <w:bottom w:val="single" w:sz="4" w:space="0" w:color="auto"/>
              <w:right w:val="single" w:sz="4" w:space="0" w:color="auto"/>
            </w:tcBorders>
            <w:hideMark/>
          </w:tcPr>
          <w:p w14:paraId="575A6A22"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10%</w:t>
            </w:r>
          </w:p>
        </w:tc>
      </w:tr>
      <w:tr w:rsidR="00C743A5" w14:paraId="6B612BA0" w14:textId="77777777" w:rsidTr="00C743A5">
        <w:tc>
          <w:tcPr>
            <w:tcW w:w="3969" w:type="dxa"/>
            <w:tcBorders>
              <w:top w:val="single" w:sz="4" w:space="0" w:color="auto"/>
              <w:left w:val="single" w:sz="4" w:space="0" w:color="auto"/>
              <w:bottom w:val="single" w:sz="4" w:space="0" w:color="auto"/>
              <w:right w:val="single" w:sz="4" w:space="0" w:color="auto"/>
            </w:tcBorders>
            <w:hideMark/>
          </w:tcPr>
          <w:p w14:paraId="0895F887" w14:textId="77777777" w:rsidR="00C743A5" w:rsidRDefault="00C743A5">
            <w:pPr>
              <w:overflowPunct w:val="0"/>
              <w:autoSpaceDE w:val="0"/>
              <w:autoSpaceDN w:val="0"/>
              <w:adjustRightInd w:val="0"/>
              <w:spacing w:line="240" w:lineRule="auto"/>
              <w:jc w:val="both"/>
              <w:textAlignment w:val="baseline"/>
              <w:rPr>
                <w:rFonts w:ascii="Arial" w:hAnsi="Arial" w:cs="Arial"/>
                <w:lang w:eastAsia="en-GB"/>
              </w:rPr>
            </w:pPr>
            <w:r>
              <w:rPr>
                <w:rFonts w:ascii="Arial" w:hAnsi="Arial" w:cs="Arial"/>
                <w:b/>
                <w:lang w:eastAsia="en-GB"/>
              </w:rPr>
              <w:lastRenderedPageBreak/>
              <w:t>TOTAL</w:t>
            </w:r>
          </w:p>
        </w:tc>
        <w:tc>
          <w:tcPr>
            <w:tcW w:w="1701" w:type="dxa"/>
            <w:tcBorders>
              <w:top w:val="single" w:sz="4" w:space="0" w:color="auto"/>
              <w:left w:val="single" w:sz="4" w:space="0" w:color="auto"/>
              <w:bottom w:val="single" w:sz="4" w:space="0" w:color="auto"/>
              <w:right w:val="single" w:sz="4" w:space="0" w:color="auto"/>
            </w:tcBorders>
            <w:hideMark/>
          </w:tcPr>
          <w:p w14:paraId="7C6BF6A1" w14:textId="77777777" w:rsidR="00C743A5" w:rsidRDefault="00C743A5">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200</w:t>
            </w:r>
          </w:p>
        </w:tc>
        <w:tc>
          <w:tcPr>
            <w:tcW w:w="1843" w:type="dxa"/>
            <w:tcBorders>
              <w:top w:val="single" w:sz="4" w:space="0" w:color="auto"/>
              <w:left w:val="single" w:sz="4" w:space="0" w:color="auto"/>
              <w:bottom w:val="single" w:sz="4" w:space="0" w:color="auto"/>
              <w:right w:val="single" w:sz="4" w:space="0" w:color="auto"/>
            </w:tcBorders>
            <w:hideMark/>
          </w:tcPr>
          <w:p w14:paraId="54E18968" w14:textId="77777777" w:rsidR="00C743A5" w:rsidRDefault="00C743A5">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100%</w:t>
            </w:r>
          </w:p>
        </w:tc>
      </w:tr>
    </w:tbl>
    <w:p w14:paraId="09D398F5"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p>
    <w:p w14:paraId="159F9DFD"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p>
    <w:p w14:paraId="277CA21E"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r>
        <w:rPr>
          <w:rFonts w:ascii="Arial" w:eastAsia="Times New Roman" w:hAnsi="Arial" w:cs="Arial"/>
          <w:b/>
          <w:szCs w:val="20"/>
          <w:lang w:eastAsia="en-GB"/>
        </w:rPr>
        <w:t>ASSESSMENT</w:t>
      </w:r>
    </w:p>
    <w:p w14:paraId="73641D01"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p>
    <w:p w14:paraId="62B9B3D6"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r>
        <w:rPr>
          <w:rFonts w:ascii="Arial" w:eastAsia="Times New Roman" w:hAnsi="Arial" w:cs="Arial"/>
          <w:b/>
          <w:szCs w:val="20"/>
          <w:lang w:eastAsia="en-GB"/>
        </w:rPr>
        <w:t>Assessment Component 1 – 60%</w:t>
      </w:r>
    </w:p>
    <w:p w14:paraId="0934F7FB"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501A067D"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 xml:space="preserve">Assignment (2500 words) </w:t>
      </w:r>
    </w:p>
    <w:p w14:paraId="1177CCFE"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3BFFEF1C"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Exemplar</w:t>
      </w:r>
    </w:p>
    <w:p w14:paraId="6484DFE8"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588EC635"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Critically analyse some of the mental health and well-being issues children and young people face.  Discuss how these issues affect their well-being, home and school life.</w:t>
      </w:r>
    </w:p>
    <w:p w14:paraId="7856D3EA"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Cs w:val="20"/>
          <w:lang w:eastAsia="en-GB"/>
        </w:rPr>
      </w:pPr>
    </w:p>
    <w:p w14:paraId="360CB118"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r>
        <w:rPr>
          <w:rFonts w:ascii="Arial" w:eastAsia="Times New Roman" w:hAnsi="Arial" w:cs="Arial"/>
          <w:b/>
          <w:szCs w:val="20"/>
          <w:lang w:eastAsia="en-GB"/>
        </w:rPr>
        <w:t>Assessment Component 2 – 40%</w:t>
      </w:r>
    </w:p>
    <w:p w14:paraId="1FF2AD94" w14:textId="77777777" w:rsidR="00C743A5" w:rsidRDefault="00C743A5" w:rsidP="00C743A5">
      <w:pPr>
        <w:overflowPunct w:val="0"/>
        <w:autoSpaceDE w:val="0"/>
        <w:autoSpaceDN w:val="0"/>
        <w:adjustRightInd w:val="0"/>
        <w:spacing w:after="0" w:line="240" w:lineRule="auto"/>
        <w:textAlignment w:val="baseline"/>
        <w:rPr>
          <w:rFonts w:ascii="Arial" w:eastAsia="Times New Roman" w:hAnsi="Arial" w:cs="Arial"/>
          <w:szCs w:val="20"/>
          <w:lang w:eastAsia="en-GB"/>
        </w:rPr>
      </w:pPr>
    </w:p>
    <w:p w14:paraId="3BF9C1A9" w14:textId="77777777" w:rsidR="00C743A5" w:rsidRDefault="00C743A5" w:rsidP="00C743A5">
      <w:pPr>
        <w:overflowPunct w:val="0"/>
        <w:autoSpaceDE w:val="0"/>
        <w:autoSpaceDN w:val="0"/>
        <w:adjustRightInd w:val="0"/>
        <w:spacing w:after="0" w:line="240" w:lineRule="auto"/>
        <w:textAlignment w:val="baseline"/>
        <w:rPr>
          <w:rFonts w:ascii="Arial" w:eastAsia="Times New Roman" w:hAnsi="Arial" w:cs="Arial"/>
          <w:szCs w:val="20"/>
          <w:lang w:eastAsia="en-GB"/>
        </w:rPr>
      </w:pPr>
      <w:r>
        <w:rPr>
          <w:rFonts w:ascii="Arial" w:eastAsia="Times New Roman" w:hAnsi="Arial" w:cs="Arial"/>
          <w:szCs w:val="20"/>
          <w:lang w:eastAsia="en-GB"/>
        </w:rPr>
        <w:t>Promotional Campaign (12 minutes)</w:t>
      </w:r>
    </w:p>
    <w:p w14:paraId="77874164"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1AE480BB"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Exemplar</w:t>
      </w:r>
    </w:p>
    <w:p w14:paraId="4B2B52E2"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Incorporating one of the issues studied in this module, the promotional campaign will aim to promote awareness of and develop strategies to support children with poor mental health.</w:t>
      </w:r>
    </w:p>
    <w:p w14:paraId="581796D8"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1C02C825"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r>
        <w:rPr>
          <w:rFonts w:ascii="Arial" w:eastAsia="Times New Roman" w:hAnsi="Arial" w:cs="Arial"/>
          <w:b/>
          <w:szCs w:val="20"/>
          <w:lang w:eastAsia="en-GB"/>
        </w:rPr>
        <w:t>Assessment Summary</w:t>
      </w:r>
    </w:p>
    <w:tbl>
      <w:tblPr>
        <w:tblStyle w:val="TableGrid6"/>
        <w:tblW w:w="0" w:type="auto"/>
        <w:tblInd w:w="0" w:type="dxa"/>
        <w:tblLayout w:type="fixed"/>
        <w:tblLook w:val="04A0" w:firstRow="1" w:lastRow="0" w:firstColumn="1" w:lastColumn="0" w:noHBand="0" w:noVBand="1"/>
      </w:tblPr>
      <w:tblGrid>
        <w:gridCol w:w="3261"/>
        <w:gridCol w:w="1842"/>
      </w:tblGrid>
      <w:tr w:rsidR="00C743A5" w14:paraId="08B81368" w14:textId="77777777" w:rsidTr="00C743A5">
        <w:tc>
          <w:tcPr>
            <w:tcW w:w="3261" w:type="dxa"/>
            <w:tcBorders>
              <w:top w:val="single" w:sz="4" w:space="0" w:color="auto"/>
              <w:left w:val="single" w:sz="4" w:space="0" w:color="auto"/>
              <w:bottom w:val="single" w:sz="4" w:space="0" w:color="auto"/>
              <w:right w:val="single" w:sz="4" w:space="0" w:color="auto"/>
            </w:tcBorders>
            <w:hideMark/>
          </w:tcPr>
          <w:p w14:paraId="31C4E798" w14:textId="77777777" w:rsidR="00C743A5" w:rsidRDefault="00C743A5">
            <w:pPr>
              <w:overflowPunct w:val="0"/>
              <w:autoSpaceDE w:val="0"/>
              <w:autoSpaceDN w:val="0"/>
              <w:adjustRightInd w:val="0"/>
              <w:spacing w:line="240" w:lineRule="auto"/>
              <w:textAlignment w:val="baseline"/>
              <w:rPr>
                <w:rFonts w:ascii="Arial" w:hAnsi="Arial" w:cs="Arial"/>
                <w:b/>
                <w:lang w:eastAsia="en-GB"/>
              </w:rPr>
            </w:pPr>
            <w:r>
              <w:rPr>
                <w:rFonts w:ascii="Arial" w:hAnsi="Arial" w:cs="Arial"/>
                <w:b/>
                <w:lang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69F575E0" w14:textId="77777777" w:rsidR="00C743A5" w:rsidRDefault="00C743A5">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Percentage</w:t>
            </w:r>
          </w:p>
        </w:tc>
      </w:tr>
      <w:tr w:rsidR="00C743A5" w14:paraId="348CAAB9" w14:textId="77777777" w:rsidTr="00C743A5">
        <w:tc>
          <w:tcPr>
            <w:tcW w:w="3261" w:type="dxa"/>
            <w:tcBorders>
              <w:top w:val="single" w:sz="4" w:space="0" w:color="auto"/>
              <w:left w:val="single" w:sz="4" w:space="0" w:color="auto"/>
              <w:bottom w:val="single" w:sz="4" w:space="0" w:color="auto"/>
              <w:right w:val="single" w:sz="4" w:space="0" w:color="auto"/>
            </w:tcBorders>
            <w:hideMark/>
          </w:tcPr>
          <w:p w14:paraId="18CD2805" w14:textId="77777777" w:rsidR="00C743A5" w:rsidRDefault="00C743A5">
            <w:pPr>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1184F3E1"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0%</w:t>
            </w:r>
          </w:p>
        </w:tc>
      </w:tr>
      <w:tr w:rsidR="00C743A5" w14:paraId="75AD5A65" w14:textId="77777777" w:rsidTr="00C743A5">
        <w:tc>
          <w:tcPr>
            <w:tcW w:w="3261" w:type="dxa"/>
            <w:tcBorders>
              <w:top w:val="single" w:sz="4" w:space="0" w:color="auto"/>
              <w:left w:val="single" w:sz="4" w:space="0" w:color="auto"/>
              <w:bottom w:val="single" w:sz="4" w:space="0" w:color="auto"/>
              <w:right w:val="single" w:sz="4" w:space="0" w:color="auto"/>
            </w:tcBorders>
            <w:hideMark/>
          </w:tcPr>
          <w:p w14:paraId="137E4697" w14:textId="77777777" w:rsidR="00C743A5" w:rsidRDefault="00C743A5">
            <w:pPr>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6E66B7FD"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60%</w:t>
            </w:r>
          </w:p>
        </w:tc>
      </w:tr>
      <w:tr w:rsidR="00C743A5" w14:paraId="74D7F00A" w14:textId="77777777" w:rsidTr="00C743A5">
        <w:tc>
          <w:tcPr>
            <w:tcW w:w="3261" w:type="dxa"/>
            <w:tcBorders>
              <w:top w:val="single" w:sz="4" w:space="0" w:color="auto"/>
              <w:left w:val="single" w:sz="4" w:space="0" w:color="auto"/>
              <w:bottom w:val="single" w:sz="4" w:space="0" w:color="auto"/>
              <w:right w:val="single" w:sz="4" w:space="0" w:color="auto"/>
            </w:tcBorders>
            <w:hideMark/>
          </w:tcPr>
          <w:p w14:paraId="1671CDB4" w14:textId="77777777" w:rsidR="00C743A5" w:rsidRDefault="00C743A5">
            <w:pPr>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Practical</w:t>
            </w:r>
          </w:p>
        </w:tc>
        <w:tc>
          <w:tcPr>
            <w:tcW w:w="1842" w:type="dxa"/>
            <w:tcBorders>
              <w:top w:val="single" w:sz="4" w:space="0" w:color="auto"/>
              <w:left w:val="single" w:sz="4" w:space="0" w:color="auto"/>
              <w:bottom w:val="single" w:sz="4" w:space="0" w:color="auto"/>
              <w:right w:val="single" w:sz="4" w:space="0" w:color="auto"/>
            </w:tcBorders>
            <w:hideMark/>
          </w:tcPr>
          <w:p w14:paraId="26ED335B" w14:textId="77777777" w:rsidR="00C743A5" w:rsidRDefault="00C743A5">
            <w:pPr>
              <w:overflowPunct w:val="0"/>
              <w:autoSpaceDE w:val="0"/>
              <w:autoSpaceDN w:val="0"/>
              <w:adjustRightInd w:val="0"/>
              <w:spacing w:line="240" w:lineRule="auto"/>
              <w:jc w:val="center"/>
              <w:textAlignment w:val="baseline"/>
              <w:rPr>
                <w:rFonts w:ascii="Arial" w:hAnsi="Arial" w:cs="Arial"/>
                <w:lang w:eastAsia="en-GB"/>
              </w:rPr>
            </w:pPr>
            <w:r>
              <w:rPr>
                <w:rFonts w:ascii="Arial" w:hAnsi="Arial" w:cs="Arial"/>
                <w:lang w:eastAsia="en-GB"/>
              </w:rPr>
              <w:t>40%</w:t>
            </w:r>
          </w:p>
        </w:tc>
      </w:tr>
      <w:tr w:rsidR="00C743A5" w14:paraId="7606D93A" w14:textId="77777777" w:rsidTr="00C743A5">
        <w:tc>
          <w:tcPr>
            <w:tcW w:w="3261" w:type="dxa"/>
            <w:tcBorders>
              <w:top w:val="single" w:sz="4" w:space="0" w:color="auto"/>
              <w:left w:val="single" w:sz="4" w:space="0" w:color="auto"/>
              <w:bottom w:val="single" w:sz="4" w:space="0" w:color="auto"/>
              <w:right w:val="single" w:sz="4" w:space="0" w:color="auto"/>
            </w:tcBorders>
            <w:hideMark/>
          </w:tcPr>
          <w:p w14:paraId="1B20A280" w14:textId="77777777" w:rsidR="00C743A5" w:rsidRDefault="00C743A5">
            <w:pPr>
              <w:overflowPunct w:val="0"/>
              <w:autoSpaceDE w:val="0"/>
              <w:autoSpaceDN w:val="0"/>
              <w:adjustRightInd w:val="0"/>
              <w:spacing w:line="240" w:lineRule="auto"/>
              <w:textAlignment w:val="baseline"/>
              <w:rPr>
                <w:rFonts w:ascii="Arial" w:hAnsi="Arial" w:cs="Arial"/>
                <w:lang w:eastAsia="en-GB"/>
              </w:rPr>
            </w:pPr>
            <w:r>
              <w:rPr>
                <w:rFonts w:ascii="Arial" w:hAnsi="Arial" w:cs="Arial"/>
                <w:b/>
                <w:lang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4E06CD82" w14:textId="77777777" w:rsidR="00C743A5" w:rsidRDefault="00C743A5">
            <w:pPr>
              <w:overflowPunct w:val="0"/>
              <w:autoSpaceDE w:val="0"/>
              <w:autoSpaceDN w:val="0"/>
              <w:adjustRightInd w:val="0"/>
              <w:spacing w:line="240" w:lineRule="auto"/>
              <w:jc w:val="center"/>
              <w:textAlignment w:val="baseline"/>
              <w:rPr>
                <w:rFonts w:ascii="Arial" w:hAnsi="Arial" w:cs="Arial"/>
                <w:b/>
                <w:lang w:eastAsia="en-GB"/>
              </w:rPr>
            </w:pPr>
            <w:r>
              <w:rPr>
                <w:rFonts w:ascii="Arial" w:hAnsi="Arial" w:cs="Arial"/>
                <w:b/>
                <w:lang w:eastAsia="en-GB"/>
              </w:rPr>
              <w:t>100%</w:t>
            </w:r>
          </w:p>
        </w:tc>
      </w:tr>
    </w:tbl>
    <w:p w14:paraId="7FC88093" w14:textId="77777777" w:rsidR="00C743A5" w:rsidRDefault="00C743A5" w:rsidP="00C743A5">
      <w:pPr>
        <w:overflowPunct w:val="0"/>
        <w:autoSpaceDE w:val="0"/>
        <w:autoSpaceDN w:val="0"/>
        <w:adjustRightInd w:val="0"/>
        <w:spacing w:after="0" w:line="240" w:lineRule="auto"/>
        <w:textAlignment w:val="baseline"/>
        <w:rPr>
          <w:rFonts w:ascii="Arial" w:eastAsia="Times New Roman" w:hAnsi="Arial" w:cs="Arial"/>
          <w:szCs w:val="20"/>
          <w:lang w:eastAsia="en-GB"/>
        </w:rPr>
      </w:pPr>
    </w:p>
    <w:p w14:paraId="49F98701"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r>
        <w:rPr>
          <w:rFonts w:ascii="Arial" w:eastAsia="Times New Roman" w:hAnsi="Arial" w:cs="Arial"/>
          <w:b/>
          <w:szCs w:val="20"/>
          <w:lang w:eastAsia="en-GB"/>
        </w:rPr>
        <w:t>EDUCATION FOR SUSTAINABLE DEVELOPMENT (ESD)</w:t>
      </w:r>
    </w:p>
    <w:p w14:paraId="04BD1818"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szCs w:val="20"/>
          <w:lang w:eastAsia="en-GB"/>
        </w:rPr>
      </w:pPr>
    </w:p>
    <w:tbl>
      <w:tblPr>
        <w:tblStyle w:val="TableGrid6"/>
        <w:tblW w:w="0" w:type="auto"/>
        <w:tblInd w:w="0" w:type="dxa"/>
        <w:tblLook w:val="04A0" w:firstRow="1" w:lastRow="0" w:firstColumn="1" w:lastColumn="0" w:noHBand="0" w:noVBand="1"/>
      </w:tblPr>
      <w:tblGrid>
        <w:gridCol w:w="4443"/>
        <w:gridCol w:w="4443"/>
      </w:tblGrid>
      <w:tr w:rsidR="00C743A5" w14:paraId="62BD139E" w14:textId="77777777" w:rsidTr="00C743A5">
        <w:tc>
          <w:tcPr>
            <w:tcW w:w="4443" w:type="dxa"/>
            <w:vMerge w:val="restart"/>
            <w:tcBorders>
              <w:top w:val="single" w:sz="4" w:space="0" w:color="auto"/>
              <w:left w:val="single" w:sz="4" w:space="0" w:color="auto"/>
              <w:bottom w:val="single" w:sz="4" w:space="0" w:color="auto"/>
              <w:right w:val="single" w:sz="4" w:space="0" w:color="auto"/>
            </w:tcBorders>
            <w:vAlign w:val="center"/>
            <w:hideMark/>
          </w:tcPr>
          <w:p w14:paraId="65520551" w14:textId="77777777" w:rsidR="00C743A5" w:rsidRDefault="00C743A5">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Does the module contribute to ESD?</w:t>
            </w:r>
          </w:p>
        </w:tc>
        <w:tc>
          <w:tcPr>
            <w:tcW w:w="4443" w:type="dxa"/>
            <w:tcBorders>
              <w:top w:val="single" w:sz="4" w:space="0" w:color="auto"/>
              <w:left w:val="single" w:sz="4" w:space="0" w:color="auto"/>
              <w:bottom w:val="single" w:sz="4" w:space="0" w:color="auto"/>
              <w:right w:val="single" w:sz="4" w:space="0" w:color="auto"/>
            </w:tcBorders>
            <w:vAlign w:val="center"/>
          </w:tcPr>
          <w:p w14:paraId="16A2E1E6" w14:textId="77777777" w:rsidR="00C743A5" w:rsidRDefault="00C743A5">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b/>
                <w:lang w:eastAsia="en-GB"/>
              </w:rPr>
            </w:pPr>
            <w:r>
              <w:rPr>
                <w:rFonts w:ascii="Arial" w:hAnsi="Arial" w:cs="Arial"/>
                <w:b/>
                <w:lang w:eastAsia="en-GB"/>
              </w:rPr>
              <w:t>Yes</w:t>
            </w:r>
          </w:p>
          <w:p w14:paraId="01C0F67F" w14:textId="77777777" w:rsidR="00C743A5" w:rsidRDefault="00C743A5">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lang w:eastAsia="en-GB"/>
              </w:rPr>
            </w:pPr>
          </w:p>
        </w:tc>
      </w:tr>
      <w:tr w:rsidR="00C743A5" w14:paraId="385211CA" w14:textId="77777777" w:rsidTr="00C743A5">
        <w:tc>
          <w:tcPr>
            <w:tcW w:w="0" w:type="auto"/>
            <w:vMerge/>
            <w:tcBorders>
              <w:top w:val="single" w:sz="4" w:space="0" w:color="auto"/>
              <w:left w:val="single" w:sz="4" w:space="0" w:color="auto"/>
              <w:bottom w:val="single" w:sz="4" w:space="0" w:color="auto"/>
              <w:right w:val="single" w:sz="4" w:space="0" w:color="auto"/>
            </w:tcBorders>
            <w:vAlign w:val="center"/>
            <w:hideMark/>
          </w:tcPr>
          <w:p w14:paraId="0AA6780F" w14:textId="77777777" w:rsidR="00C743A5" w:rsidRDefault="00C743A5">
            <w:pPr>
              <w:spacing w:line="240" w:lineRule="auto"/>
              <w:rPr>
                <w:rFonts w:ascii="Arial" w:hAnsi="Arial" w:cs="Arial"/>
                <w:lang w:eastAsia="en-GB"/>
              </w:rPr>
            </w:pPr>
          </w:p>
        </w:tc>
        <w:tc>
          <w:tcPr>
            <w:tcW w:w="4443" w:type="dxa"/>
            <w:tcBorders>
              <w:top w:val="single" w:sz="4" w:space="0" w:color="auto"/>
              <w:left w:val="single" w:sz="4" w:space="0" w:color="auto"/>
              <w:bottom w:val="single" w:sz="4" w:space="0" w:color="auto"/>
              <w:right w:val="single" w:sz="4" w:space="0" w:color="auto"/>
            </w:tcBorders>
            <w:vAlign w:val="center"/>
          </w:tcPr>
          <w:p w14:paraId="2F5891E5" w14:textId="77777777" w:rsidR="00C743A5" w:rsidRDefault="00C743A5">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eastAsia="en-GB"/>
              </w:rPr>
            </w:pPr>
          </w:p>
          <w:p w14:paraId="73E1CBBD" w14:textId="77777777" w:rsidR="00C743A5" w:rsidRDefault="00C743A5">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lang w:eastAsia="en-GB"/>
              </w:rPr>
            </w:pPr>
          </w:p>
        </w:tc>
      </w:tr>
      <w:tr w:rsidR="00C743A5" w14:paraId="4C86366F" w14:textId="77777777" w:rsidTr="00C743A5">
        <w:tc>
          <w:tcPr>
            <w:tcW w:w="8886" w:type="dxa"/>
            <w:gridSpan w:val="2"/>
            <w:tcBorders>
              <w:top w:val="single" w:sz="4" w:space="0" w:color="auto"/>
              <w:left w:val="single" w:sz="4" w:space="0" w:color="auto"/>
              <w:bottom w:val="single" w:sz="4" w:space="0" w:color="auto"/>
              <w:right w:val="single" w:sz="4" w:space="0" w:color="auto"/>
            </w:tcBorders>
          </w:tcPr>
          <w:p w14:paraId="3F813D3D" w14:textId="77777777" w:rsidR="00C743A5" w:rsidRDefault="00C743A5">
            <w:pPr>
              <w:tabs>
                <w:tab w:val="left" w:pos="720"/>
                <w:tab w:val="left" w:pos="1440"/>
                <w:tab w:val="left" w:pos="2160"/>
                <w:tab w:val="left" w:pos="2880"/>
              </w:tabs>
              <w:overflowPunct w:val="0"/>
              <w:autoSpaceDE w:val="0"/>
              <w:autoSpaceDN w:val="0"/>
              <w:adjustRightInd w:val="0"/>
              <w:spacing w:line="240" w:lineRule="auto"/>
              <w:textAlignment w:val="baseline"/>
              <w:rPr>
                <w:rFonts w:ascii="Arial" w:hAnsi="Arial" w:cs="Arial"/>
                <w:lang w:eastAsia="en-GB"/>
              </w:rPr>
            </w:pPr>
            <w:r>
              <w:rPr>
                <w:rFonts w:ascii="Arial" w:hAnsi="Arial" w:cs="Arial"/>
                <w:lang w:eastAsia="en-GB"/>
              </w:rPr>
              <w:t>If yes please provide brief details (no more than 100 words):</w:t>
            </w:r>
          </w:p>
          <w:p w14:paraId="5C17123E" w14:textId="77777777" w:rsidR="00C743A5" w:rsidRDefault="00C743A5">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lang w:eastAsia="en-GB"/>
              </w:rPr>
            </w:pPr>
          </w:p>
          <w:p w14:paraId="7C23C07E" w14:textId="77777777" w:rsidR="00C743A5" w:rsidRDefault="00C743A5">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lang w:eastAsia="en-GB"/>
              </w:rPr>
            </w:pPr>
            <w:r>
              <w:rPr>
                <w:rFonts w:ascii="Arial" w:hAnsi="Arial" w:cs="Arial"/>
                <w:lang w:eastAsia="en-GB"/>
              </w:rPr>
              <w:t xml:space="preserve">Understanding the root cause of </w:t>
            </w:r>
            <w:proofErr w:type="gramStart"/>
            <w:r>
              <w:rPr>
                <w:rFonts w:ascii="Arial" w:hAnsi="Arial" w:cs="Arial"/>
                <w:lang w:eastAsia="en-GB"/>
              </w:rPr>
              <w:t>children‘</w:t>
            </w:r>
            <w:proofErr w:type="gramEnd"/>
            <w:r>
              <w:rPr>
                <w:rFonts w:ascii="Arial" w:hAnsi="Arial" w:cs="Arial"/>
                <w:lang w:eastAsia="en-GB"/>
              </w:rPr>
              <w:t xml:space="preserve">s mental health and well-being is essential. This module explores a range of issues faced by children in today’s society. Working with students who have an invested interest in a child’s well-being can only help to ensure that children thrive in their environment, in the hope to sustain future generations as healthy, resilient and balanced adults.  </w:t>
            </w:r>
          </w:p>
          <w:p w14:paraId="029C982A" w14:textId="77777777" w:rsidR="00C743A5" w:rsidRDefault="00C743A5">
            <w:pPr>
              <w:tabs>
                <w:tab w:val="left" w:pos="720"/>
                <w:tab w:val="left" w:pos="1440"/>
                <w:tab w:val="left" w:pos="2160"/>
                <w:tab w:val="left" w:pos="2880"/>
              </w:tabs>
              <w:overflowPunct w:val="0"/>
              <w:autoSpaceDE w:val="0"/>
              <w:autoSpaceDN w:val="0"/>
              <w:adjustRightInd w:val="0"/>
              <w:spacing w:line="240" w:lineRule="auto"/>
              <w:jc w:val="both"/>
              <w:textAlignment w:val="baseline"/>
              <w:rPr>
                <w:rFonts w:ascii="Arial" w:hAnsi="Arial" w:cs="Arial"/>
                <w:lang w:eastAsia="en-GB"/>
              </w:rPr>
            </w:pPr>
          </w:p>
        </w:tc>
      </w:tr>
    </w:tbl>
    <w:p w14:paraId="53E31C7D"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p>
    <w:p w14:paraId="4AC8C1EC"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r>
        <w:rPr>
          <w:rFonts w:ascii="Arial" w:eastAsia="Times New Roman" w:hAnsi="Arial" w:cs="Arial"/>
          <w:b/>
          <w:szCs w:val="20"/>
          <w:lang w:eastAsia="en-GB"/>
        </w:rPr>
        <w:t>BIBLIOGRAPHY</w:t>
      </w:r>
    </w:p>
    <w:p w14:paraId="12C464C3"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szCs w:val="20"/>
          <w:lang w:eastAsia="en-GB"/>
        </w:rPr>
      </w:pPr>
    </w:p>
    <w:p w14:paraId="135A4125"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Essential</w:t>
      </w:r>
    </w:p>
    <w:p w14:paraId="0881D3AE"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Claveirole</w:t>
      </w:r>
      <w:proofErr w:type="spellEnd"/>
      <w:r>
        <w:rPr>
          <w:rFonts w:ascii="Arial" w:eastAsia="Times New Roman" w:hAnsi="Arial" w:cs="Arial"/>
          <w:szCs w:val="20"/>
          <w:lang w:eastAsia="en-GB"/>
        </w:rPr>
        <w:t xml:space="preserve">, A. and </w:t>
      </w:r>
      <w:proofErr w:type="spellStart"/>
      <w:r>
        <w:rPr>
          <w:rFonts w:ascii="Arial" w:eastAsia="Times New Roman" w:hAnsi="Arial" w:cs="Arial"/>
          <w:szCs w:val="20"/>
          <w:lang w:eastAsia="en-GB"/>
        </w:rPr>
        <w:t>Gaughan</w:t>
      </w:r>
      <w:proofErr w:type="spellEnd"/>
      <w:r>
        <w:rPr>
          <w:rFonts w:ascii="Arial" w:eastAsia="Times New Roman" w:hAnsi="Arial" w:cs="Arial"/>
          <w:szCs w:val="20"/>
          <w:lang w:eastAsia="en-GB"/>
        </w:rPr>
        <w:t xml:space="preserve">, M. (2010) </w:t>
      </w:r>
      <w:r>
        <w:rPr>
          <w:rFonts w:ascii="Arial" w:eastAsia="Times New Roman" w:hAnsi="Arial" w:cs="Arial"/>
          <w:i/>
          <w:iCs/>
          <w:szCs w:val="20"/>
          <w:lang w:eastAsia="en-GB"/>
        </w:rPr>
        <w:t xml:space="preserve">Understanding Children and Young People's Mental Health, </w:t>
      </w:r>
      <w:r>
        <w:rPr>
          <w:rFonts w:ascii="Arial" w:eastAsia="Times New Roman" w:hAnsi="Arial" w:cs="Arial"/>
          <w:szCs w:val="20"/>
          <w:lang w:eastAsia="en-GB"/>
        </w:rPr>
        <w:t>London: Wiley-Blackwell.</w:t>
      </w:r>
    </w:p>
    <w:p w14:paraId="77A26644" w14:textId="77777777" w:rsidR="00C743A5" w:rsidRDefault="00C743A5" w:rsidP="00C743A5">
      <w:pPr>
        <w:autoSpaceDE w:val="0"/>
        <w:autoSpaceDN w:val="0"/>
        <w:adjustRightInd w:val="0"/>
        <w:spacing w:after="0" w:line="240" w:lineRule="auto"/>
        <w:rPr>
          <w:rFonts w:ascii="Arial" w:eastAsia="Times New Roman" w:hAnsi="Arial" w:cs="Arial"/>
          <w:i/>
          <w:iCs/>
          <w:szCs w:val="20"/>
          <w:lang w:eastAsia="en-GB"/>
        </w:rPr>
      </w:pPr>
      <w:r>
        <w:rPr>
          <w:rFonts w:ascii="Arial" w:eastAsia="Times New Roman" w:hAnsi="Arial" w:cs="Arial"/>
          <w:szCs w:val="20"/>
          <w:lang w:eastAsia="en-GB"/>
        </w:rPr>
        <w:t xml:space="preserve">Collins, J. and Foley, P. (2008) </w:t>
      </w:r>
      <w:r>
        <w:rPr>
          <w:rFonts w:ascii="Arial" w:eastAsia="Times New Roman" w:hAnsi="Arial" w:cs="Arial"/>
          <w:i/>
          <w:iCs/>
          <w:szCs w:val="20"/>
          <w:lang w:eastAsia="en-GB"/>
        </w:rPr>
        <w:t>Promoting Children's Well-being: Policy and Practice</w:t>
      </w:r>
    </w:p>
    <w:p w14:paraId="2C3A376A"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i/>
          <w:iCs/>
          <w:szCs w:val="20"/>
          <w:lang w:eastAsia="en-GB"/>
        </w:rPr>
        <w:t xml:space="preserve">(Working Together for Children), </w:t>
      </w:r>
      <w:r>
        <w:rPr>
          <w:rFonts w:ascii="Arial" w:eastAsia="Times New Roman" w:hAnsi="Arial" w:cs="Arial"/>
          <w:szCs w:val="20"/>
          <w:lang w:eastAsia="en-GB"/>
        </w:rPr>
        <w:t>London: Policy Press.</w:t>
      </w:r>
    </w:p>
    <w:p w14:paraId="506CA8F6"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Corcoran, J. (2010). </w:t>
      </w:r>
      <w:r>
        <w:rPr>
          <w:rFonts w:ascii="Arial" w:eastAsia="Times New Roman" w:hAnsi="Arial" w:cs="Arial"/>
          <w:i/>
          <w:iCs/>
          <w:szCs w:val="20"/>
          <w:lang w:eastAsia="en-GB"/>
        </w:rPr>
        <w:t>Mental health treatment for children and adolescents</w:t>
      </w:r>
      <w:r>
        <w:rPr>
          <w:rFonts w:ascii="Arial" w:eastAsia="Times New Roman" w:hAnsi="Arial" w:cs="Arial"/>
          <w:szCs w:val="20"/>
          <w:lang w:eastAsia="en-GB"/>
        </w:rPr>
        <w:t>. Oxford University Press.</w:t>
      </w:r>
    </w:p>
    <w:p w14:paraId="739ABBD5" w14:textId="77777777" w:rsidR="00C743A5" w:rsidRDefault="00C743A5" w:rsidP="00C743A5">
      <w:pPr>
        <w:autoSpaceDE w:val="0"/>
        <w:autoSpaceDN w:val="0"/>
        <w:adjustRightInd w:val="0"/>
        <w:spacing w:after="0" w:line="240" w:lineRule="auto"/>
        <w:rPr>
          <w:rFonts w:ascii="Arial" w:eastAsia="Times New Roman" w:hAnsi="Arial" w:cs="Arial"/>
          <w:i/>
          <w:iCs/>
          <w:szCs w:val="20"/>
          <w:lang w:eastAsia="en-GB"/>
        </w:rPr>
      </w:pPr>
      <w:r>
        <w:rPr>
          <w:rFonts w:ascii="Arial" w:eastAsia="Times New Roman" w:hAnsi="Arial" w:cs="Arial"/>
          <w:szCs w:val="20"/>
          <w:lang w:eastAsia="en-GB"/>
        </w:rPr>
        <w:t xml:space="preserve">Dogra, N. (2008) </w:t>
      </w:r>
      <w:r>
        <w:rPr>
          <w:rFonts w:ascii="Arial" w:eastAsia="Times New Roman" w:hAnsi="Arial" w:cs="Arial"/>
          <w:i/>
          <w:iCs/>
          <w:szCs w:val="20"/>
          <w:lang w:eastAsia="en-GB"/>
        </w:rPr>
        <w:t>A Multidisciplinary Handbook of Child and Adolescent Mental Health for</w:t>
      </w:r>
    </w:p>
    <w:p w14:paraId="1224CBC0"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i/>
          <w:iCs/>
          <w:szCs w:val="20"/>
          <w:lang w:eastAsia="en-GB"/>
        </w:rPr>
        <w:t xml:space="preserve">Front-line Professionals, </w:t>
      </w:r>
      <w:r>
        <w:rPr>
          <w:rFonts w:ascii="Arial" w:eastAsia="Times New Roman" w:hAnsi="Arial" w:cs="Arial"/>
          <w:szCs w:val="20"/>
          <w:lang w:eastAsia="en-GB"/>
        </w:rPr>
        <w:t>(2</w:t>
      </w:r>
      <w:r>
        <w:rPr>
          <w:rFonts w:ascii="Arial" w:eastAsia="Times New Roman" w:hAnsi="Arial" w:cs="Arial"/>
          <w:sz w:val="14"/>
          <w:szCs w:val="14"/>
          <w:lang w:eastAsia="en-GB"/>
        </w:rPr>
        <w:t xml:space="preserve">nd </w:t>
      </w:r>
      <w:r>
        <w:rPr>
          <w:rFonts w:ascii="Arial" w:eastAsia="Times New Roman" w:hAnsi="Arial" w:cs="Arial"/>
          <w:szCs w:val="20"/>
          <w:lang w:eastAsia="en-GB"/>
        </w:rPr>
        <w:t>Edition) Jessica Kingsley Publishers Ltd.</w:t>
      </w:r>
    </w:p>
    <w:p w14:paraId="28A9317C"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roofErr w:type="spellStart"/>
      <w:r>
        <w:rPr>
          <w:rFonts w:ascii="Arial" w:eastAsia="Times New Roman" w:hAnsi="Arial" w:cs="Arial"/>
          <w:szCs w:val="20"/>
          <w:lang w:eastAsia="en-GB"/>
        </w:rPr>
        <w:t>Zeanah</w:t>
      </w:r>
      <w:proofErr w:type="spellEnd"/>
      <w:r>
        <w:rPr>
          <w:rFonts w:ascii="Arial" w:eastAsia="Times New Roman" w:hAnsi="Arial" w:cs="Arial"/>
          <w:szCs w:val="20"/>
          <w:lang w:eastAsia="en-GB"/>
        </w:rPr>
        <w:t xml:space="preserve"> Jr. C, H. (2012) </w:t>
      </w:r>
      <w:r>
        <w:rPr>
          <w:rFonts w:ascii="Arial" w:eastAsia="Times New Roman" w:hAnsi="Arial" w:cs="Arial"/>
          <w:i/>
          <w:iCs/>
          <w:szCs w:val="20"/>
          <w:lang w:eastAsia="en-GB"/>
        </w:rPr>
        <w:t>Handbook of Infant Mental Health</w:t>
      </w:r>
      <w:r>
        <w:rPr>
          <w:rFonts w:ascii="Arial" w:eastAsia="Times New Roman" w:hAnsi="Arial" w:cs="Arial"/>
          <w:szCs w:val="20"/>
          <w:lang w:eastAsia="en-GB"/>
        </w:rPr>
        <w:t>, (3</w:t>
      </w:r>
      <w:r>
        <w:rPr>
          <w:rFonts w:ascii="Arial" w:eastAsia="Times New Roman" w:hAnsi="Arial" w:cs="Arial"/>
          <w:sz w:val="14"/>
          <w:szCs w:val="14"/>
          <w:lang w:eastAsia="en-GB"/>
        </w:rPr>
        <w:t xml:space="preserve">rd </w:t>
      </w:r>
      <w:r>
        <w:rPr>
          <w:rFonts w:ascii="Arial" w:eastAsia="Times New Roman" w:hAnsi="Arial" w:cs="Arial"/>
          <w:szCs w:val="20"/>
          <w:lang w:eastAsia="en-GB"/>
        </w:rPr>
        <w:t>Edition), Guilford Press</w:t>
      </w:r>
    </w:p>
    <w:p w14:paraId="7DDC2661"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b/>
          <w:szCs w:val="20"/>
          <w:lang w:eastAsia="en-GB"/>
        </w:rPr>
      </w:pPr>
    </w:p>
    <w:p w14:paraId="01B94A42"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p>
    <w:p w14:paraId="3C62728F"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Recommended</w:t>
      </w:r>
    </w:p>
    <w:p w14:paraId="27D1B4B7"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Attwood, T. (2008) The Complete Guide to Asperger's Syndrome. Jessica Kingsley</w:t>
      </w:r>
    </w:p>
    <w:p w14:paraId="330E9604"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 xml:space="preserve">Bradshaw, J. (2016) </w:t>
      </w:r>
      <w:r>
        <w:rPr>
          <w:rFonts w:ascii="Arial" w:eastAsia="Times New Roman" w:hAnsi="Arial" w:cs="Arial"/>
          <w:i/>
          <w:iCs/>
          <w:szCs w:val="20"/>
          <w:lang w:eastAsia="en-GB"/>
        </w:rPr>
        <w:t xml:space="preserve">The Well-Being of Children in the UK </w:t>
      </w:r>
      <w:proofErr w:type="gramStart"/>
      <w:r>
        <w:rPr>
          <w:rFonts w:ascii="Arial" w:eastAsia="Times New Roman" w:hAnsi="Arial" w:cs="Arial"/>
          <w:szCs w:val="20"/>
          <w:lang w:eastAsia="en-GB"/>
        </w:rPr>
        <w:t>(</w:t>
      </w:r>
      <w:r>
        <w:rPr>
          <w:rFonts w:ascii="Arial" w:eastAsia="Times New Roman" w:hAnsi="Arial" w:cs="Arial"/>
          <w:sz w:val="14"/>
          <w:szCs w:val="14"/>
          <w:lang w:eastAsia="en-GB"/>
        </w:rPr>
        <w:t xml:space="preserve"> 4</w:t>
      </w:r>
      <w:proofErr w:type="gramEnd"/>
      <w:r>
        <w:rPr>
          <w:rFonts w:ascii="Arial" w:eastAsia="Times New Roman" w:hAnsi="Arial" w:cs="Arial"/>
          <w:sz w:val="14"/>
          <w:szCs w:val="14"/>
          <w:vertAlign w:val="superscript"/>
          <w:lang w:eastAsia="en-GB"/>
        </w:rPr>
        <w:t>th</w:t>
      </w:r>
      <w:r>
        <w:rPr>
          <w:rFonts w:ascii="Arial" w:eastAsia="Times New Roman" w:hAnsi="Arial" w:cs="Arial"/>
          <w:sz w:val="14"/>
          <w:szCs w:val="14"/>
          <w:lang w:eastAsia="en-GB"/>
        </w:rPr>
        <w:t xml:space="preserve">  </w:t>
      </w:r>
      <w:r>
        <w:rPr>
          <w:rFonts w:ascii="Arial" w:eastAsia="Times New Roman" w:hAnsi="Arial" w:cs="Arial"/>
          <w:szCs w:val="20"/>
          <w:lang w:eastAsia="en-GB"/>
        </w:rPr>
        <w:t>Edition), London: Policy Press.</w:t>
      </w:r>
    </w:p>
    <w:p w14:paraId="519DE082"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Ghaziuddin</w:t>
      </w:r>
      <w:proofErr w:type="spellEnd"/>
      <w:r>
        <w:rPr>
          <w:rFonts w:ascii="Arial" w:eastAsia="Times New Roman" w:hAnsi="Arial" w:cs="Arial"/>
          <w:szCs w:val="20"/>
          <w:lang w:eastAsia="en-GB"/>
        </w:rPr>
        <w:t xml:space="preserve">, M. (2005) </w:t>
      </w:r>
      <w:r>
        <w:rPr>
          <w:rFonts w:ascii="Arial" w:eastAsia="Times New Roman" w:hAnsi="Arial" w:cs="Arial"/>
          <w:i/>
          <w:iCs/>
          <w:szCs w:val="20"/>
          <w:lang w:eastAsia="en-GB"/>
        </w:rPr>
        <w:t>Mental Health Aspects of Autism and Asperger Syndrome</w:t>
      </w:r>
      <w:r>
        <w:rPr>
          <w:rFonts w:ascii="Arial" w:eastAsia="Times New Roman" w:hAnsi="Arial" w:cs="Arial"/>
          <w:szCs w:val="20"/>
          <w:lang w:eastAsia="en-GB"/>
        </w:rPr>
        <w:t>. Jessica</w:t>
      </w:r>
    </w:p>
    <w:p w14:paraId="30BAB8E3"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Kingsley</w:t>
      </w:r>
    </w:p>
    <w:p w14:paraId="0653B841"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 xml:space="preserve">McAuley, C., Pecora, P.J. and Rose, R. (2006) </w:t>
      </w:r>
      <w:r>
        <w:rPr>
          <w:rFonts w:ascii="Arial" w:eastAsia="Times New Roman" w:hAnsi="Arial" w:cs="Arial"/>
          <w:i/>
          <w:iCs/>
          <w:szCs w:val="20"/>
          <w:lang w:eastAsia="en-GB"/>
        </w:rPr>
        <w:t xml:space="preserve">Enhancing the Well-being of Children and Families Through Effective Interventions: International Evidence for Practice, </w:t>
      </w:r>
      <w:r>
        <w:rPr>
          <w:rFonts w:ascii="Arial" w:eastAsia="Times New Roman" w:hAnsi="Arial" w:cs="Arial"/>
          <w:szCs w:val="20"/>
          <w:lang w:eastAsia="en-GB"/>
        </w:rPr>
        <w:t>London: Jessica Kingsley.</w:t>
      </w:r>
    </w:p>
    <w:p w14:paraId="54D05CA5"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 xml:space="preserve">McAuley, C. and </w:t>
      </w:r>
      <w:proofErr w:type="spellStart"/>
      <w:r>
        <w:rPr>
          <w:rFonts w:ascii="Arial" w:eastAsia="Times New Roman" w:hAnsi="Arial" w:cs="Arial"/>
          <w:szCs w:val="20"/>
          <w:lang w:eastAsia="en-GB"/>
        </w:rPr>
        <w:t>Reose</w:t>
      </w:r>
      <w:proofErr w:type="spellEnd"/>
      <w:r>
        <w:rPr>
          <w:rFonts w:ascii="Arial" w:eastAsia="Times New Roman" w:hAnsi="Arial" w:cs="Arial"/>
          <w:szCs w:val="20"/>
          <w:lang w:eastAsia="en-GB"/>
        </w:rPr>
        <w:t xml:space="preserve">, W. (2010) </w:t>
      </w:r>
      <w:r>
        <w:rPr>
          <w:rFonts w:ascii="Arial" w:eastAsia="Times New Roman" w:hAnsi="Arial" w:cs="Arial"/>
          <w:i/>
          <w:iCs/>
          <w:szCs w:val="20"/>
          <w:lang w:eastAsia="en-GB"/>
        </w:rPr>
        <w:t>Child Well-being: Understanding Children's Lives</w:t>
      </w:r>
      <w:r>
        <w:rPr>
          <w:rFonts w:ascii="Arial" w:eastAsia="Times New Roman" w:hAnsi="Arial" w:cs="Arial"/>
          <w:szCs w:val="20"/>
          <w:lang w:eastAsia="en-GB"/>
        </w:rPr>
        <w:t>,</w:t>
      </w:r>
    </w:p>
    <w:p w14:paraId="587F0746"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London: Jessica Kingsley Publishers.</w:t>
      </w:r>
    </w:p>
    <w:p w14:paraId="1C46E066"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 xml:space="preserve">Riley, J., Wragg, T. and Burrell, A. (2007) </w:t>
      </w:r>
      <w:r>
        <w:rPr>
          <w:rFonts w:ascii="Arial" w:eastAsia="Times New Roman" w:hAnsi="Arial" w:cs="Arial"/>
          <w:i/>
          <w:iCs/>
          <w:szCs w:val="20"/>
          <w:lang w:eastAsia="en-GB"/>
        </w:rPr>
        <w:t>Promoting Children's Well-being</w:t>
      </w:r>
      <w:r>
        <w:rPr>
          <w:rFonts w:ascii="Arial" w:eastAsia="Times New Roman" w:hAnsi="Arial" w:cs="Arial"/>
          <w:szCs w:val="20"/>
          <w:lang w:eastAsia="en-GB"/>
        </w:rPr>
        <w:t>, London: Network Continuum Education.</w:t>
      </w:r>
    </w:p>
    <w:p w14:paraId="661B65F8"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Timimi</w:t>
      </w:r>
      <w:proofErr w:type="spellEnd"/>
      <w:r>
        <w:rPr>
          <w:rFonts w:ascii="Arial" w:eastAsia="Times New Roman" w:hAnsi="Arial" w:cs="Arial"/>
          <w:szCs w:val="20"/>
          <w:lang w:eastAsia="en-GB"/>
        </w:rPr>
        <w:t xml:space="preserve">, S., Bentall, R. and Sanders, P. (2009) </w:t>
      </w:r>
      <w:r>
        <w:rPr>
          <w:rFonts w:ascii="Arial" w:eastAsia="Times New Roman" w:hAnsi="Arial" w:cs="Arial"/>
          <w:i/>
          <w:iCs/>
          <w:szCs w:val="20"/>
          <w:lang w:eastAsia="en-GB"/>
        </w:rPr>
        <w:t>A Straight-talking Introduction to Children's Mental Health Problems</w:t>
      </w:r>
      <w:r>
        <w:rPr>
          <w:rFonts w:ascii="Arial" w:eastAsia="Times New Roman" w:hAnsi="Arial" w:cs="Arial"/>
          <w:szCs w:val="20"/>
          <w:lang w:eastAsia="en-GB"/>
        </w:rPr>
        <w:t>, London: PCCS Books.</w:t>
      </w:r>
    </w:p>
    <w:p w14:paraId="4423CEC8"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Underdown</w:t>
      </w:r>
      <w:proofErr w:type="spellEnd"/>
      <w:r>
        <w:rPr>
          <w:rFonts w:ascii="Arial" w:eastAsia="Times New Roman" w:hAnsi="Arial" w:cs="Arial"/>
          <w:szCs w:val="20"/>
          <w:lang w:eastAsia="en-GB"/>
        </w:rPr>
        <w:t xml:space="preserve">, A. (2006) </w:t>
      </w:r>
      <w:r>
        <w:rPr>
          <w:rFonts w:ascii="Arial" w:eastAsia="Times New Roman" w:hAnsi="Arial" w:cs="Arial"/>
          <w:i/>
          <w:iCs/>
          <w:szCs w:val="20"/>
          <w:lang w:eastAsia="en-GB"/>
        </w:rPr>
        <w:t xml:space="preserve">Young Children's Health and Well-being, </w:t>
      </w:r>
      <w:r>
        <w:rPr>
          <w:rFonts w:ascii="Arial" w:eastAsia="Times New Roman" w:hAnsi="Arial" w:cs="Arial"/>
          <w:szCs w:val="20"/>
          <w:lang w:eastAsia="en-GB"/>
        </w:rPr>
        <w:t>Buckingham: Open</w:t>
      </w:r>
    </w:p>
    <w:p w14:paraId="2CC0B9E1"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University Press.</w:t>
      </w:r>
    </w:p>
    <w:p w14:paraId="78A7C3CD"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p>
    <w:p w14:paraId="570F9239"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Background</w:t>
      </w:r>
    </w:p>
    <w:p w14:paraId="0B696D33"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Baginsky</w:t>
      </w:r>
      <w:proofErr w:type="spellEnd"/>
      <w:r>
        <w:rPr>
          <w:rFonts w:ascii="Arial" w:eastAsia="Times New Roman" w:hAnsi="Arial" w:cs="Arial"/>
          <w:szCs w:val="20"/>
          <w:lang w:eastAsia="en-GB"/>
        </w:rPr>
        <w:t>, M. (2008). Safeguarding children and schools. Jessica Kingsley Publishers.</w:t>
      </w:r>
    </w:p>
    <w:p w14:paraId="668F04DB"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Haugaard</w:t>
      </w:r>
      <w:proofErr w:type="spellEnd"/>
      <w:r>
        <w:rPr>
          <w:rFonts w:ascii="Arial" w:eastAsia="Times New Roman" w:hAnsi="Arial" w:cs="Arial"/>
          <w:szCs w:val="20"/>
          <w:lang w:eastAsia="en-GB"/>
        </w:rPr>
        <w:t xml:space="preserve">, J. J. (2008) </w:t>
      </w:r>
      <w:r>
        <w:rPr>
          <w:rFonts w:ascii="Arial" w:eastAsia="Times New Roman" w:hAnsi="Arial" w:cs="Arial"/>
          <w:i/>
          <w:iCs/>
          <w:szCs w:val="20"/>
          <w:lang w:eastAsia="en-GB"/>
        </w:rPr>
        <w:t xml:space="preserve">Child Psychopathology. </w:t>
      </w:r>
      <w:r>
        <w:rPr>
          <w:rFonts w:ascii="Arial" w:eastAsia="Times New Roman" w:hAnsi="Arial" w:cs="Arial"/>
          <w:szCs w:val="20"/>
          <w:lang w:eastAsia="en-GB"/>
        </w:rPr>
        <w:t>McGraw-Hill Higher Education</w:t>
      </w:r>
    </w:p>
    <w:p w14:paraId="17BA42C4"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proofErr w:type="spellStart"/>
      <w:r>
        <w:rPr>
          <w:rFonts w:ascii="Arial" w:eastAsia="Times New Roman" w:hAnsi="Arial" w:cs="Arial"/>
          <w:szCs w:val="20"/>
          <w:lang w:eastAsia="en-GB"/>
        </w:rPr>
        <w:t>Huberty</w:t>
      </w:r>
      <w:proofErr w:type="spellEnd"/>
      <w:r>
        <w:rPr>
          <w:rFonts w:ascii="Arial" w:eastAsia="Times New Roman" w:hAnsi="Arial" w:cs="Arial"/>
          <w:szCs w:val="20"/>
          <w:lang w:eastAsia="en-GB"/>
        </w:rPr>
        <w:t>, T. J. (2012). </w:t>
      </w:r>
      <w:r>
        <w:rPr>
          <w:rFonts w:ascii="Arial" w:eastAsia="Times New Roman" w:hAnsi="Arial" w:cs="Arial"/>
          <w:i/>
          <w:iCs/>
          <w:szCs w:val="20"/>
          <w:lang w:eastAsia="en-GB"/>
        </w:rPr>
        <w:t>Anxiety and depression in children and adolescents: Assessment, intervention, and prevention</w:t>
      </w:r>
      <w:r>
        <w:rPr>
          <w:rFonts w:ascii="Arial" w:eastAsia="Times New Roman" w:hAnsi="Arial" w:cs="Arial"/>
          <w:szCs w:val="20"/>
          <w:lang w:eastAsia="en-GB"/>
        </w:rPr>
        <w:t>. Springer Science &amp; Business Media.</w:t>
      </w:r>
    </w:p>
    <w:p w14:paraId="5FA020AF" w14:textId="77777777" w:rsidR="00C743A5" w:rsidRDefault="00C743A5" w:rsidP="00C743A5">
      <w:pPr>
        <w:autoSpaceDE w:val="0"/>
        <w:autoSpaceDN w:val="0"/>
        <w:adjustRightInd w:val="0"/>
        <w:spacing w:after="0" w:line="240" w:lineRule="auto"/>
        <w:rPr>
          <w:rFonts w:ascii="Arial" w:eastAsia="Times New Roman" w:hAnsi="Arial" w:cs="Arial"/>
          <w:szCs w:val="20"/>
          <w:lang w:eastAsia="en-GB"/>
        </w:rPr>
      </w:pPr>
      <w:r>
        <w:rPr>
          <w:rFonts w:ascii="Arial" w:eastAsia="Times New Roman" w:hAnsi="Arial" w:cs="Arial"/>
          <w:szCs w:val="20"/>
          <w:lang w:eastAsia="en-GB"/>
        </w:rPr>
        <w:t xml:space="preserve">Thompson, M., Hooper, C., Laver-Bradbury, C. and Gale, C. (2012) </w:t>
      </w:r>
      <w:r>
        <w:rPr>
          <w:rFonts w:ascii="Arial" w:eastAsia="Times New Roman" w:hAnsi="Arial" w:cs="Arial"/>
          <w:i/>
          <w:iCs/>
          <w:szCs w:val="20"/>
          <w:lang w:eastAsia="en-GB"/>
        </w:rPr>
        <w:t>Child and Adolescent Mental Health: Theory and Practice</w:t>
      </w:r>
      <w:r>
        <w:rPr>
          <w:rFonts w:ascii="Arial" w:eastAsia="Times New Roman" w:hAnsi="Arial" w:cs="Arial"/>
          <w:szCs w:val="20"/>
          <w:lang w:eastAsia="en-GB"/>
        </w:rPr>
        <w:t>, (2</w:t>
      </w:r>
      <w:r>
        <w:rPr>
          <w:rFonts w:ascii="Arial" w:eastAsia="Times New Roman" w:hAnsi="Arial" w:cs="Arial"/>
          <w:sz w:val="14"/>
          <w:szCs w:val="14"/>
          <w:lang w:eastAsia="en-GB"/>
        </w:rPr>
        <w:t xml:space="preserve">nd </w:t>
      </w:r>
      <w:r>
        <w:rPr>
          <w:rFonts w:ascii="Arial" w:eastAsia="Times New Roman" w:hAnsi="Arial" w:cs="Arial"/>
          <w:szCs w:val="20"/>
          <w:lang w:eastAsia="en-GB"/>
        </w:rPr>
        <w:t>Edition): Hodder Arnold.</w:t>
      </w:r>
    </w:p>
    <w:p w14:paraId="1D12BE5B"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p>
    <w:p w14:paraId="731D684C"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 xml:space="preserve">Journals </w:t>
      </w:r>
    </w:p>
    <w:p w14:paraId="4A371123"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p>
    <w:p w14:paraId="3D994A5A" w14:textId="77777777" w:rsidR="00C743A5" w:rsidRDefault="00C743A5" w:rsidP="00C743A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szCs w:val="20"/>
          <w:lang w:eastAsia="en-GB"/>
        </w:rPr>
      </w:pPr>
      <w:r>
        <w:rPr>
          <w:rFonts w:ascii="Arial" w:eastAsia="Times New Roman" w:hAnsi="Arial" w:cs="Arial"/>
          <w:b/>
          <w:szCs w:val="20"/>
          <w:lang w:eastAsia="en-GB"/>
        </w:rPr>
        <w:t xml:space="preserve">Websites </w:t>
      </w:r>
    </w:p>
    <w:p w14:paraId="3CC621FB"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1812785F"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During the course of the module, students will also be advised of related papers, texts and</w:t>
      </w:r>
    </w:p>
    <w:p w14:paraId="17A0945A" w14:textId="14B41C9C"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r>
        <w:rPr>
          <w:rFonts w:ascii="Arial" w:eastAsia="Times New Roman" w:hAnsi="Arial" w:cs="Arial"/>
          <w:szCs w:val="20"/>
          <w:lang w:eastAsia="en-GB"/>
        </w:rPr>
        <w:t>Websites, bilingual where possible.</w:t>
      </w:r>
    </w:p>
    <w:p w14:paraId="5CBA5653"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bookmarkStart w:id="0" w:name="_GoBack"/>
      <w:bookmarkEnd w:id="0"/>
    </w:p>
    <w:p w14:paraId="0668113F" w14:textId="77777777" w:rsidR="00C743A5" w:rsidRDefault="00C743A5" w:rsidP="00C743A5">
      <w:pPr>
        <w:overflowPunct w:val="0"/>
        <w:autoSpaceDE w:val="0"/>
        <w:autoSpaceDN w:val="0"/>
        <w:adjustRightInd w:val="0"/>
        <w:spacing w:after="0" w:line="240" w:lineRule="auto"/>
        <w:jc w:val="both"/>
        <w:textAlignment w:val="baseline"/>
        <w:rPr>
          <w:rFonts w:ascii="Arial" w:eastAsia="Times New Roman" w:hAnsi="Arial" w:cs="Arial"/>
          <w:szCs w:val="20"/>
          <w:lang w:eastAsia="en-GB"/>
        </w:rPr>
      </w:pPr>
    </w:p>
    <w:p w14:paraId="616A5B7A" w14:textId="77777777" w:rsidR="00C743A5" w:rsidRDefault="00C743A5" w:rsidP="00C743A5">
      <w:pPr>
        <w:tabs>
          <w:tab w:val="num" w:pos="720"/>
          <w:tab w:val="left" w:pos="1440"/>
        </w:tabs>
        <w:spacing w:after="0" w:line="240" w:lineRule="auto"/>
        <w:rPr>
          <w:rFonts w:ascii="Arial" w:eastAsia="Times New Roman" w:hAnsi="Arial" w:cs="Arial"/>
          <w:szCs w:val="48"/>
          <w:lang w:eastAsia="en-GB"/>
        </w:rPr>
      </w:pPr>
    </w:p>
    <w:p w14:paraId="48443CFF" w14:textId="77777777" w:rsidR="00C743A5" w:rsidRDefault="00C743A5" w:rsidP="00C743A5">
      <w:pPr>
        <w:tabs>
          <w:tab w:val="num" w:pos="720"/>
          <w:tab w:val="left" w:pos="1440"/>
        </w:tabs>
        <w:spacing w:after="0" w:line="240" w:lineRule="auto"/>
        <w:rPr>
          <w:rFonts w:ascii="Arial" w:eastAsia="Times New Roman" w:hAnsi="Arial" w:cs="Arial"/>
          <w:szCs w:val="48"/>
          <w:lang w:eastAsia="en-GB"/>
        </w:rPr>
      </w:pPr>
    </w:p>
    <w:p w14:paraId="7CE4EF21" w14:textId="77777777" w:rsidR="00C743A5" w:rsidRDefault="00C743A5" w:rsidP="00C743A5">
      <w:pPr>
        <w:tabs>
          <w:tab w:val="num" w:pos="720"/>
          <w:tab w:val="left" w:pos="1440"/>
        </w:tabs>
        <w:spacing w:after="0" w:line="240" w:lineRule="auto"/>
        <w:rPr>
          <w:rFonts w:ascii="Arial" w:eastAsia="Times New Roman" w:hAnsi="Arial" w:cs="Arial"/>
          <w:szCs w:val="48"/>
          <w:lang w:eastAsia="en-GB"/>
        </w:rPr>
      </w:pPr>
    </w:p>
    <w:p w14:paraId="75B6C5C9" w14:textId="77777777" w:rsidR="00900100" w:rsidRDefault="00C743A5"/>
    <w:sectPr w:rsidR="009001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90B75"/>
    <w:multiLevelType w:val="hybridMultilevel"/>
    <w:tmpl w:val="8BD04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2D432F"/>
    <w:multiLevelType w:val="hybridMultilevel"/>
    <w:tmpl w:val="44BEB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6940181"/>
    <w:multiLevelType w:val="hybridMultilevel"/>
    <w:tmpl w:val="C22CC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3A5"/>
    <w:rsid w:val="004E6AB7"/>
    <w:rsid w:val="00550EE4"/>
    <w:rsid w:val="00C74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43A7"/>
  <w15:chartTrackingRefBased/>
  <w15:docId w15:val="{B6C1552D-7A77-4741-A642-7E7453912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43A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6">
    <w:name w:val="Table Grid6"/>
    <w:basedOn w:val="TableNormal"/>
    <w:uiPriority w:val="59"/>
    <w:rsid w:val="00C743A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827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821</Words>
  <Characters>4680</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walters</dc:creator>
  <cp:keywords/>
  <dc:description/>
  <cp:lastModifiedBy>annmarie walters</cp:lastModifiedBy>
  <cp:revision>1</cp:revision>
  <dcterms:created xsi:type="dcterms:W3CDTF">2019-01-05T14:52:00Z</dcterms:created>
  <dcterms:modified xsi:type="dcterms:W3CDTF">2019-01-05T14:55:00Z</dcterms:modified>
</cp:coreProperties>
</file>