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1DE2" w:rsidRDefault="007212F6" w:rsidP="00831135">
      <w:pPr>
        <w:spacing w:line="360" w:lineRule="auto"/>
        <w:jc w:val="both"/>
        <w:rPr>
          <w:b/>
          <w:bCs/>
        </w:rPr>
      </w:pPr>
      <w:r>
        <w:rPr>
          <w:b/>
          <w:bCs/>
        </w:rPr>
        <w:t xml:space="preserve">         </w:t>
      </w:r>
      <w:r w:rsidR="005D1DE2">
        <w:rPr>
          <w:noProof/>
        </w:rPr>
        <w:drawing>
          <wp:inline distT="0" distB="0" distL="0" distR="0" wp14:anchorId="4D52F351" wp14:editId="024D4A30">
            <wp:extent cx="457200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4572000" cy="1828800"/>
                    </a:xfrm>
                    <a:prstGeom prst="rect">
                      <a:avLst/>
                    </a:prstGeom>
                  </pic:spPr>
                </pic:pic>
              </a:graphicData>
            </a:graphic>
          </wp:inline>
        </w:drawing>
      </w:r>
    </w:p>
    <w:p w:rsidR="00001E08" w:rsidRDefault="007212F6" w:rsidP="00831135">
      <w:pPr>
        <w:spacing w:line="360" w:lineRule="auto"/>
        <w:jc w:val="both"/>
        <w:rPr>
          <w:b/>
          <w:bCs/>
        </w:rPr>
      </w:pPr>
      <w:r>
        <w:rPr>
          <w:b/>
          <w:bCs/>
        </w:rPr>
        <w:t xml:space="preserve"> </w:t>
      </w:r>
      <w:r w:rsidR="005D1DE2">
        <w:rPr>
          <w:b/>
          <w:bCs/>
        </w:rPr>
        <w:t xml:space="preserve">        </w:t>
      </w:r>
      <w:r>
        <w:rPr>
          <w:b/>
          <w:bCs/>
        </w:rPr>
        <w:t xml:space="preserve">  </w:t>
      </w:r>
      <w:r w:rsidR="001F4FD3" w:rsidRPr="00DD1592">
        <w:rPr>
          <w:b/>
          <w:bCs/>
        </w:rPr>
        <w:t>CONSUMER ATTITUDES TOWARDS ROBO ADVISORY IN CANADA</w:t>
      </w:r>
    </w:p>
    <w:p w:rsidR="00C70430" w:rsidRDefault="00C70430" w:rsidP="00831135">
      <w:pPr>
        <w:spacing w:line="360" w:lineRule="auto"/>
        <w:jc w:val="both"/>
      </w:pPr>
    </w:p>
    <w:p w:rsidR="00C70430" w:rsidRPr="00152BC8" w:rsidRDefault="00C70430" w:rsidP="00C70430">
      <w:pPr>
        <w:pStyle w:val="FreeForm"/>
        <w:spacing w:before="120" w:line="360" w:lineRule="auto"/>
        <w:jc w:val="center"/>
        <w:rPr>
          <w:rFonts w:ascii="Times New Roman" w:hAnsi="Times New Roman"/>
          <w:i/>
          <w:szCs w:val="24"/>
        </w:rPr>
      </w:pPr>
      <w:r w:rsidRPr="00152BC8">
        <w:rPr>
          <w:rFonts w:ascii="Times New Roman" w:hAnsi="Times New Roman"/>
          <w:i/>
          <w:szCs w:val="24"/>
        </w:rPr>
        <w:t>Date:</w:t>
      </w:r>
      <w:r w:rsidR="009D062B">
        <w:rPr>
          <w:rFonts w:ascii="Times New Roman" w:hAnsi="Times New Roman"/>
          <w:i/>
          <w:szCs w:val="24"/>
        </w:rPr>
        <w:t xml:space="preserve"> 6</w:t>
      </w:r>
      <w:r w:rsidR="009D062B" w:rsidRPr="009D062B">
        <w:rPr>
          <w:rFonts w:ascii="Times New Roman" w:hAnsi="Times New Roman"/>
          <w:i/>
          <w:szCs w:val="24"/>
          <w:vertAlign w:val="superscript"/>
        </w:rPr>
        <w:t>th</w:t>
      </w:r>
      <w:r w:rsidR="009D062B">
        <w:rPr>
          <w:rFonts w:ascii="Times New Roman" w:hAnsi="Times New Roman"/>
          <w:i/>
          <w:szCs w:val="24"/>
        </w:rPr>
        <w:t xml:space="preserve"> September 2022</w:t>
      </w:r>
    </w:p>
    <w:p w:rsidR="00C70430" w:rsidRPr="00152BC8" w:rsidRDefault="00C70430" w:rsidP="00C70430">
      <w:pPr>
        <w:pStyle w:val="FreeForm"/>
        <w:spacing w:before="120" w:line="360" w:lineRule="auto"/>
        <w:jc w:val="center"/>
        <w:rPr>
          <w:rFonts w:ascii="Times New Roman" w:hAnsi="Times New Roman"/>
          <w:szCs w:val="24"/>
        </w:rPr>
      </w:pPr>
    </w:p>
    <w:p w:rsidR="00C70430" w:rsidRPr="00152BC8" w:rsidRDefault="00C70430" w:rsidP="00C70430">
      <w:pPr>
        <w:pStyle w:val="FreeForm"/>
        <w:spacing w:before="120" w:line="360" w:lineRule="auto"/>
        <w:jc w:val="center"/>
        <w:rPr>
          <w:rFonts w:ascii="Times New Roman" w:hAnsi="Times New Roman"/>
          <w:i/>
          <w:szCs w:val="24"/>
        </w:rPr>
      </w:pPr>
      <w:r w:rsidRPr="00152BC8">
        <w:rPr>
          <w:rFonts w:ascii="Times New Roman" w:hAnsi="Times New Roman"/>
          <w:b/>
          <w:i/>
          <w:szCs w:val="24"/>
        </w:rPr>
        <w:t>MBA 523</w:t>
      </w:r>
      <w:r w:rsidRPr="00152BC8">
        <w:rPr>
          <w:rFonts w:ascii="Times New Roman" w:hAnsi="Times New Roman"/>
          <w:i/>
          <w:szCs w:val="24"/>
        </w:rPr>
        <w:t>: Applied Business Project</w:t>
      </w:r>
    </w:p>
    <w:p w:rsidR="00C70430" w:rsidRPr="00152BC8" w:rsidRDefault="00C70430" w:rsidP="00C70430">
      <w:pPr>
        <w:pStyle w:val="FreeForm"/>
        <w:spacing w:before="120" w:line="360" w:lineRule="auto"/>
        <w:jc w:val="center"/>
        <w:rPr>
          <w:rFonts w:ascii="Times New Roman" w:hAnsi="Times New Roman"/>
          <w:szCs w:val="24"/>
        </w:rPr>
      </w:pPr>
    </w:p>
    <w:p w:rsidR="00C70430" w:rsidRPr="00152BC8" w:rsidRDefault="00C70430" w:rsidP="00C70430">
      <w:pPr>
        <w:pStyle w:val="FreeForm"/>
        <w:spacing w:before="120" w:line="360" w:lineRule="auto"/>
        <w:jc w:val="center"/>
        <w:rPr>
          <w:rFonts w:ascii="Times New Roman" w:hAnsi="Times New Roman"/>
          <w:b/>
          <w:i/>
          <w:szCs w:val="24"/>
        </w:rPr>
      </w:pPr>
      <w:r w:rsidRPr="00152BC8">
        <w:rPr>
          <w:rFonts w:ascii="Times New Roman" w:hAnsi="Times New Roman"/>
          <w:b/>
          <w:i/>
          <w:szCs w:val="24"/>
        </w:rPr>
        <w:t xml:space="preserve">Instructor:  Dr. </w:t>
      </w:r>
      <w:r w:rsidR="00ED627C">
        <w:rPr>
          <w:rFonts w:ascii="Times New Roman" w:hAnsi="Times New Roman"/>
          <w:b/>
          <w:i/>
          <w:szCs w:val="24"/>
        </w:rPr>
        <w:t>Jennifer Ford</w:t>
      </w:r>
    </w:p>
    <w:p w:rsidR="00C70430" w:rsidRPr="00152BC8" w:rsidRDefault="00C70430" w:rsidP="00C70430">
      <w:pPr>
        <w:pStyle w:val="FreeForm"/>
        <w:spacing w:before="120" w:line="360" w:lineRule="auto"/>
        <w:jc w:val="center"/>
        <w:rPr>
          <w:rFonts w:ascii="Times New Roman" w:hAnsi="Times New Roman"/>
          <w:b/>
          <w:i/>
          <w:szCs w:val="24"/>
        </w:rPr>
      </w:pPr>
      <w:r w:rsidRPr="00152BC8">
        <w:rPr>
          <w:rFonts w:ascii="Times New Roman" w:hAnsi="Times New Roman"/>
          <w:b/>
          <w:i/>
          <w:szCs w:val="24"/>
        </w:rPr>
        <w:t>Student Name and Number: Favour Oladepo (657570800)</w:t>
      </w:r>
    </w:p>
    <w:p w:rsidR="00C70430" w:rsidRPr="00152BC8" w:rsidRDefault="00C70430" w:rsidP="00C70430">
      <w:pPr>
        <w:pStyle w:val="Default"/>
        <w:rPr>
          <w:rFonts w:ascii="Times New Roman" w:hAnsi="Times New Roman" w:cs="Times New Roman"/>
          <w:b/>
          <w:bCs/>
        </w:rPr>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Pr="00DD1592" w:rsidRDefault="00C70430" w:rsidP="00831135">
      <w:pPr>
        <w:spacing w:line="360" w:lineRule="auto"/>
        <w:jc w:val="both"/>
      </w:pPr>
    </w:p>
    <w:p w:rsidR="00737143" w:rsidRDefault="00737143" w:rsidP="005D1DE2">
      <w:pPr>
        <w:autoSpaceDE w:val="0"/>
        <w:autoSpaceDN w:val="0"/>
        <w:adjustRightInd w:val="0"/>
        <w:rPr>
          <w:rFonts w:eastAsia="Calibri"/>
          <w:bCs/>
          <w:color w:val="000000"/>
        </w:rPr>
      </w:pPr>
    </w:p>
    <w:sdt>
      <w:sdtPr>
        <w:rPr>
          <w:rFonts w:ascii="Times New Roman" w:eastAsia="Times New Roman" w:hAnsi="Times New Roman" w:cs="Times New Roman"/>
          <w:color w:val="auto"/>
          <w:sz w:val="24"/>
          <w:szCs w:val="24"/>
        </w:rPr>
        <w:id w:val="-1755667209"/>
        <w:docPartObj>
          <w:docPartGallery w:val="Table of Contents"/>
          <w:docPartUnique/>
        </w:docPartObj>
      </w:sdtPr>
      <w:sdtEndPr>
        <w:rPr>
          <w:b/>
          <w:bCs/>
          <w:noProof/>
        </w:rPr>
      </w:sdtEndPr>
      <w:sdtContent>
        <w:p w:rsidR="00737143" w:rsidRPr="00B83404" w:rsidRDefault="00737143">
          <w:pPr>
            <w:pStyle w:val="TOCHeading"/>
            <w:rPr>
              <w:color w:val="000000" w:themeColor="text1"/>
            </w:rPr>
          </w:pPr>
          <w:r w:rsidRPr="00B83404">
            <w:rPr>
              <w:color w:val="000000" w:themeColor="text1"/>
            </w:rPr>
            <w:t>Table of Contents</w:t>
          </w:r>
        </w:p>
        <w:p w:rsidR="00737143" w:rsidRPr="00737143" w:rsidRDefault="00737143" w:rsidP="00737143"/>
        <w:p w:rsidR="00737143" w:rsidRDefault="00737143">
          <w:pPr>
            <w:pStyle w:val="TOC2"/>
            <w:tabs>
              <w:tab w:val="right" w:leader="dot" w:pos="9350"/>
            </w:tabs>
            <w:rPr>
              <w:rFonts w:asciiTheme="minorHAnsi" w:eastAsiaTheme="minorEastAsia" w:hAnsiTheme="minorHAnsi" w:cstheme="minorBidi"/>
              <w:noProof/>
              <w:sz w:val="22"/>
              <w:szCs w:val="22"/>
              <w:lang w:val="en-CA" w:eastAsia="en-CA"/>
            </w:rPr>
          </w:pPr>
          <w:r>
            <w:fldChar w:fldCharType="begin"/>
          </w:r>
          <w:r>
            <w:instrText xml:space="preserve"> TOC \o "1-3" \h \z \u </w:instrText>
          </w:r>
          <w:r>
            <w:fldChar w:fldCharType="separate"/>
          </w:r>
          <w:hyperlink w:anchor="_Toc113387199" w:history="1">
            <w:r w:rsidRPr="004B171B">
              <w:rPr>
                <w:rStyle w:val="Hyperlink"/>
                <w:noProof/>
              </w:rPr>
              <w:t>1.1 Background to the study</w:t>
            </w:r>
            <w:r>
              <w:rPr>
                <w:noProof/>
                <w:webHidden/>
              </w:rPr>
              <w:tab/>
            </w:r>
            <w:r>
              <w:rPr>
                <w:noProof/>
                <w:webHidden/>
              </w:rPr>
              <w:fldChar w:fldCharType="begin"/>
            </w:r>
            <w:r>
              <w:rPr>
                <w:noProof/>
                <w:webHidden/>
              </w:rPr>
              <w:instrText xml:space="preserve"> PAGEREF _Toc113387199 \h </w:instrText>
            </w:r>
            <w:r>
              <w:rPr>
                <w:noProof/>
                <w:webHidden/>
              </w:rPr>
            </w:r>
            <w:r>
              <w:rPr>
                <w:noProof/>
                <w:webHidden/>
              </w:rPr>
              <w:fldChar w:fldCharType="separate"/>
            </w:r>
            <w:r>
              <w:rPr>
                <w:noProof/>
                <w:webHidden/>
              </w:rPr>
              <w:t>3</w:t>
            </w:r>
            <w:r>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0" w:history="1">
            <w:r w:rsidR="00737143" w:rsidRPr="004B171B">
              <w:rPr>
                <w:rStyle w:val="Hyperlink"/>
                <w:noProof/>
              </w:rPr>
              <w:t>1.2 Objectives of Study</w:t>
            </w:r>
            <w:r w:rsidR="00737143">
              <w:rPr>
                <w:noProof/>
                <w:webHidden/>
              </w:rPr>
              <w:tab/>
            </w:r>
            <w:r w:rsidR="00737143">
              <w:rPr>
                <w:noProof/>
                <w:webHidden/>
              </w:rPr>
              <w:fldChar w:fldCharType="begin"/>
            </w:r>
            <w:r w:rsidR="00737143">
              <w:rPr>
                <w:noProof/>
                <w:webHidden/>
              </w:rPr>
              <w:instrText xml:space="preserve"> PAGEREF _Toc113387200 \h </w:instrText>
            </w:r>
            <w:r w:rsidR="00737143">
              <w:rPr>
                <w:noProof/>
                <w:webHidden/>
              </w:rPr>
            </w:r>
            <w:r w:rsidR="00737143">
              <w:rPr>
                <w:noProof/>
                <w:webHidden/>
              </w:rPr>
              <w:fldChar w:fldCharType="separate"/>
            </w:r>
            <w:r w:rsidR="00737143">
              <w:rPr>
                <w:noProof/>
                <w:webHidden/>
              </w:rPr>
              <w:t>6</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1" w:history="1">
            <w:r w:rsidR="00737143" w:rsidRPr="004B171B">
              <w:rPr>
                <w:rStyle w:val="Hyperlink"/>
                <w:noProof/>
              </w:rPr>
              <w:t>1.3 Research Questions</w:t>
            </w:r>
            <w:r w:rsidR="00737143">
              <w:rPr>
                <w:noProof/>
                <w:webHidden/>
              </w:rPr>
              <w:tab/>
            </w:r>
            <w:r w:rsidR="00737143">
              <w:rPr>
                <w:noProof/>
                <w:webHidden/>
              </w:rPr>
              <w:fldChar w:fldCharType="begin"/>
            </w:r>
            <w:r w:rsidR="00737143">
              <w:rPr>
                <w:noProof/>
                <w:webHidden/>
              </w:rPr>
              <w:instrText xml:space="preserve"> PAGEREF _Toc113387201 \h </w:instrText>
            </w:r>
            <w:r w:rsidR="00737143">
              <w:rPr>
                <w:noProof/>
                <w:webHidden/>
              </w:rPr>
            </w:r>
            <w:r w:rsidR="00737143">
              <w:rPr>
                <w:noProof/>
                <w:webHidden/>
              </w:rPr>
              <w:fldChar w:fldCharType="separate"/>
            </w:r>
            <w:r w:rsidR="00737143">
              <w:rPr>
                <w:noProof/>
                <w:webHidden/>
              </w:rPr>
              <w:t>6</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2" w:history="1">
            <w:r w:rsidR="00737143" w:rsidRPr="004B171B">
              <w:rPr>
                <w:rStyle w:val="Hyperlink"/>
                <w:noProof/>
              </w:rPr>
              <w:t>1.4 Scope and Limitation of Study</w:t>
            </w:r>
            <w:r w:rsidR="00737143">
              <w:rPr>
                <w:noProof/>
                <w:webHidden/>
              </w:rPr>
              <w:tab/>
            </w:r>
            <w:r w:rsidR="00737143">
              <w:rPr>
                <w:noProof/>
                <w:webHidden/>
              </w:rPr>
              <w:fldChar w:fldCharType="begin"/>
            </w:r>
            <w:r w:rsidR="00737143">
              <w:rPr>
                <w:noProof/>
                <w:webHidden/>
              </w:rPr>
              <w:instrText xml:space="preserve"> PAGEREF _Toc113387202 \h </w:instrText>
            </w:r>
            <w:r w:rsidR="00737143">
              <w:rPr>
                <w:noProof/>
                <w:webHidden/>
              </w:rPr>
            </w:r>
            <w:r w:rsidR="00737143">
              <w:rPr>
                <w:noProof/>
                <w:webHidden/>
              </w:rPr>
              <w:fldChar w:fldCharType="separate"/>
            </w:r>
            <w:r w:rsidR="00737143">
              <w:rPr>
                <w:noProof/>
                <w:webHidden/>
              </w:rPr>
              <w:t>7</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3" w:history="1">
            <w:r w:rsidR="00737143" w:rsidRPr="004B171B">
              <w:rPr>
                <w:rStyle w:val="Hyperlink"/>
                <w:noProof/>
              </w:rPr>
              <w:t>1.5 Significance of Study</w:t>
            </w:r>
            <w:r w:rsidR="00737143">
              <w:rPr>
                <w:noProof/>
                <w:webHidden/>
              </w:rPr>
              <w:tab/>
            </w:r>
            <w:r w:rsidR="00737143">
              <w:rPr>
                <w:noProof/>
                <w:webHidden/>
              </w:rPr>
              <w:fldChar w:fldCharType="begin"/>
            </w:r>
            <w:r w:rsidR="00737143">
              <w:rPr>
                <w:noProof/>
                <w:webHidden/>
              </w:rPr>
              <w:instrText xml:space="preserve"> PAGEREF _Toc113387203 \h </w:instrText>
            </w:r>
            <w:r w:rsidR="00737143">
              <w:rPr>
                <w:noProof/>
                <w:webHidden/>
              </w:rPr>
            </w:r>
            <w:r w:rsidR="00737143">
              <w:rPr>
                <w:noProof/>
                <w:webHidden/>
              </w:rPr>
              <w:fldChar w:fldCharType="separate"/>
            </w:r>
            <w:r w:rsidR="00737143">
              <w:rPr>
                <w:noProof/>
                <w:webHidden/>
              </w:rPr>
              <w:t>7</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4" w:history="1">
            <w:r w:rsidR="00737143" w:rsidRPr="004B171B">
              <w:rPr>
                <w:rStyle w:val="Hyperlink"/>
                <w:noProof/>
              </w:rPr>
              <w:t>1.6 Outline</w:t>
            </w:r>
            <w:r w:rsidR="00737143">
              <w:rPr>
                <w:noProof/>
                <w:webHidden/>
              </w:rPr>
              <w:tab/>
            </w:r>
            <w:r w:rsidR="00737143">
              <w:rPr>
                <w:noProof/>
                <w:webHidden/>
              </w:rPr>
              <w:fldChar w:fldCharType="begin"/>
            </w:r>
            <w:r w:rsidR="00737143">
              <w:rPr>
                <w:noProof/>
                <w:webHidden/>
              </w:rPr>
              <w:instrText xml:space="preserve"> PAGEREF _Toc113387204 \h </w:instrText>
            </w:r>
            <w:r w:rsidR="00737143">
              <w:rPr>
                <w:noProof/>
                <w:webHidden/>
              </w:rPr>
            </w:r>
            <w:r w:rsidR="00737143">
              <w:rPr>
                <w:noProof/>
                <w:webHidden/>
              </w:rPr>
              <w:fldChar w:fldCharType="separate"/>
            </w:r>
            <w:r w:rsidR="00737143">
              <w:rPr>
                <w:noProof/>
                <w:webHidden/>
              </w:rPr>
              <w:t>7</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5" w:history="1">
            <w:r w:rsidR="00737143" w:rsidRPr="004B171B">
              <w:rPr>
                <w:rStyle w:val="Hyperlink"/>
                <w:noProof/>
              </w:rPr>
              <w:t>2.0 Introduction</w:t>
            </w:r>
            <w:r w:rsidR="00737143">
              <w:rPr>
                <w:noProof/>
                <w:webHidden/>
              </w:rPr>
              <w:tab/>
            </w:r>
            <w:r w:rsidR="00737143">
              <w:rPr>
                <w:noProof/>
                <w:webHidden/>
              </w:rPr>
              <w:fldChar w:fldCharType="begin"/>
            </w:r>
            <w:r w:rsidR="00737143">
              <w:rPr>
                <w:noProof/>
                <w:webHidden/>
              </w:rPr>
              <w:instrText xml:space="preserve"> PAGEREF _Toc113387205 \h </w:instrText>
            </w:r>
            <w:r w:rsidR="00737143">
              <w:rPr>
                <w:noProof/>
                <w:webHidden/>
              </w:rPr>
            </w:r>
            <w:r w:rsidR="00737143">
              <w:rPr>
                <w:noProof/>
                <w:webHidden/>
              </w:rPr>
              <w:fldChar w:fldCharType="separate"/>
            </w:r>
            <w:r w:rsidR="00737143">
              <w:rPr>
                <w:noProof/>
                <w:webHidden/>
              </w:rPr>
              <w:t>9</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6" w:history="1">
            <w:r w:rsidR="00737143" w:rsidRPr="004B171B">
              <w:rPr>
                <w:rStyle w:val="Hyperlink"/>
                <w:noProof/>
              </w:rPr>
              <w:t>2.1 Innovation Theories and Innovation Adoption</w:t>
            </w:r>
            <w:r w:rsidR="00737143">
              <w:rPr>
                <w:noProof/>
                <w:webHidden/>
              </w:rPr>
              <w:tab/>
            </w:r>
            <w:r w:rsidR="00737143">
              <w:rPr>
                <w:noProof/>
                <w:webHidden/>
              </w:rPr>
              <w:fldChar w:fldCharType="begin"/>
            </w:r>
            <w:r w:rsidR="00737143">
              <w:rPr>
                <w:noProof/>
                <w:webHidden/>
              </w:rPr>
              <w:instrText xml:space="preserve"> PAGEREF _Toc113387206 \h </w:instrText>
            </w:r>
            <w:r w:rsidR="00737143">
              <w:rPr>
                <w:noProof/>
                <w:webHidden/>
              </w:rPr>
            </w:r>
            <w:r w:rsidR="00737143">
              <w:rPr>
                <w:noProof/>
                <w:webHidden/>
              </w:rPr>
              <w:fldChar w:fldCharType="separate"/>
            </w:r>
            <w:r w:rsidR="00737143">
              <w:rPr>
                <w:noProof/>
                <w:webHidden/>
              </w:rPr>
              <w:t>9</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07" w:history="1">
            <w:r w:rsidR="00737143" w:rsidRPr="004B171B">
              <w:rPr>
                <w:rStyle w:val="Hyperlink"/>
                <w:noProof/>
              </w:rPr>
              <w:t>2.1.3 Innovation Adoption Lifecycle</w:t>
            </w:r>
            <w:r w:rsidR="00737143">
              <w:rPr>
                <w:noProof/>
                <w:webHidden/>
              </w:rPr>
              <w:tab/>
            </w:r>
            <w:r w:rsidR="00737143">
              <w:rPr>
                <w:noProof/>
                <w:webHidden/>
              </w:rPr>
              <w:fldChar w:fldCharType="begin"/>
            </w:r>
            <w:r w:rsidR="00737143">
              <w:rPr>
                <w:noProof/>
                <w:webHidden/>
              </w:rPr>
              <w:instrText xml:space="preserve"> PAGEREF _Toc113387207 \h </w:instrText>
            </w:r>
            <w:r w:rsidR="00737143">
              <w:rPr>
                <w:noProof/>
                <w:webHidden/>
              </w:rPr>
            </w:r>
            <w:r w:rsidR="00737143">
              <w:rPr>
                <w:noProof/>
                <w:webHidden/>
              </w:rPr>
              <w:fldChar w:fldCharType="separate"/>
            </w:r>
            <w:r w:rsidR="00737143">
              <w:rPr>
                <w:noProof/>
                <w:webHidden/>
              </w:rPr>
              <w:t>11</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08" w:history="1">
            <w:r w:rsidR="00737143" w:rsidRPr="004B171B">
              <w:rPr>
                <w:rStyle w:val="Hyperlink"/>
                <w:noProof/>
              </w:rPr>
              <w:t>2.2 Technology Adoption Models</w:t>
            </w:r>
            <w:r w:rsidR="00737143">
              <w:rPr>
                <w:noProof/>
                <w:webHidden/>
              </w:rPr>
              <w:tab/>
            </w:r>
            <w:r w:rsidR="00737143">
              <w:rPr>
                <w:noProof/>
                <w:webHidden/>
              </w:rPr>
              <w:fldChar w:fldCharType="begin"/>
            </w:r>
            <w:r w:rsidR="00737143">
              <w:rPr>
                <w:noProof/>
                <w:webHidden/>
              </w:rPr>
              <w:instrText xml:space="preserve"> PAGEREF _Toc113387208 \h </w:instrText>
            </w:r>
            <w:r w:rsidR="00737143">
              <w:rPr>
                <w:noProof/>
                <w:webHidden/>
              </w:rPr>
            </w:r>
            <w:r w:rsidR="00737143">
              <w:rPr>
                <w:noProof/>
                <w:webHidden/>
              </w:rPr>
              <w:fldChar w:fldCharType="separate"/>
            </w:r>
            <w:r w:rsidR="00737143">
              <w:rPr>
                <w:noProof/>
                <w:webHidden/>
              </w:rPr>
              <w:t>12</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09" w:history="1">
            <w:r w:rsidR="00737143" w:rsidRPr="004B171B">
              <w:rPr>
                <w:rStyle w:val="Hyperlink"/>
                <w:noProof/>
              </w:rPr>
              <w:t>2.2.1 Technology Acceptance Model (TAM)</w:t>
            </w:r>
            <w:r w:rsidR="00737143">
              <w:rPr>
                <w:noProof/>
                <w:webHidden/>
              </w:rPr>
              <w:tab/>
            </w:r>
            <w:r w:rsidR="00737143">
              <w:rPr>
                <w:noProof/>
                <w:webHidden/>
              </w:rPr>
              <w:fldChar w:fldCharType="begin"/>
            </w:r>
            <w:r w:rsidR="00737143">
              <w:rPr>
                <w:noProof/>
                <w:webHidden/>
              </w:rPr>
              <w:instrText xml:space="preserve"> PAGEREF _Toc113387209 \h </w:instrText>
            </w:r>
            <w:r w:rsidR="00737143">
              <w:rPr>
                <w:noProof/>
                <w:webHidden/>
              </w:rPr>
            </w:r>
            <w:r w:rsidR="00737143">
              <w:rPr>
                <w:noProof/>
                <w:webHidden/>
              </w:rPr>
              <w:fldChar w:fldCharType="separate"/>
            </w:r>
            <w:r w:rsidR="00737143">
              <w:rPr>
                <w:noProof/>
                <w:webHidden/>
              </w:rPr>
              <w:t>12</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0" w:history="1">
            <w:r w:rsidR="00737143" w:rsidRPr="004B171B">
              <w:rPr>
                <w:rStyle w:val="Hyperlink"/>
                <w:noProof/>
              </w:rPr>
              <w:t>2.2.2 Theory of Planned Behavior (TPB)</w:t>
            </w:r>
            <w:r w:rsidR="00737143">
              <w:rPr>
                <w:noProof/>
                <w:webHidden/>
              </w:rPr>
              <w:tab/>
            </w:r>
            <w:r w:rsidR="00737143">
              <w:rPr>
                <w:noProof/>
                <w:webHidden/>
              </w:rPr>
              <w:fldChar w:fldCharType="begin"/>
            </w:r>
            <w:r w:rsidR="00737143">
              <w:rPr>
                <w:noProof/>
                <w:webHidden/>
              </w:rPr>
              <w:instrText xml:space="preserve"> PAGEREF _Toc113387210 \h </w:instrText>
            </w:r>
            <w:r w:rsidR="00737143">
              <w:rPr>
                <w:noProof/>
                <w:webHidden/>
              </w:rPr>
            </w:r>
            <w:r w:rsidR="00737143">
              <w:rPr>
                <w:noProof/>
                <w:webHidden/>
              </w:rPr>
              <w:fldChar w:fldCharType="separate"/>
            </w:r>
            <w:r w:rsidR="00737143">
              <w:rPr>
                <w:noProof/>
                <w:webHidden/>
              </w:rPr>
              <w:t>13</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1" w:history="1">
            <w:r w:rsidR="00737143" w:rsidRPr="004B171B">
              <w:rPr>
                <w:rStyle w:val="Hyperlink"/>
                <w:noProof/>
              </w:rPr>
              <w:t>2.2.4 Innovation Diffusion Theory (IDT)</w:t>
            </w:r>
            <w:r w:rsidR="00737143">
              <w:rPr>
                <w:noProof/>
                <w:webHidden/>
              </w:rPr>
              <w:tab/>
            </w:r>
            <w:r w:rsidR="00737143">
              <w:rPr>
                <w:noProof/>
                <w:webHidden/>
              </w:rPr>
              <w:fldChar w:fldCharType="begin"/>
            </w:r>
            <w:r w:rsidR="00737143">
              <w:rPr>
                <w:noProof/>
                <w:webHidden/>
              </w:rPr>
              <w:instrText xml:space="preserve"> PAGEREF _Toc113387211 \h </w:instrText>
            </w:r>
            <w:r w:rsidR="00737143">
              <w:rPr>
                <w:noProof/>
                <w:webHidden/>
              </w:rPr>
            </w:r>
            <w:r w:rsidR="00737143">
              <w:rPr>
                <w:noProof/>
                <w:webHidden/>
              </w:rPr>
              <w:fldChar w:fldCharType="separate"/>
            </w:r>
            <w:r w:rsidR="00737143">
              <w:rPr>
                <w:noProof/>
                <w:webHidden/>
              </w:rPr>
              <w:t>15</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2" w:history="1">
            <w:r w:rsidR="00737143" w:rsidRPr="004B171B">
              <w:rPr>
                <w:rStyle w:val="Hyperlink"/>
                <w:noProof/>
              </w:rPr>
              <w:t>2.2.5 Theory of Reasoned Action (TRA)</w:t>
            </w:r>
            <w:r w:rsidR="00737143">
              <w:rPr>
                <w:noProof/>
                <w:webHidden/>
              </w:rPr>
              <w:tab/>
            </w:r>
            <w:r w:rsidR="00737143">
              <w:rPr>
                <w:noProof/>
                <w:webHidden/>
              </w:rPr>
              <w:fldChar w:fldCharType="begin"/>
            </w:r>
            <w:r w:rsidR="00737143">
              <w:rPr>
                <w:noProof/>
                <w:webHidden/>
              </w:rPr>
              <w:instrText xml:space="preserve"> PAGEREF _Toc113387212 \h </w:instrText>
            </w:r>
            <w:r w:rsidR="00737143">
              <w:rPr>
                <w:noProof/>
                <w:webHidden/>
              </w:rPr>
            </w:r>
            <w:r w:rsidR="00737143">
              <w:rPr>
                <w:noProof/>
                <w:webHidden/>
              </w:rPr>
              <w:fldChar w:fldCharType="separate"/>
            </w:r>
            <w:r w:rsidR="00737143">
              <w:rPr>
                <w:noProof/>
                <w:webHidden/>
              </w:rPr>
              <w:t>16</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3" w:history="1">
            <w:r w:rsidR="00737143" w:rsidRPr="004B171B">
              <w:rPr>
                <w:rStyle w:val="Hyperlink"/>
                <w:noProof/>
              </w:rPr>
              <w:t>2.2.6 Social Cognitive Theory (SCT)</w:t>
            </w:r>
            <w:r w:rsidR="00737143">
              <w:rPr>
                <w:noProof/>
                <w:webHidden/>
              </w:rPr>
              <w:tab/>
            </w:r>
            <w:r w:rsidR="00737143">
              <w:rPr>
                <w:noProof/>
                <w:webHidden/>
              </w:rPr>
              <w:fldChar w:fldCharType="begin"/>
            </w:r>
            <w:r w:rsidR="00737143">
              <w:rPr>
                <w:noProof/>
                <w:webHidden/>
              </w:rPr>
              <w:instrText xml:space="preserve"> PAGEREF _Toc113387213 \h </w:instrText>
            </w:r>
            <w:r w:rsidR="00737143">
              <w:rPr>
                <w:noProof/>
                <w:webHidden/>
              </w:rPr>
            </w:r>
            <w:r w:rsidR="00737143">
              <w:rPr>
                <w:noProof/>
                <w:webHidden/>
              </w:rPr>
              <w:fldChar w:fldCharType="separate"/>
            </w:r>
            <w:r w:rsidR="00737143">
              <w:rPr>
                <w:noProof/>
                <w:webHidden/>
              </w:rPr>
              <w:t>16</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4" w:history="1">
            <w:r w:rsidR="00737143" w:rsidRPr="004B171B">
              <w:rPr>
                <w:rStyle w:val="Hyperlink"/>
                <w:noProof/>
              </w:rPr>
              <w:t>2.2.7 Model of PC Utilization (MPCU)</w:t>
            </w:r>
            <w:r w:rsidR="00737143">
              <w:rPr>
                <w:noProof/>
                <w:webHidden/>
              </w:rPr>
              <w:tab/>
            </w:r>
            <w:r w:rsidR="00737143">
              <w:rPr>
                <w:noProof/>
                <w:webHidden/>
              </w:rPr>
              <w:fldChar w:fldCharType="begin"/>
            </w:r>
            <w:r w:rsidR="00737143">
              <w:rPr>
                <w:noProof/>
                <w:webHidden/>
              </w:rPr>
              <w:instrText xml:space="preserve"> PAGEREF _Toc113387214 \h </w:instrText>
            </w:r>
            <w:r w:rsidR="00737143">
              <w:rPr>
                <w:noProof/>
                <w:webHidden/>
              </w:rPr>
            </w:r>
            <w:r w:rsidR="00737143">
              <w:rPr>
                <w:noProof/>
                <w:webHidden/>
              </w:rPr>
              <w:fldChar w:fldCharType="separate"/>
            </w:r>
            <w:r w:rsidR="00737143">
              <w:rPr>
                <w:noProof/>
                <w:webHidden/>
              </w:rPr>
              <w:t>17</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5" w:history="1">
            <w:r w:rsidR="00737143" w:rsidRPr="004B171B">
              <w:rPr>
                <w:rStyle w:val="Hyperlink"/>
                <w:noProof/>
              </w:rPr>
              <w:t>2.2.8 Motivational Model (MM)</w:t>
            </w:r>
            <w:r w:rsidR="00737143">
              <w:rPr>
                <w:noProof/>
                <w:webHidden/>
              </w:rPr>
              <w:tab/>
            </w:r>
            <w:r w:rsidR="00737143">
              <w:rPr>
                <w:noProof/>
                <w:webHidden/>
              </w:rPr>
              <w:fldChar w:fldCharType="begin"/>
            </w:r>
            <w:r w:rsidR="00737143">
              <w:rPr>
                <w:noProof/>
                <w:webHidden/>
              </w:rPr>
              <w:instrText xml:space="preserve"> PAGEREF _Toc113387215 \h </w:instrText>
            </w:r>
            <w:r w:rsidR="00737143">
              <w:rPr>
                <w:noProof/>
                <w:webHidden/>
              </w:rPr>
            </w:r>
            <w:r w:rsidR="00737143">
              <w:rPr>
                <w:noProof/>
                <w:webHidden/>
              </w:rPr>
              <w:fldChar w:fldCharType="separate"/>
            </w:r>
            <w:r w:rsidR="00737143">
              <w:rPr>
                <w:noProof/>
                <w:webHidden/>
              </w:rPr>
              <w:t>18</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6" w:history="1">
            <w:r w:rsidR="00737143" w:rsidRPr="004B171B">
              <w:rPr>
                <w:rStyle w:val="Hyperlink"/>
                <w:noProof/>
              </w:rPr>
              <w:t>2.2.9 Unified Theory of Acceptance and Use of Technology (UTAUT)</w:t>
            </w:r>
            <w:r w:rsidR="00737143">
              <w:rPr>
                <w:noProof/>
                <w:webHidden/>
              </w:rPr>
              <w:tab/>
            </w:r>
            <w:r w:rsidR="00737143">
              <w:rPr>
                <w:noProof/>
                <w:webHidden/>
              </w:rPr>
              <w:fldChar w:fldCharType="begin"/>
            </w:r>
            <w:r w:rsidR="00737143">
              <w:rPr>
                <w:noProof/>
                <w:webHidden/>
              </w:rPr>
              <w:instrText xml:space="preserve"> PAGEREF _Toc113387216 \h </w:instrText>
            </w:r>
            <w:r w:rsidR="00737143">
              <w:rPr>
                <w:noProof/>
                <w:webHidden/>
              </w:rPr>
            </w:r>
            <w:r w:rsidR="00737143">
              <w:rPr>
                <w:noProof/>
                <w:webHidden/>
              </w:rPr>
              <w:fldChar w:fldCharType="separate"/>
            </w:r>
            <w:r w:rsidR="00737143">
              <w:rPr>
                <w:noProof/>
                <w:webHidden/>
              </w:rPr>
              <w:t>18</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17" w:history="1">
            <w:r w:rsidR="00737143" w:rsidRPr="004B171B">
              <w:rPr>
                <w:rStyle w:val="Hyperlink"/>
                <w:noProof/>
              </w:rPr>
              <w:t>2.2.10 Summary of Technology Adoption Models</w:t>
            </w:r>
            <w:r w:rsidR="00737143">
              <w:rPr>
                <w:noProof/>
                <w:webHidden/>
              </w:rPr>
              <w:tab/>
            </w:r>
            <w:r w:rsidR="00737143">
              <w:rPr>
                <w:noProof/>
                <w:webHidden/>
              </w:rPr>
              <w:fldChar w:fldCharType="begin"/>
            </w:r>
            <w:r w:rsidR="00737143">
              <w:rPr>
                <w:noProof/>
                <w:webHidden/>
              </w:rPr>
              <w:instrText xml:space="preserve"> PAGEREF _Toc113387217 \h </w:instrText>
            </w:r>
            <w:r w:rsidR="00737143">
              <w:rPr>
                <w:noProof/>
                <w:webHidden/>
              </w:rPr>
            </w:r>
            <w:r w:rsidR="00737143">
              <w:rPr>
                <w:noProof/>
                <w:webHidden/>
              </w:rPr>
              <w:fldChar w:fldCharType="separate"/>
            </w:r>
            <w:r w:rsidR="00737143">
              <w:rPr>
                <w:noProof/>
                <w:webHidden/>
              </w:rPr>
              <w:t>20</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18" w:history="1">
            <w:r w:rsidR="00737143" w:rsidRPr="004B171B">
              <w:rPr>
                <w:rStyle w:val="Hyperlink"/>
                <w:noProof/>
              </w:rPr>
              <w:t>2.3 Asymmetric Information</w:t>
            </w:r>
            <w:r w:rsidR="00737143">
              <w:rPr>
                <w:noProof/>
                <w:webHidden/>
              </w:rPr>
              <w:tab/>
            </w:r>
            <w:r w:rsidR="00737143">
              <w:rPr>
                <w:noProof/>
                <w:webHidden/>
              </w:rPr>
              <w:fldChar w:fldCharType="begin"/>
            </w:r>
            <w:r w:rsidR="00737143">
              <w:rPr>
                <w:noProof/>
                <w:webHidden/>
              </w:rPr>
              <w:instrText xml:space="preserve"> PAGEREF _Toc113387218 \h </w:instrText>
            </w:r>
            <w:r w:rsidR="00737143">
              <w:rPr>
                <w:noProof/>
                <w:webHidden/>
              </w:rPr>
            </w:r>
            <w:r w:rsidR="00737143">
              <w:rPr>
                <w:noProof/>
                <w:webHidden/>
              </w:rPr>
              <w:fldChar w:fldCharType="separate"/>
            </w:r>
            <w:r w:rsidR="00737143">
              <w:rPr>
                <w:noProof/>
                <w:webHidden/>
              </w:rPr>
              <w:t>20</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19" w:history="1">
            <w:r w:rsidR="00737143" w:rsidRPr="004B171B">
              <w:rPr>
                <w:rStyle w:val="Hyperlink"/>
                <w:noProof/>
              </w:rPr>
              <w:t>2.4 Appraisal of Reviewed Literature</w:t>
            </w:r>
            <w:r w:rsidR="00737143">
              <w:rPr>
                <w:noProof/>
                <w:webHidden/>
              </w:rPr>
              <w:tab/>
            </w:r>
            <w:r w:rsidR="00737143">
              <w:rPr>
                <w:noProof/>
                <w:webHidden/>
              </w:rPr>
              <w:fldChar w:fldCharType="begin"/>
            </w:r>
            <w:r w:rsidR="00737143">
              <w:rPr>
                <w:noProof/>
                <w:webHidden/>
              </w:rPr>
              <w:instrText xml:space="preserve"> PAGEREF _Toc113387219 \h </w:instrText>
            </w:r>
            <w:r w:rsidR="00737143">
              <w:rPr>
                <w:noProof/>
                <w:webHidden/>
              </w:rPr>
            </w:r>
            <w:r w:rsidR="00737143">
              <w:rPr>
                <w:noProof/>
                <w:webHidden/>
              </w:rPr>
              <w:fldChar w:fldCharType="separate"/>
            </w:r>
            <w:r w:rsidR="00737143">
              <w:rPr>
                <w:noProof/>
                <w:webHidden/>
              </w:rPr>
              <w:t>21</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20" w:history="1">
            <w:r w:rsidR="00737143" w:rsidRPr="004B171B">
              <w:rPr>
                <w:rStyle w:val="Hyperlink"/>
                <w:noProof/>
              </w:rPr>
              <w:t>2.4.1 Personal traits</w:t>
            </w:r>
            <w:r w:rsidR="00737143">
              <w:rPr>
                <w:noProof/>
                <w:webHidden/>
              </w:rPr>
              <w:tab/>
            </w:r>
            <w:r w:rsidR="00737143">
              <w:rPr>
                <w:noProof/>
                <w:webHidden/>
              </w:rPr>
              <w:fldChar w:fldCharType="begin"/>
            </w:r>
            <w:r w:rsidR="00737143">
              <w:rPr>
                <w:noProof/>
                <w:webHidden/>
              </w:rPr>
              <w:instrText xml:space="preserve"> PAGEREF _Toc113387220 \h </w:instrText>
            </w:r>
            <w:r w:rsidR="00737143">
              <w:rPr>
                <w:noProof/>
                <w:webHidden/>
              </w:rPr>
            </w:r>
            <w:r w:rsidR="00737143">
              <w:rPr>
                <w:noProof/>
                <w:webHidden/>
              </w:rPr>
              <w:fldChar w:fldCharType="separate"/>
            </w:r>
            <w:r w:rsidR="00737143">
              <w:rPr>
                <w:noProof/>
                <w:webHidden/>
              </w:rPr>
              <w:t>24</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21" w:history="1">
            <w:r w:rsidR="00737143" w:rsidRPr="004B171B">
              <w:rPr>
                <w:rStyle w:val="Hyperlink"/>
                <w:noProof/>
              </w:rPr>
              <w:t>3.2 Research Choice</w:t>
            </w:r>
            <w:r w:rsidR="00737143">
              <w:rPr>
                <w:noProof/>
                <w:webHidden/>
              </w:rPr>
              <w:tab/>
            </w:r>
            <w:r w:rsidR="00737143">
              <w:rPr>
                <w:noProof/>
                <w:webHidden/>
              </w:rPr>
              <w:fldChar w:fldCharType="begin"/>
            </w:r>
            <w:r w:rsidR="00737143">
              <w:rPr>
                <w:noProof/>
                <w:webHidden/>
              </w:rPr>
              <w:instrText xml:space="preserve"> PAGEREF _Toc113387221 \h </w:instrText>
            </w:r>
            <w:r w:rsidR="00737143">
              <w:rPr>
                <w:noProof/>
                <w:webHidden/>
              </w:rPr>
            </w:r>
            <w:r w:rsidR="00737143">
              <w:rPr>
                <w:noProof/>
                <w:webHidden/>
              </w:rPr>
              <w:fldChar w:fldCharType="separate"/>
            </w:r>
            <w:r w:rsidR="00737143">
              <w:rPr>
                <w:noProof/>
                <w:webHidden/>
              </w:rPr>
              <w:t>27</w:t>
            </w:r>
            <w:r w:rsidR="00737143">
              <w:rPr>
                <w:noProof/>
                <w:webHidden/>
              </w:rPr>
              <w:fldChar w:fldCharType="end"/>
            </w:r>
          </w:hyperlink>
        </w:p>
        <w:p w:rsidR="00737143" w:rsidRDefault="00076BA9">
          <w:pPr>
            <w:pStyle w:val="TOC2"/>
            <w:tabs>
              <w:tab w:val="right" w:leader="dot" w:pos="9350"/>
            </w:tabs>
            <w:rPr>
              <w:rFonts w:asciiTheme="minorHAnsi" w:eastAsiaTheme="minorEastAsia" w:hAnsiTheme="minorHAnsi" w:cstheme="minorBidi"/>
              <w:noProof/>
              <w:sz w:val="22"/>
              <w:szCs w:val="22"/>
              <w:lang w:val="en-CA" w:eastAsia="en-CA"/>
            </w:rPr>
          </w:pPr>
          <w:hyperlink w:anchor="_Toc113387222" w:history="1">
            <w:r w:rsidR="00737143" w:rsidRPr="004B171B">
              <w:rPr>
                <w:rStyle w:val="Hyperlink"/>
                <w:noProof/>
              </w:rPr>
              <w:t>3.3 Data Collection and Description</w:t>
            </w:r>
            <w:r w:rsidR="00737143">
              <w:rPr>
                <w:noProof/>
                <w:webHidden/>
              </w:rPr>
              <w:tab/>
            </w:r>
            <w:r w:rsidR="00737143">
              <w:rPr>
                <w:noProof/>
                <w:webHidden/>
              </w:rPr>
              <w:fldChar w:fldCharType="begin"/>
            </w:r>
            <w:r w:rsidR="00737143">
              <w:rPr>
                <w:noProof/>
                <w:webHidden/>
              </w:rPr>
              <w:instrText xml:space="preserve"> PAGEREF _Toc113387222 \h </w:instrText>
            </w:r>
            <w:r w:rsidR="00737143">
              <w:rPr>
                <w:noProof/>
                <w:webHidden/>
              </w:rPr>
            </w:r>
            <w:r w:rsidR="00737143">
              <w:rPr>
                <w:noProof/>
                <w:webHidden/>
              </w:rPr>
              <w:fldChar w:fldCharType="separate"/>
            </w:r>
            <w:r w:rsidR="00737143">
              <w:rPr>
                <w:noProof/>
                <w:webHidden/>
              </w:rPr>
              <w:t>27</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23" w:history="1">
            <w:r w:rsidR="00737143" w:rsidRPr="004B171B">
              <w:rPr>
                <w:rStyle w:val="Hyperlink"/>
                <w:noProof/>
              </w:rPr>
              <w:t>3.2.1 Survey Description</w:t>
            </w:r>
            <w:r w:rsidR="00737143">
              <w:rPr>
                <w:noProof/>
                <w:webHidden/>
              </w:rPr>
              <w:tab/>
            </w:r>
            <w:r w:rsidR="00737143">
              <w:rPr>
                <w:noProof/>
                <w:webHidden/>
              </w:rPr>
              <w:fldChar w:fldCharType="begin"/>
            </w:r>
            <w:r w:rsidR="00737143">
              <w:rPr>
                <w:noProof/>
                <w:webHidden/>
              </w:rPr>
              <w:instrText xml:space="preserve"> PAGEREF _Toc113387223 \h </w:instrText>
            </w:r>
            <w:r w:rsidR="00737143">
              <w:rPr>
                <w:noProof/>
                <w:webHidden/>
              </w:rPr>
            </w:r>
            <w:r w:rsidR="00737143">
              <w:rPr>
                <w:noProof/>
                <w:webHidden/>
              </w:rPr>
              <w:fldChar w:fldCharType="separate"/>
            </w:r>
            <w:r w:rsidR="00737143">
              <w:rPr>
                <w:noProof/>
                <w:webHidden/>
              </w:rPr>
              <w:t>29</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24" w:history="1">
            <w:r w:rsidR="00737143" w:rsidRPr="004B171B">
              <w:rPr>
                <w:rStyle w:val="Hyperlink"/>
                <w:noProof/>
              </w:rPr>
              <w:t>3.2.2 Variables and Hypotheses</w:t>
            </w:r>
            <w:r w:rsidR="00737143">
              <w:rPr>
                <w:noProof/>
                <w:webHidden/>
              </w:rPr>
              <w:tab/>
            </w:r>
            <w:r w:rsidR="00737143">
              <w:rPr>
                <w:noProof/>
                <w:webHidden/>
              </w:rPr>
              <w:fldChar w:fldCharType="begin"/>
            </w:r>
            <w:r w:rsidR="00737143">
              <w:rPr>
                <w:noProof/>
                <w:webHidden/>
              </w:rPr>
              <w:instrText xml:space="preserve"> PAGEREF _Toc113387224 \h </w:instrText>
            </w:r>
            <w:r w:rsidR="00737143">
              <w:rPr>
                <w:noProof/>
                <w:webHidden/>
              </w:rPr>
            </w:r>
            <w:r w:rsidR="00737143">
              <w:rPr>
                <w:noProof/>
                <w:webHidden/>
              </w:rPr>
              <w:fldChar w:fldCharType="separate"/>
            </w:r>
            <w:r w:rsidR="00737143">
              <w:rPr>
                <w:noProof/>
                <w:webHidden/>
              </w:rPr>
              <w:t>30</w:t>
            </w:r>
            <w:r w:rsidR="00737143">
              <w:rPr>
                <w:noProof/>
                <w:webHidden/>
              </w:rPr>
              <w:fldChar w:fldCharType="end"/>
            </w:r>
          </w:hyperlink>
        </w:p>
        <w:p w:rsidR="00737143" w:rsidRDefault="00076BA9">
          <w:pPr>
            <w:pStyle w:val="TOC3"/>
            <w:tabs>
              <w:tab w:val="left" w:pos="1320"/>
              <w:tab w:val="right" w:leader="dot" w:pos="9350"/>
            </w:tabs>
            <w:rPr>
              <w:rFonts w:asciiTheme="minorHAnsi" w:eastAsiaTheme="minorEastAsia" w:hAnsiTheme="minorHAnsi" w:cstheme="minorBidi"/>
              <w:noProof/>
              <w:sz w:val="22"/>
              <w:szCs w:val="22"/>
              <w:lang w:val="en-CA" w:eastAsia="en-CA"/>
            </w:rPr>
          </w:pPr>
          <w:hyperlink w:anchor="_Toc113387225" w:history="1">
            <w:r w:rsidR="00737143" w:rsidRPr="004B171B">
              <w:rPr>
                <w:rStyle w:val="Hyperlink"/>
                <w:noProof/>
              </w:rPr>
              <w:t>3.2.3</w:t>
            </w:r>
            <w:r w:rsidR="00737143">
              <w:rPr>
                <w:rFonts w:asciiTheme="minorHAnsi" w:eastAsiaTheme="minorEastAsia" w:hAnsiTheme="minorHAnsi" w:cstheme="minorBidi"/>
                <w:noProof/>
                <w:sz w:val="22"/>
                <w:szCs w:val="22"/>
                <w:lang w:val="en-CA" w:eastAsia="en-CA"/>
              </w:rPr>
              <w:tab/>
            </w:r>
            <w:r w:rsidR="00737143" w:rsidRPr="004B171B">
              <w:rPr>
                <w:rStyle w:val="Hyperlink"/>
                <w:noProof/>
              </w:rPr>
              <w:t xml:space="preserve"> Descriptive Statistics</w:t>
            </w:r>
            <w:r w:rsidR="00737143">
              <w:rPr>
                <w:noProof/>
                <w:webHidden/>
              </w:rPr>
              <w:tab/>
            </w:r>
            <w:r w:rsidR="00737143">
              <w:rPr>
                <w:noProof/>
                <w:webHidden/>
              </w:rPr>
              <w:fldChar w:fldCharType="begin"/>
            </w:r>
            <w:r w:rsidR="00737143">
              <w:rPr>
                <w:noProof/>
                <w:webHidden/>
              </w:rPr>
              <w:instrText xml:space="preserve"> PAGEREF _Toc113387225 \h </w:instrText>
            </w:r>
            <w:r w:rsidR="00737143">
              <w:rPr>
                <w:noProof/>
                <w:webHidden/>
              </w:rPr>
            </w:r>
            <w:r w:rsidR="00737143">
              <w:rPr>
                <w:noProof/>
                <w:webHidden/>
              </w:rPr>
              <w:fldChar w:fldCharType="separate"/>
            </w:r>
            <w:r w:rsidR="00737143">
              <w:rPr>
                <w:noProof/>
                <w:webHidden/>
              </w:rPr>
              <w:t>32</w:t>
            </w:r>
            <w:r w:rsidR="00737143">
              <w:rPr>
                <w:noProof/>
                <w:webHidden/>
              </w:rPr>
              <w:fldChar w:fldCharType="end"/>
            </w:r>
          </w:hyperlink>
        </w:p>
        <w:p w:rsidR="00737143" w:rsidRDefault="00076BA9">
          <w:pPr>
            <w:pStyle w:val="TOC3"/>
            <w:tabs>
              <w:tab w:val="right" w:leader="dot" w:pos="9350"/>
            </w:tabs>
            <w:rPr>
              <w:rFonts w:asciiTheme="minorHAnsi" w:eastAsiaTheme="minorEastAsia" w:hAnsiTheme="minorHAnsi" w:cstheme="minorBidi"/>
              <w:noProof/>
              <w:sz w:val="22"/>
              <w:szCs w:val="22"/>
              <w:lang w:val="en-CA" w:eastAsia="en-CA"/>
            </w:rPr>
          </w:pPr>
          <w:hyperlink w:anchor="_Toc113387226" w:history="1">
            <w:r w:rsidR="00737143" w:rsidRPr="004B171B">
              <w:rPr>
                <w:rStyle w:val="Hyperlink"/>
                <w:noProof/>
              </w:rPr>
              <w:t>3.2.4 Econometric Model</w:t>
            </w:r>
            <w:r w:rsidR="00737143">
              <w:rPr>
                <w:noProof/>
                <w:webHidden/>
              </w:rPr>
              <w:tab/>
            </w:r>
            <w:r w:rsidR="00737143">
              <w:rPr>
                <w:noProof/>
                <w:webHidden/>
              </w:rPr>
              <w:fldChar w:fldCharType="begin"/>
            </w:r>
            <w:r w:rsidR="00737143">
              <w:rPr>
                <w:noProof/>
                <w:webHidden/>
              </w:rPr>
              <w:instrText xml:space="preserve"> PAGEREF _Toc113387226 \h </w:instrText>
            </w:r>
            <w:r w:rsidR="00737143">
              <w:rPr>
                <w:noProof/>
                <w:webHidden/>
              </w:rPr>
            </w:r>
            <w:r w:rsidR="00737143">
              <w:rPr>
                <w:noProof/>
                <w:webHidden/>
              </w:rPr>
              <w:fldChar w:fldCharType="separate"/>
            </w:r>
            <w:r w:rsidR="00737143">
              <w:rPr>
                <w:noProof/>
                <w:webHidden/>
              </w:rPr>
              <w:t>38</w:t>
            </w:r>
            <w:r w:rsidR="00737143">
              <w:rPr>
                <w:noProof/>
                <w:webHidden/>
              </w:rPr>
              <w:fldChar w:fldCharType="end"/>
            </w:r>
          </w:hyperlink>
        </w:p>
        <w:p w:rsidR="00737143" w:rsidRDefault="00076BA9">
          <w:pPr>
            <w:pStyle w:val="TOC3"/>
            <w:tabs>
              <w:tab w:val="left" w:pos="1320"/>
              <w:tab w:val="right" w:leader="dot" w:pos="9350"/>
            </w:tabs>
            <w:rPr>
              <w:rFonts w:asciiTheme="minorHAnsi" w:eastAsiaTheme="minorEastAsia" w:hAnsiTheme="minorHAnsi" w:cstheme="minorBidi"/>
              <w:noProof/>
              <w:sz w:val="22"/>
              <w:szCs w:val="22"/>
              <w:lang w:val="en-CA" w:eastAsia="en-CA"/>
            </w:rPr>
          </w:pPr>
          <w:hyperlink w:anchor="_Toc113387227" w:history="1">
            <w:r w:rsidR="00737143" w:rsidRPr="004B171B">
              <w:rPr>
                <w:rStyle w:val="Hyperlink"/>
                <w:noProof/>
              </w:rPr>
              <w:t>3.2.5</w:t>
            </w:r>
            <w:r w:rsidR="00737143">
              <w:rPr>
                <w:rFonts w:asciiTheme="minorHAnsi" w:eastAsiaTheme="minorEastAsia" w:hAnsiTheme="minorHAnsi" w:cstheme="minorBidi"/>
                <w:noProof/>
                <w:sz w:val="22"/>
                <w:szCs w:val="22"/>
                <w:lang w:val="en-CA" w:eastAsia="en-CA"/>
              </w:rPr>
              <w:tab/>
            </w:r>
            <w:r w:rsidR="00737143" w:rsidRPr="004B171B">
              <w:rPr>
                <w:rStyle w:val="Hyperlink"/>
                <w:noProof/>
              </w:rPr>
              <w:t xml:space="preserve"> Multicollinearity</w:t>
            </w:r>
            <w:r w:rsidR="00737143">
              <w:rPr>
                <w:noProof/>
                <w:webHidden/>
              </w:rPr>
              <w:tab/>
            </w:r>
            <w:r w:rsidR="00737143">
              <w:rPr>
                <w:noProof/>
                <w:webHidden/>
              </w:rPr>
              <w:fldChar w:fldCharType="begin"/>
            </w:r>
            <w:r w:rsidR="00737143">
              <w:rPr>
                <w:noProof/>
                <w:webHidden/>
              </w:rPr>
              <w:instrText xml:space="preserve"> PAGEREF _Toc113387227 \h </w:instrText>
            </w:r>
            <w:r w:rsidR="00737143">
              <w:rPr>
                <w:noProof/>
                <w:webHidden/>
              </w:rPr>
            </w:r>
            <w:r w:rsidR="00737143">
              <w:rPr>
                <w:noProof/>
                <w:webHidden/>
              </w:rPr>
              <w:fldChar w:fldCharType="separate"/>
            </w:r>
            <w:r w:rsidR="00737143">
              <w:rPr>
                <w:noProof/>
                <w:webHidden/>
              </w:rPr>
              <w:t>40</w:t>
            </w:r>
            <w:r w:rsidR="00737143">
              <w:rPr>
                <w:noProof/>
                <w:webHidden/>
              </w:rPr>
              <w:fldChar w:fldCharType="end"/>
            </w:r>
          </w:hyperlink>
        </w:p>
        <w:p w:rsidR="00737143" w:rsidRDefault="00737143">
          <w:r>
            <w:rPr>
              <w:b/>
              <w:bCs/>
              <w:noProof/>
            </w:rPr>
            <w:fldChar w:fldCharType="end"/>
          </w:r>
        </w:p>
      </w:sdtContent>
    </w:sdt>
    <w:p w:rsidR="00737143" w:rsidRDefault="00737143" w:rsidP="005D1DE2">
      <w:pPr>
        <w:autoSpaceDE w:val="0"/>
        <w:autoSpaceDN w:val="0"/>
        <w:adjustRightInd w:val="0"/>
        <w:rPr>
          <w:rFonts w:eastAsia="Calibri"/>
          <w:bCs/>
          <w:color w:val="000000"/>
        </w:rPr>
      </w:pPr>
    </w:p>
    <w:p w:rsidR="00D96C9D" w:rsidRPr="00CD79CF" w:rsidRDefault="00D96C9D" w:rsidP="005D1DE2">
      <w:pPr>
        <w:autoSpaceDE w:val="0"/>
        <w:autoSpaceDN w:val="0"/>
        <w:adjustRightInd w:val="0"/>
        <w:rPr>
          <w:rFonts w:eastAsia="Calibri"/>
          <w:color w:val="000000"/>
        </w:rPr>
      </w:pPr>
    </w:p>
    <w:p w:rsidR="00C70430" w:rsidRDefault="00C70430" w:rsidP="005D1DE2">
      <w:pPr>
        <w:autoSpaceDE w:val="0"/>
        <w:autoSpaceDN w:val="0"/>
        <w:adjustRightInd w:val="0"/>
        <w:rPr>
          <w:rFonts w:eastAsia="Calibri"/>
          <w:b/>
          <w:bCs/>
          <w:color w:val="000000"/>
        </w:rPr>
      </w:pPr>
    </w:p>
    <w:p w:rsidR="00597E06" w:rsidRDefault="00597E06" w:rsidP="00597E06">
      <w:pPr>
        <w:spacing w:before="240" w:line="360" w:lineRule="auto"/>
        <w:jc w:val="both"/>
      </w:pPr>
      <w:r w:rsidRPr="00597E06">
        <w:rPr>
          <w:b/>
        </w:rPr>
        <w:t>Abstract:</w:t>
      </w:r>
      <w:r>
        <w:t xml:space="preserve"> The way services are provided to investors in the financial services sector is changing significantly very quickly.</w:t>
      </w:r>
    </w:p>
    <w:p w:rsidR="00597E06" w:rsidRDefault="00597E06" w:rsidP="00597E06">
      <w:pPr>
        <w:spacing w:before="240" w:line="360" w:lineRule="auto"/>
        <w:jc w:val="both"/>
      </w:pPr>
      <w:r>
        <w:t>In light of the aforementioned trends, digital-based advisors known as "</w:t>
      </w:r>
      <w:r w:rsidR="000D7431">
        <w:t>Robo</w:t>
      </w:r>
      <w:r>
        <w:t>-advisors" may hold the key to the financial advisory sector's future in Canada.</w:t>
      </w:r>
    </w:p>
    <w:p w:rsidR="00737143" w:rsidRDefault="00597E06" w:rsidP="00597E06">
      <w:pPr>
        <w:spacing w:before="240" w:line="360" w:lineRule="auto"/>
        <w:jc w:val="both"/>
      </w:pPr>
      <w:r>
        <w:t>There aren't many studies out there that examine customer opinions toward robot advisories. I used the Technology Acceptance Model to conduct the study and an online questionnaire (TAM). Following the receipt of 433 replies, a partial least squares analysis was performed (PLS). The findings and ramifications serve as the basis for a recommendation to Robo-advisory stakeholders to improve a critical service.</w:t>
      </w: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A46BBB" w:rsidRDefault="00A46BBB" w:rsidP="00831135">
      <w:pPr>
        <w:spacing w:before="240" w:line="360" w:lineRule="auto"/>
        <w:jc w:val="both"/>
      </w:pPr>
    </w:p>
    <w:p w:rsidR="00B95A76" w:rsidRDefault="00B95A76" w:rsidP="00831135">
      <w:pPr>
        <w:spacing w:before="240" w:line="360" w:lineRule="auto"/>
        <w:jc w:val="both"/>
      </w:pPr>
    </w:p>
    <w:p w:rsidR="00215074" w:rsidRPr="00DD1592" w:rsidRDefault="00215074" w:rsidP="00831135">
      <w:pPr>
        <w:spacing w:before="240" w:line="360" w:lineRule="auto"/>
        <w:jc w:val="both"/>
      </w:pPr>
    </w:p>
    <w:p w:rsidR="00001E08" w:rsidRPr="00DD1592" w:rsidRDefault="001F4FD3" w:rsidP="00761B9C">
      <w:pPr>
        <w:spacing w:line="360" w:lineRule="auto"/>
        <w:jc w:val="center"/>
      </w:pPr>
      <w:r w:rsidRPr="00DD1592">
        <w:rPr>
          <w:b/>
          <w:bCs/>
        </w:rPr>
        <w:t>CHAPTER ONE</w:t>
      </w:r>
    </w:p>
    <w:p w:rsidR="00001E08" w:rsidRPr="00DD1592" w:rsidRDefault="001F4FD3" w:rsidP="00831135">
      <w:pPr>
        <w:spacing w:before="240" w:line="360" w:lineRule="auto"/>
        <w:jc w:val="center"/>
      </w:pPr>
      <w:r w:rsidRPr="00DD1592">
        <w:rPr>
          <w:b/>
          <w:bCs/>
        </w:rPr>
        <w:t>INTRODUCTION</w:t>
      </w:r>
    </w:p>
    <w:p w:rsidR="00001E08" w:rsidRPr="00500CB5" w:rsidRDefault="001F4FD3" w:rsidP="00500CB5">
      <w:pPr>
        <w:pStyle w:val="Heading2"/>
        <w:numPr>
          <w:ilvl w:val="1"/>
          <w:numId w:val="6"/>
        </w:numPr>
        <w:rPr>
          <w:bCs w:val="0"/>
          <w:color w:val="000000" w:themeColor="text1"/>
          <w:sz w:val="24"/>
          <w:szCs w:val="24"/>
        </w:rPr>
      </w:pPr>
      <w:bookmarkStart w:id="0" w:name="_Toc113387199"/>
      <w:r w:rsidRPr="00500CB5">
        <w:rPr>
          <w:bCs w:val="0"/>
          <w:color w:val="000000" w:themeColor="text1"/>
          <w:sz w:val="24"/>
          <w:szCs w:val="24"/>
        </w:rPr>
        <w:t>Background to the study</w:t>
      </w:r>
      <w:bookmarkEnd w:id="0"/>
    </w:p>
    <w:p w:rsidR="00500CB5" w:rsidRPr="00500CB5" w:rsidRDefault="00500CB5" w:rsidP="00500CB5"/>
    <w:p w:rsidR="00001E08" w:rsidRPr="00500CB5" w:rsidRDefault="00CF3EE8" w:rsidP="00831135">
      <w:pPr>
        <w:spacing w:line="360" w:lineRule="auto"/>
        <w:jc w:val="both"/>
      </w:pPr>
      <w:r w:rsidRPr="00500CB5">
        <w:tab/>
      </w:r>
      <w:r w:rsidR="001F4FD3" w:rsidRPr="00500CB5">
        <w:t>Robo-advisors are automated investment products connecting people with digital tools and cutting-edge customer experience. They lead them through a self-</w:t>
      </w:r>
      <w:r w:rsidR="0070298A">
        <w:t>evaluation</w:t>
      </w:r>
      <w:r w:rsidR="001F4FD3" w:rsidRPr="00500CB5">
        <w:t xml:space="preserve"> pro</w:t>
      </w:r>
      <w:r w:rsidR="0070298A">
        <w:t>cedure</w:t>
      </w:r>
      <w:r w:rsidR="001F4FD3" w:rsidRPr="00500CB5">
        <w:t xml:space="preserve"> and</w:t>
      </w:r>
      <w:r w:rsidR="0070298A">
        <w:t xml:space="preserve"> guide</w:t>
      </w:r>
      <w:r w:rsidR="001F4FD3" w:rsidRPr="00500CB5">
        <w:t xml:space="preserve"> their investing </w:t>
      </w:r>
      <w:r w:rsidR="00500CB5" w:rsidRPr="00500CB5">
        <w:t>behavior</w:t>
      </w:r>
      <w:r w:rsidR="001F4FD3" w:rsidRPr="00500CB5">
        <w:t xml:space="preserve"> toward essential goal-based decision-making. Robo-advisors are a handy way to enable portfolio management strategies </w:t>
      </w:r>
      <w:r w:rsidR="000D7431">
        <w:t>that</w:t>
      </w:r>
      <w:r w:rsidR="001F4FD3" w:rsidRPr="00500CB5">
        <w:t xml:space="preserve"> use trade algorithms based on inert financial services (related to investment options or marketplace funds in which the fund's profile follows a standard). These digital firms differ in terms of target customers as well as the extent of passive management, investment automation, engagement with the level of self-evaluation, and humanistic consultant. (Sironi, 2016, p. 8).</w:t>
      </w:r>
    </w:p>
    <w:p w:rsidR="00001E08" w:rsidRPr="00500CB5" w:rsidRDefault="00CF3EE8" w:rsidP="00CF3EE8">
      <w:pPr>
        <w:spacing w:line="360" w:lineRule="auto"/>
        <w:jc w:val="both"/>
      </w:pPr>
      <w:r w:rsidRPr="00500CB5">
        <w:tab/>
      </w:r>
      <w:r w:rsidR="001F4FD3" w:rsidRPr="00500CB5">
        <w:t>The "new wealth management interface of the 21st century" and the "next operating system in finance" have both been hailed as Robo advisers (Andrus 2014).</w:t>
      </w:r>
      <w:r w:rsidR="00A62EBA" w:rsidRPr="00A62EBA">
        <w:t xml:space="preserve"> Robo advisers provide </w:t>
      </w:r>
      <w:r w:rsidR="000D7431">
        <w:t>investment</w:t>
      </w:r>
      <w:r w:rsidR="00A62EBA" w:rsidRPr="00A62EBA">
        <w:t xml:space="preserve"> advice without the assistance of a human advisor</w:t>
      </w:r>
      <w:r w:rsidR="001F4FD3" w:rsidRPr="00500CB5">
        <w:t xml:space="preserve">. In a nutshell, </w:t>
      </w:r>
      <w:r w:rsidR="00A62EBA" w:rsidRPr="00A62EBA">
        <w:t xml:space="preserve">Robo advisers are technology interfaces that guide investors through the complete investing counseling process, from identifying financial objectives to assessing risk tolerance and managing the entire portfolio. </w:t>
      </w:r>
      <w:r w:rsidR="001F4FD3" w:rsidRPr="00500CB5">
        <w:t xml:space="preserve">(Faloon and Scherer, 2017; Gomber et al., 2017; Williams-Grut 2017). Although consumers' </w:t>
      </w:r>
      <w:r w:rsidR="0070298A">
        <w:t xml:space="preserve">budgetary contribution </w:t>
      </w:r>
      <w:r w:rsidR="001F4FD3" w:rsidRPr="00500CB5">
        <w:t xml:space="preserve">is still possible, the main feature is the electronic method of risk evaluation, investment strategy, and investment management that considers customers' current fiscal state, investment objectives, and risk tolerance. </w:t>
      </w:r>
      <w:r w:rsidR="00A62EBA">
        <w:t xml:space="preserve">Current educational </w:t>
      </w:r>
      <w:r w:rsidR="001F4FD3" w:rsidRPr="00500CB5">
        <w:t xml:space="preserve">and </w:t>
      </w:r>
      <w:r w:rsidR="00A62EBA">
        <w:t>professional</w:t>
      </w:r>
      <w:r w:rsidR="001F4FD3" w:rsidRPr="00500CB5">
        <w:t xml:space="preserve"> </w:t>
      </w:r>
      <w:r w:rsidR="000D7431">
        <w:t>research reveals</w:t>
      </w:r>
      <w:r w:rsidR="001F4FD3" w:rsidRPr="00500CB5">
        <w:t xml:space="preserve"> that </w:t>
      </w:r>
      <w:r w:rsidR="00A62EBA">
        <w:t>expansion</w:t>
      </w:r>
      <w:r w:rsidR="001F4FD3" w:rsidRPr="00500CB5">
        <w:t xml:space="preserve"> rates are </w:t>
      </w:r>
      <w:r w:rsidR="00A62EBA">
        <w:t>declining</w:t>
      </w:r>
      <w:r w:rsidR="001F4FD3" w:rsidRPr="00500CB5">
        <w:t xml:space="preserve"> short of expectations </w:t>
      </w:r>
      <w:r w:rsidR="000D7431">
        <w:t>and</w:t>
      </w:r>
      <w:r w:rsidR="00A62EBA">
        <w:t xml:space="preserve"> widespread user satisfaction</w:t>
      </w:r>
      <w:r w:rsidR="001F4FD3" w:rsidRPr="00500CB5">
        <w:t xml:space="preserve"> of Robo advisors even amid their growing presence in the financial sector. With a share of $200 billion in assets under management worldwide in 2017 (Euler 2018) and firms like Betterment or Wealth front amassing $1 billion under control less than 21/2 years after market entry (Moyer 2014). (Jung et al. 2017; Schweitzer 2019). Due to robot advisors' lack of "human touch" and a human's more robust capacity to comprehend and tailor investment advice to a client's specific financial circumstances, most consumers still prefer human, financial advisors (Hohenberger et al., 2019).</w:t>
      </w:r>
    </w:p>
    <w:p w:rsidR="00001E08" w:rsidRPr="00500CB5" w:rsidRDefault="00CF3EE8" w:rsidP="00CF3EE8">
      <w:pPr>
        <w:spacing w:line="360" w:lineRule="auto"/>
        <w:jc w:val="both"/>
      </w:pPr>
      <w:r w:rsidRPr="00500CB5">
        <w:tab/>
      </w:r>
      <w:r w:rsidR="001F4FD3" w:rsidRPr="00500CB5">
        <w:t>The financial sector is seeing tremendous growth; new technology and a focus on digitization are paving the way for revolutionary breakthroughs that have changed this sector. The outcome of the engagement between the capital market and innovation is fintech. Fintech is defined as "A worldwide issue, conceived at the edge between investment companies and system integrators, seeking to capitalize on electronic technologies and advanced business intelligence to simply remove financial products and services and enable scale economies by aiming lengthy customer." (Sironi, 2016, p. 5)</w:t>
      </w:r>
    </w:p>
    <w:p w:rsidR="00001E08" w:rsidRPr="00500CB5" w:rsidRDefault="00CF3EE8" w:rsidP="00CF3EE8">
      <w:pPr>
        <w:spacing w:line="360" w:lineRule="auto"/>
        <w:jc w:val="both"/>
      </w:pPr>
      <w:r w:rsidRPr="00500CB5">
        <w:tab/>
      </w:r>
      <w:r w:rsidR="00CE51DC">
        <w:t xml:space="preserve">Digitalization </w:t>
      </w:r>
      <w:r w:rsidR="001F4FD3" w:rsidRPr="00500CB5">
        <w:t>is</w:t>
      </w:r>
      <w:r w:rsidR="00CE51DC">
        <w:t xml:space="preserve"> </w:t>
      </w:r>
      <w:r w:rsidR="00CE51DC" w:rsidRPr="00CE51DC">
        <w:t>posing a threat to established financial institutions</w:t>
      </w:r>
      <w:r w:rsidR="001F4FD3" w:rsidRPr="00500CB5">
        <w:t xml:space="preserve">. The digitization revolution has been obliged to rebuild a portion of its operations to adapt, beginning with its digitalization advancements. With their cutting-edge technologies utilizing </w:t>
      </w:r>
      <w:r w:rsidR="005E35E8">
        <w:t>psychological</w:t>
      </w:r>
      <w:r w:rsidR="001F4FD3" w:rsidRPr="00500CB5">
        <w:t xml:space="preserve"> and big data analytics, fintech companies are setting the pace. New client </w:t>
      </w:r>
      <w:r w:rsidR="00500CB5" w:rsidRPr="00500CB5">
        <w:t>behaviors</w:t>
      </w:r>
      <w:r w:rsidR="001F4FD3" w:rsidRPr="00500CB5">
        <w:t xml:space="preserve"> that </w:t>
      </w:r>
      <w:r w:rsidR="000D7431">
        <w:t>require</w:t>
      </w:r>
      <w:r w:rsidR="001F4FD3" w:rsidRPr="00500CB5">
        <w:t xml:space="preserve"> flexibility,</w:t>
      </w:r>
      <w:r w:rsidR="005E35E8">
        <w:t xml:space="preserve"> web products</w:t>
      </w:r>
      <w:r w:rsidR="000D7431">
        <w:t>, and</w:t>
      </w:r>
      <w:r w:rsidR="005E35E8">
        <w:t xml:space="preserve"> more </w:t>
      </w:r>
      <w:r w:rsidR="001F4FD3" w:rsidRPr="00500CB5">
        <w:t xml:space="preserve">individualized investment </w:t>
      </w:r>
      <w:r w:rsidR="005E35E8">
        <w:t>idea</w:t>
      </w:r>
      <w:r w:rsidR="001F4FD3" w:rsidRPr="00500CB5">
        <w:t xml:space="preserve">s like goal-based investing are also changing (GBI). GBI </w:t>
      </w:r>
      <w:r w:rsidR="00A62EBA" w:rsidRPr="00A62EBA">
        <w:t>alters the financial sector by placing people at the heart of decision-making around investments</w:t>
      </w:r>
      <w:r w:rsidR="00A62EBA">
        <w:t xml:space="preserve"> (</w:t>
      </w:r>
      <w:r w:rsidR="001F4FD3" w:rsidRPr="00500CB5">
        <w:t>Sironi, 2016).</w:t>
      </w:r>
    </w:p>
    <w:p w:rsidR="00001E08" w:rsidRPr="00500CB5" w:rsidRDefault="00CF3EE8" w:rsidP="00CF3EE8">
      <w:pPr>
        <w:spacing w:line="360" w:lineRule="auto"/>
        <w:jc w:val="both"/>
      </w:pPr>
      <w:r w:rsidRPr="00500CB5">
        <w:tab/>
      </w:r>
      <w:r w:rsidR="001F4FD3" w:rsidRPr="00500CB5">
        <w:t xml:space="preserve">New laws, including the Market in Financial Instruments Directive (MiFID I and II), which govern the </w:t>
      </w:r>
      <w:r w:rsidR="00607FB2">
        <w:t>capital</w:t>
      </w:r>
      <w:r w:rsidR="001F4FD3" w:rsidRPr="00500CB5">
        <w:t xml:space="preserve"> market in nations that are a part of the European Union, are also becoming effective at the same time. The financial industry's drive for transparency is lessening the formerly predominated information asymmetry.</w:t>
      </w:r>
      <w:r w:rsidR="00607FB2">
        <w:t xml:space="preserve"> </w:t>
      </w:r>
      <w:r w:rsidR="00607FB2" w:rsidRPr="00607FB2">
        <w:t>Financial institutions now have the upper hand in pricing due to information gaps between clients, professional bankers, and advisors.</w:t>
      </w:r>
      <w:r w:rsidR="001F4FD3" w:rsidRPr="00500CB5">
        <w:t xml:space="preserve"> Investment management firms are now concentrating on fast revenue proportion adjustments instead of the protracted goals of their clients. (Sironi, 2016). </w:t>
      </w:r>
      <w:r w:rsidR="00607FB2" w:rsidRPr="00607FB2">
        <w:t>This and other events contributed to the global financial crisis of 2007, which showed that this kind of behavior could not be sustained over the long run.</w:t>
      </w:r>
      <w:r w:rsidR="00607FB2">
        <w:t xml:space="preserve"> </w:t>
      </w:r>
      <w:r w:rsidR="00607FB2" w:rsidRPr="00607FB2">
        <w:t>The emphasis in the financial sector is shifting away from a strategy that puts the client's needs first and toward one that does</w:t>
      </w:r>
      <w:r w:rsidR="00607FB2">
        <w:t xml:space="preserve"> </w:t>
      </w:r>
      <w:r w:rsidR="001F4FD3" w:rsidRPr="00500CB5">
        <w:t>(Sironi, 2016).</w:t>
      </w:r>
    </w:p>
    <w:p w:rsidR="00001E08" w:rsidRPr="00500CB5" w:rsidRDefault="002A4DCE" w:rsidP="002A4DCE">
      <w:pPr>
        <w:spacing w:line="360" w:lineRule="auto"/>
        <w:jc w:val="both"/>
      </w:pPr>
      <w:r w:rsidRPr="00500CB5">
        <w:tab/>
      </w:r>
      <w:r w:rsidR="001F4FD3" w:rsidRPr="00500CB5">
        <w:t xml:space="preserve">A combination of digitization and a GBI focus has led to the development of the fintech innovation Robo-advisory within the financial sector in the era of robot technology. This innovation is characterized as disruptive since it challenges the status quo in traditional consulting, attracts new clients, and fills a gap for current clients. Additionally, Robo-advice is more affordable and straightforward than formal advisory. Because many conventional advisers believed that the earning potential of these types of consumers was too tiny, </w:t>
      </w:r>
      <w:r w:rsidR="000B24D0">
        <w:t>conventional</w:t>
      </w:r>
      <w:r w:rsidR="001F4FD3" w:rsidRPr="00500CB5">
        <w:t xml:space="preserve"> advisory </w:t>
      </w:r>
      <w:r w:rsidR="00CE51DC">
        <w:t>ideal potential</w:t>
      </w:r>
      <w:r w:rsidR="001F4FD3" w:rsidRPr="00500CB5">
        <w:t xml:space="preserve"> customers have historically been more affluent clientele, leaving a void for little savers.</w:t>
      </w:r>
      <w:r w:rsidR="000B24D0">
        <w:t xml:space="preserve"> </w:t>
      </w:r>
      <w:r w:rsidR="001F4FD3" w:rsidRPr="00500CB5">
        <w:t xml:space="preserve">By providing financial services to low-income millennials, initially regarded as modest savers, Robo-advisors are filling that vacuum. However, their reach has expanded to include more affluent clients as well. (Sironi, 2016). </w:t>
      </w:r>
    </w:p>
    <w:p w:rsidR="00001E08" w:rsidRPr="00500CB5" w:rsidRDefault="002A4DCE" w:rsidP="002A4DCE">
      <w:pPr>
        <w:spacing w:line="360" w:lineRule="auto"/>
        <w:jc w:val="both"/>
      </w:pPr>
      <w:r w:rsidRPr="00500CB5">
        <w:tab/>
      </w:r>
      <w:r w:rsidR="001F4FD3" w:rsidRPr="00500CB5">
        <w:t xml:space="preserve">Since having a financial advisor is relatively prevalent in the US, where Robo-advisory was first offered in 2008, the US continues to be the largest market. According to a survey by A.T. Kearney in the United States, </w:t>
      </w:r>
      <w:r w:rsidR="000D7431">
        <w:t>Robo-advising</w:t>
      </w:r>
      <w:r w:rsidR="001F4FD3" w:rsidRPr="00500CB5">
        <w:t xml:space="preserve"> services will be utilized more frequently by American investors over the next three to five years, and the </w:t>
      </w:r>
      <w:r w:rsidR="000B24D0">
        <w:t>rate of adoption</w:t>
      </w:r>
      <w:r w:rsidR="001F4FD3" w:rsidRPr="00500CB5">
        <w:t xml:space="preserve"> of Robo-advisory will </w:t>
      </w:r>
      <w:r w:rsidR="000B24D0">
        <w:t>increase</w:t>
      </w:r>
      <w:r w:rsidR="001F4FD3" w:rsidRPr="00500CB5">
        <w:t xml:space="preserve">. According to estimates, the amount of money invested overall in Robo-advisories will increase from 1.7% in 2017 to 5.6% in 2020. (AT Kearney, 2015) states that Users of Robo-advisories that fit the outlined profile have a history of investing and a familiarity with contemporary technologies. These customers are also </w:t>
      </w:r>
      <w:r w:rsidR="0019151E">
        <w:t>rich</w:t>
      </w:r>
      <w:r w:rsidR="001F4FD3" w:rsidRPr="00500CB5">
        <w:t xml:space="preserve"> and adventurous. (Epperson, Hedges, Singh, and Gabel, 2015) opine that Robo-advisory services are a relatively </w:t>
      </w:r>
      <w:r w:rsidR="001D5BDB">
        <w:t>new</w:t>
      </w:r>
      <w:r w:rsidR="001F4FD3" w:rsidRPr="00500CB5">
        <w:t xml:space="preserve"> </w:t>
      </w:r>
      <w:r w:rsidR="0019151E">
        <w:t>idea</w:t>
      </w:r>
      <w:r w:rsidR="001F4FD3" w:rsidRPr="00500CB5">
        <w:t xml:space="preserve"> and are still i</w:t>
      </w:r>
      <w:r w:rsidR="001D5BDB">
        <w:t>n their infancy</w:t>
      </w:r>
      <w:r w:rsidR="001F4FD3" w:rsidRPr="00500CB5">
        <w:t xml:space="preserve">, there are numerous businesses in Sweden that provide them. </w:t>
      </w:r>
      <w:r w:rsidR="001D5BDB" w:rsidRPr="001D5BDB">
        <w:t>There are currently ten different Robo-advisors, and many more are on the way</w:t>
      </w:r>
      <w:r w:rsidR="005406DB">
        <w:t xml:space="preserve"> </w:t>
      </w:r>
      <w:r w:rsidR="001F4FD3" w:rsidRPr="00500CB5">
        <w:t>(Di Digital, 2017).</w:t>
      </w:r>
    </w:p>
    <w:p w:rsidR="00001E08" w:rsidRPr="00500CB5" w:rsidRDefault="002A4DCE" w:rsidP="002A4DCE">
      <w:pPr>
        <w:spacing w:line="360" w:lineRule="auto"/>
        <w:jc w:val="both"/>
      </w:pPr>
      <w:r w:rsidRPr="00500CB5">
        <w:tab/>
      </w:r>
      <w:r w:rsidR="001F4FD3" w:rsidRPr="00500CB5">
        <w:t xml:space="preserve">When gathering information on the </w:t>
      </w:r>
      <w:r w:rsidR="000D7431">
        <w:t>client’s</w:t>
      </w:r>
      <w:r w:rsidR="0019151E">
        <w:t xml:space="preserve"> economic standing</w:t>
      </w:r>
      <w:r w:rsidR="001F4FD3" w:rsidRPr="00500CB5">
        <w:t xml:space="preserve"> and simultaneously developing a knowledge base for consumer input, Robo-advisory could eliminate information asymmetries. The client can collect and analyze data about the robot-advisory process concurrently. Problems may arise when clients and advisors are compelled to complete information-gathering forms. This can result in information overload and information imbalances. (Nussbaumer, Matter, á Porta, and Schwabe 2012a, b; Kilic, Heinrich, and Schwabe, 2015). </w:t>
      </w:r>
      <w:r w:rsidR="000D7431">
        <w:t xml:space="preserve">Robo </w:t>
      </w:r>
      <w:r w:rsidR="00F6032D">
        <w:t>advise</w:t>
      </w:r>
      <w:r w:rsidR="001F4FD3" w:rsidRPr="00500CB5">
        <w:t xml:space="preserve"> and the idea of artificial intelligence (AI) are frequently used interchangeably. It describes how machines carry out tasks in a manner that mimics human intellect. These devices are capable of learning, problem-solving, rational thought, and selecting the optimal course of action to attain particular objectives (Nilsson, 2014). Companies that provide Robo-advisory services include AI to enhance their intelligence through AI investment algorithms that self-learn. 2016 Deloitte report. Since Robo-advisory services are still in their infancy, several opposing viewpoints exist on this invention. The service now being provided on the Canadian market has many shortcomings. Currently available Robo-advisors, among other things, do not gather enough data to provide thorough advice or cover all facets of an individual's economy</w:t>
      </w:r>
      <w:r w:rsidR="00793448">
        <w:t xml:space="preserve"> </w:t>
      </w:r>
      <w:r w:rsidR="001F4FD3" w:rsidRPr="00500CB5">
        <w:t>(Morningstar, 2017). Although Robo-advisory is a revolutionary technology, its uptake has lagged behind expectations. According to a US study, consumers may have high expectations for openness, limited trust in banks, and doubts about Robo-advisors' utility. (Jung, Dorner, Veinhardt, and Pusmaz, 2017).</w:t>
      </w:r>
    </w:p>
    <w:p w:rsidR="00001E08" w:rsidRPr="00500CB5" w:rsidRDefault="002A4DCE" w:rsidP="002A4DCE">
      <w:pPr>
        <w:spacing w:line="360" w:lineRule="auto"/>
        <w:jc w:val="both"/>
      </w:pPr>
      <w:r w:rsidRPr="00500CB5">
        <w:tab/>
      </w:r>
      <w:r w:rsidR="001F4FD3" w:rsidRPr="00500CB5">
        <w:t>The current study introduces a fresh conceptualization of Robo advisers employing</w:t>
      </w:r>
      <w:r w:rsidR="0019151E">
        <w:t xml:space="preserve"> automated virtual </w:t>
      </w:r>
      <w:r w:rsidR="000D7431">
        <w:t>assistants</w:t>
      </w:r>
      <w:r w:rsidR="001F4FD3" w:rsidRPr="00500CB5">
        <w:t xml:space="preserve">, which we call "conversational Robo advisors." Robo advisers are referred to as conversational advisory interfaces because they have a dialogue-based financial advisory process that imitates key characteristics of interactions between people (such as turn-taking or the presence of social cues throughout a conversation) (Davenport et al., 2020; Thomaz et al. 2020). The primary premise of the </w:t>
      </w:r>
      <w:r w:rsidR="0019151E">
        <w:t>ongoing</w:t>
      </w:r>
      <w:r w:rsidR="001F4FD3" w:rsidRPr="00500CB5">
        <w:t xml:space="preserve"> study is that conversational Robo advisors, as opposed to conventional, non-conversational Robo advisors, can offer an as-yet-untested </w:t>
      </w:r>
      <w:r w:rsidR="00991AB5">
        <w:t>option</w:t>
      </w:r>
      <w:r w:rsidR="001F4FD3" w:rsidRPr="00500CB5">
        <w:t xml:space="preserve"> to </w:t>
      </w:r>
      <w:r w:rsidR="00991AB5">
        <w:t>tackle</w:t>
      </w:r>
      <w:r w:rsidR="001F4FD3" w:rsidRPr="00500CB5">
        <w:t xml:space="preserve"> and make up for the absence of "</w:t>
      </w:r>
      <w:r w:rsidR="00991AB5">
        <w:t>physical connection</w:t>
      </w:r>
      <w:r w:rsidR="001F4FD3" w:rsidRPr="00500CB5">
        <w:t xml:space="preserve">" throughout </w:t>
      </w:r>
      <w:r w:rsidR="000D7431">
        <w:t>the counseling</w:t>
      </w:r>
      <w:r w:rsidR="001F4FD3" w:rsidRPr="00500CB5">
        <w:t xml:space="preserve"> </w:t>
      </w:r>
      <w:r w:rsidR="00991AB5">
        <w:t>session</w:t>
      </w:r>
      <w:r w:rsidR="001F4FD3" w:rsidRPr="00500CB5">
        <w:t xml:space="preserve">. We conceptualize "communicative Robo advisers" and experimentally evaluate how it impacts investment </w:t>
      </w:r>
      <w:r w:rsidR="000D7431">
        <w:t>behavior</w:t>
      </w:r>
      <w:r w:rsidR="001F4FD3" w:rsidRPr="00500CB5">
        <w:t xml:space="preserve">, organization appraisal, and customer perceptions of confidence. This expands on the beneficial aspects of interpersonal interactions explored in earlier communication studies and social cognitive science (Fiske et al., 2007; Levinson, 2016; Sprecher et al., 2013). </w:t>
      </w:r>
    </w:p>
    <w:p w:rsidR="00500CB5" w:rsidRDefault="001F4FD3" w:rsidP="00500CB5">
      <w:pPr>
        <w:pStyle w:val="Heading2"/>
        <w:numPr>
          <w:ilvl w:val="1"/>
          <w:numId w:val="6"/>
        </w:numPr>
        <w:rPr>
          <w:bCs w:val="0"/>
          <w:color w:val="000000" w:themeColor="text1"/>
          <w:sz w:val="24"/>
          <w:szCs w:val="24"/>
        </w:rPr>
      </w:pPr>
      <w:bookmarkStart w:id="1" w:name="_Toc113387200"/>
      <w:r w:rsidRPr="00500CB5">
        <w:rPr>
          <w:bCs w:val="0"/>
          <w:color w:val="000000" w:themeColor="text1"/>
          <w:sz w:val="24"/>
          <w:szCs w:val="24"/>
        </w:rPr>
        <w:t>Objectives of the Study</w:t>
      </w:r>
      <w:bookmarkEnd w:id="1"/>
      <w:r w:rsidRPr="00500CB5">
        <w:rPr>
          <w:bCs w:val="0"/>
          <w:color w:val="000000" w:themeColor="text1"/>
          <w:sz w:val="24"/>
          <w:szCs w:val="24"/>
        </w:rPr>
        <w:t xml:space="preserve"> </w:t>
      </w:r>
    </w:p>
    <w:p w:rsidR="00500CB5" w:rsidRPr="00500CB5" w:rsidRDefault="00500CB5" w:rsidP="00500CB5"/>
    <w:p w:rsidR="00001E08" w:rsidRPr="00500CB5" w:rsidRDefault="00EF406F" w:rsidP="00EF406F">
      <w:pPr>
        <w:spacing w:line="360" w:lineRule="auto"/>
        <w:jc w:val="both"/>
      </w:pPr>
      <w:r w:rsidRPr="00500CB5">
        <w:tab/>
      </w:r>
      <w:r w:rsidR="001F4FD3" w:rsidRPr="00500CB5">
        <w:t xml:space="preserve">This thesis investigates customer attitudes toward Robo-advisory in Canada, where previous research has been relatively constrained. Robo-advisory was initially offered in the US. According to a 2015 report, 20% of Americans are aware of Robo-advisory services, and 3% of Americans have adopted Robo-advisory. Additionally, this thesis aspires to add to the expanding body of research investigating the significance of Robo-future advisories in Canada's fintech sector. Our study also examines how consumer </w:t>
      </w:r>
      <w:r w:rsidR="00500CB5" w:rsidRPr="00500CB5">
        <w:t>behaviors</w:t>
      </w:r>
      <w:r w:rsidR="001F4FD3" w:rsidRPr="00500CB5">
        <w:t xml:space="preserve"> and personality traits affect investment choices. Gender, age, education, money, and risk are all personal characteristics. </w:t>
      </w:r>
    </w:p>
    <w:p w:rsidR="00EF406F" w:rsidRPr="00500CB5" w:rsidRDefault="00EF406F" w:rsidP="00500CB5">
      <w:pPr>
        <w:spacing w:line="360" w:lineRule="auto"/>
        <w:jc w:val="both"/>
      </w:pPr>
      <w:r w:rsidRPr="00500CB5">
        <w:tab/>
      </w:r>
      <w:r w:rsidR="001F4FD3" w:rsidRPr="00500CB5">
        <w:t xml:space="preserve">The </w:t>
      </w:r>
      <w:r w:rsidR="00500CB5" w:rsidRPr="00500CB5">
        <w:t>behavioral</w:t>
      </w:r>
      <w:r w:rsidR="001F4FD3" w:rsidRPr="00500CB5">
        <w:t xml:space="preserve"> perspective consists of different components like customer attitudes, energy expediencies, and effectiveness disposal issues that affect the intention and conduct of the use of technology. The intended audience in the Canadian financial market comprises both ongoing and prospective consumers of commodities.</w:t>
      </w:r>
    </w:p>
    <w:p w:rsidR="00001E08" w:rsidRPr="00500CB5" w:rsidRDefault="001F4FD3" w:rsidP="00737143">
      <w:pPr>
        <w:pStyle w:val="Heading2"/>
        <w:rPr>
          <w:color w:val="000000" w:themeColor="text1"/>
          <w:sz w:val="24"/>
          <w:szCs w:val="24"/>
        </w:rPr>
      </w:pPr>
      <w:bookmarkStart w:id="2" w:name="_Toc113387201"/>
      <w:r w:rsidRPr="00500CB5">
        <w:rPr>
          <w:bCs w:val="0"/>
          <w:color w:val="000000" w:themeColor="text1"/>
          <w:sz w:val="24"/>
          <w:szCs w:val="24"/>
        </w:rPr>
        <w:t>1.3 Research Questions</w:t>
      </w:r>
      <w:bookmarkEnd w:id="2"/>
    </w:p>
    <w:p w:rsidR="00001E08" w:rsidRPr="00500CB5" w:rsidRDefault="00EF406F" w:rsidP="00EF406F">
      <w:pPr>
        <w:spacing w:line="360" w:lineRule="auto"/>
        <w:jc w:val="both"/>
      </w:pPr>
      <w:r w:rsidRPr="00500CB5">
        <w:tab/>
      </w:r>
      <w:r w:rsidR="001F4FD3" w:rsidRPr="00500CB5">
        <w:t>This thesis seeks to answer the following three key questions:</w:t>
      </w:r>
    </w:p>
    <w:p w:rsidR="00001E08" w:rsidRPr="00500CB5" w:rsidRDefault="001F4FD3" w:rsidP="00EF406F">
      <w:pPr>
        <w:spacing w:line="360" w:lineRule="auto"/>
        <w:jc w:val="both"/>
      </w:pPr>
      <w:r w:rsidRPr="00500CB5">
        <w:t>1. Has Canada embraced Robo-advisory?</w:t>
      </w:r>
    </w:p>
    <w:p w:rsidR="00001E08" w:rsidRPr="00500CB5" w:rsidRDefault="001F4FD3" w:rsidP="00EF406F">
      <w:pPr>
        <w:spacing w:line="360" w:lineRule="auto"/>
        <w:jc w:val="both"/>
      </w:pPr>
      <w:r w:rsidRPr="00500CB5">
        <w:t>2. How do customers feel about Robo-advisories in the Canadian financial market?</w:t>
      </w:r>
    </w:p>
    <w:p w:rsidR="00001E08" w:rsidRPr="00500CB5" w:rsidRDefault="001F4FD3" w:rsidP="00EF406F">
      <w:pPr>
        <w:spacing w:line="360" w:lineRule="auto"/>
        <w:jc w:val="both"/>
      </w:pPr>
      <w:r w:rsidRPr="00500CB5">
        <w:t xml:space="preserve">3. What character traits and </w:t>
      </w:r>
      <w:r w:rsidR="00691B62" w:rsidRPr="00500CB5">
        <w:t>behavioral</w:t>
      </w:r>
      <w:r w:rsidRPr="00500CB5">
        <w:t xml:space="preserve"> factors influence a consumer's decision to use a Robo-advisor to invest in securities?</w:t>
      </w:r>
    </w:p>
    <w:p w:rsidR="00001E08" w:rsidRPr="00500CB5" w:rsidRDefault="001F4FD3" w:rsidP="00A23AC0">
      <w:pPr>
        <w:pStyle w:val="Heading2"/>
        <w:keepNext w:val="0"/>
        <w:keepLines w:val="0"/>
        <w:spacing w:before="0" w:line="360" w:lineRule="auto"/>
        <w:jc w:val="both"/>
        <w:rPr>
          <w:sz w:val="24"/>
          <w:szCs w:val="24"/>
        </w:rPr>
      </w:pPr>
      <w:bookmarkStart w:id="3" w:name="_Toc113387202"/>
      <w:r w:rsidRPr="00500CB5">
        <w:rPr>
          <w:color w:val="auto"/>
          <w:sz w:val="24"/>
          <w:szCs w:val="24"/>
        </w:rPr>
        <w:t>1.4 Scope and Limitation of the Study</w:t>
      </w:r>
      <w:bookmarkEnd w:id="3"/>
    </w:p>
    <w:p w:rsidR="00001E08" w:rsidRPr="00500CB5" w:rsidRDefault="00A23AC0" w:rsidP="00A23AC0">
      <w:pPr>
        <w:spacing w:line="360" w:lineRule="auto"/>
        <w:jc w:val="both"/>
      </w:pPr>
      <w:r w:rsidRPr="00500CB5">
        <w:tab/>
      </w:r>
      <w:r w:rsidR="001F4FD3" w:rsidRPr="00500CB5">
        <w:t xml:space="preserve">This thesis aims to evaluate consumer attitudes towards Robo advisory in Canada. It will be undertaken over five months, and due to the study's complexity, some restrictions will be required. The argument is restricted to the financial industry regarding robot advisory and concentrates on the Canadian market. Furthermore, the perspective that will be addressed will be the customer's </w:t>
      </w:r>
      <w:r w:rsidR="00691B62">
        <w:t>viewpoint</w:t>
      </w:r>
      <w:r w:rsidR="001F4FD3" w:rsidRPr="00500CB5">
        <w:t xml:space="preserve"> and will not take the financial institut</w:t>
      </w:r>
      <w:r w:rsidR="00691B62">
        <w:t xml:space="preserve">ions </w:t>
      </w:r>
      <w:r w:rsidR="001F4FD3" w:rsidRPr="00500CB5">
        <w:t>or providers of the Robo-advisory view into</w:t>
      </w:r>
      <w:r w:rsidR="00991AB5">
        <w:t xml:space="preserve"> consideration</w:t>
      </w:r>
      <w:r w:rsidR="001F4FD3" w:rsidRPr="00500CB5">
        <w:t>. Only the Canadian financial market will be examined in this quantitative study, and only Canadian respondents will be surveyed.</w:t>
      </w:r>
    </w:p>
    <w:p w:rsidR="00A23AC0" w:rsidRPr="00500CB5" w:rsidRDefault="00A23AC0" w:rsidP="00A23AC0">
      <w:pPr>
        <w:pStyle w:val="Heading2"/>
        <w:keepNext w:val="0"/>
        <w:keepLines w:val="0"/>
        <w:spacing w:before="0"/>
        <w:jc w:val="both"/>
        <w:rPr>
          <w:color w:val="auto"/>
          <w:sz w:val="24"/>
          <w:szCs w:val="24"/>
        </w:rPr>
      </w:pPr>
    </w:p>
    <w:p w:rsidR="00001E08" w:rsidRPr="00500CB5" w:rsidRDefault="001F4FD3" w:rsidP="00A23AC0">
      <w:pPr>
        <w:pStyle w:val="Heading2"/>
        <w:keepNext w:val="0"/>
        <w:keepLines w:val="0"/>
        <w:spacing w:before="0" w:line="360" w:lineRule="auto"/>
        <w:jc w:val="both"/>
        <w:rPr>
          <w:sz w:val="24"/>
          <w:szCs w:val="24"/>
        </w:rPr>
      </w:pPr>
      <w:bookmarkStart w:id="4" w:name="_Toc113387203"/>
      <w:r w:rsidRPr="00500CB5">
        <w:rPr>
          <w:color w:val="auto"/>
          <w:sz w:val="24"/>
          <w:szCs w:val="24"/>
        </w:rPr>
        <w:t>1.5 Significance of the Study</w:t>
      </w:r>
      <w:bookmarkEnd w:id="4"/>
    </w:p>
    <w:p w:rsidR="00001E08" w:rsidRPr="00500CB5" w:rsidRDefault="00CB666E" w:rsidP="00A23AC0">
      <w:pPr>
        <w:spacing w:line="360" w:lineRule="auto"/>
        <w:jc w:val="both"/>
      </w:pPr>
      <w:r w:rsidRPr="00500CB5">
        <w:tab/>
      </w:r>
      <w:r w:rsidR="001F4FD3" w:rsidRPr="00500CB5">
        <w:t>Instead of focusing on Robo-advisory firms, this thesis focuses on the consumer perspective. As a result, even situations unrelated to the thesis topic will benefit from the study. However, by investigating Robo-advisory as a component of the financial market, this thesis sheds light on a socially and economically sustainable future. According to Schumpeter (1939), innovations spur economic expansion and progress, and Robo-advisory is one invention that might support this kind of growth. Robo-advisory also suggests new business potential for existing companies in the financial advisory sector.</w:t>
      </w:r>
    </w:p>
    <w:p w:rsidR="00001E08" w:rsidRPr="00500CB5" w:rsidRDefault="00D65754" w:rsidP="00D65754">
      <w:pPr>
        <w:spacing w:line="360" w:lineRule="auto"/>
        <w:jc w:val="both"/>
      </w:pPr>
      <w:r w:rsidRPr="00500CB5">
        <w:tab/>
      </w:r>
      <w:r w:rsidR="001F4FD3" w:rsidRPr="00500CB5">
        <w:t>By removing human advisors' incentives to invest according to their interests, Robo-advisory development reduces the chance of asymmetric information. In Madhani (2010), This benefits financial market users and promotes social and economic advancement.</w:t>
      </w:r>
    </w:p>
    <w:p w:rsidR="003562C5" w:rsidRPr="00500CB5" w:rsidRDefault="003562C5" w:rsidP="003562C5">
      <w:pPr>
        <w:pStyle w:val="Heading2"/>
        <w:rPr>
          <w:color w:val="auto"/>
          <w:sz w:val="24"/>
          <w:szCs w:val="24"/>
        </w:rPr>
      </w:pPr>
    </w:p>
    <w:p w:rsidR="00001E08" w:rsidRPr="00500CB5" w:rsidRDefault="001F4FD3" w:rsidP="003562C5">
      <w:pPr>
        <w:pStyle w:val="Heading2"/>
        <w:keepNext w:val="0"/>
        <w:keepLines w:val="0"/>
        <w:spacing w:before="0" w:line="360" w:lineRule="auto"/>
        <w:jc w:val="both"/>
        <w:rPr>
          <w:sz w:val="24"/>
          <w:szCs w:val="24"/>
        </w:rPr>
      </w:pPr>
      <w:bookmarkStart w:id="5" w:name="_Toc113387204"/>
      <w:r w:rsidRPr="00500CB5">
        <w:rPr>
          <w:color w:val="auto"/>
          <w:sz w:val="24"/>
          <w:szCs w:val="24"/>
        </w:rPr>
        <w:t>1.6 Outline</w:t>
      </w:r>
      <w:bookmarkEnd w:id="5"/>
    </w:p>
    <w:p w:rsidR="00001E08" w:rsidRPr="00500CB5" w:rsidRDefault="005B6E13" w:rsidP="005B6E13">
      <w:pPr>
        <w:spacing w:line="360" w:lineRule="auto"/>
        <w:jc w:val="both"/>
      </w:pPr>
      <w:r w:rsidRPr="00500CB5">
        <w:tab/>
      </w:r>
      <w:r w:rsidR="001F4FD3" w:rsidRPr="00500CB5">
        <w:t xml:space="preserve">Relevant theories are offered in the theoretical framework and review of </w:t>
      </w:r>
      <w:r w:rsidR="000D7431">
        <w:t xml:space="preserve">the </w:t>
      </w:r>
      <w:r w:rsidR="001F4FD3" w:rsidRPr="00500CB5">
        <w:t>literature phase, which will serve as the case study's theoretical foundation. The literature analysis includes examples of previous research on Robo-advisory, various developments comparable to Robo-advisory, and some critique. The chapter's goal is to create the framework for the empirical study. The methodology section, which describes the research's approach, technique, and data collection, motivates how the analysis was carried out. Descriptive statistics are used after the motivated and illustrated descriptions of the selected variables. In this chapter, the chosen research methodology and procedure are justified. The empirical findings based on the survey are presented in the chapter on empirical analysis. An analysis will then be finished and linked to the literature framework. This chapter discusses and examines the research that led to the results' conclusions. The research's key findings are outlined in this chapter. Suggestions for additional Studies follow the summary of the research's key findings in the conclusion section.</w:t>
      </w:r>
    </w:p>
    <w:p w:rsidR="00946337" w:rsidRPr="00500CB5" w:rsidRDefault="00946337" w:rsidP="00946337">
      <w:pPr>
        <w:jc w:val="both"/>
        <w:rPr>
          <w:b/>
          <w:bCs/>
        </w:rPr>
      </w:pPr>
    </w:p>
    <w:p w:rsidR="00001E08" w:rsidRPr="00500CB5" w:rsidRDefault="001F4FD3" w:rsidP="00946337">
      <w:pPr>
        <w:spacing w:line="360" w:lineRule="auto"/>
        <w:jc w:val="both"/>
      </w:pPr>
      <w:r w:rsidRPr="00500CB5">
        <w:rPr>
          <w:b/>
          <w:bCs/>
        </w:rPr>
        <w:t>1.6 Definition of Major Terms</w:t>
      </w:r>
    </w:p>
    <w:p w:rsidR="00032257" w:rsidRPr="00500CB5" w:rsidRDefault="001F4FD3" w:rsidP="00032257">
      <w:pPr>
        <w:spacing w:line="360" w:lineRule="auto"/>
        <w:jc w:val="both"/>
      </w:pPr>
      <w:r w:rsidRPr="00500CB5">
        <w:rPr>
          <w:b/>
          <w:bCs/>
        </w:rPr>
        <w:t xml:space="preserve">1. Consumer: </w:t>
      </w:r>
      <w:r w:rsidRPr="00500CB5">
        <w:t xml:space="preserve">Consumers can be individuals or groups who </w:t>
      </w:r>
      <w:r w:rsidR="000D7431">
        <w:t>buy</w:t>
      </w:r>
      <w:r w:rsidRPr="00500CB5">
        <w:t xml:space="preserve"> or use goods and services solely for </w:t>
      </w:r>
      <w:r w:rsidR="00032257">
        <w:t xml:space="preserve">their </w:t>
      </w:r>
      <w:r w:rsidR="000D7431">
        <w:t>own</w:t>
      </w:r>
      <w:r w:rsidRPr="00500CB5">
        <w:t xml:space="preserve"> and not for manufacturing or resale. They are the end-users in the sales distribution chain.</w:t>
      </w:r>
      <w:r w:rsidR="00032257">
        <w:t xml:space="preserve"> </w:t>
      </w:r>
      <w:r w:rsidR="00032257" w:rsidRPr="00032257">
        <w:t>In the sales distribution chain, they are the final consumers.</w:t>
      </w:r>
    </w:p>
    <w:p w:rsidR="00001E08" w:rsidRPr="00500CB5" w:rsidRDefault="001F4FD3" w:rsidP="001F4FD3">
      <w:pPr>
        <w:spacing w:line="360" w:lineRule="auto"/>
        <w:jc w:val="both"/>
      </w:pPr>
      <w:r w:rsidRPr="00500CB5">
        <w:rPr>
          <w:b/>
          <w:bCs/>
        </w:rPr>
        <w:t xml:space="preserve">2. Attitude: </w:t>
      </w:r>
      <w:r w:rsidRPr="00500CB5">
        <w:t>This is</w:t>
      </w:r>
      <w:r w:rsidRPr="00500CB5">
        <w:rPr>
          <w:b/>
          <w:bCs/>
        </w:rPr>
        <w:t xml:space="preserve"> </w:t>
      </w:r>
      <w:r w:rsidRPr="00500CB5">
        <w:t>the manner or the way Robo advisory consumers think and feel about the use of the new technology for personal use.</w:t>
      </w:r>
    </w:p>
    <w:p w:rsidR="00001E08" w:rsidRPr="00500CB5" w:rsidRDefault="001F4FD3" w:rsidP="001F4FD3">
      <w:pPr>
        <w:spacing w:line="360" w:lineRule="auto"/>
        <w:jc w:val="both"/>
      </w:pPr>
      <w:r w:rsidRPr="00500CB5">
        <w:rPr>
          <w:b/>
          <w:bCs/>
        </w:rPr>
        <w:t xml:space="preserve">3. Robo-Advisory: </w:t>
      </w:r>
      <w:r w:rsidRPr="00500CB5">
        <w:t xml:space="preserve">A digital financial advisor known as a "Robo-advisor" </w:t>
      </w:r>
      <w:r w:rsidR="00A47ED9">
        <w:t>manages</w:t>
      </w:r>
      <w:r w:rsidRPr="00500CB5">
        <w:t xml:space="preserve"> investments or </w:t>
      </w:r>
      <w:r w:rsidR="00A47ED9">
        <w:t>provides</w:t>
      </w:r>
      <w:r w:rsidRPr="00500CB5">
        <w:t xml:space="preserve"> financial advice with little to no human in</w:t>
      </w:r>
      <w:r w:rsidR="00A47ED9">
        <w:t>tervention</w:t>
      </w:r>
      <w:r w:rsidRPr="00500CB5">
        <w:t>.</w:t>
      </w: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597E06" w:rsidRDefault="00597E06" w:rsidP="001F4FD3">
      <w:pPr>
        <w:spacing w:line="360" w:lineRule="auto"/>
        <w:jc w:val="both"/>
      </w:pPr>
    </w:p>
    <w:p w:rsidR="00597E06" w:rsidRDefault="00597E06" w:rsidP="001F4FD3">
      <w:pPr>
        <w:spacing w:line="360" w:lineRule="auto"/>
        <w:jc w:val="both"/>
      </w:pPr>
    </w:p>
    <w:p w:rsidR="00597E06" w:rsidRDefault="00597E06" w:rsidP="001F4FD3">
      <w:pPr>
        <w:spacing w:line="360" w:lineRule="auto"/>
        <w:jc w:val="both"/>
      </w:pPr>
    </w:p>
    <w:p w:rsidR="00597E06" w:rsidRDefault="00597E06" w:rsidP="001F4FD3">
      <w:pPr>
        <w:spacing w:line="360" w:lineRule="auto"/>
        <w:jc w:val="both"/>
      </w:pPr>
    </w:p>
    <w:p w:rsidR="00006A96" w:rsidRDefault="00006A96" w:rsidP="001F4FD3">
      <w:pPr>
        <w:spacing w:line="360" w:lineRule="auto"/>
        <w:jc w:val="both"/>
      </w:pPr>
    </w:p>
    <w:p w:rsidR="00006A96" w:rsidRDefault="00006A96" w:rsidP="001F4FD3">
      <w:pPr>
        <w:spacing w:line="360" w:lineRule="auto"/>
        <w:jc w:val="both"/>
      </w:pPr>
    </w:p>
    <w:p w:rsidR="00006A96" w:rsidRDefault="00006A96" w:rsidP="001F4FD3">
      <w:pPr>
        <w:spacing w:line="360" w:lineRule="auto"/>
        <w:jc w:val="both"/>
      </w:pPr>
    </w:p>
    <w:p w:rsidR="00597E06" w:rsidRDefault="00597E06" w:rsidP="001F4FD3">
      <w:pPr>
        <w:spacing w:line="360" w:lineRule="auto"/>
        <w:jc w:val="both"/>
      </w:pPr>
    </w:p>
    <w:p w:rsidR="007212F6" w:rsidRPr="00EB6F44" w:rsidRDefault="007212F6" w:rsidP="007212F6">
      <w:pPr>
        <w:spacing w:line="360" w:lineRule="auto"/>
        <w:jc w:val="center"/>
      </w:pPr>
      <w:r w:rsidRPr="00EB6F44">
        <w:rPr>
          <w:b/>
          <w:bCs/>
        </w:rPr>
        <w:t>CHAPTER TWO</w:t>
      </w:r>
    </w:p>
    <w:p w:rsidR="007212F6" w:rsidRPr="00EB6F44" w:rsidRDefault="007212F6" w:rsidP="007212F6">
      <w:pPr>
        <w:spacing w:line="360" w:lineRule="auto"/>
        <w:jc w:val="center"/>
      </w:pPr>
      <w:r w:rsidRPr="00EB6F44">
        <w:rPr>
          <w:b/>
          <w:bCs/>
        </w:rPr>
        <w:t>REVIEW OF RELATED LITERATURE</w:t>
      </w:r>
    </w:p>
    <w:p w:rsidR="00A47ED9" w:rsidRPr="000A512F" w:rsidRDefault="007212F6" w:rsidP="000A512F">
      <w:pPr>
        <w:pStyle w:val="Heading2"/>
        <w:keepNext w:val="0"/>
        <w:keepLines w:val="0"/>
        <w:spacing w:before="0" w:line="360" w:lineRule="auto"/>
        <w:jc w:val="both"/>
        <w:rPr>
          <w:sz w:val="24"/>
        </w:rPr>
      </w:pPr>
      <w:bookmarkStart w:id="6" w:name="_Toc113387205"/>
      <w:r w:rsidRPr="00EB6F44">
        <w:rPr>
          <w:color w:val="auto"/>
          <w:sz w:val="24"/>
        </w:rPr>
        <w:t>2.0 Introduction</w:t>
      </w:r>
      <w:bookmarkEnd w:id="6"/>
    </w:p>
    <w:p w:rsidR="007212F6" w:rsidRPr="00EB6F44" w:rsidRDefault="00A47ED9" w:rsidP="007212F6">
      <w:pPr>
        <w:spacing w:line="360" w:lineRule="auto"/>
        <w:jc w:val="both"/>
      </w:pPr>
      <w:r>
        <w:t xml:space="preserve"> </w:t>
      </w:r>
      <w:r w:rsidR="000D7431">
        <w:t>To</w:t>
      </w:r>
      <w:r w:rsidRPr="00A47ED9">
        <w:t xml:space="preserve"> be able to respond to the research questions, this chapter will showcase already completed research in pertinent fields of study. The study will encourage the implementation of </w:t>
      </w:r>
      <w:r w:rsidR="000D7431">
        <w:t>Robo</w:t>
      </w:r>
      <w:r w:rsidRPr="00A47ED9">
        <w:t>-advi</w:t>
      </w:r>
      <w:r w:rsidR="000D7431">
        <w:t>Robo</w:t>
      </w:r>
      <w:r w:rsidRPr="00A47ED9">
        <w:t xml:space="preserve"> with the help of the material supplied in this area. The ideas explain how consumers accept new technologies and how they intend to use them. The goal is to clarify how various personality factors influence a person's decision to adopt or reject an invention. The principle of asymmetric information also demonstrates the issue with financial counseling in the financial market. A literature review will reveal additional pertinent earlier investigations done as the last step.</w:t>
      </w:r>
    </w:p>
    <w:p w:rsidR="007212F6" w:rsidRPr="00EB6F44" w:rsidRDefault="007212F6" w:rsidP="007212F6">
      <w:pPr>
        <w:pStyle w:val="Heading2"/>
        <w:keepNext w:val="0"/>
        <w:keepLines w:val="0"/>
        <w:spacing w:before="0" w:line="360" w:lineRule="auto"/>
        <w:jc w:val="both"/>
        <w:rPr>
          <w:sz w:val="24"/>
        </w:rPr>
      </w:pPr>
      <w:bookmarkStart w:id="7" w:name="_Toc113387206"/>
      <w:r w:rsidRPr="00EB6F44">
        <w:rPr>
          <w:color w:val="auto"/>
          <w:sz w:val="24"/>
        </w:rPr>
        <w:t>2.1 Innovation Theories and Innovation Adoption</w:t>
      </w:r>
      <w:bookmarkEnd w:id="7"/>
    </w:p>
    <w:p w:rsidR="007212F6" w:rsidRPr="00EB6F44" w:rsidRDefault="007212F6" w:rsidP="007212F6">
      <w:pPr>
        <w:spacing w:line="360" w:lineRule="auto"/>
        <w:jc w:val="both"/>
      </w:pPr>
      <w:r>
        <w:tab/>
      </w:r>
      <w:r w:rsidRPr="00EB6F44">
        <w:t xml:space="preserve">The term "innovation" encompasses many meanings and is therefore widely understood. Innovation can refer to anything from a brand-new service or good to an entirely new way of doing business or thinking about a problem. (Gorman, 2007) Since innovation can lead to </w:t>
      </w:r>
      <w:r w:rsidR="000D7431">
        <w:t>a</w:t>
      </w:r>
      <w:r w:rsidR="000A512F">
        <w:t xml:space="preserve"> </w:t>
      </w:r>
      <w:r w:rsidRPr="00EB6F44">
        <w:t xml:space="preserve">temporary market position that likely includes higher profits and stimulate competition </w:t>
      </w:r>
      <w:r w:rsidR="000A512F">
        <w:t>among</w:t>
      </w:r>
      <w:r w:rsidRPr="00EB6F44">
        <w:t xml:space="preserve"> players, it is crucial for economic progress. Joseph Schumpeter first proposed this idea in 1934.</w:t>
      </w:r>
    </w:p>
    <w:p w:rsidR="007212F6" w:rsidRPr="00EB6F44" w:rsidRDefault="007212F6" w:rsidP="007212F6">
      <w:pPr>
        <w:spacing w:line="360" w:lineRule="auto"/>
        <w:jc w:val="both"/>
      </w:pPr>
      <w:r w:rsidRPr="00EB6F44">
        <w:rPr>
          <w:b/>
          <w:bCs/>
        </w:rPr>
        <w:t>2.1.1 Schumpeter's Innovation Theory</w:t>
      </w:r>
    </w:p>
    <w:p w:rsidR="007212F6" w:rsidRPr="00EB6F44" w:rsidRDefault="007212F6" w:rsidP="007212F6">
      <w:pPr>
        <w:spacing w:line="360" w:lineRule="auto"/>
        <w:jc w:val="both"/>
      </w:pPr>
      <w:r>
        <w:tab/>
      </w:r>
      <w:r w:rsidRPr="00EB6F44">
        <w:t>As Joseph Schumpeter explains, innovations are a significant factor in economic growth. The ability to innovate is essential to staying competitive, adapting to a changing economy, and making money. The "process of industrial mutation" that invention engenders "constantly revolutionizes the economic structure from inside, ceaselessly destroying the old one, incessantly generating a new one," as he puts it (Schumpeter, 1976, p.83).</w:t>
      </w:r>
    </w:p>
    <w:p w:rsidR="007212F6" w:rsidRPr="00EB6F44" w:rsidRDefault="007212F6" w:rsidP="007212F6">
      <w:pPr>
        <w:spacing w:line="360" w:lineRule="auto"/>
        <w:jc w:val="both"/>
      </w:pPr>
      <w:r>
        <w:tab/>
      </w:r>
      <w:r w:rsidRPr="00EB6F44">
        <w:t>According to (Schumpeter, 1939), there are five types of innovations, they are:</w:t>
      </w:r>
    </w:p>
    <w:p w:rsidR="007212F6" w:rsidRPr="00EB6F44" w:rsidRDefault="007212F6" w:rsidP="007212F6">
      <w:pPr>
        <w:spacing w:line="360" w:lineRule="auto"/>
        <w:jc w:val="both"/>
      </w:pPr>
      <w:r w:rsidRPr="00EB6F44">
        <w:t>• To introduce a new product or improve the quality of an existing product</w:t>
      </w:r>
    </w:p>
    <w:p w:rsidR="007212F6" w:rsidRPr="00EB6F44" w:rsidRDefault="007212F6" w:rsidP="007212F6">
      <w:pPr>
        <w:spacing w:line="360" w:lineRule="auto"/>
        <w:jc w:val="both"/>
      </w:pPr>
      <w:r w:rsidRPr="00EB6F44">
        <w:t>• Utilizing alternative ways of manufacturing</w:t>
      </w:r>
    </w:p>
    <w:p w:rsidR="007212F6" w:rsidRPr="00EB6F44" w:rsidRDefault="007212F6" w:rsidP="007212F6">
      <w:pPr>
        <w:spacing w:line="360" w:lineRule="auto"/>
        <w:jc w:val="both"/>
      </w:pPr>
      <w:r w:rsidRPr="00EB6F44">
        <w:t>• The introduction of the product to a previously untapped market</w:t>
      </w:r>
    </w:p>
    <w:p w:rsidR="007212F6" w:rsidRPr="00EB6F44" w:rsidRDefault="007212F6" w:rsidP="007212F6">
      <w:pPr>
        <w:spacing w:line="360" w:lineRule="auto"/>
        <w:jc w:val="both"/>
      </w:pPr>
      <w:r w:rsidRPr="00EB6F44">
        <w:t>• Identifying a new supplier of either finished goods or raw materials</w:t>
      </w:r>
    </w:p>
    <w:p w:rsidR="007212F6" w:rsidRPr="00EB6F44" w:rsidRDefault="007212F6" w:rsidP="007212F6">
      <w:pPr>
        <w:spacing w:line="360" w:lineRule="auto"/>
        <w:jc w:val="both"/>
      </w:pPr>
      <w:r w:rsidRPr="00EB6F44">
        <w:t>• Reorganizing business structures, including the formation or elimination of monopolies</w:t>
      </w:r>
    </w:p>
    <w:p w:rsidR="007212F6" w:rsidRPr="00EB6F44" w:rsidRDefault="007212F6" w:rsidP="007212F6">
      <w:pPr>
        <w:spacing w:line="360" w:lineRule="auto"/>
        <w:jc w:val="both"/>
      </w:pPr>
      <w:r>
        <w:tab/>
      </w:r>
      <w:r w:rsidR="00691C62" w:rsidRPr="00691C62">
        <w:t>To a lesser extent, the invention phase of an idea has no direct impact on economic growth</w:t>
      </w:r>
      <w:r w:rsidR="00691C62">
        <w:t xml:space="preserve">. </w:t>
      </w:r>
      <w:r w:rsidRPr="00EB6F44">
        <w:t xml:space="preserve">However, the imitators who see the potential in the innovation and start investing heavily in its technology due to its dissemination have a significant effect on GDP and employment. Entrepreneurs are crucial to producing the inventions that fuel economic expansion. Entrepreneurs are responsible for redistributing existing resources to novel applications (Schumpeter, 1939). To better understand economic dynamics, the field of neo-Schumpeterian economics has turned its attention to the individual level, where it can best apply its focus on knowledge, entrepreneurship, novelties, and inventions. The core idea behind the Neo-Schumpeterian growth model is that, rather than focusing on price rivalry, businesses should focus on innovation competition instead. Reference: (Hanusch &amp; Pyka, 2006) Creative destruction is the </w:t>
      </w:r>
      <w:r w:rsidR="0020537F">
        <w:t>method</w:t>
      </w:r>
      <w:r w:rsidRPr="00EB6F44">
        <w:t xml:space="preserve"> through which new technologies </w:t>
      </w:r>
      <w:r w:rsidR="000D7431">
        <w:t>rule</w:t>
      </w:r>
      <w:r w:rsidR="0020537F">
        <w:t xml:space="preserve"> out</w:t>
      </w:r>
      <w:r w:rsidRPr="00EB6F44">
        <w:t xml:space="preserve"> older ones. This is the primary engine that propels new developments and increases productivity. Growth-inducing innovations are typically associated with higher turnover rates, which signals higher rates of creative destruction of enterprises and jobs. To rephrase, healthy levels of rivalry tend to result in increased productivity. According to (Aghion, Akcigit, &amp; Howitt, 2013)</w:t>
      </w:r>
    </w:p>
    <w:p w:rsidR="007212F6" w:rsidRPr="00EB6F44" w:rsidRDefault="007212F6" w:rsidP="007212F6">
      <w:pPr>
        <w:spacing w:line="360" w:lineRule="auto"/>
        <w:jc w:val="both"/>
      </w:pPr>
      <w:r>
        <w:tab/>
      </w:r>
      <w:r w:rsidRPr="00EB6F44">
        <w:t>Due to competition and new entrants, existing businesses benefit from increased innovation and productivity. This is typical of businesses in direct competition with one another and those operating on the cutting edge of technological development. Higher competition stimulates innovation and growth while rivalry is low, but it has a detrimental effect on innovation and productivity growth when competition is excessive. As a bonus, patents encourage creativity and R&amp;D spending across businesses, according to researchers (Aghion et al., 2013).</w:t>
      </w:r>
    </w:p>
    <w:p w:rsidR="007212F6" w:rsidRPr="00EB6F44" w:rsidRDefault="007212F6" w:rsidP="007212F6">
      <w:pPr>
        <w:spacing w:line="360" w:lineRule="auto"/>
        <w:jc w:val="both"/>
      </w:pPr>
      <w:r w:rsidRPr="00EB6F44">
        <w:rPr>
          <w:b/>
          <w:bCs/>
        </w:rPr>
        <w:t>2.1.2 Sustaining and Disruptive Innovations</w:t>
      </w:r>
    </w:p>
    <w:p w:rsidR="007212F6" w:rsidRPr="00EB6F44" w:rsidRDefault="007212F6" w:rsidP="007212F6">
      <w:pPr>
        <w:spacing w:line="360" w:lineRule="auto"/>
        <w:jc w:val="both"/>
      </w:pPr>
      <w:r>
        <w:tab/>
      </w:r>
      <w:r w:rsidRPr="00EB6F44">
        <w:t xml:space="preserve">The impact of an innovation may be either beneficial or harmful. </w:t>
      </w:r>
      <w:r w:rsidR="00693315" w:rsidRPr="00693315">
        <w:t xml:space="preserve">Maintaining innovation does not result in the creation of new markets or value, but rather </w:t>
      </w:r>
      <w:r w:rsidRPr="00EB6F44">
        <w:t xml:space="preserve">enhances an already existing product in some way, whether in quality, performance, or pricing. Christensen (1997). Disruptive innovation stands in stark contrast to its steadier cousin. Changes in </w:t>
      </w:r>
      <w:r w:rsidR="0020537F">
        <w:t>goods</w:t>
      </w:r>
      <w:r w:rsidRPr="00EB6F44">
        <w:t xml:space="preserve"> or </w:t>
      </w:r>
      <w:r w:rsidR="000D7431">
        <w:t>services</w:t>
      </w:r>
      <w:r w:rsidRPr="00EB6F44">
        <w:t xml:space="preserve"> over time constitute a disruptive technology. As reported by Christensen, Raynor, and McDonald (2015). What we mean by "disruptive technology" is anything that results in the emergence of new markets, the addition of value, and the acquisition of new customers through the development of novel technologies and products. A study by Christensen (1997) supports this idea. The definition of a disruptive innovation states that it often begins in two distinct markets that the incumbent typically ignores. These areas are great places to establish a presence, one at the low end and one at the cutting edge of an emerging industry. </w:t>
      </w:r>
    </w:p>
    <w:p w:rsidR="007212F6" w:rsidRPr="00EB6F44" w:rsidRDefault="007212F6" w:rsidP="007212F6">
      <w:pPr>
        <w:spacing w:line="360" w:lineRule="auto"/>
        <w:jc w:val="both"/>
      </w:pPr>
      <w:r>
        <w:tab/>
      </w:r>
      <w:r w:rsidRPr="00EB6F44">
        <w:t xml:space="preserve">In this context, "foothold" refers to a stable starting point from which additional development can occur. Customers who are trying to save money by purchasing goods and services at the low end of the market are served by this sector. Reference: (Christensen, Raynor, &amp; McDonald, 2015). Initially, disruptive technologies may fall short of the performance metrics that traditional consumers have learned to respect. However, the new development excels in a different area of performance. Products </w:t>
      </w:r>
      <w:r w:rsidR="00687A21">
        <w:t>can be marketed</w:t>
      </w:r>
      <w:r w:rsidRPr="00EB6F44">
        <w:t xml:space="preserve"> in the </w:t>
      </w:r>
      <w:r w:rsidR="00687A21">
        <w:t>target</w:t>
      </w:r>
      <w:r w:rsidRPr="00EB6F44">
        <w:t xml:space="preserve"> or </w:t>
      </w:r>
      <w:r w:rsidR="008F1B0E">
        <w:t xml:space="preserve">emerging </w:t>
      </w:r>
      <w:r w:rsidRPr="00EB6F44">
        <w:t xml:space="preserve">markets, or they approach the low-end market with lower prices after being first rejected by </w:t>
      </w:r>
      <w:r w:rsidR="00C55570">
        <w:t xml:space="preserve">big companies. </w:t>
      </w:r>
      <w:r w:rsidRPr="00EB6F44">
        <w:t xml:space="preserve">Disruptive technologies improve the performance aspects of existing products in practical and usefully disruptive ways. These performance factors include usability, pricing, appropriateness, portability, and size. As disruptive technology evolves, more and more people will begin using it. Both new entrants and incumbents will be displaced from the market when customers upgrade to more modern technologies. (Christensen, 1997). </w:t>
      </w:r>
    </w:p>
    <w:p w:rsidR="007212F6" w:rsidRDefault="007212F6" w:rsidP="007212F6">
      <w:pPr>
        <w:spacing w:line="360" w:lineRule="auto"/>
        <w:jc w:val="both"/>
      </w:pPr>
      <w:r>
        <w:tab/>
      </w:r>
      <w:r w:rsidRPr="00EB6F44">
        <w:t xml:space="preserve">Instead of disruptive technology, disruptive innovation has taken its place. A company's business model, rather than a specific new technology, is the primary emphasis of disruptive innovation. </w:t>
      </w:r>
      <w:r w:rsidRPr="00EB6F44">
        <w:rPr>
          <w:i/>
          <w:iCs/>
        </w:rPr>
        <w:t>Disruptive innovation</w:t>
      </w:r>
      <w:r w:rsidRPr="00EB6F44">
        <w:t xml:space="preserve"> is a radical product introduced by a new company that necessitates a new business strategy. Understanding </w:t>
      </w:r>
      <w:r w:rsidR="00687A21">
        <w:t>adjustments</w:t>
      </w:r>
      <w:r w:rsidRPr="00EB6F44">
        <w:t xml:space="preserve"> within the bus</w:t>
      </w:r>
      <w:r w:rsidR="00687A21">
        <w:t>iness planned design</w:t>
      </w:r>
      <w:r w:rsidRPr="00EB6F44">
        <w:t xml:space="preserve"> and </w:t>
      </w:r>
      <w:r w:rsidR="00E50B1E">
        <w:t>educating their workforce</w:t>
      </w:r>
      <w:r w:rsidRPr="00EB6F44">
        <w:t xml:space="preserve"> </w:t>
      </w:r>
      <w:r w:rsidR="000D7431">
        <w:t>on</w:t>
      </w:r>
      <w:r w:rsidRPr="00EB6F44">
        <w:t xml:space="preserve"> new approaches are necessary for</w:t>
      </w:r>
      <w:r w:rsidR="00687A21">
        <w:t xml:space="preserve"> established firms</w:t>
      </w:r>
      <w:r w:rsidRPr="00EB6F44">
        <w:t xml:space="preserve"> to succeed with </w:t>
      </w:r>
      <w:r w:rsidR="00687A21">
        <w:t>dynamic</w:t>
      </w:r>
      <w:r w:rsidRPr="00EB6F44">
        <w:t xml:space="preserve"> </w:t>
      </w:r>
      <w:r w:rsidR="00E50B1E">
        <w:t>innovation</w:t>
      </w:r>
      <w:r w:rsidRPr="00EB6F44">
        <w:t>—research by Johnson, Christensen, and Kagermann (2008).</w:t>
      </w:r>
    </w:p>
    <w:p w:rsidR="007212F6" w:rsidRPr="00B60205" w:rsidRDefault="007212F6" w:rsidP="007212F6">
      <w:pPr>
        <w:jc w:val="both"/>
        <w:rPr>
          <w:sz w:val="16"/>
        </w:rPr>
      </w:pPr>
    </w:p>
    <w:p w:rsidR="007212F6" w:rsidRDefault="007212F6" w:rsidP="007212F6">
      <w:pPr>
        <w:pStyle w:val="Heading3"/>
        <w:keepNext w:val="0"/>
        <w:keepLines w:val="0"/>
        <w:spacing w:before="0" w:line="360" w:lineRule="auto"/>
        <w:jc w:val="both"/>
        <w:rPr>
          <w:color w:val="auto"/>
          <w:sz w:val="24"/>
        </w:rPr>
      </w:pPr>
      <w:bookmarkStart w:id="8" w:name="_Toc113387207"/>
      <w:r w:rsidRPr="00EB6F44">
        <w:rPr>
          <w:color w:val="auto"/>
          <w:sz w:val="24"/>
        </w:rPr>
        <w:t>2.1.3 Innovation Adoption Lifecycle</w:t>
      </w:r>
      <w:bookmarkEnd w:id="8"/>
    </w:p>
    <w:p w:rsidR="007212F6" w:rsidRDefault="007212F6" w:rsidP="007212F6"/>
    <w:p w:rsidR="007212F6" w:rsidRDefault="007212F6" w:rsidP="007212F6">
      <w:r w:rsidRPr="00902D70">
        <w:rPr>
          <w:noProof/>
        </w:rPr>
        <w:drawing>
          <wp:inline distT="0" distB="0" distL="0" distR="0" wp14:anchorId="6E54E553" wp14:editId="49EEA09B">
            <wp:extent cx="3510032" cy="1324281"/>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7"/>
                    <a:stretch>
                      <a:fillRect/>
                    </a:stretch>
                  </pic:blipFill>
                  <pic:spPr>
                    <a:xfrm>
                      <a:off x="0" y="0"/>
                      <a:ext cx="3510032" cy="1324281"/>
                    </a:xfrm>
                    <a:prstGeom prst="rect">
                      <a:avLst/>
                    </a:prstGeom>
                  </pic:spPr>
                </pic:pic>
              </a:graphicData>
            </a:graphic>
          </wp:inline>
        </w:drawing>
      </w:r>
    </w:p>
    <w:p w:rsidR="007212F6" w:rsidRDefault="007212F6" w:rsidP="007212F6">
      <w:r w:rsidRPr="00A45FC6">
        <w:rPr>
          <w:color w:val="000000" w:themeColor="text1"/>
        </w:rPr>
        <w:t>Figure 2.1: Technology Adoption Life Cycle (Rogers, 2005, p.247)</w:t>
      </w:r>
    </w:p>
    <w:p w:rsidR="007212F6" w:rsidRPr="00F67933" w:rsidRDefault="007212F6" w:rsidP="007212F6">
      <w:pPr>
        <w:jc w:val="both"/>
        <w:rPr>
          <w:sz w:val="14"/>
        </w:rPr>
      </w:pPr>
    </w:p>
    <w:p w:rsidR="007212F6" w:rsidRPr="00EB6F44" w:rsidRDefault="007212F6" w:rsidP="007212F6">
      <w:pPr>
        <w:spacing w:line="360" w:lineRule="auto"/>
        <w:jc w:val="both"/>
      </w:pPr>
      <w:r>
        <w:tab/>
      </w:r>
      <w:r w:rsidRPr="00EB6F44">
        <w:t xml:space="preserve">The "Technology Adoption Life Cycle (TALC)" outlines the various stages consumers go through as they evaluate and eventually adopt new technology. (Moore, 1991) Consumers are shown as points on a standard distribution curve and categorized as either "innovators," "early adopters," "early majority," "late majority," or "laggards" in this model. The first to embrace new technology are the pioneers themselves. They are a group of youthful, tech-obsessed, and more daring people connected to various scientists and technological pioneers. Late adopters are the next to jump on a new trend after the early adopters. They are highly educated and well-connected leaders and visionaries. They also have a more excellent socioeconomic standing. The third group, the early majority, lags behind innovators and adopters when embracing new technologies. They are not influential in society and have poor social standing. The late majority is the fourth type of consumer, and they tend to be skeptical of cutting-edge innovations. It is common for them to be older and less educated. Compared to the last three groups, they engage significantly less economically and socially engaged. Laggards are the last to adopt new technologies because they are skeptical of advancements and dislike change. Compared to other consumers, they are the oldest and have the fewest resources. This group's opinion leadership and social engagement level are relatively low. In contrast to the early majority, late majority, and laggards, who are more concerned with practicalities and </w:t>
      </w:r>
      <w:r w:rsidR="00687A21">
        <w:t>remedies</w:t>
      </w:r>
      <w:r w:rsidRPr="00EB6F44">
        <w:t xml:space="preserve"> than with the technology itself, innovators and early adopters are more concerned with the technology itself and its performance. (Moore, 1991).</w:t>
      </w:r>
    </w:p>
    <w:p w:rsidR="007212F6" w:rsidRPr="00EB6F44" w:rsidRDefault="007212F6" w:rsidP="007212F6">
      <w:pPr>
        <w:spacing w:line="360" w:lineRule="auto"/>
        <w:jc w:val="both"/>
      </w:pPr>
      <w:r>
        <w:tab/>
      </w:r>
      <w:r w:rsidRPr="00EB6F44">
        <w:t xml:space="preserve">It is crucial to keep this model in mind when designing brand-new offerings. Many </w:t>
      </w:r>
      <w:r w:rsidR="000D7431">
        <w:t>companies</w:t>
      </w:r>
      <w:r w:rsidRPr="00EB6F44">
        <w:t xml:space="preserve"> ultimate goal is to have the majority of their clientele use their new technology during its "The Chasm" transitional phase from early adopters to the early majority. Overcoming such a </w:t>
      </w:r>
      <w:r w:rsidR="009C0B94">
        <w:t>phase</w:t>
      </w:r>
      <w:r w:rsidRPr="00EB6F44">
        <w:t xml:space="preserve"> will make the </w:t>
      </w:r>
      <w:r w:rsidR="00687A21">
        <w:t xml:space="preserve">invention </w:t>
      </w:r>
      <w:r w:rsidR="000D7431">
        <w:t>develop</w:t>
      </w:r>
      <w:r w:rsidR="00687A21">
        <w:t xml:space="preserve"> </w:t>
      </w:r>
      <w:r w:rsidRPr="00EB6F44">
        <w:t xml:space="preserve">and </w:t>
      </w:r>
      <w:r w:rsidR="00687A21">
        <w:t>be included</w:t>
      </w:r>
      <w:r w:rsidRPr="00EB6F44">
        <w:t xml:space="preserve"> by most </w:t>
      </w:r>
      <w:r w:rsidR="009C0B94">
        <w:t xml:space="preserve">users </w:t>
      </w:r>
      <w:r w:rsidRPr="00EB6F44">
        <w:t>in the</w:t>
      </w:r>
      <w:r w:rsidR="009C0B94">
        <w:t xml:space="preserve"> real economy</w:t>
      </w:r>
      <w:r w:rsidRPr="00EB6F44">
        <w:t xml:space="preserve"> (Moore, 1991).</w:t>
      </w:r>
    </w:p>
    <w:p w:rsidR="007212F6" w:rsidRPr="00EB6F44" w:rsidRDefault="007212F6" w:rsidP="007212F6">
      <w:pPr>
        <w:pStyle w:val="Heading2"/>
        <w:keepNext w:val="0"/>
        <w:keepLines w:val="0"/>
        <w:spacing w:before="0" w:line="360" w:lineRule="auto"/>
        <w:jc w:val="both"/>
        <w:rPr>
          <w:sz w:val="24"/>
        </w:rPr>
      </w:pPr>
      <w:bookmarkStart w:id="9" w:name="_Toc113387208"/>
      <w:r w:rsidRPr="00EB6F44">
        <w:rPr>
          <w:color w:val="auto"/>
          <w:sz w:val="24"/>
        </w:rPr>
        <w:t>2.2 Technology Adoption Models</w:t>
      </w:r>
      <w:bookmarkEnd w:id="9"/>
    </w:p>
    <w:p w:rsidR="007212F6" w:rsidRPr="00EB6F44" w:rsidRDefault="007212F6" w:rsidP="007212F6">
      <w:pPr>
        <w:spacing w:line="360" w:lineRule="auto"/>
        <w:jc w:val="both"/>
      </w:pPr>
      <w:r>
        <w:tab/>
      </w:r>
      <w:r w:rsidR="009C0B94">
        <w:t xml:space="preserve">A lot of </w:t>
      </w:r>
      <w:r w:rsidRPr="00EB6F44">
        <w:t xml:space="preserve">ideas might aid in explaining why people accept new technologies by outlining the various elements that impact the adoption process and technology use. These theories outline several elements that affect people's technological usage and </w:t>
      </w:r>
      <w:r w:rsidR="00E60CB1" w:rsidRPr="00EB6F44">
        <w:t>behavioral</w:t>
      </w:r>
      <w:r w:rsidRPr="00EB6F44">
        <w:t xml:space="preserve"> intentions. The following is an explanation of the research's most important theories.</w:t>
      </w:r>
    </w:p>
    <w:p w:rsidR="007212F6" w:rsidRPr="00EB6F44" w:rsidRDefault="007212F6" w:rsidP="007212F6">
      <w:pPr>
        <w:pStyle w:val="Heading3"/>
        <w:keepNext w:val="0"/>
        <w:keepLines w:val="0"/>
        <w:spacing w:before="0" w:line="360" w:lineRule="auto"/>
        <w:jc w:val="both"/>
        <w:rPr>
          <w:sz w:val="24"/>
        </w:rPr>
      </w:pPr>
      <w:bookmarkStart w:id="10" w:name="_Toc113387209"/>
      <w:r w:rsidRPr="00EB6F44">
        <w:rPr>
          <w:color w:val="auto"/>
          <w:sz w:val="24"/>
        </w:rPr>
        <w:t>2.2.1 Technology Acceptance Model (TAM)</w:t>
      </w:r>
      <w:bookmarkEnd w:id="10"/>
    </w:p>
    <w:p w:rsidR="007212F6" w:rsidRPr="00EB6F44" w:rsidRDefault="007212F6" w:rsidP="007212F6">
      <w:pPr>
        <w:spacing w:line="360" w:lineRule="auto"/>
        <w:jc w:val="both"/>
      </w:pPr>
      <w:r>
        <w:tab/>
      </w:r>
      <w:r w:rsidRPr="00EB6F44">
        <w:t xml:space="preserve">This theory sheds light on the technology adoption phenomena and forecasts its future use. This is the first such model, and it acknowledges the importance of users' mental health when adopting new technologies. The Technology Acceptance Model (TAM) explains how </w:t>
      </w:r>
      <w:r w:rsidR="009C0B94">
        <w:t xml:space="preserve">a person’s behavior </w:t>
      </w:r>
      <w:r w:rsidRPr="00EB6F44">
        <w:t>and desire to utilize technology are governed by their perceptions of how simple and helpful the technology will be. Perceived simplicity of use also directly impacts how helpful something is thought to be. How simple a user thinks a system is to operate is what we call its perceived ease of use. As stated on page 320 of Davis (1989). A person's perception of a system's utility is measured by how much they think it will improve their efficiency on the job. [Citation needed] (Davis, 1989, p. 320) This article will describe the Theory of Reasoned Action (TRA), the theoretical framework upon which TAM was built</w:t>
      </w:r>
      <w:r w:rsidR="003729A5">
        <w:t xml:space="preserve"> </w:t>
      </w:r>
      <w:r w:rsidRPr="00EB6F44">
        <w:t>(Davis, 1989).</w:t>
      </w:r>
    </w:p>
    <w:p w:rsidR="007212F6" w:rsidRDefault="007212F6" w:rsidP="007212F6">
      <w:pPr>
        <w:spacing w:line="360" w:lineRule="auto"/>
        <w:jc w:val="both"/>
      </w:pPr>
      <w:r>
        <w:tab/>
      </w:r>
      <w:r>
        <w:tab/>
      </w:r>
      <w:r w:rsidRPr="00902D70">
        <w:rPr>
          <w:noProof/>
        </w:rPr>
        <w:drawing>
          <wp:inline distT="0" distB="0" distL="0" distR="0" wp14:anchorId="62943319" wp14:editId="6A792949">
            <wp:extent cx="3619500" cy="1638300"/>
            <wp:effectExtent l="0" t="0" r="0" b="0"/>
            <wp:docPr id="999" name="Picture 999"/>
            <wp:cNvGraphicFramePr/>
            <a:graphic xmlns:a="http://schemas.openxmlformats.org/drawingml/2006/main">
              <a:graphicData uri="http://schemas.openxmlformats.org/drawingml/2006/picture">
                <pic:pic xmlns:pic="http://schemas.openxmlformats.org/drawingml/2006/picture">
                  <pic:nvPicPr>
                    <pic:cNvPr id="999" name="Picture 999"/>
                    <pic:cNvPicPr/>
                  </pic:nvPicPr>
                  <pic:blipFill>
                    <a:blip r:embed="rId8"/>
                    <a:stretch>
                      <a:fillRect/>
                    </a:stretch>
                  </pic:blipFill>
                  <pic:spPr>
                    <a:xfrm>
                      <a:off x="0" y="0"/>
                      <a:ext cx="3620686" cy="1638837"/>
                    </a:xfrm>
                    <a:prstGeom prst="rect">
                      <a:avLst/>
                    </a:prstGeom>
                  </pic:spPr>
                </pic:pic>
              </a:graphicData>
            </a:graphic>
          </wp:inline>
        </w:drawing>
      </w:r>
    </w:p>
    <w:p w:rsidR="007212F6" w:rsidRPr="00EB6F44" w:rsidRDefault="007212F6" w:rsidP="007212F6">
      <w:pPr>
        <w:spacing w:line="360" w:lineRule="auto"/>
        <w:jc w:val="both"/>
      </w:pPr>
      <w:r>
        <w:tab/>
      </w:r>
      <w:r w:rsidRPr="00EB6F44">
        <w:t>Figure 2.2: Technology Acceptance Model (Davis, 1989, p.985)</w:t>
      </w:r>
    </w:p>
    <w:p w:rsidR="007212F6" w:rsidRPr="00EB6F44" w:rsidRDefault="007212F6" w:rsidP="007212F6">
      <w:pPr>
        <w:pStyle w:val="Heading3"/>
        <w:keepNext w:val="0"/>
        <w:keepLines w:val="0"/>
        <w:spacing w:before="0" w:line="360" w:lineRule="auto"/>
        <w:jc w:val="both"/>
        <w:rPr>
          <w:sz w:val="24"/>
        </w:rPr>
      </w:pPr>
      <w:bookmarkStart w:id="11" w:name="_Toc113387210"/>
      <w:r w:rsidRPr="00EB6F44">
        <w:rPr>
          <w:color w:val="auto"/>
          <w:sz w:val="24"/>
        </w:rPr>
        <w:t>2.2.2 Theory of Planned Behavior (TPB)</w:t>
      </w:r>
      <w:bookmarkEnd w:id="11"/>
    </w:p>
    <w:p w:rsidR="007212F6" w:rsidRPr="00EB6F44" w:rsidRDefault="007212F6" w:rsidP="007212F6">
      <w:pPr>
        <w:spacing w:line="360" w:lineRule="auto"/>
        <w:jc w:val="both"/>
      </w:pPr>
      <w:r>
        <w:tab/>
      </w:r>
      <w:r w:rsidRPr="00EB6F44">
        <w:t>According to TPB, a</w:t>
      </w:r>
      <w:r w:rsidR="009C0B94">
        <w:t>n individual’s</w:t>
      </w:r>
      <w:r w:rsidRPr="00EB6F44">
        <w:t xml:space="preserve"> purpose to</w:t>
      </w:r>
      <w:r w:rsidR="009C0B94">
        <w:t xml:space="preserve"> do</w:t>
      </w:r>
      <w:r w:rsidRPr="00EB6F44">
        <w:t xml:space="preserve"> the desired action and their actual performance are affected by their attitude toward the act, the topic norm, and their perception of their </w:t>
      </w:r>
      <w:r w:rsidR="007A607A" w:rsidRPr="00EB6F44">
        <w:t>behavioral</w:t>
      </w:r>
      <w:r w:rsidRPr="00EB6F44">
        <w:t xml:space="preserve"> control over the act. The goal and the actual </w:t>
      </w:r>
      <w:r w:rsidR="007A607A" w:rsidRPr="00EB6F44">
        <w:t>behavior</w:t>
      </w:r>
      <w:r w:rsidRPr="00EB6F44">
        <w:t xml:space="preserve"> can be improved by adjusting these variables. The desired outcome will be influenced by the availability of resources, opportunities, and talents and the significance placed on those factors. When we talk about someone's attitude toward a specific </w:t>
      </w:r>
      <w:r w:rsidR="007A607A" w:rsidRPr="00EB6F44">
        <w:t>behavior</w:t>
      </w:r>
      <w:r w:rsidRPr="00EB6F44">
        <w:t xml:space="preserve">, we refer to the extent to which they see that </w:t>
      </w:r>
      <w:r w:rsidR="007A607A" w:rsidRPr="00EB6F44">
        <w:t>behavior</w:t>
      </w:r>
      <w:r w:rsidRPr="00EB6F44">
        <w:t xml:space="preserve"> </w:t>
      </w:r>
      <w:r w:rsidR="007A607A" w:rsidRPr="00EB6F44">
        <w:t>favorably</w:t>
      </w:r>
      <w:r w:rsidRPr="00EB6F44">
        <w:t xml:space="preserve"> or </w:t>
      </w:r>
      <w:r w:rsidR="007A607A" w:rsidRPr="00EB6F44">
        <w:t>unfavorably</w:t>
      </w:r>
      <w:r w:rsidRPr="00EB6F44">
        <w:t xml:space="preserve">. The result of the </w:t>
      </w:r>
      <w:r w:rsidR="007A607A" w:rsidRPr="00EB6F44">
        <w:t>behavior</w:t>
      </w:r>
      <w:r w:rsidRPr="00EB6F44">
        <w:t xml:space="preserve"> being performed is </w:t>
      </w:r>
      <w:r w:rsidR="007A607A" w:rsidRPr="00EB6F44">
        <w:t>considered</w:t>
      </w:r>
      <w:r w:rsidRPr="00EB6F44">
        <w:t xml:space="preserve">. The belief that other people have about one's propensity to engage in a particular </w:t>
      </w:r>
      <w:r w:rsidR="007A607A" w:rsidRPr="00EB6F44">
        <w:t>behavior</w:t>
      </w:r>
      <w:r w:rsidRPr="00EB6F44">
        <w:t xml:space="preserve"> is what is meant by the term "subject norms." It is how someone sees the people around them reacting to a given action. How hard or simple it seems to accomplish an activity is related to how much control a person feels over their </w:t>
      </w:r>
      <w:r w:rsidR="007A607A" w:rsidRPr="00EB6F44">
        <w:t>behavior</w:t>
      </w:r>
      <w:r w:rsidRPr="00EB6F44">
        <w:t xml:space="preserve">. When people feel that they have more options and are more capable, they are more likely to exercise self-control in their daily lives. When we say that someone has a </w:t>
      </w:r>
      <w:r w:rsidR="007A607A" w:rsidRPr="00EB6F44">
        <w:t>behavioral</w:t>
      </w:r>
      <w:r w:rsidRPr="00EB6F44">
        <w:t xml:space="preserve"> intention, we mean that they have a specific goal in mind when they make a deliberate decision to act in a certain way. More likely to occur when the purpose is vital. (Ajzen, 1991).</w:t>
      </w:r>
    </w:p>
    <w:p w:rsidR="007212F6" w:rsidRDefault="007212F6" w:rsidP="007212F6">
      <w:r w:rsidRPr="00902D70">
        <w:rPr>
          <w:noProof/>
        </w:rPr>
        <w:drawing>
          <wp:inline distT="0" distB="0" distL="0" distR="0" wp14:anchorId="4531C23E" wp14:editId="20F58D81">
            <wp:extent cx="3275961" cy="1752109"/>
            <wp:effectExtent l="0" t="0" r="0" b="0"/>
            <wp:docPr id="1037" name="Picture 1037"/>
            <wp:cNvGraphicFramePr/>
            <a:graphic xmlns:a="http://schemas.openxmlformats.org/drawingml/2006/main">
              <a:graphicData uri="http://schemas.openxmlformats.org/drawingml/2006/picture">
                <pic:pic xmlns:pic="http://schemas.openxmlformats.org/drawingml/2006/picture">
                  <pic:nvPicPr>
                    <pic:cNvPr id="1037" name="Picture 1037"/>
                    <pic:cNvPicPr/>
                  </pic:nvPicPr>
                  <pic:blipFill>
                    <a:blip r:embed="rId9"/>
                    <a:stretch>
                      <a:fillRect/>
                    </a:stretch>
                  </pic:blipFill>
                  <pic:spPr>
                    <a:xfrm>
                      <a:off x="0" y="0"/>
                      <a:ext cx="3275961" cy="1752109"/>
                    </a:xfrm>
                    <a:prstGeom prst="rect">
                      <a:avLst/>
                    </a:prstGeom>
                  </pic:spPr>
                </pic:pic>
              </a:graphicData>
            </a:graphic>
          </wp:inline>
        </w:drawing>
      </w:r>
    </w:p>
    <w:p w:rsidR="007212F6" w:rsidRDefault="007212F6" w:rsidP="007212F6"/>
    <w:p w:rsidR="007212F6" w:rsidRPr="00DA23E0" w:rsidRDefault="007212F6" w:rsidP="007212F6">
      <w:pPr>
        <w:spacing w:line="360" w:lineRule="auto"/>
        <w:rPr>
          <w:b/>
        </w:rPr>
      </w:pPr>
      <w:r w:rsidRPr="00DA23E0">
        <w:rPr>
          <w:b/>
        </w:rPr>
        <w:t xml:space="preserve">2.2.3 Combined Technology Acceptance Model (TAM) and Theory of Planned </w:t>
      </w:r>
      <w:r w:rsidR="007A607A" w:rsidRPr="00DA23E0">
        <w:rPr>
          <w:b/>
        </w:rPr>
        <w:t>Behavior</w:t>
      </w:r>
      <w:r w:rsidRPr="00DA23E0">
        <w:rPr>
          <w:b/>
        </w:rPr>
        <w:t xml:space="preserve"> (TPB) (C-TAM-TPB)</w:t>
      </w:r>
    </w:p>
    <w:p w:rsidR="007212F6" w:rsidRPr="00EB6F44" w:rsidRDefault="007212F6" w:rsidP="007212F6">
      <w:pPr>
        <w:spacing w:line="360" w:lineRule="auto"/>
        <w:jc w:val="both"/>
      </w:pPr>
      <w:r>
        <w:tab/>
      </w:r>
      <w:r w:rsidRPr="00EB6F44">
        <w:t>TPB differs from TAM because it accounts for social and control elements when making predictions about intent and behavior. As a result, Taylor and Todd (1995) merged the two models, expanding TAM to include notions of behavioral control, attitude, and subjective norm. Doing so allowed them to develop a model with a broader applicability for understanding the spread of new technologies. Compared to other methods, TAM is more convenient to implement, has a small empirical advantage, and provides broad insight into how users feel about the system. TPB provides more detailed information and is more effective in inspiring growth. The integrated model can be used by anyone with and without prior experience in the field of</w:t>
      </w:r>
      <w:r w:rsidR="00C324B9">
        <w:t xml:space="preserve"> technological knowledge</w:t>
      </w:r>
      <w:r w:rsidRPr="00EB6F44">
        <w:t>. (Taylor &amp; Todd, 1995).</w:t>
      </w:r>
    </w:p>
    <w:p w:rsidR="007212F6" w:rsidRPr="00EB6F44" w:rsidRDefault="007212F6" w:rsidP="007212F6">
      <w:pPr>
        <w:spacing w:line="360" w:lineRule="auto"/>
        <w:jc w:val="both"/>
      </w:pPr>
    </w:p>
    <w:p w:rsidR="007212F6" w:rsidRPr="00EB6F44" w:rsidRDefault="007212F6" w:rsidP="007212F6">
      <w:pPr>
        <w:spacing w:line="360" w:lineRule="auto"/>
        <w:jc w:val="both"/>
      </w:pPr>
      <w:r w:rsidRPr="003C4269">
        <w:rPr>
          <w:noProof/>
        </w:rPr>
        <w:drawing>
          <wp:inline distT="0" distB="0" distL="0" distR="0" wp14:anchorId="0742648F" wp14:editId="19187B7F">
            <wp:extent cx="3276067" cy="1464595"/>
            <wp:effectExtent l="0" t="0" r="0" b="0"/>
            <wp:docPr id="1062" name="Picture 1062"/>
            <wp:cNvGraphicFramePr/>
            <a:graphic xmlns:a="http://schemas.openxmlformats.org/drawingml/2006/main">
              <a:graphicData uri="http://schemas.openxmlformats.org/drawingml/2006/picture">
                <pic:pic xmlns:pic="http://schemas.openxmlformats.org/drawingml/2006/picture">
                  <pic:nvPicPr>
                    <pic:cNvPr id="1062" name="Picture 1062"/>
                    <pic:cNvPicPr/>
                  </pic:nvPicPr>
                  <pic:blipFill>
                    <a:blip r:embed="rId10"/>
                    <a:stretch>
                      <a:fillRect/>
                    </a:stretch>
                  </pic:blipFill>
                  <pic:spPr>
                    <a:xfrm>
                      <a:off x="0" y="0"/>
                      <a:ext cx="3276067" cy="1464595"/>
                    </a:xfrm>
                    <a:prstGeom prst="rect">
                      <a:avLst/>
                    </a:prstGeom>
                  </pic:spPr>
                </pic:pic>
              </a:graphicData>
            </a:graphic>
          </wp:inline>
        </w:drawing>
      </w:r>
    </w:p>
    <w:p w:rsidR="007212F6" w:rsidRPr="00EB6F44" w:rsidRDefault="007212F6" w:rsidP="007212F6">
      <w:pPr>
        <w:spacing w:before="240" w:line="360" w:lineRule="auto"/>
        <w:jc w:val="both"/>
      </w:pPr>
      <w:r w:rsidRPr="00EB6F44">
        <w:t>Figure 2.4: Combined Technology Acceptance Model and Theory of Planned Behaviour Model (Taylor &amp; Todd, 1995, p. 562).</w:t>
      </w:r>
    </w:p>
    <w:p w:rsidR="007212F6" w:rsidRDefault="007212F6" w:rsidP="007212F6">
      <w:pPr>
        <w:rPr>
          <w:b/>
          <w:bCs/>
          <w:szCs w:val="28"/>
        </w:rPr>
      </w:pPr>
      <w:r>
        <w:br w:type="page"/>
      </w:r>
    </w:p>
    <w:p w:rsidR="007212F6" w:rsidRPr="00EB6F44" w:rsidRDefault="007212F6" w:rsidP="007212F6">
      <w:pPr>
        <w:pStyle w:val="Heading3"/>
        <w:keepNext w:val="0"/>
        <w:keepLines w:val="0"/>
        <w:spacing w:before="0" w:line="360" w:lineRule="auto"/>
        <w:jc w:val="both"/>
        <w:rPr>
          <w:sz w:val="24"/>
        </w:rPr>
      </w:pPr>
      <w:bookmarkStart w:id="12" w:name="_Toc113387211"/>
      <w:r w:rsidRPr="00EB6F44">
        <w:rPr>
          <w:color w:val="auto"/>
          <w:sz w:val="24"/>
        </w:rPr>
        <w:t>2.2.4 Innovation Diffusion Theory (IDT)</w:t>
      </w:r>
      <w:bookmarkEnd w:id="12"/>
    </w:p>
    <w:p w:rsidR="007212F6" w:rsidRPr="00EB6F44" w:rsidRDefault="007212F6" w:rsidP="007212F6">
      <w:pPr>
        <w:spacing w:line="360" w:lineRule="auto"/>
        <w:jc w:val="both"/>
      </w:pPr>
      <w:r>
        <w:tab/>
      </w:r>
      <w:r w:rsidRPr="00EB6F44">
        <w:t xml:space="preserve">IDT is a framework for understanding how businesses make decisions about new technologies and how society responds to those new technologies. It has been used at the group and individual levels and sheds light on the factors contributing to the diffusion of new technologies and the rates at which they spread. Time, communication channels, the innovation itself, and a social structure are the four primary factors that Rogers (1995) cites as influencing the diffusion of new technology. The adoption rate and the adopters' classification are time-related aspects of the diffusion innovation process. It tracks how quickly people in different contexts acquire new ideas and technologies. Both the Adoption Life-cycle (Rogers, 2003) and The Adoption Learning Cycle (Moore, 1991), cited in Section 2.1.3, provide examples of this procedure. Users disseminate data amongst themselves via communication channels. The rate of invention dispersion can be increased with </w:t>
      </w:r>
      <w:r w:rsidR="000D7431">
        <w:t xml:space="preserve">a </w:t>
      </w:r>
      <w:r w:rsidRPr="00EB6F44">
        <w:t xml:space="preserve">well-functioning communication infrastructure. Mass media and interpersonal communication are two sorts of channels mentioned by Rogers (1962). Mass media provide for the rapid dissemination of information, but personal connections are far more critical when spreading a new idea or technology. An innovation is something that people recognize as a novel, whether it be a new concept, product, or method. The good or service may </w:t>
      </w:r>
      <w:r w:rsidR="000D7431">
        <w:t xml:space="preserve">be brand </w:t>
      </w:r>
      <w:r w:rsidRPr="00EB6F44">
        <w:t xml:space="preserve">new </w:t>
      </w:r>
      <w:r w:rsidR="000D7431">
        <w:t xml:space="preserve">and spanking </w:t>
      </w:r>
      <w:r w:rsidRPr="00EB6F44">
        <w:t>or revised with updated functionality. If the public does not welcome a new idea, it is useless. Something cannot be an innovation if society does not recognize it. When a social system embraces innovation and spreads the word about it to other systems, we say that innovation has diffused throughout the system. (Roger, 2003) for innovation to be self-sustaining, it must be disseminated throughout a social system and broadly embraced. (Rogers, 1962).</w:t>
      </w:r>
    </w:p>
    <w:p w:rsidR="007212F6" w:rsidRPr="00EB6F44" w:rsidRDefault="007212F6" w:rsidP="007212F6">
      <w:pPr>
        <w:spacing w:before="240" w:line="360" w:lineRule="auto"/>
        <w:jc w:val="both"/>
      </w:pPr>
      <w:r w:rsidRPr="003C4269">
        <w:rPr>
          <w:noProof/>
        </w:rPr>
        <w:drawing>
          <wp:inline distT="0" distB="0" distL="0" distR="0" wp14:anchorId="5B467DCB" wp14:editId="3A54B99A">
            <wp:extent cx="4429125" cy="1876425"/>
            <wp:effectExtent l="0" t="0" r="0" b="0"/>
            <wp:docPr id="1108" name="Picture 1108"/>
            <wp:cNvGraphicFramePr/>
            <a:graphic xmlns:a="http://schemas.openxmlformats.org/drawingml/2006/main">
              <a:graphicData uri="http://schemas.openxmlformats.org/drawingml/2006/picture">
                <pic:pic xmlns:pic="http://schemas.openxmlformats.org/drawingml/2006/picture">
                  <pic:nvPicPr>
                    <pic:cNvPr id="1108" name="Picture 1108"/>
                    <pic:cNvPicPr/>
                  </pic:nvPicPr>
                  <pic:blipFill>
                    <a:blip r:embed="rId11"/>
                    <a:stretch>
                      <a:fillRect/>
                    </a:stretch>
                  </pic:blipFill>
                  <pic:spPr>
                    <a:xfrm>
                      <a:off x="0" y="0"/>
                      <a:ext cx="4429463" cy="1876568"/>
                    </a:xfrm>
                    <a:prstGeom prst="rect">
                      <a:avLst/>
                    </a:prstGeom>
                  </pic:spPr>
                </pic:pic>
              </a:graphicData>
            </a:graphic>
          </wp:inline>
        </w:drawing>
      </w:r>
    </w:p>
    <w:p w:rsidR="007212F6" w:rsidRPr="00EB6F44" w:rsidRDefault="007212F6" w:rsidP="007212F6">
      <w:pPr>
        <w:spacing w:line="360" w:lineRule="auto"/>
        <w:jc w:val="both"/>
      </w:pPr>
      <w:r w:rsidRPr="00EB6F44">
        <w:t>Figure 2.5: Innovation Diffusion Theory Model (Rogers, 1962, p. 165)</w:t>
      </w:r>
    </w:p>
    <w:p w:rsidR="007212F6" w:rsidRPr="00EB6F44" w:rsidRDefault="007212F6" w:rsidP="007212F6">
      <w:pPr>
        <w:pStyle w:val="Heading3"/>
        <w:keepNext w:val="0"/>
        <w:keepLines w:val="0"/>
        <w:spacing w:before="281" w:line="360" w:lineRule="auto"/>
        <w:jc w:val="both"/>
        <w:rPr>
          <w:sz w:val="24"/>
        </w:rPr>
      </w:pPr>
      <w:bookmarkStart w:id="13" w:name="_Toc113387212"/>
      <w:r w:rsidRPr="00EB6F44">
        <w:rPr>
          <w:color w:val="auto"/>
          <w:sz w:val="24"/>
        </w:rPr>
        <w:t>2.2.5 Theory of Reasoned Action (TRA)</w:t>
      </w:r>
      <w:bookmarkEnd w:id="13"/>
    </w:p>
    <w:p w:rsidR="007212F6" w:rsidRPr="00EB6F44" w:rsidRDefault="007212F6" w:rsidP="007212F6">
      <w:pPr>
        <w:spacing w:line="360" w:lineRule="auto"/>
        <w:jc w:val="both"/>
      </w:pPr>
      <w:r>
        <w:tab/>
      </w:r>
      <w:r w:rsidRPr="00EB6F44">
        <w:t>The model depicts the connection between human behavior and beliefs about the appropriateness of doing an action. According to TRA, one's attitude and subjective normative views of conduct are the two most essential factors in predicting that behavior. Both attitude and subjective norm explain and predict a great deal of variation in behavioral intention. Individual actions are influenced by the individual's current beliefs and plans for future behavior, which together form the individual's motives. When people believe they will benefit from using a particular piece of technology, they are more likely to decide to do so. (Fischer and Ajzen, 1975).</w:t>
      </w:r>
    </w:p>
    <w:p w:rsidR="007212F6" w:rsidRPr="00EB6F44" w:rsidRDefault="007212F6" w:rsidP="007212F6">
      <w:pPr>
        <w:spacing w:line="360" w:lineRule="auto"/>
        <w:jc w:val="both"/>
      </w:pPr>
      <w:r w:rsidRPr="003C4269">
        <w:rPr>
          <w:noProof/>
        </w:rPr>
        <w:drawing>
          <wp:inline distT="0" distB="0" distL="0" distR="0" wp14:anchorId="5F610F27" wp14:editId="298F2C94">
            <wp:extent cx="3886200" cy="1190625"/>
            <wp:effectExtent l="0" t="0" r="0" b="0"/>
            <wp:docPr id="1127" name="Picture 1127"/>
            <wp:cNvGraphicFramePr/>
            <a:graphic xmlns:a="http://schemas.openxmlformats.org/drawingml/2006/main">
              <a:graphicData uri="http://schemas.openxmlformats.org/drawingml/2006/picture">
                <pic:pic xmlns:pic="http://schemas.openxmlformats.org/drawingml/2006/picture">
                  <pic:nvPicPr>
                    <pic:cNvPr id="1127" name="Picture 1127"/>
                    <pic:cNvPicPr/>
                  </pic:nvPicPr>
                  <pic:blipFill>
                    <a:blip r:embed="rId12"/>
                    <a:stretch>
                      <a:fillRect/>
                    </a:stretch>
                  </pic:blipFill>
                  <pic:spPr>
                    <a:xfrm>
                      <a:off x="0" y="0"/>
                      <a:ext cx="3933969" cy="1205260"/>
                    </a:xfrm>
                    <a:prstGeom prst="rect">
                      <a:avLst/>
                    </a:prstGeom>
                  </pic:spPr>
                </pic:pic>
              </a:graphicData>
            </a:graphic>
          </wp:inline>
        </w:drawing>
      </w:r>
    </w:p>
    <w:p w:rsidR="007212F6" w:rsidRPr="00F8543E" w:rsidRDefault="007212F6" w:rsidP="007212F6">
      <w:pPr>
        <w:jc w:val="both"/>
        <w:rPr>
          <w:sz w:val="8"/>
        </w:rPr>
      </w:pPr>
    </w:p>
    <w:p w:rsidR="007212F6" w:rsidRPr="00EB6F44" w:rsidRDefault="007212F6" w:rsidP="007212F6">
      <w:pPr>
        <w:spacing w:line="360" w:lineRule="auto"/>
        <w:jc w:val="both"/>
      </w:pPr>
      <w:r w:rsidRPr="00EB6F44">
        <w:t>Figure 2.6: Theory of Reasoned Action (Fischbein &amp; Ajzen, 1991, p. 321)</w:t>
      </w:r>
    </w:p>
    <w:p w:rsidR="007212F6" w:rsidRPr="00EB6F44" w:rsidRDefault="007212F6" w:rsidP="007212F6">
      <w:pPr>
        <w:pStyle w:val="Heading3"/>
        <w:keepNext w:val="0"/>
        <w:keepLines w:val="0"/>
        <w:spacing w:before="0" w:line="360" w:lineRule="auto"/>
        <w:jc w:val="both"/>
        <w:rPr>
          <w:sz w:val="24"/>
        </w:rPr>
      </w:pPr>
      <w:bookmarkStart w:id="14" w:name="_Toc113387213"/>
      <w:r w:rsidRPr="00EB6F44">
        <w:rPr>
          <w:color w:val="auto"/>
          <w:sz w:val="24"/>
        </w:rPr>
        <w:t>2.2.6 Social Cognitive Theory (SCT)</w:t>
      </w:r>
      <w:bookmarkEnd w:id="14"/>
    </w:p>
    <w:p w:rsidR="007212F6" w:rsidRPr="00EB6F44" w:rsidRDefault="007212F6" w:rsidP="007212F6">
      <w:pPr>
        <w:spacing w:line="360" w:lineRule="auto"/>
        <w:jc w:val="both"/>
      </w:pPr>
      <w:r>
        <w:tab/>
      </w:r>
      <w:r w:rsidRPr="00EB6F44">
        <w:t xml:space="preserve">Bandura's (1986) social cognitive theory describes how elements like peer pressure, one's personality, and seeing other </w:t>
      </w:r>
      <w:r w:rsidR="00C324B9">
        <w:t>individuals</w:t>
      </w:r>
      <w:r w:rsidRPr="00EB6F44">
        <w:t xml:space="preserve"> </w:t>
      </w:r>
      <w:r w:rsidR="00C324B9">
        <w:t>contribute</w:t>
      </w:r>
      <w:r w:rsidRPr="00EB6F44">
        <w:t xml:space="preserve"> </w:t>
      </w:r>
      <w:r w:rsidR="000D7431">
        <w:t>to</w:t>
      </w:r>
      <w:r w:rsidRPr="00EB6F44">
        <w:t xml:space="preserve"> shaping </w:t>
      </w:r>
      <w:r w:rsidR="00C324B9">
        <w:t xml:space="preserve">how someone </w:t>
      </w:r>
      <w:r w:rsidR="00524247" w:rsidRPr="00EB6F44">
        <w:t>behav</w:t>
      </w:r>
      <w:r w:rsidR="00C324B9">
        <w:t>es</w:t>
      </w:r>
      <w:r w:rsidRPr="00EB6F44">
        <w:t xml:space="preserve">. Many ideas in psychology and sociology examine the role of one's upbringing, culture, and surroundings in shaping who they are as an individual and as a part of a community. According to SCT, </w:t>
      </w:r>
      <w:r w:rsidR="00524247" w:rsidRPr="00EB6F44">
        <w:t>behavior</w:t>
      </w:r>
      <w:r w:rsidRPr="00EB6F44">
        <w:t xml:space="preserve"> results from a complex interplay between individual and social factors and the surrounding environment. In addition, SCT emphasizes the flexibility people have to </w:t>
      </w:r>
      <w:r w:rsidR="000D7431">
        <w:t>mold</w:t>
      </w:r>
      <w:r w:rsidRPr="00EB6F44">
        <w:t xml:space="preserve"> their surroundings to serve whatever ends they choose for themselves. One's actions can be influenced by those they have observed in other people. Two other cognitive elements, expectancies</w:t>
      </w:r>
      <w:r w:rsidR="000D7431">
        <w:t>, and</w:t>
      </w:r>
      <w:r w:rsidRPr="00EB6F44">
        <w:t xml:space="preserve"> self-efficiency are also introduced in SCT. People are more likely to act in ways they expect will have a positive outcome and less likely to act in ways they expect will have a negative consequence. One's confidence in one's competence to carry out a specific action is an example of self-efficiency. Bandura (1986).</w:t>
      </w:r>
    </w:p>
    <w:p w:rsidR="007212F6" w:rsidRPr="00EB6F44" w:rsidRDefault="007212F6" w:rsidP="007212F6">
      <w:pPr>
        <w:spacing w:line="360" w:lineRule="auto"/>
        <w:jc w:val="both"/>
      </w:pPr>
      <w:r w:rsidRPr="003C4269">
        <w:rPr>
          <w:noProof/>
        </w:rPr>
        <w:drawing>
          <wp:inline distT="0" distB="0" distL="0" distR="0" wp14:anchorId="74ADE255" wp14:editId="4DD0DC67">
            <wp:extent cx="3510295" cy="2545614"/>
            <wp:effectExtent l="0" t="0" r="0" b="0"/>
            <wp:docPr id="1150" name="Picture 1150"/>
            <wp:cNvGraphicFramePr/>
            <a:graphic xmlns:a="http://schemas.openxmlformats.org/drawingml/2006/main">
              <a:graphicData uri="http://schemas.openxmlformats.org/drawingml/2006/picture">
                <pic:pic xmlns:pic="http://schemas.openxmlformats.org/drawingml/2006/picture">
                  <pic:nvPicPr>
                    <pic:cNvPr id="1150" name="Picture 1150"/>
                    <pic:cNvPicPr/>
                  </pic:nvPicPr>
                  <pic:blipFill>
                    <a:blip r:embed="rId13"/>
                    <a:stretch>
                      <a:fillRect/>
                    </a:stretch>
                  </pic:blipFill>
                  <pic:spPr>
                    <a:xfrm>
                      <a:off x="0" y="0"/>
                      <a:ext cx="3510295" cy="2545614"/>
                    </a:xfrm>
                    <a:prstGeom prst="rect">
                      <a:avLst/>
                    </a:prstGeom>
                  </pic:spPr>
                </pic:pic>
              </a:graphicData>
            </a:graphic>
          </wp:inline>
        </w:drawing>
      </w:r>
    </w:p>
    <w:p w:rsidR="007212F6" w:rsidRPr="00EB6F44" w:rsidRDefault="007212F6" w:rsidP="007212F6">
      <w:pPr>
        <w:spacing w:line="360" w:lineRule="auto"/>
        <w:jc w:val="both"/>
      </w:pPr>
      <w:r w:rsidRPr="00EB6F44">
        <w:t>Figure 2.7: Social Cognitive Theory Model (Bandura, 1986, p. 362)</w:t>
      </w:r>
    </w:p>
    <w:p w:rsidR="007212F6" w:rsidRPr="00EB6F44" w:rsidRDefault="007212F6" w:rsidP="007212F6">
      <w:pPr>
        <w:pStyle w:val="Heading3"/>
        <w:keepNext w:val="0"/>
        <w:keepLines w:val="0"/>
        <w:spacing w:before="0" w:line="360" w:lineRule="auto"/>
        <w:jc w:val="both"/>
        <w:rPr>
          <w:sz w:val="24"/>
        </w:rPr>
      </w:pPr>
      <w:bookmarkStart w:id="15" w:name="_Toc113387214"/>
      <w:r w:rsidRPr="00EB6F44">
        <w:rPr>
          <w:color w:val="auto"/>
          <w:sz w:val="24"/>
        </w:rPr>
        <w:t>2.2.7 Model of PC Utilization (MPCU)</w:t>
      </w:r>
      <w:bookmarkEnd w:id="15"/>
    </w:p>
    <w:p w:rsidR="007212F6" w:rsidRPr="00EB6F44" w:rsidRDefault="007212F6" w:rsidP="007212F6">
      <w:pPr>
        <w:spacing w:line="360" w:lineRule="auto"/>
        <w:jc w:val="both"/>
      </w:pPr>
      <w:r>
        <w:tab/>
      </w:r>
      <w:r w:rsidRPr="00EB6F44">
        <w:t xml:space="preserve">Based on Triandis's (1977) Theory of Human </w:t>
      </w:r>
      <w:r w:rsidR="00524247" w:rsidRPr="00EB6F44">
        <w:t>Behavior</w:t>
      </w:r>
      <w:r w:rsidRPr="00EB6F44">
        <w:t xml:space="preserve">, which argues that people's actions are governed by their attitudes, social conventions, habits, and expectations, Thompson, Higgin, and Howell (1991) put up their explanation for how this is the case. People act </w:t>
      </w:r>
      <w:r w:rsidR="000D7431">
        <w:t>on</w:t>
      </w:r>
      <w:r w:rsidRPr="00EB6F44">
        <w:t xml:space="preserve"> their desires, beliefs, norms, past experiences, and the outcomes they anticipate. Perceived consequences, attitude toward use, social variables, and enabling environments all play a role in how often and how much people use computers, as stated by the MPCU. Some perceived outcomes are job suitability, degree of difficulty, and long-term effects. Predicting PC usage patterns is just one application of this idea; it may also be used to foretell how people will adopt and use new technologies. Thompson, Higgin, &amp; Howell (1991).</w:t>
      </w:r>
    </w:p>
    <w:p w:rsidR="007212F6" w:rsidRPr="00EB6F44" w:rsidRDefault="007212F6" w:rsidP="007212F6">
      <w:pPr>
        <w:spacing w:line="360" w:lineRule="auto"/>
        <w:jc w:val="both"/>
      </w:pPr>
      <w:r w:rsidRPr="003C4269">
        <w:rPr>
          <w:noProof/>
        </w:rPr>
        <w:drawing>
          <wp:inline distT="0" distB="0" distL="0" distR="0" wp14:anchorId="60A42944" wp14:editId="14D00B58">
            <wp:extent cx="4686300" cy="2200275"/>
            <wp:effectExtent l="0" t="0" r="0" b="0"/>
            <wp:docPr id="1172" name="Picture 1172"/>
            <wp:cNvGraphicFramePr/>
            <a:graphic xmlns:a="http://schemas.openxmlformats.org/drawingml/2006/main">
              <a:graphicData uri="http://schemas.openxmlformats.org/drawingml/2006/picture">
                <pic:pic xmlns:pic="http://schemas.openxmlformats.org/drawingml/2006/picture">
                  <pic:nvPicPr>
                    <pic:cNvPr id="1172" name="Picture 1172"/>
                    <pic:cNvPicPr/>
                  </pic:nvPicPr>
                  <pic:blipFill>
                    <a:blip r:embed="rId14"/>
                    <a:stretch>
                      <a:fillRect/>
                    </a:stretch>
                  </pic:blipFill>
                  <pic:spPr>
                    <a:xfrm>
                      <a:off x="0" y="0"/>
                      <a:ext cx="4737089" cy="2224121"/>
                    </a:xfrm>
                    <a:prstGeom prst="rect">
                      <a:avLst/>
                    </a:prstGeom>
                  </pic:spPr>
                </pic:pic>
              </a:graphicData>
            </a:graphic>
          </wp:inline>
        </w:drawing>
      </w:r>
    </w:p>
    <w:p w:rsidR="007212F6" w:rsidRPr="00EB6F44" w:rsidRDefault="007212F6" w:rsidP="007212F6">
      <w:pPr>
        <w:spacing w:line="360" w:lineRule="auto"/>
        <w:jc w:val="both"/>
      </w:pPr>
      <w:r w:rsidRPr="00EB6F44">
        <w:t>Figure 2.8: Model of PC Utilization (Thompson, 1991, p. 131)</w:t>
      </w:r>
    </w:p>
    <w:p w:rsidR="007212F6" w:rsidRPr="00EB6F44" w:rsidRDefault="007212F6" w:rsidP="007212F6">
      <w:pPr>
        <w:pStyle w:val="Heading3"/>
        <w:keepNext w:val="0"/>
        <w:keepLines w:val="0"/>
        <w:spacing w:before="0" w:line="360" w:lineRule="auto"/>
        <w:jc w:val="both"/>
        <w:rPr>
          <w:sz w:val="24"/>
        </w:rPr>
      </w:pPr>
      <w:bookmarkStart w:id="16" w:name="_Toc113387215"/>
      <w:r w:rsidRPr="00EB6F44">
        <w:rPr>
          <w:color w:val="auto"/>
          <w:sz w:val="24"/>
        </w:rPr>
        <w:t>2.2.8 Motivational Model (MM)</w:t>
      </w:r>
      <w:bookmarkEnd w:id="16"/>
    </w:p>
    <w:p w:rsidR="007212F6" w:rsidRPr="00EB6F44" w:rsidRDefault="007212F6" w:rsidP="007212F6">
      <w:pPr>
        <w:spacing w:line="360" w:lineRule="auto"/>
        <w:jc w:val="both"/>
      </w:pPr>
      <w:r>
        <w:tab/>
      </w:r>
      <w:r w:rsidRPr="00EB6F44">
        <w:t>Two types of motivation, intrinsic and extrinsic, are included in the motivational model, and both affect the individual's purpose in behaving.</w:t>
      </w:r>
      <w:r w:rsidR="00CC4D30">
        <w:t xml:space="preserve"> Once individuals are self-determined</w:t>
      </w:r>
      <w:r w:rsidRPr="00EB6F44">
        <w:t xml:space="preserve">, they </w:t>
      </w:r>
      <w:r w:rsidR="00CC4D30">
        <w:t>participate</w:t>
      </w:r>
      <w:r w:rsidRPr="00EB6F44">
        <w:t xml:space="preserve"> in an </w:t>
      </w:r>
      <w:r w:rsidR="00CC4D30">
        <w:t>exercise</w:t>
      </w:r>
      <w:r w:rsidRPr="00EB6F44">
        <w:t xml:space="preserve"> because they like it, rather than because they hope to receive some tangible benefit. When boosting the likelihood that people would use a specific piece of technology, nothing is more important than providing a positive experience with that technology. The goal of using technology can also be affected by extrinsic motivation, defined as doing something for something other than its intrinsic value, such as a reward or avoiding a negative consequence. Even though intrinsic motivation is generally seen as superior, it is not always an option because some people lack the innate drive to pursue particular hobbies. Even while it is not ideal to rely too heavily on external incentives, there are times when they are invaluable. Davis, Bagozzi, &amp; Warshaw (1992).</w:t>
      </w:r>
    </w:p>
    <w:p w:rsidR="007212F6" w:rsidRPr="00EB6F44" w:rsidRDefault="007212F6" w:rsidP="007212F6">
      <w:pPr>
        <w:spacing w:line="360" w:lineRule="auto"/>
        <w:jc w:val="both"/>
      </w:pPr>
    </w:p>
    <w:p w:rsidR="007212F6" w:rsidRPr="00EB6F44" w:rsidRDefault="007212F6" w:rsidP="007212F6">
      <w:pPr>
        <w:spacing w:line="360" w:lineRule="auto"/>
        <w:jc w:val="both"/>
      </w:pPr>
      <w:r>
        <w:rPr>
          <w:noProof/>
        </w:rPr>
        <w:tab/>
      </w:r>
      <w:r w:rsidRPr="003C4269">
        <w:rPr>
          <w:noProof/>
        </w:rPr>
        <w:drawing>
          <wp:inline distT="0" distB="0" distL="0" distR="0" wp14:anchorId="0C4FE931" wp14:editId="70B1B572">
            <wp:extent cx="3248025" cy="2181225"/>
            <wp:effectExtent l="0" t="0" r="0" b="0"/>
            <wp:docPr id="1193" name="Picture 1193"/>
            <wp:cNvGraphicFramePr/>
            <a:graphic xmlns:a="http://schemas.openxmlformats.org/drawingml/2006/main">
              <a:graphicData uri="http://schemas.openxmlformats.org/drawingml/2006/picture">
                <pic:pic xmlns:pic="http://schemas.openxmlformats.org/drawingml/2006/picture">
                  <pic:nvPicPr>
                    <pic:cNvPr id="1193" name="Picture 1193"/>
                    <pic:cNvPicPr/>
                  </pic:nvPicPr>
                  <pic:blipFill>
                    <a:blip r:embed="rId15"/>
                    <a:stretch>
                      <a:fillRect/>
                    </a:stretch>
                  </pic:blipFill>
                  <pic:spPr>
                    <a:xfrm>
                      <a:off x="0" y="0"/>
                      <a:ext cx="3303741" cy="2218641"/>
                    </a:xfrm>
                    <a:prstGeom prst="rect">
                      <a:avLst/>
                    </a:prstGeom>
                  </pic:spPr>
                </pic:pic>
              </a:graphicData>
            </a:graphic>
          </wp:inline>
        </w:drawing>
      </w:r>
    </w:p>
    <w:p w:rsidR="007212F6" w:rsidRPr="00EB6F44" w:rsidRDefault="007212F6" w:rsidP="007212F6">
      <w:pPr>
        <w:spacing w:line="360" w:lineRule="auto"/>
        <w:jc w:val="both"/>
      </w:pPr>
      <w:r w:rsidRPr="00EB6F44">
        <w:t>Figure 2.9: Motivational Model (Davis, Bagozzi</w:t>
      </w:r>
      <w:r w:rsidR="000D7431">
        <w:t>,</w:t>
      </w:r>
      <w:r w:rsidRPr="00EB6F44">
        <w:t xml:space="preserve"> and Warshaw, 1992, p. 1125)</w:t>
      </w:r>
    </w:p>
    <w:p w:rsidR="007212F6" w:rsidRPr="00EB6F44" w:rsidRDefault="007212F6" w:rsidP="007212F6">
      <w:pPr>
        <w:pStyle w:val="Heading3"/>
        <w:keepNext w:val="0"/>
        <w:keepLines w:val="0"/>
        <w:spacing w:before="0" w:line="360" w:lineRule="auto"/>
        <w:jc w:val="both"/>
        <w:rPr>
          <w:sz w:val="24"/>
        </w:rPr>
      </w:pPr>
      <w:bookmarkStart w:id="17" w:name="_Toc113387216"/>
      <w:r w:rsidRPr="00EB6F44">
        <w:rPr>
          <w:color w:val="auto"/>
          <w:sz w:val="24"/>
        </w:rPr>
        <w:t>2.2.9 Unified Theory of Acceptance and Use of Technology (UTAUT)</w:t>
      </w:r>
      <w:bookmarkEnd w:id="17"/>
    </w:p>
    <w:p w:rsidR="00410EF8" w:rsidRDefault="007212F6" w:rsidP="007212F6">
      <w:pPr>
        <w:spacing w:line="360" w:lineRule="auto"/>
        <w:jc w:val="both"/>
      </w:pPr>
      <w:r>
        <w:tab/>
      </w:r>
      <w:r w:rsidR="007A4DCF" w:rsidRPr="007A4DCF">
        <w:t>Venkatesh, Davis, Davis, and Morris (2003) developed the unified theory of acceptance and usage of technology to connect various viewpoints on user and innovation adoption (UTAUT).</w:t>
      </w:r>
      <w:r w:rsidR="007A4DCF">
        <w:t xml:space="preserve"> </w:t>
      </w:r>
      <w:r w:rsidRPr="00EB6F44">
        <w:t xml:space="preserve">This model proposes four factors as direct predictors of future </w:t>
      </w:r>
      <w:r w:rsidR="00524247" w:rsidRPr="00EB6F44">
        <w:t>behavior</w:t>
      </w:r>
      <w:r w:rsidRPr="00EB6F44">
        <w:t xml:space="preserve">: when it comes to forecasting how people will respond to new technologies, UTAUT is </w:t>
      </w:r>
      <w:r w:rsidR="000D7431">
        <w:t>unrivaled</w:t>
      </w:r>
      <w:r w:rsidRPr="00EB6F44">
        <w:t>. It draws on eight theories from the field of technology adoption research (Technology Acceptance Model TAM, Theory of Planned Behavior TPB, Combined TAM and TPB, Innovation Diffusion Theory, Theory of Reasoned Action, Social Cognitive Theory, Motivational model</w:t>
      </w:r>
      <w:r w:rsidR="000D7431">
        <w:t>, an</w:t>
      </w:r>
      <w:r w:rsidRPr="00EB6F44">
        <w:t xml:space="preserve">and Model of PC Utilization). </w:t>
      </w:r>
    </w:p>
    <w:p w:rsidR="007212F6" w:rsidRDefault="000A731E" w:rsidP="007212F6">
      <w:pPr>
        <w:spacing w:line="360" w:lineRule="auto"/>
        <w:jc w:val="both"/>
      </w:pPr>
      <w:r w:rsidRPr="000A731E">
        <w:t>The theories and models that have helped us understand how people embrace new ideas and technologies have been applied in a variety of sectors, including information systems, marketing, social psychology, and management. On the other hand, UTAUT outperforms these other eight models in terms of identifying use intention determinants and accounts for 70% of the variation in behavioral intention to use technology.</w:t>
      </w:r>
    </w:p>
    <w:p w:rsidR="008B7AE6" w:rsidRDefault="008B7AE6" w:rsidP="008B7AE6">
      <w:pPr>
        <w:spacing w:line="360" w:lineRule="auto"/>
        <w:jc w:val="both"/>
      </w:pPr>
      <w:r>
        <w:t>• Performance Expectancy: The extent to which a person anticipates that adopting the system will enable them to improve their performance at work.</w:t>
      </w:r>
    </w:p>
    <w:p w:rsidR="008B7AE6" w:rsidRDefault="008B7AE6" w:rsidP="008B7AE6">
      <w:pPr>
        <w:spacing w:line="360" w:lineRule="auto"/>
        <w:jc w:val="both"/>
      </w:pPr>
      <w:r>
        <w:t>• Effort Expectancy: The ease with which the system will be used.</w:t>
      </w:r>
    </w:p>
    <w:p w:rsidR="008B7AE6" w:rsidRDefault="008B7AE6" w:rsidP="008B7AE6">
      <w:pPr>
        <w:spacing w:line="360" w:lineRule="auto"/>
        <w:jc w:val="both"/>
      </w:pPr>
      <w:r>
        <w:t xml:space="preserve">• Social Influence: The extent to which a person believes it is important that others think they should </w:t>
      </w:r>
      <w:r w:rsidR="00CC4D30">
        <w:t>utilize</w:t>
      </w:r>
      <w:r>
        <w:t xml:space="preserve"> the new system.</w:t>
      </w:r>
    </w:p>
    <w:p w:rsidR="008B7AE6" w:rsidRPr="00EB6F44" w:rsidRDefault="008B7AE6" w:rsidP="008B7AE6">
      <w:pPr>
        <w:spacing w:line="360" w:lineRule="auto"/>
        <w:jc w:val="both"/>
      </w:pPr>
      <w:r>
        <w:t xml:space="preserve">• Facilitating Conditions: The extent to which a person thinks that the system is supported by a technical and </w:t>
      </w:r>
      <w:r w:rsidR="0058332C">
        <w:t>organizational</w:t>
      </w:r>
      <w:r>
        <w:t xml:space="preserve"> infrastructure.</w:t>
      </w:r>
    </w:p>
    <w:p w:rsidR="007212F6" w:rsidRPr="00EB6F44" w:rsidRDefault="007212F6" w:rsidP="007212F6">
      <w:pPr>
        <w:spacing w:line="360" w:lineRule="auto"/>
        <w:jc w:val="both"/>
      </w:pPr>
      <w:r w:rsidRPr="00EB6F44">
        <w:t>When present in the "real world" these determinants allow researchers and practitioners to evaluate a</w:t>
      </w:r>
      <w:r w:rsidR="00CC4D30">
        <w:t>n individual</w:t>
      </w:r>
      <w:r w:rsidRPr="00EB6F44">
        <w:t xml:space="preserve"> propensity to employ a specific system. Acceptance-affecting factors in a given setting can then be pinpointed with this method. These four factors are additionally affected by other variables: gender, age, experience, and volitional usage. To wit: (</w:t>
      </w:r>
      <w:r w:rsidR="000D7431">
        <w:t>Venkatesh</w:t>
      </w:r>
      <w:r w:rsidRPr="00EB6F44">
        <w:t>, Davis, Davis, &amp; Morris, 2003).</w:t>
      </w:r>
    </w:p>
    <w:p w:rsidR="007212F6" w:rsidRPr="00EB6F44" w:rsidRDefault="007212F6" w:rsidP="007212F6">
      <w:pPr>
        <w:spacing w:line="360" w:lineRule="auto"/>
        <w:jc w:val="both"/>
      </w:pPr>
      <w:r>
        <w:tab/>
      </w:r>
      <w:r w:rsidRPr="003C4269">
        <w:rPr>
          <w:noProof/>
        </w:rPr>
        <w:drawing>
          <wp:inline distT="0" distB="0" distL="0" distR="0" wp14:anchorId="6C8ABC8A" wp14:editId="216FEA27">
            <wp:extent cx="4029075" cy="3181350"/>
            <wp:effectExtent l="0" t="0" r="0" b="0"/>
            <wp:docPr id="1247" name="Picture 1247"/>
            <wp:cNvGraphicFramePr/>
            <a:graphic xmlns:a="http://schemas.openxmlformats.org/drawingml/2006/main">
              <a:graphicData uri="http://schemas.openxmlformats.org/drawingml/2006/picture">
                <pic:pic xmlns:pic="http://schemas.openxmlformats.org/drawingml/2006/picture">
                  <pic:nvPicPr>
                    <pic:cNvPr id="1247" name="Picture 1247"/>
                    <pic:cNvPicPr/>
                  </pic:nvPicPr>
                  <pic:blipFill>
                    <a:blip r:embed="rId16"/>
                    <a:stretch>
                      <a:fillRect/>
                    </a:stretch>
                  </pic:blipFill>
                  <pic:spPr>
                    <a:xfrm>
                      <a:off x="0" y="0"/>
                      <a:ext cx="4089782" cy="3229284"/>
                    </a:xfrm>
                    <a:prstGeom prst="rect">
                      <a:avLst/>
                    </a:prstGeom>
                  </pic:spPr>
                </pic:pic>
              </a:graphicData>
            </a:graphic>
          </wp:inline>
        </w:drawing>
      </w:r>
    </w:p>
    <w:p w:rsidR="007212F6" w:rsidRPr="00EB6F44" w:rsidRDefault="007212F6" w:rsidP="007212F6">
      <w:pPr>
        <w:spacing w:line="360" w:lineRule="auto"/>
        <w:jc w:val="both"/>
      </w:pPr>
      <w:r w:rsidRPr="00EB6F44">
        <w:t>Figure 2.10: Unified theory of acceptance and use of technology (</w:t>
      </w:r>
      <w:r w:rsidR="000D7431">
        <w:t>Venkatesh</w:t>
      </w:r>
      <w:r w:rsidRPr="00EB6F44">
        <w:t>, Davis, Davis and Morris, 2003, p. 447)</w:t>
      </w:r>
    </w:p>
    <w:p w:rsidR="007212F6" w:rsidRPr="00EB6F44" w:rsidRDefault="007212F6" w:rsidP="007212F6">
      <w:pPr>
        <w:pStyle w:val="Heading3"/>
        <w:keepNext w:val="0"/>
        <w:keepLines w:val="0"/>
        <w:spacing w:before="0" w:line="360" w:lineRule="auto"/>
        <w:jc w:val="both"/>
        <w:rPr>
          <w:sz w:val="24"/>
        </w:rPr>
      </w:pPr>
      <w:bookmarkStart w:id="18" w:name="_Toc113387217"/>
      <w:r w:rsidRPr="00EB6F44">
        <w:rPr>
          <w:color w:val="auto"/>
          <w:sz w:val="24"/>
        </w:rPr>
        <w:t>2.2.10 Summary of Technology Adoption Models</w:t>
      </w:r>
      <w:bookmarkEnd w:id="18"/>
    </w:p>
    <w:p w:rsidR="007212F6" w:rsidRPr="00EB6F44" w:rsidRDefault="007212F6" w:rsidP="007212F6">
      <w:pPr>
        <w:spacing w:line="360" w:lineRule="auto"/>
        <w:jc w:val="both"/>
      </w:pPr>
      <w:r>
        <w:tab/>
      </w:r>
      <w:r w:rsidRPr="00EB6F44">
        <w:t>All technology adoption models are summarized in Table 2.1 below;</w:t>
      </w:r>
    </w:p>
    <w:tbl>
      <w:tblPr>
        <w:tblStyle w:val="TableGrid"/>
        <w:tblW w:w="6267" w:type="dxa"/>
        <w:jc w:val="center"/>
        <w:tblInd w:w="0" w:type="dxa"/>
        <w:tblCellMar>
          <w:top w:w="52" w:type="dxa"/>
          <w:left w:w="120" w:type="dxa"/>
          <w:right w:w="120" w:type="dxa"/>
        </w:tblCellMar>
        <w:tblLook w:val="04A0" w:firstRow="1" w:lastRow="0" w:firstColumn="1" w:lastColumn="0" w:noHBand="0" w:noVBand="1"/>
      </w:tblPr>
      <w:tblGrid>
        <w:gridCol w:w="630"/>
        <w:gridCol w:w="2454"/>
        <w:gridCol w:w="3183"/>
      </w:tblGrid>
      <w:tr w:rsidR="007212F6" w:rsidRPr="003C4269" w:rsidTr="007212F6">
        <w:trPr>
          <w:trHeight w:val="322"/>
          <w:jc w:val="center"/>
        </w:trPr>
        <w:tc>
          <w:tcPr>
            <w:tcW w:w="630" w:type="dxa"/>
            <w:tcBorders>
              <w:top w:val="single" w:sz="4" w:space="0" w:color="auto"/>
              <w:left w:val="nil"/>
              <w:bottom w:val="single" w:sz="3" w:space="0" w:color="000000"/>
              <w:right w:val="single" w:sz="4" w:space="0" w:color="000000"/>
            </w:tcBorders>
          </w:tcPr>
          <w:p w:rsidR="007212F6" w:rsidRPr="003C4269" w:rsidRDefault="007212F6" w:rsidP="007212F6">
            <w:pPr>
              <w:ind w:right="-1532"/>
              <w:jc w:val="both"/>
              <w:rPr>
                <w:rFonts w:ascii="Times New Roman" w:hAnsi="Times New Roman"/>
                <w:b/>
              </w:rPr>
            </w:pPr>
            <w:r>
              <w:rPr>
                <w:rFonts w:ascii="Times New Roman" w:hAnsi="Times New Roman"/>
                <w:b/>
              </w:rPr>
              <w:t>S/N</w:t>
            </w:r>
          </w:p>
        </w:tc>
        <w:tc>
          <w:tcPr>
            <w:tcW w:w="2454" w:type="dxa"/>
            <w:tcBorders>
              <w:top w:val="single" w:sz="4" w:space="0" w:color="auto"/>
              <w:left w:val="nil"/>
              <w:bottom w:val="single" w:sz="3" w:space="0" w:color="000000"/>
              <w:right w:val="single" w:sz="4" w:space="0" w:color="000000"/>
            </w:tcBorders>
            <w:vAlign w:val="center"/>
          </w:tcPr>
          <w:p w:rsidR="007212F6" w:rsidRPr="003C4269" w:rsidRDefault="007212F6" w:rsidP="007212F6">
            <w:pPr>
              <w:ind w:left="1060" w:right="-1532" w:hanging="90"/>
              <w:jc w:val="both"/>
              <w:rPr>
                <w:rFonts w:ascii="Times New Roman" w:hAnsi="Times New Roman"/>
              </w:rPr>
            </w:pPr>
            <w:r w:rsidRPr="003C4269">
              <w:rPr>
                <w:rFonts w:ascii="Times New Roman" w:hAnsi="Times New Roman"/>
                <w:b/>
              </w:rPr>
              <w:t>Model</w:t>
            </w:r>
          </w:p>
        </w:tc>
        <w:tc>
          <w:tcPr>
            <w:tcW w:w="3183" w:type="dxa"/>
            <w:tcBorders>
              <w:top w:val="single" w:sz="4" w:space="0" w:color="auto"/>
              <w:left w:val="single" w:sz="4" w:space="0" w:color="000000"/>
              <w:bottom w:val="single" w:sz="3" w:space="0" w:color="000000"/>
              <w:right w:val="nil"/>
            </w:tcBorders>
          </w:tcPr>
          <w:p w:rsidR="007212F6" w:rsidRPr="003C4269" w:rsidRDefault="007212F6" w:rsidP="007212F6">
            <w:pPr>
              <w:jc w:val="both"/>
              <w:rPr>
                <w:rFonts w:ascii="Times New Roman" w:hAnsi="Times New Roman"/>
              </w:rPr>
            </w:pPr>
            <w:r w:rsidRPr="003C4269">
              <w:rPr>
                <w:rFonts w:ascii="Times New Roman" w:hAnsi="Times New Roman"/>
                <w:b/>
              </w:rPr>
              <w:t>Factors that impact behavior</w:t>
            </w:r>
          </w:p>
        </w:tc>
      </w:tr>
      <w:tr w:rsidR="007212F6" w:rsidRPr="003C4269" w:rsidTr="007212F6">
        <w:trPr>
          <w:trHeight w:val="644"/>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1</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Technology Acceptance Model (TAM)</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Perceived ease of use</w:t>
            </w:r>
          </w:p>
          <w:p w:rsidR="007212F6" w:rsidRPr="003C4269" w:rsidRDefault="007212F6" w:rsidP="007212F6">
            <w:pPr>
              <w:jc w:val="both"/>
              <w:rPr>
                <w:rFonts w:ascii="Times New Roman" w:hAnsi="Times New Roman"/>
              </w:rPr>
            </w:pPr>
            <w:r w:rsidRPr="003C4269">
              <w:rPr>
                <w:rFonts w:ascii="Times New Roman" w:hAnsi="Times New Roman"/>
              </w:rPr>
              <w:t>Perceived usefulness</w:t>
            </w:r>
          </w:p>
        </w:tc>
      </w:tr>
      <w:tr w:rsidR="007212F6" w:rsidRPr="003C4269" w:rsidTr="007212F6">
        <w:trPr>
          <w:trHeight w:val="961"/>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2</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Theory of Planned Behavior (TPB)</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Attitudes</w:t>
            </w:r>
          </w:p>
          <w:p w:rsidR="007212F6" w:rsidRPr="003C4269" w:rsidRDefault="007212F6" w:rsidP="007212F6">
            <w:pPr>
              <w:spacing w:after="3"/>
              <w:jc w:val="both"/>
              <w:rPr>
                <w:rFonts w:ascii="Times New Roman" w:hAnsi="Times New Roman"/>
              </w:rPr>
            </w:pPr>
            <w:r w:rsidRPr="003C4269">
              <w:rPr>
                <w:rFonts w:ascii="Times New Roman" w:hAnsi="Times New Roman"/>
              </w:rPr>
              <w:t>Subjective norm</w:t>
            </w:r>
          </w:p>
          <w:p w:rsidR="007212F6" w:rsidRPr="003C4269" w:rsidRDefault="007212F6" w:rsidP="007212F6">
            <w:pPr>
              <w:jc w:val="both"/>
              <w:rPr>
                <w:rFonts w:ascii="Times New Roman" w:hAnsi="Times New Roman"/>
              </w:rPr>
            </w:pPr>
            <w:r w:rsidRPr="003C4269">
              <w:rPr>
                <w:rFonts w:ascii="Times New Roman" w:hAnsi="Times New Roman"/>
              </w:rPr>
              <w:t>Perceived behavioral control</w:t>
            </w:r>
          </w:p>
        </w:tc>
      </w:tr>
      <w:tr w:rsidR="007212F6" w:rsidRPr="003C4269" w:rsidTr="007212F6">
        <w:trPr>
          <w:trHeight w:hRule="exact" w:val="1535"/>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3</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Combined TAM and TPB (C-TAM-TPB)</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Perceived ease of use</w:t>
            </w:r>
          </w:p>
          <w:p w:rsidR="007212F6" w:rsidRPr="003C4269" w:rsidRDefault="007212F6" w:rsidP="007212F6">
            <w:pPr>
              <w:spacing w:after="3"/>
              <w:jc w:val="both"/>
              <w:rPr>
                <w:rFonts w:ascii="Times New Roman" w:hAnsi="Times New Roman"/>
              </w:rPr>
            </w:pPr>
            <w:r w:rsidRPr="003C4269">
              <w:rPr>
                <w:rFonts w:ascii="Times New Roman" w:hAnsi="Times New Roman"/>
              </w:rPr>
              <w:t>Perceived usefulness</w:t>
            </w:r>
          </w:p>
          <w:p w:rsidR="007212F6" w:rsidRPr="003C4269" w:rsidRDefault="007212F6" w:rsidP="007212F6">
            <w:pPr>
              <w:spacing w:after="3"/>
              <w:jc w:val="both"/>
              <w:rPr>
                <w:rFonts w:ascii="Times New Roman" w:hAnsi="Times New Roman"/>
              </w:rPr>
            </w:pPr>
            <w:r w:rsidRPr="003C4269">
              <w:rPr>
                <w:rFonts w:ascii="Times New Roman" w:hAnsi="Times New Roman"/>
              </w:rPr>
              <w:t>Attitudes</w:t>
            </w:r>
          </w:p>
          <w:p w:rsidR="007212F6" w:rsidRPr="003C4269" w:rsidRDefault="007212F6" w:rsidP="007212F6">
            <w:pPr>
              <w:spacing w:after="3"/>
              <w:jc w:val="both"/>
              <w:rPr>
                <w:rFonts w:ascii="Times New Roman" w:hAnsi="Times New Roman"/>
              </w:rPr>
            </w:pPr>
            <w:r w:rsidRPr="003C4269">
              <w:rPr>
                <w:rFonts w:ascii="Times New Roman" w:hAnsi="Times New Roman"/>
              </w:rPr>
              <w:t>Subjective norm</w:t>
            </w:r>
          </w:p>
          <w:p w:rsidR="007212F6" w:rsidRPr="003C4269" w:rsidRDefault="007212F6" w:rsidP="007212F6">
            <w:pPr>
              <w:jc w:val="both"/>
              <w:rPr>
                <w:rFonts w:ascii="Times New Roman" w:hAnsi="Times New Roman"/>
              </w:rPr>
            </w:pPr>
            <w:r w:rsidRPr="003C4269">
              <w:rPr>
                <w:rFonts w:ascii="Times New Roman" w:hAnsi="Times New Roman"/>
              </w:rPr>
              <w:t>Perceived behavioral control</w:t>
            </w:r>
          </w:p>
        </w:tc>
      </w:tr>
      <w:tr w:rsidR="007212F6" w:rsidRPr="003C4269" w:rsidTr="007212F6">
        <w:trPr>
          <w:trHeight w:hRule="exact" w:val="1175"/>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4</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Innovation Diffusion Theory (IDT)</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Time</w:t>
            </w:r>
          </w:p>
          <w:p w:rsidR="007212F6" w:rsidRPr="003C4269" w:rsidRDefault="007212F6" w:rsidP="007212F6">
            <w:pPr>
              <w:spacing w:after="3"/>
              <w:jc w:val="both"/>
              <w:rPr>
                <w:rFonts w:ascii="Times New Roman" w:hAnsi="Times New Roman"/>
              </w:rPr>
            </w:pPr>
            <w:r w:rsidRPr="003C4269">
              <w:rPr>
                <w:rFonts w:ascii="Times New Roman" w:hAnsi="Times New Roman"/>
              </w:rPr>
              <w:t>Communication channels</w:t>
            </w:r>
          </w:p>
          <w:p w:rsidR="007212F6" w:rsidRPr="003C4269" w:rsidRDefault="007212F6" w:rsidP="007212F6">
            <w:pPr>
              <w:spacing w:after="3"/>
              <w:jc w:val="both"/>
              <w:rPr>
                <w:rFonts w:ascii="Times New Roman" w:hAnsi="Times New Roman"/>
              </w:rPr>
            </w:pPr>
            <w:r w:rsidRPr="003C4269">
              <w:rPr>
                <w:rFonts w:ascii="Times New Roman" w:hAnsi="Times New Roman"/>
              </w:rPr>
              <w:t>Innovation</w:t>
            </w:r>
          </w:p>
          <w:p w:rsidR="007212F6" w:rsidRPr="003C4269" w:rsidRDefault="007212F6" w:rsidP="007212F6">
            <w:pPr>
              <w:jc w:val="both"/>
              <w:rPr>
                <w:rFonts w:ascii="Times New Roman" w:hAnsi="Times New Roman"/>
              </w:rPr>
            </w:pPr>
            <w:r w:rsidRPr="003C4269">
              <w:rPr>
                <w:rFonts w:ascii="Times New Roman" w:hAnsi="Times New Roman"/>
              </w:rPr>
              <w:t>Social system</w:t>
            </w:r>
          </w:p>
        </w:tc>
      </w:tr>
      <w:tr w:rsidR="007212F6" w:rsidRPr="003C4269" w:rsidTr="007212F6">
        <w:trPr>
          <w:trHeight w:hRule="exact" w:val="716"/>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5</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Theory of Reasoned Action (TRA)</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Attitude</w:t>
            </w:r>
          </w:p>
          <w:p w:rsidR="007212F6" w:rsidRPr="003C4269" w:rsidRDefault="007212F6" w:rsidP="007212F6">
            <w:pPr>
              <w:jc w:val="both"/>
              <w:rPr>
                <w:rFonts w:ascii="Times New Roman" w:hAnsi="Times New Roman"/>
              </w:rPr>
            </w:pPr>
            <w:r w:rsidRPr="003C4269">
              <w:rPr>
                <w:rFonts w:ascii="Times New Roman" w:hAnsi="Times New Roman"/>
              </w:rPr>
              <w:t>Subjective norm</w:t>
            </w:r>
          </w:p>
        </w:tc>
      </w:tr>
      <w:tr w:rsidR="007212F6" w:rsidRPr="003C4269" w:rsidTr="007212F6">
        <w:trPr>
          <w:trHeight w:val="961"/>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6</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Social Cognitive Theory (SCT)</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Environmental factors</w:t>
            </w:r>
          </w:p>
          <w:p w:rsidR="007212F6" w:rsidRPr="003C4269" w:rsidRDefault="007212F6" w:rsidP="007212F6">
            <w:pPr>
              <w:spacing w:after="3"/>
              <w:jc w:val="both"/>
              <w:rPr>
                <w:rFonts w:ascii="Times New Roman" w:hAnsi="Times New Roman"/>
              </w:rPr>
            </w:pPr>
            <w:r w:rsidRPr="003C4269">
              <w:rPr>
                <w:rFonts w:ascii="Times New Roman" w:hAnsi="Times New Roman"/>
              </w:rPr>
              <w:t>Cognitive factors</w:t>
            </w:r>
          </w:p>
          <w:p w:rsidR="007212F6" w:rsidRPr="003C4269" w:rsidRDefault="007212F6" w:rsidP="007212F6">
            <w:pPr>
              <w:jc w:val="both"/>
              <w:rPr>
                <w:rFonts w:ascii="Times New Roman" w:hAnsi="Times New Roman"/>
              </w:rPr>
            </w:pPr>
            <w:r w:rsidRPr="003C4269">
              <w:rPr>
                <w:rFonts w:ascii="Times New Roman" w:hAnsi="Times New Roman"/>
              </w:rPr>
              <w:t>Personal factors</w:t>
            </w:r>
          </w:p>
        </w:tc>
      </w:tr>
      <w:tr w:rsidR="007212F6" w:rsidRPr="003C4269" w:rsidTr="007212F6">
        <w:trPr>
          <w:trHeight w:val="1279"/>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7</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Model of PC Utilization (MPCU)</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Long-term consequences</w:t>
            </w:r>
          </w:p>
          <w:p w:rsidR="007212F6" w:rsidRPr="003C4269" w:rsidRDefault="007212F6" w:rsidP="007212F6">
            <w:pPr>
              <w:spacing w:after="3"/>
              <w:jc w:val="both"/>
              <w:rPr>
                <w:rFonts w:ascii="Times New Roman" w:hAnsi="Times New Roman"/>
              </w:rPr>
            </w:pPr>
            <w:r w:rsidRPr="003C4269">
              <w:rPr>
                <w:rFonts w:ascii="Times New Roman" w:hAnsi="Times New Roman"/>
              </w:rPr>
              <w:t>Affect toward use</w:t>
            </w:r>
          </w:p>
          <w:p w:rsidR="007212F6" w:rsidRPr="003C4269" w:rsidRDefault="007212F6" w:rsidP="007212F6">
            <w:pPr>
              <w:spacing w:after="3"/>
              <w:jc w:val="both"/>
              <w:rPr>
                <w:rFonts w:ascii="Times New Roman" w:hAnsi="Times New Roman"/>
              </w:rPr>
            </w:pPr>
            <w:r w:rsidRPr="003C4269">
              <w:rPr>
                <w:rFonts w:ascii="Times New Roman" w:hAnsi="Times New Roman"/>
              </w:rPr>
              <w:t>Social factors</w:t>
            </w:r>
          </w:p>
          <w:p w:rsidR="007212F6" w:rsidRPr="003C4269" w:rsidRDefault="007212F6" w:rsidP="007212F6">
            <w:pPr>
              <w:jc w:val="both"/>
              <w:rPr>
                <w:rFonts w:ascii="Times New Roman" w:hAnsi="Times New Roman"/>
              </w:rPr>
            </w:pPr>
            <w:r w:rsidRPr="003C4269">
              <w:rPr>
                <w:rFonts w:ascii="Times New Roman" w:hAnsi="Times New Roman"/>
              </w:rPr>
              <w:t>Facili</w:t>
            </w:r>
            <w:r>
              <w:rPr>
                <w:rFonts w:ascii="Times New Roman" w:hAnsi="Times New Roman"/>
              </w:rPr>
              <w:t>t</w:t>
            </w:r>
            <w:r w:rsidRPr="003C4269">
              <w:rPr>
                <w:rFonts w:ascii="Times New Roman" w:hAnsi="Times New Roman"/>
              </w:rPr>
              <w:t>ating conditions</w:t>
            </w:r>
          </w:p>
        </w:tc>
      </w:tr>
      <w:tr w:rsidR="007212F6" w:rsidRPr="003C4269" w:rsidTr="007212F6">
        <w:trPr>
          <w:trHeight w:val="644"/>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8</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Motivational model (MM)</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Intrinsic motivation</w:t>
            </w:r>
          </w:p>
          <w:p w:rsidR="007212F6" w:rsidRPr="003C4269" w:rsidRDefault="007212F6" w:rsidP="007212F6">
            <w:pPr>
              <w:jc w:val="both"/>
              <w:rPr>
                <w:rFonts w:ascii="Times New Roman" w:hAnsi="Times New Roman"/>
              </w:rPr>
            </w:pPr>
            <w:r w:rsidRPr="003C4269">
              <w:rPr>
                <w:rFonts w:ascii="Times New Roman" w:hAnsi="Times New Roman"/>
              </w:rPr>
              <w:t>Extrinsic motivation</w:t>
            </w:r>
          </w:p>
        </w:tc>
      </w:tr>
      <w:tr w:rsidR="007212F6" w:rsidRPr="003C4269" w:rsidTr="007212F6">
        <w:trPr>
          <w:trHeight w:val="325"/>
          <w:jc w:val="center"/>
        </w:trPr>
        <w:tc>
          <w:tcPr>
            <w:tcW w:w="630" w:type="dxa"/>
            <w:tcBorders>
              <w:top w:val="single" w:sz="3" w:space="0" w:color="000000"/>
              <w:left w:val="nil"/>
              <w:bottom w:val="nil"/>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9</w:t>
            </w:r>
          </w:p>
        </w:tc>
        <w:tc>
          <w:tcPr>
            <w:tcW w:w="2454" w:type="dxa"/>
            <w:tcBorders>
              <w:top w:val="single" w:sz="3" w:space="0" w:color="000000"/>
              <w:left w:val="nil"/>
              <w:bottom w:val="nil"/>
              <w:right w:val="single" w:sz="4" w:space="0" w:color="000000"/>
            </w:tcBorders>
          </w:tcPr>
          <w:p w:rsidR="007212F6" w:rsidRPr="003C4269" w:rsidRDefault="000D7431" w:rsidP="007212F6">
            <w:pPr>
              <w:rPr>
                <w:rFonts w:ascii="Times New Roman" w:hAnsi="Times New Roman"/>
              </w:rPr>
            </w:pPr>
            <w:r>
              <w:rPr>
                <w:rFonts w:ascii="Times New Roman" w:hAnsi="Times New Roman"/>
              </w:rPr>
              <w:t>A unified</w:t>
            </w:r>
            <w:r w:rsidR="007212F6" w:rsidRPr="003C4269">
              <w:rPr>
                <w:rFonts w:ascii="Times New Roman" w:hAnsi="Times New Roman"/>
              </w:rPr>
              <w:t xml:space="preserve"> theory of acceptance</w:t>
            </w:r>
          </w:p>
        </w:tc>
        <w:tc>
          <w:tcPr>
            <w:tcW w:w="3183" w:type="dxa"/>
            <w:tcBorders>
              <w:top w:val="single" w:sz="3" w:space="0" w:color="000000"/>
              <w:left w:val="single" w:sz="4" w:space="0" w:color="000000"/>
              <w:bottom w:val="nil"/>
              <w:right w:val="nil"/>
            </w:tcBorders>
          </w:tcPr>
          <w:p w:rsidR="007212F6" w:rsidRPr="003C4269" w:rsidRDefault="007212F6" w:rsidP="007212F6">
            <w:pPr>
              <w:jc w:val="both"/>
              <w:rPr>
                <w:rFonts w:ascii="Times New Roman" w:hAnsi="Times New Roman"/>
              </w:rPr>
            </w:pPr>
            <w:r w:rsidRPr="003C4269">
              <w:rPr>
                <w:rFonts w:ascii="Times New Roman" w:hAnsi="Times New Roman"/>
              </w:rPr>
              <w:t>Performance expectancy</w:t>
            </w:r>
          </w:p>
        </w:tc>
      </w:tr>
      <w:tr w:rsidR="007212F6" w:rsidRPr="003C4269" w:rsidTr="007212F6">
        <w:trPr>
          <w:trHeight w:val="950"/>
          <w:jc w:val="center"/>
        </w:trPr>
        <w:tc>
          <w:tcPr>
            <w:tcW w:w="630" w:type="dxa"/>
            <w:tcBorders>
              <w:top w:val="nil"/>
              <w:left w:val="nil"/>
              <w:bottom w:val="single" w:sz="4" w:space="0" w:color="auto"/>
              <w:right w:val="single" w:sz="4" w:space="0" w:color="000000"/>
            </w:tcBorders>
          </w:tcPr>
          <w:p w:rsidR="007212F6" w:rsidRPr="003C4269" w:rsidRDefault="007212F6" w:rsidP="007212F6">
            <w:pPr>
              <w:jc w:val="both"/>
              <w:rPr>
                <w:rFonts w:ascii="Times New Roman" w:hAnsi="Times New Roman"/>
              </w:rPr>
            </w:pPr>
          </w:p>
        </w:tc>
        <w:tc>
          <w:tcPr>
            <w:tcW w:w="2454" w:type="dxa"/>
            <w:tcBorders>
              <w:top w:val="nil"/>
              <w:left w:val="nil"/>
              <w:bottom w:val="single" w:sz="4" w:space="0" w:color="auto"/>
              <w:right w:val="single" w:sz="4" w:space="0" w:color="000000"/>
            </w:tcBorders>
          </w:tcPr>
          <w:p w:rsidR="007212F6" w:rsidRPr="003C4269" w:rsidRDefault="007212F6" w:rsidP="007212F6">
            <w:pPr>
              <w:jc w:val="both"/>
              <w:rPr>
                <w:rFonts w:ascii="Times New Roman" w:hAnsi="Times New Roman"/>
              </w:rPr>
            </w:pPr>
            <w:r w:rsidRPr="003C4269">
              <w:rPr>
                <w:rFonts w:ascii="Times New Roman" w:hAnsi="Times New Roman"/>
              </w:rPr>
              <w:t>and use of technology (UTAUT)</w:t>
            </w:r>
          </w:p>
        </w:tc>
        <w:tc>
          <w:tcPr>
            <w:tcW w:w="3183" w:type="dxa"/>
            <w:tcBorders>
              <w:top w:val="nil"/>
              <w:left w:val="single" w:sz="4" w:space="0" w:color="000000"/>
              <w:bottom w:val="single" w:sz="4" w:space="0" w:color="auto"/>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Effort expectancy</w:t>
            </w:r>
          </w:p>
          <w:p w:rsidR="007212F6" w:rsidRPr="003C4269" w:rsidRDefault="007212F6" w:rsidP="007212F6">
            <w:pPr>
              <w:spacing w:after="3"/>
              <w:jc w:val="both"/>
              <w:rPr>
                <w:rFonts w:ascii="Times New Roman" w:hAnsi="Times New Roman"/>
              </w:rPr>
            </w:pPr>
            <w:r w:rsidRPr="003C4269">
              <w:rPr>
                <w:rFonts w:ascii="Times New Roman" w:hAnsi="Times New Roman"/>
              </w:rPr>
              <w:t>Social Influence</w:t>
            </w:r>
          </w:p>
          <w:p w:rsidR="007212F6" w:rsidRPr="003C4269" w:rsidRDefault="007212F6" w:rsidP="007212F6">
            <w:pPr>
              <w:jc w:val="both"/>
              <w:rPr>
                <w:rFonts w:ascii="Times New Roman" w:hAnsi="Times New Roman"/>
              </w:rPr>
            </w:pPr>
            <w:r w:rsidRPr="003C4269">
              <w:rPr>
                <w:rFonts w:ascii="Times New Roman" w:hAnsi="Times New Roman"/>
              </w:rPr>
              <w:t>Facilitating conditions</w:t>
            </w:r>
          </w:p>
        </w:tc>
      </w:tr>
    </w:tbl>
    <w:p w:rsidR="007212F6" w:rsidRPr="00EB6F44" w:rsidRDefault="007212F6" w:rsidP="007212F6">
      <w:pPr>
        <w:jc w:val="both"/>
      </w:pPr>
    </w:p>
    <w:p w:rsidR="007212F6" w:rsidRPr="00EB6F44" w:rsidRDefault="007212F6" w:rsidP="007212F6">
      <w:pPr>
        <w:spacing w:line="360" w:lineRule="auto"/>
        <w:jc w:val="both"/>
      </w:pPr>
      <w:r w:rsidRPr="00EB6F44">
        <w:t>Table 2.1: Summary of Technology Adoption Models</w:t>
      </w:r>
    </w:p>
    <w:p w:rsidR="007212F6" w:rsidRDefault="007212F6" w:rsidP="007212F6">
      <w:pPr>
        <w:pStyle w:val="Heading2"/>
        <w:keepNext w:val="0"/>
        <w:keepLines w:val="0"/>
        <w:spacing w:before="0" w:line="360" w:lineRule="auto"/>
        <w:jc w:val="both"/>
        <w:rPr>
          <w:color w:val="auto"/>
          <w:sz w:val="24"/>
        </w:rPr>
      </w:pPr>
    </w:p>
    <w:p w:rsidR="007212F6" w:rsidRDefault="007212F6" w:rsidP="007212F6">
      <w:pPr>
        <w:pStyle w:val="Heading2"/>
        <w:keepNext w:val="0"/>
        <w:keepLines w:val="0"/>
        <w:spacing w:before="0" w:line="360" w:lineRule="auto"/>
        <w:jc w:val="both"/>
        <w:rPr>
          <w:color w:val="auto"/>
          <w:sz w:val="24"/>
        </w:rPr>
      </w:pPr>
    </w:p>
    <w:p w:rsidR="007212F6" w:rsidRPr="00EB6F44" w:rsidRDefault="007212F6" w:rsidP="007212F6">
      <w:pPr>
        <w:pStyle w:val="Heading2"/>
        <w:keepNext w:val="0"/>
        <w:keepLines w:val="0"/>
        <w:spacing w:before="0" w:line="360" w:lineRule="auto"/>
        <w:jc w:val="both"/>
        <w:rPr>
          <w:sz w:val="24"/>
        </w:rPr>
      </w:pPr>
      <w:bookmarkStart w:id="19" w:name="_Toc113387218"/>
      <w:r w:rsidRPr="00EB6F44">
        <w:rPr>
          <w:color w:val="auto"/>
          <w:sz w:val="24"/>
        </w:rPr>
        <w:t>2.3 Asymmetric Information</w:t>
      </w:r>
      <w:bookmarkEnd w:id="19"/>
    </w:p>
    <w:p w:rsidR="007212F6" w:rsidRPr="00EB6F44" w:rsidRDefault="007212F6" w:rsidP="007212F6">
      <w:pPr>
        <w:spacing w:line="360" w:lineRule="auto"/>
        <w:jc w:val="both"/>
      </w:pPr>
      <w:r>
        <w:tab/>
      </w:r>
      <w:r w:rsidRPr="00EB6F44">
        <w:t>Anyone can experience asymmetrical communication. Based on research (Kastberg, 2011)</w:t>
      </w:r>
      <w:r>
        <w:t>.</w:t>
      </w:r>
      <w:r w:rsidRPr="00EB6F44">
        <w:t xml:space="preserve"> There is an inherent asymmetry in knowledge because everyone has their own unique set of experiences and perspectives from which to draw. Differences in age, occupation, level of Education, culture, and even nationality can amplify or dampen the asymmetry effects. Reference: (Günthner &amp; Luckmann, 2001) Adverse selection, sometimes known as "hidden information" (Amit, Brender, &amp; Zott, 1998), is one facet of asymmetric information, whereas moral hazard is another (Denis, 2004). As stated by Akerlof (1970), "hidden information" may influence circumstances that lead to the market "selecting" </w:t>
      </w:r>
      <w:r w:rsidR="00CC4D30">
        <w:t xml:space="preserve">substandard </w:t>
      </w:r>
      <w:r w:rsidRPr="00EB6F44">
        <w:t xml:space="preserve">commodities due to </w:t>
      </w:r>
      <w:r w:rsidR="00A24DE5">
        <w:t xml:space="preserve">the absence </w:t>
      </w:r>
      <w:r w:rsidRPr="00EB6F44">
        <w:t xml:space="preserve">of appropriate </w:t>
      </w:r>
      <w:r w:rsidR="00A24DE5">
        <w:t xml:space="preserve">details </w:t>
      </w:r>
      <w:r w:rsidRPr="00EB6F44">
        <w:t>Cau</w:t>
      </w:r>
      <w:r w:rsidR="000D7431">
        <w:t>Causing</w:t>
      </w:r>
      <w:r w:rsidRPr="00EB6F44">
        <w:t xml:space="preserve">e </w:t>
      </w:r>
      <w:r w:rsidR="000D7431">
        <w:t xml:space="preserve">the </w:t>
      </w:r>
      <w:r w:rsidRPr="00EB6F44">
        <w:t>market to fail. I. Background and Context (Spence, 1973).</w:t>
      </w:r>
    </w:p>
    <w:p w:rsidR="007212F6" w:rsidRPr="00EB6F44" w:rsidRDefault="007212F6" w:rsidP="007212F6">
      <w:pPr>
        <w:spacing w:line="360" w:lineRule="auto"/>
        <w:jc w:val="both"/>
      </w:pPr>
      <w:r>
        <w:tab/>
      </w:r>
      <w:r w:rsidRPr="00EB6F44">
        <w:t xml:space="preserve">More and more people are using these theories in the stock market. (Shah, 2014) The advisor-client dynamic could be characterized as an example of adverse selection. As stated by </w:t>
      </w:r>
      <w:r w:rsidR="000D7431">
        <w:t>Ottaviani</w:t>
      </w:r>
      <w:r w:rsidRPr="00EB6F44">
        <w:t xml:space="preserve"> (2000) </w:t>
      </w:r>
      <w:r>
        <w:t>i</w:t>
      </w:r>
      <w:r w:rsidRPr="00EB6F44">
        <w:t>f the adviser is not tempted to prioritize his or her interests over those of the client, he or she is more likely to build trust with the client and grow professionally. If, on the other hand, instigation is supplied to the advisory, it is more likely to take some form of action. "(Madhani, 2010). The second scenario is problematic since the client counts on the advisor to provide accurate and reliable information on which to make their financial choices. Inadequate consumer education is another potential outcome of this disparity. Since the advisor typically has the information advantage in a negotiation, the moral hazard problem often arises when the customer and the advisor are trying to reach an agreement. The advisor may withhold or reveal only specific facts if financial incentives are at play. However, the consumer gains from disclosing all relevant information, as doing so should improve the quality of the investment recommendations. As stated by</w:t>
      </w:r>
      <w:r w:rsidR="000D7431">
        <w:t>Ottaviani</w:t>
      </w:r>
      <w:r w:rsidRPr="00EB6F44">
        <w:t>i (2000).</w:t>
      </w:r>
    </w:p>
    <w:p w:rsidR="007212F6" w:rsidRPr="00EB6F44" w:rsidRDefault="007212F6" w:rsidP="007212F6">
      <w:pPr>
        <w:pStyle w:val="Heading2"/>
        <w:keepNext w:val="0"/>
        <w:keepLines w:val="0"/>
        <w:spacing w:before="0" w:line="360" w:lineRule="auto"/>
        <w:jc w:val="both"/>
        <w:rPr>
          <w:sz w:val="24"/>
        </w:rPr>
      </w:pPr>
      <w:bookmarkStart w:id="20" w:name="_Toc113387219"/>
      <w:r w:rsidRPr="00EB6F44">
        <w:rPr>
          <w:color w:val="auto"/>
          <w:sz w:val="24"/>
        </w:rPr>
        <w:t>2.4 Appraisal of Reviewed Literature</w:t>
      </w:r>
      <w:bookmarkEnd w:id="20"/>
    </w:p>
    <w:p w:rsidR="007212F6" w:rsidRPr="00EB6F44" w:rsidRDefault="007212F6" w:rsidP="007212F6">
      <w:pPr>
        <w:spacing w:line="360" w:lineRule="auto"/>
        <w:jc w:val="both"/>
      </w:pPr>
      <w:r>
        <w:tab/>
      </w:r>
      <w:r w:rsidRPr="00EB6F44">
        <w:t xml:space="preserve">Since Robo-advisors are still a relatively novel concept, there </w:t>
      </w:r>
      <w:r w:rsidR="00C17C04">
        <w:t xml:space="preserve">aren’t many comprehensive studies that look at the </w:t>
      </w:r>
      <w:r w:rsidRPr="00EB6F44">
        <w:t xml:space="preserve">phenomena from various angles. Park, Ryu, and Shine (2016) call attention to the gap in the literature by setting out to clarify the state of Robo-advisors in the United States and detailing their more positive, practical characteristics. According to their research, the </w:t>
      </w:r>
      <w:r w:rsidR="00A24DE5">
        <w:t xml:space="preserve">asset allocation </w:t>
      </w:r>
      <w:r w:rsidRPr="00EB6F44">
        <w:t>upon which Robo-advisory is based is still in its infancy, and its creators see both a need for and an opportunity for further improvement. Moreover, today's individuals have a vested interest in financial investment, either directly or indirectly, but they often make decisions without consulting experts due to a lack of information. According to Park, Ruy, and Shine (Ibid), this has led to more interest in Robo-advisors.</w:t>
      </w:r>
    </w:p>
    <w:p w:rsidR="00AA03AB" w:rsidRDefault="007212F6" w:rsidP="007212F6">
      <w:pPr>
        <w:spacing w:line="360" w:lineRule="auto"/>
        <w:jc w:val="both"/>
      </w:pPr>
      <w:r>
        <w:tab/>
      </w:r>
      <w:r w:rsidRPr="00EB6F44">
        <w:t xml:space="preserve">In a study, Fisch, Laboure, and Turner (2017) aimed to determine whether or not Robo-advisors might deliver excellent investment portfolio advice at a lower cost than human advisors. According to the authors, Robo-advisors are superior to human advisors when taking individual variances in risk tolerance into account. The experts also argue that Robo-advisors are preferable because they take investing horizon into account and provide a better-diversified portfolio. Also, Robo-advisors are less likely to be biased due to conflicts of interest. It is also less likely that a Robo-advisor would be influenced by prejudices like those based on a user's demographics or unique perspective. Finding out how Robo-advisors fare when exposed to the interest of conflicts is an essential consideration for human advice, and that is precisely what this study sets out to do. According to Fish, Laboure, and Turner (Ibid), the optimal solution would be a combination of a Robo-advisor and a human advisor, as this would allow for </w:t>
      </w:r>
      <w:r w:rsidR="00A24DE5">
        <w:t xml:space="preserve">reduced </w:t>
      </w:r>
      <w:r w:rsidRPr="00EB6F44">
        <w:t>costs and the possibility of consulting with a financial advisor as well.</w:t>
      </w:r>
    </w:p>
    <w:p w:rsidR="00AA03AB" w:rsidRPr="00EB6F44" w:rsidRDefault="00AA03AB" w:rsidP="007212F6">
      <w:pPr>
        <w:spacing w:line="360" w:lineRule="auto"/>
        <w:jc w:val="both"/>
      </w:pPr>
      <w:r w:rsidRPr="00AA03AB">
        <w:t xml:space="preserve">The report </w:t>
      </w:r>
      <w:r w:rsidR="00423564" w:rsidRPr="00AA03AB">
        <w:t>concludes</w:t>
      </w:r>
      <w:r w:rsidRPr="00AA03AB">
        <w:t xml:space="preserve"> that </w:t>
      </w:r>
      <w:r w:rsidR="000D7431">
        <w:t>Robo</w:t>
      </w:r>
      <w:r w:rsidRPr="00AA03AB">
        <w:t xml:space="preserve">-advisors should not be used in place of human investment advisors because they are unable to take the place of the portfolio analysis required of an investment fiduciary under the </w:t>
      </w:r>
      <w:r w:rsidR="001B6113">
        <w:t xml:space="preserve">contractual level </w:t>
      </w:r>
      <w:r w:rsidRPr="00AA03AB">
        <w:t>of care or the suitability analysis required when human advisors make investment recommendations. According to the report, financial advisors should receive the appropriate education and training before using robot advisors. Finally, individual investors should not rely on Robo-advisors without the assistance of a qualified financial expert (FINRA, 2016).</w:t>
      </w:r>
    </w:p>
    <w:p w:rsidR="007212F6" w:rsidRPr="00EB6F44" w:rsidRDefault="007212F6" w:rsidP="007212F6">
      <w:pPr>
        <w:spacing w:line="360" w:lineRule="auto"/>
        <w:jc w:val="both"/>
      </w:pPr>
      <w:r>
        <w:tab/>
      </w:r>
      <w:r w:rsidRPr="00EB6F44">
        <w:t>Fein is another expert who has noted rising interest in robot advisors (2015). According to Fein (</w:t>
      </w:r>
      <w:r w:rsidR="00524247" w:rsidRPr="00EB6F44">
        <w:t>Ibid.)</w:t>
      </w:r>
      <w:r w:rsidRPr="00EB6F44">
        <w:t xml:space="preserve">, Robo-advisors can be a valuable </w:t>
      </w:r>
      <w:r w:rsidR="0088713C">
        <w:t>choice</w:t>
      </w:r>
      <w:r w:rsidRPr="00EB6F44">
        <w:t xml:space="preserve"> for retail </w:t>
      </w:r>
      <w:r w:rsidR="0088713C">
        <w:t>shareholders</w:t>
      </w:r>
      <w:r w:rsidRPr="00EB6F44">
        <w:t xml:space="preserve"> who want to handle all their financial dealings online. Fein's study aims to determine if Robo-advisors give personalized investment advice, keep fees low, </w:t>
      </w:r>
      <w:r w:rsidR="0088713C" w:rsidRPr="00EB6F44">
        <w:t>avoid</w:t>
      </w:r>
      <w:r w:rsidR="0088713C">
        <w:t xml:space="preserve"> discrepancies in business dealings</w:t>
      </w:r>
      <w:r w:rsidRPr="00EB6F44">
        <w:t xml:space="preserve">, and look out for their </w:t>
      </w:r>
      <w:r w:rsidR="000D7431">
        <w:t>customer’s</w:t>
      </w:r>
      <w:r w:rsidR="0088713C">
        <w:t xml:space="preserve"> best </w:t>
      </w:r>
      <w:r w:rsidRPr="00EB6F44">
        <w:t xml:space="preserve">interests. The research was conducted by analyzing the terms of service of the three most popular U.S.-based Robo-advisors in the financial sector. According to Fein's research, Robo-advisors are not always efficient at reducing costs, avoiding conflicts of interest, or giving their clients the best possible investment advice. Fein (2015) also focuses on some criticism, such as the idea that Robo-advisors are better understood not as advisors but as a </w:t>
      </w:r>
      <w:r w:rsidR="000D7431">
        <w:t>technological instruments</w:t>
      </w:r>
      <w:r w:rsidRPr="00EB6F44">
        <w:t xml:space="preserve"> to help the consumer decide on one's </w:t>
      </w:r>
      <w:r w:rsidR="0088713C">
        <w:t xml:space="preserve">potential losses </w:t>
      </w:r>
      <w:r w:rsidRPr="00EB6F44">
        <w:t>and</w:t>
      </w:r>
      <w:r w:rsidR="0088713C">
        <w:t xml:space="preserve"> financial choices</w:t>
      </w:r>
      <w:r w:rsidRPr="00EB6F44">
        <w:t>. The term "robot" describes Robo-advisors because humans do not run them. Customers of Robo-advisors should also avoid viewing them as a correct and widespread phenomenon that provides individualized financial advice. The main complaint</w:t>
      </w:r>
      <w:r w:rsidR="000D7431">
        <w:t>leveled</w:t>
      </w:r>
      <w:r w:rsidRPr="00EB6F44">
        <w:t xml:space="preserve">ed at Robo-advisors </w:t>
      </w:r>
      <w:r w:rsidR="000D7431">
        <w:t>is</w:t>
      </w:r>
      <w:r w:rsidRPr="00EB6F44">
        <w:t xml:space="preserve"> that they are overly simplistic and do not always look out for their client's best interests, instead placing the burden on the client.</w:t>
      </w:r>
    </w:p>
    <w:p w:rsidR="007212F6" w:rsidRPr="00EB6F44" w:rsidRDefault="007212F6" w:rsidP="007212F6">
      <w:pPr>
        <w:spacing w:line="360" w:lineRule="auto"/>
        <w:jc w:val="both"/>
      </w:pPr>
      <w:r>
        <w:tab/>
      </w:r>
      <w:r w:rsidRPr="00EB6F44">
        <w:t>Being a relatively new idea, Robo-advisors have not had nearly as much time for study as other financial innovations. Because Robo advising is an internet banking service, it falls under the umbrella of the numerous studies conducted on this topic. Trust is one of the essential elements in customers' adoption of and attitudes toward utilizing internet banking, according to one study that examines the effect of trust on customer acceptance of internet banking. Customers' reluctance to use and the security concerns they have about using online banking services are hampered by customers' reluctance to trust financial institutions with their personal information. They make the same associations between danger and internet banking services. Uncertainty is seen because the parties performing the transactions are not in the same area, adding to the danger and concern of leaking sensitive information. Because there is no human interaction, customers have no basis for gauging the other party's alleged actions based on cues like body language and proximity.</w:t>
      </w:r>
    </w:p>
    <w:p w:rsidR="007212F6" w:rsidRPr="00EB6F44" w:rsidRDefault="007212F6" w:rsidP="007212F6">
      <w:pPr>
        <w:spacing w:line="360" w:lineRule="auto"/>
        <w:jc w:val="both"/>
      </w:pPr>
      <w:r>
        <w:tab/>
      </w:r>
      <w:r w:rsidRPr="00EB6F44">
        <w:t xml:space="preserve">Trust also significantly impacts the development and uptake of internet banking services since users rely on </w:t>
      </w:r>
      <w:r w:rsidR="00C42021">
        <w:t>credibility</w:t>
      </w:r>
      <w:r w:rsidRPr="00EB6F44">
        <w:t xml:space="preserve"> when utilizing online services that handle sensitive personal information. The research also shows that people are more likely to adopt internet banking if they believe the technology will help them and is easy to use. This was the case (Suh &amp; Han, 2002). Knowing, having firsthand knowledge, social indicators, and belonging to a community are the four criteria that Tan and Theon (2004) present as determining the growth of trust for electronic commerce. In other words, trusting is identifying with and putting faith in the abilities and objectives one is familiar with and with which one may meet the expectations. Trusting someone because of past pleasant interactions is an example of personal experience. Trusting a regulated and controlled procedure, like a trust seal on a website, is an example of a social indicator. Finally, the commonality is putting one's faith in those already held in high esteem by one's peer group. All four of these are critical for customers to feel safe using online banking and other forms of </w:t>
      </w:r>
      <w:r w:rsidR="00395103">
        <w:t xml:space="preserve">computerized trading. </w:t>
      </w:r>
      <w:r w:rsidRPr="00EB6F44">
        <w:t>To wit: (Suh &amp; Han, 2002).</w:t>
      </w:r>
    </w:p>
    <w:p w:rsidR="007212F6" w:rsidRPr="00EB6F44" w:rsidRDefault="007212F6" w:rsidP="007212F6">
      <w:pPr>
        <w:spacing w:line="360" w:lineRule="auto"/>
        <w:jc w:val="both"/>
      </w:pPr>
      <w:r>
        <w:tab/>
      </w:r>
      <w:r w:rsidR="00524247" w:rsidRPr="00EB6F44">
        <w:t>Behavioral</w:t>
      </w:r>
      <w:r w:rsidRPr="00EB6F44">
        <w:t xml:space="preserve"> intention is the most crucial component when trying to make sense of how people use Internet banking. Utilizing the unified theory of acceptance and use of technology (UTAUT) and the concept of perceived risk, this study seeks to comprehend and explain the </w:t>
      </w:r>
      <w:r w:rsidR="004E20A8">
        <w:t xml:space="preserve">performance </w:t>
      </w:r>
      <w:r w:rsidR="00395103">
        <w:t>expectancy</w:t>
      </w:r>
      <w:r w:rsidRPr="00EB6F44">
        <w:t xml:space="preserve"> usage </w:t>
      </w:r>
      <w:r w:rsidR="00524247" w:rsidRPr="00EB6F44">
        <w:t>behavior</w:t>
      </w:r>
      <w:r w:rsidRPr="00EB6F44">
        <w:t xml:space="preserve"> of Internet banking. Strong determinants of </w:t>
      </w:r>
      <w:r w:rsidR="00524247" w:rsidRPr="00EB6F44">
        <w:t>behavioral</w:t>
      </w:r>
      <w:r w:rsidRPr="00EB6F44">
        <w:t xml:space="preserve"> intent are identified as UTAUT variables, including effort expectancy, performance expectancy, social influence, and perceived risk. The researchers improved the prediction ability of the UTAUT model by including perceived risk. It was found (Martins, Oliveira, &amp; Popovic, 2014). </w:t>
      </w:r>
      <w:r w:rsidR="00524247" w:rsidRPr="00EB6F44">
        <w:t>Behavioral</w:t>
      </w:r>
      <w:r w:rsidRPr="00EB6F44">
        <w:t xml:space="preserve"> economics focuses on individual economic decision-making and its impact on markets. The theory lays out the conditions under which a market could be inefficient. It has been shown that (Sewell, 2007) Six thousand people across eight EU countries participated in a single study examining the factors influencing investing choices. Investors are often ill-equipped and lack the luxury of time to make well-informed selections about sophisticated financial goods in today's fast-paced market. The most significant finding was that investors frequently misunderstand the true nature of their holdings and are uninformed about the potential dangers associated with trading stocks and other financial instruments. Further, expert guidance plays a crucial part in the market, and it is typical for people to receive face-to-face or influenced investing advice. According to the report, investors place much faith in advisors, but they often fail to account for the advisor's potential bias or other conflicts of interest. Heuristics, a strategy used given a limited period and is adaptable, are also frequently used by humans as a shortcut in the decision-making process. as reported by (Chater, Huck, and Indrest, 2010).</w:t>
      </w:r>
    </w:p>
    <w:p w:rsidR="007212F6" w:rsidRPr="00EB6F44" w:rsidRDefault="007212F6" w:rsidP="007212F6">
      <w:pPr>
        <w:pStyle w:val="Heading3"/>
        <w:keepNext w:val="0"/>
        <w:keepLines w:val="0"/>
        <w:spacing w:before="0" w:line="360" w:lineRule="auto"/>
        <w:jc w:val="both"/>
        <w:rPr>
          <w:sz w:val="24"/>
        </w:rPr>
      </w:pPr>
      <w:bookmarkStart w:id="21" w:name="_Toc113387220"/>
      <w:r w:rsidRPr="00EB6F44">
        <w:rPr>
          <w:color w:val="auto"/>
          <w:sz w:val="24"/>
        </w:rPr>
        <w:t>2.4.1 Personal traits</w:t>
      </w:r>
      <w:bookmarkEnd w:id="21"/>
    </w:p>
    <w:p w:rsidR="007212F6" w:rsidRPr="00EB6F44" w:rsidRDefault="007212F6" w:rsidP="007212F6">
      <w:pPr>
        <w:spacing w:line="360" w:lineRule="auto"/>
        <w:jc w:val="both"/>
      </w:pPr>
      <w:r>
        <w:tab/>
      </w:r>
      <w:r w:rsidRPr="00EB6F44">
        <w:t>A wealth of literature explores how individuals' unique characteristics influence their propensity to embrace technological advances. This category of characteristics includes a person's gender, age, level of Education, financial stability, and vulnerability.</w:t>
      </w:r>
    </w:p>
    <w:p w:rsidR="007212F6" w:rsidRPr="00ED56B1" w:rsidRDefault="007212F6" w:rsidP="007212F6">
      <w:pPr>
        <w:jc w:val="both"/>
        <w:rPr>
          <w:sz w:val="20"/>
        </w:rPr>
      </w:pPr>
    </w:p>
    <w:p w:rsidR="007212F6" w:rsidRPr="00EB6F44" w:rsidRDefault="007212F6" w:rsidP="007212F6">
      <w:pPr>
        <w:spacing w:line="360" w:lineRule="auto"/>
        <w:jc w:val="both"/>
      </w:pPr>
      <w:r w:rsidRPr="00EB6F44">
        <w:rPr>
          <w:b/>
          <w:bCs/>
        </w:rPr>
        <w:t>2.4.1.1 Gender</w:t>
      </w:r>
    </w:p>
    <w:p w:rsidR="007212F6" w:rsidRPr="00EB6F44" w:rsidRDefault="007212F6" w:rsidP="007212F6">
      <w:pPr>
        <w:spacing w:line="360" w:lineRule="auto"/>
        <w:jc w:val="both"/>
      </w:pPr>
      <w:r>
        <w:tab/>
      </w:r>
      <w:r w:rsidRPr="00EB6F44">
        <w:t>Financial decision-making is a domain where men and women differ. Women have been more risk averse than men in many areas of life, not just finances. Regarding purchasing decisions like using safety restraints, visiting the dentist, and lighting up, women tend to err on the side of caution. In a 1998 study (Jianakoplos &amp; Bernasek), Gender inequality in other fields may impact women's financial literacy, which appears to be lower than that of men in many nations, including Sweden. However, if they have grown up in a more egalitarian culture, today's young people may not see such a big gap. (OECD, 2013) It is not only that males know more about money; they also have more self-assurance when dealing with money and other similar topics. (OECD, 2013) Men are likelier to overestimate their abilities and put their money where their mouth is than women. According to research (Barber &amp; Odean, 2001), men are more likely to use online banking services compared to women. Since women consider it riskier to acquire information and services directly from digital media, they prefer personal interaction while running errands. According to a study (Ramón-Jerónimo, Pearl-Pearl, &amp; Villarejo-Ramos, 2013).</w:t>
      </w:r>
    </w:p>
    <w:p w:rsidR="007212F6" w:rsidRPr="00EB6F44" w:rsidRDefault="007212F6" w:rsidP="007212F6">
      <w:pPr>
        <w:spacing w:line="360" w:lineRule="auto"/>
        <w:jc w:val="both"/>
      </w:pPr>
      <w:r w:rsidRPr="00EB6F44">
        <w:rPr>
          <w:b/>
          <w:bCs/>
        </w:rPr>
        <w:t>2.4.1.2 Education</w:t>
      </w:r>
    </w:p>
    <w:p w:rsidR="007212F6" w:rsidRPr="00EB6F44" w:rsidRDefault="007212F6" w:rsidP="007212F6">
      <w:pPr>
        <w:spacing w:line="360" w:lineRule="auto"/>
        <w:jc w:val="both"/>
      </w:pPr>
      <w:r>
        <w:tab/>
      </w:r>
      <w:r w:rsidRPr="00EB6F44">
        <w:t>There appears to be a positive relationship between one's education level and ability to manage and participate in the financial system. With each year of schooling beyond high school, the likelihood of stock ownership rises by 4%. The likelihood of reporting higher income from wages and retirement savings, as well as the ownership of equities, increases with the years spent in school for a given individual. As reported by (Cole, Paulson, and Shastry, 2014). Those of higher socioeconomic status are more likely to use technology. (Wang, Chen, &amp; Chen, 2017) One American study, however, found that people of all educational backgrounds were equally likely to use online banking. As previously mentioned (Lassar, Manolis, &amp; Lassar, 2005), customer acceptance of change, familiarity with e-banking, and internet access are crucial. Angeles Ramón-Jerónimo, Peral-Peral, and Arenas-Gaitán (2015).</w:t>
      </w:r>
    </w:p>
    <w:p w:rsidR="007212F6" w:rsidRPr="00D011BE" w:rsidRDefault="007212F6" w:rsidP="007212F6">
      <w:pPr>
        <w:jc w:val="both"/>
        <w:rPr>
          <w:sz w:val="16"/>
        </w:rPr>
      </w:pPr>
    </w:p>
    <w:p w:rsidR="007212F6" w:rsidRPr="00EB6F44" w:rsidRDefault="007212F6" w:rsidP="007212F6">
      <w:pPr>
        <w:spacing w:line="360" w:lineRule="auto"/>
        <w:jc w:val="both"/>
      </w:pPr>
      <w:r w:rsidRPr="00EB6F44">
        <w:rPr>
          <w:b/>
          <w:bCs/>
        </w:rPr>
        <w:t>2.4.1.3 Income</w:t>
      </w:r>
    </w:p>
    <w:p w:rsidR="007212F6" w:rsidRPr="00EB6F44" w:rsidRDefault="007212F6" w:rsidP="007212F6">
      <w:pPr>
        <w:spacing w:line="360" w:lineRule="auto"/>
        <w:jc w:val="both"/>
      </w:pPr>
      <w:r>
        <w:tab/>
      </w:r>
      <w:r w:rsidRPr="00EB6F44">
        <w:t xml:space="preserve">Risk aversion, gender, and education level are also associated with income. Reduced risk aversion correlates with rising wealth (Jianakoplos &amp; Bernasek, 1998). It stands to reason that a person's ability to invest and reap the benefits of that investment would improve if they had more Education and hence a better salary. According to the study's authors (Cole, Paulson, and Shastry, 2014), Consumers' income was found to be </w:t>
      </w:r>
      <w:r w:rsidR="000D7431">
        <w:t>favorably</w:t>
      </w:r>
      <w:r w:rsidRPr="00EB6F44">
        <w:t xml:space="preserve"> connected with their internet banking usage. Users' income, level of Education, and age have all been </w:t>
      </w:r>
      <w:r w:rsidR="00A40A9A">
        <w:t xml:space="preserve">instrumental </w:t>
      </w:r>
      <w:r w:rsidRPr="00EB6F44">
        <w:t xml:space="preserve">in determining whether or not they use online banking. Finnish and Australian research found that those with higher incomes were more likely to use internet banking and its various services. Another American study confirms that income is the sole determinant of internet banking usage. A similar study failed to find any significant differences in internet banking use based on participants' levels of Education or age. According to the findings, higher-income people are </w:t>
      </w:r>
      <w:r w:rsidR="006D7032">
        <w:t xml:space="preserve">prone to utilize </w:t>
      </w:r>
      <w:r w:rsidRPr="00EB6F44">
        <w:t>and benefit from</w:t>
      </w:r>
      <w:r w:rsidR="006D7032">
        <w:t xml:space="preserve"> mobile money services</w:t>
      </w:r>
      <w:r w:rsidRPr="00EB6F44">
        <w:t>. (Lassar, Manolis, &amp; Lassar, 2005).</w:t>
      </w:r>
    </w:p>
    <w:p w:rsidR="007212F6" w:rsidRPr="00EB6F44" w:rsidRDefault="007212F6" w:rsidP="007212F6">
      <w:pPr>
        <w:spacing w:line="360" w:lineRule="auto"/>
        <w:jc w:val="both"/>
      </w:pPr>
      <w:r w:rsidRPr="00EB6F44">
        <w:rPr>
          <w:b/>
          <w:bCs/>
        </w:rPr>
        <w:t>2.4.1.4 Risk</w:t>
      </w:r>
    </w:p>
    <w:p w:rsidR="007212F6" w:rsidRPr="00EB6F44" w:rsidRDefault="007212F6" w:rsidP="007212F6">
      <w:pPr>
        <w:spacing w:line="360" w:lineRule="auto"/>
        <w:jc w:val="both"/>
      </w:pPr>
      <w:r>
        <w:tab/>
      </w:r>
      <w:r w:rsidRPr="00EB6F44">
        <w:t>Perceived risk is defined by Featherman and Pavlou (2003) as "the potential for loss in the pursuit of the desired goal of using e-services," and seven different categories of risks are identified as follows:</w:t>
      </w:r>
    </w:p>
    <w:p w:rsidR="007212F6" w:rsidRPr="00EB6F44" w:rsidRDefault="007212F6" w:rsidP="007212F6">
      <w:pPr>
        <w:spacing w:line="360" w:lineRule="auto"/>
        <w:jc w:val="both"/>
      </w:pPr>
      <w:r w:rsidRPr="00EB6F44">
        <w:t>• Performance Risk: This is a kind of risk that the intended benefits will not be realized because the outcomes do not conform to expectations.</w:t>
      </w:r>
    </w:p>
    <w:p w:rsidR="007212F6" w:rsidRPr="00EB6F44" w:rsidRDefault="007212F6" w:rsidP="007212F6">
      <w:pPr>
        <w:spacing w:line="360" w:lineRule="auto"/>
        <w:jc w:val="both"/>
      </w:pPr>
      <w:r w:rsidRPr="00EB6F44">
        <w:t>• Financial Risk: The sum of money you might lose on the purchase and upkeep of the product.</w:t>
      </w:r>
    </w:p>
    <w:p w:rsidR="007212F6" w:rsidRPr="00EB6F44" w:rsidRDefault="007212F6" w:rsidP="007212F6">
      <w:pPr>
        <w:spacing w:line="360" w:lineRule="auto"/>
        <w:jc w:val="both"/>
      </w:pPr>
      <w:r w:rsidRPr="00EB6F44">
        <w:t>• Time Risk: When customers spend unnecessary time figuring out how to use a product after making a wrong buying decision.</w:t>
      </w:r>
    </w:p>
    <w:p w:rsidR="007212F6" w:rsidRPr="00EB6F44" w:rsidRDefault="007212F6" w:rsidP="007212F6">
      <w:pPr>
        <w:spacing w:line="360" w:lineRule="auto"/>
        <w:jc w:val="both"/>
      </w:pPr>
      <w:r w:rsidRPr="00EB6F44">
        <w:t>• Psychological Risk: Customers' sense of well-being and pride may suffer due to the product's failure to meet their expectations, which may lead them to abandon the purchase.</w:t>
      </w:r>
    </w:p>
    <w:p w:rsidR="007212F6" w:rsidRPr="00EB6F44" w:rsidRDefault="007212F6" w:rsidP="007212F6">
      <w:pPr>
        <w:spacing w:line="360" w:lineRule="auto"/>
        <w:jc w:val="both"/>
      </w:pPr>
      <w:r w:rsidRPr="00EB6F44">
        <w:t>• Social Risk: Adopting a product or service may cause one to lose face in some circles.</w:t>
      </w:r>
    </w:p>
    <w:p w:rsidR="007212F6" w:rsidRPr="00EB6F44" w:rsidRDefault="007212F6" w:rsidP="007212F6">
      <w:pPr>
        <w:spacing w:line="360" w:lineRule="auto"/>
        <w:jc w:val="both"/>
      </w:pPr>
      <w:r w:rsidRPr="00EB6F44">
        <w:t>• Privacy Risk: The risk of having your privacy compromised may happen if someone exploits your information without your consent.</w:t>
      </w:r>
    </w:p>
    <w:p w:rsidR="007212F6" w:rsidRPr="00EB6F44" w:rsidRDefault="007212F6" w:rsidP="007212F6">
      <w:pPr>
        <w:spacing w:line="360" w:lineRule="auto"/>
        <w:jc w:val="both"/>
      </w:pPr>
      <w:r w:rsidRPr="00EB6F44">
        <w:t>• Overall Risk: Comprehensive evaluation using multiple factors.</w:t>
      </w:r>
    </w:p>
    <w:p w:rsidR="007212F6" w:rsidRDefault="007212F6" w:rsidP="007212F6">
      <w:pPr>
        <w:spacing w:line="360" w:lineRule="auto"/>
        <w:jc w:val="both"/>
      </w:pPr>
      <w:r>
        <w:tab/>
      </w:r>
      <w:r w:rsidRPr="00EB6F44">
        <w:t>The consumer's perception of risk is amplified by all of these factors, which,</w:t>
      </w:r>
      <w:r w:rsidR="00C917D3">
        <w:t xml:space="preserve"> will result in </w:t>
      </w:r>
      <w:r w:rsidRPr="00EB6F44">
        <w:t xml:space="preserve">a chilling effect on their propensity </w:t>
      </w:r>
      <w:r w:rsidR="00AB7E6D">
        <w:t xml:space="preserve">in using </w:t>
      </w:r>
      <w:r w:rsidRPr="00EB6F44">
        <w:t>e-services. Consumers will likely adopt internet banking when their resistance to risk decreases. (Bussakorn and Dieter, 2005).</w:t>
      </w: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524247" w:rsidRDefault="00524247" w:rsidP="007212F6">
      <w:pPr>
        <w:spacing w:line="360" w:lineRule="auto"/>
        <w:jc w:val="both"/>
      </w:pPr>
    </w:p>
    <w:p w:rsidR="00524247" w:rsidRDefault="00524247" w:rsidP="007212F6">
      <w:pPr>
        <w:spacing w:line="360" w:lineRule="auto"/>
        <w:jc w:val="both"/>
      </w:pPr>
    </w:p>
    <w:p w:rsidR="00597E06" w:rsidRDefault="00597E06" w:rsidP="007212F6">
      <w:pPr>
        <w:spacing w:line="360" w:lineRule="auto"/>
        <w:jc w:val="both"/>
      </w:pPr>
    </w:p>
    <w:p w:rsidR="00597E06" w:rsidRDefault="00597E06" w:rsidP="007212F6">
      <w:pPr>
        <w:spacing w:line="360" w:lineRule="auto"/>
        <w:jc w:val="both"/>
      </w:pPr>
    </w:p>
    <w:p w:rsidR="00597E06" w:rsidRDefault="00597E06" w:rsidP="007212F6">
      <w:pPr>
        <w:spacing w:line="360" w:lineRule="auto"/>
        <w:jc w:val="both"/>
      </w:pPr>
    </w:p>
    <w:p w:rsidR="00597E06" w:rsidRDefault="00597E06" w:rsidP="007212F6">
      <w:pPr>
        <w:spacing w:line="360" w:lineRule="auto"/>
        <w:jc w:val="both"/>
      </w:pPr>
    </w:p>
    <w:p w:rsidR="00597E06" w:rsidRDefault="00597E06" w:rsidP="007212F6">
      <w:pPr>
        <w:spacing w:line="360" w:lineRule="auto"/>
        <w:jc w:val="both"/>
      </w:pPr>
    </w:p>
    <w:p w:rsidR="007212F6" w:rsidRDefault="007212F6" w:rsidP="007212F6">
      <w:pPr>
        <w:spacing w:line="360" w:lineRule="auto"/>
        <w:jc w:val="both"/>
      </w:pPr>
    </w:p>
    <w:p w:rsidR="007212F6" w:rsidRPr="00516072" w:rsidRDefault="007212F6" w:rsidP="007212F6">
      <w:pPr>
        <w:spacing w:line="360" w:lineRule="auto"/>
        <w:jc w:val="center"/>
        <w:rPr>
          <w:b/>
        </w:rPr>
      </w:pPr>
      <w:r w:rsidRPr="00516072">
        <w:rPr>
          <w:b/>
        </w:rPr>
        <w:t>CHAPTER THREE</w:t>
      </w:r>
    </w:p>
    <w:p w:rsidR="007212F6" w:rsidRPr="00516072" w:rsidRDefault="007212F6" w:rsidP="007212F6">
      <w:pPr>
        <w:spacing w:line="360" w:lineRule="auto"/>
        <w:jc w:val="center"/>
        <w:rPr>
          <w:b/>
        </w:rPr>
      </w:pPr>
      <w:r w:rsidRPr="00516072">
        <w:rPr>
          <w:b/>
        </w:rPr>
        <w:t>METHODOLOGY</w:t>
      </w:r>
    </w:p>
    <w:p w:rsidR="007212F6" w:rsidRPr="00516072" w:rsidRDefault="007212F6" w:rsidP="007212F6">
      <w:pPr>
        <w:spacing w:line="360" w:lineRule="auto"/>
        <w:jc w:val="both"/>
        <w:rPr>
          <w:b/>
        </w:rPr>
      </w:pPr>
      <w:r w:rsidRPr="00516072">
        <w:rPr>
          <w:b/>
        </w:rPr>
        <w:t>3.1 Introduction</w:t>
      </w:r>
    </w:p>
    <w:p w:rsidR="007212F6" w:rsidRPr="005F4E0A" w:rsidRDefault="007212F6" w:rsidP="007212F6">
      <w:pPr>
        <w:spacing w:line="360" w:lineRule="auto"/>
        <w:ind w:left="12" w:right="14"/>
        <w:jc w:val="both"/>
      </w:pPr>
      <w:r w:rsidRPr="005F4E0A">
        <w:rPr>
          <w:sz w:val="26"/>
        </w:rPr>
        <w:tab/>
      </w:r>
      <w:r w:rsidRPr="005F4E0A">
        <w:t>This thesis aims to add to the existing body of information about automated investment advisors (Robo advisors) and to provide a systematic description of that body of knowledge. If you want to use this strategy effectively, you should consider and be aware of its benefits and drawbacks. That is why it is crucial to pick a plan that will let you answer your research questions. In this chapter, I will describe the approach, econometric regression models, and methodology I utilized to write this thesis.</w:t>
      </w:r>
    </w:p>
    <w:p w:rsidR="007212F6" w:rsidRPr="00500CB5" w:rsidRDefault="007212F6" w:rsidP="007212F6">
      <w:pPr>
        <w:pStyle w:val="Heading2"/>
        <w:tabs>
          <w:tab w:val="center" w:pos="1877"/>
        </w:tabs>
        <w:spacing w:line="360" w:lineRule="auto"/>
        <w:jc w:val="both"/>
        <w:rPr>
          <w:color w:val="000000" w:themeColor="text1"/>
          <w:sz w:val="24"/>
        </w:rPr>
      </w:pPr>
      <w:bookmarkStart w:id="22" w:name="_Toc105652"/>
      <w:bookmarkStart w:id="23" w:name="_Toc113387221"/>
      <w:r w:rsidRPr="00500CB5">
        <w:rPr>
          <w:color w:val="000000" w:themeColor="text1"/>
          <w:sz w:val="24"/>
        </w:rPr>
        <w:t>3.2 Research Choice</w:t>
      </w:r>
      <w:bookmarkEnd w:id="22"/>
      <w:bookmarkEnd w:id="23"/>
    </w:p>
    <w:p w:rsidR="007212F6" w:rsidRPr="00D30F10" w:rsidRDefault="007212F6" w:rsidP="007212F6">
      <w:pPr>
        <w:spacing w:line="360" w:lineRule="auto"/>
        <w:jc w:val="both"/>
      </w:pPr>
      <w:r w:rsidRPr="00D30F10">
        <w:tab/>
        <w:t>This thesis aims to investigate how Canadian consumers feel about Robo-advisors and determine what characteristics and actions matter most to investors when deciding whether or not to use a Robo-advisor. Using a quantitative</w:t>
      </w:r>
      <w:r w:rsidR="00DC6ED8">
        <w:t xml:space="preserve"> methodology</w:t>
      </w:r>
      <w:r w:rsidRPr="00D30F10">
        <w:t xml:space="preserve">, </w:t>
      </w:r>
      <w:r w:rsidR="00E765A7">
        <w:t xml:space="preserve">as one that </w:t>
      </w:r>
      <w:r w:rsidRPr="00D30F10">
        <w:t xml:space="preserve">seeks </w:t>
      </w:r>
      <w:r w:rsidR="000D7431">
        <w:t xml:space="preserve">a </w:t>
      </w:r>
      <w:r w:rsidR="00E765A7">
        <w:t>direct explanation</w:t>
      </w:r>
      <w:r w:rsidRPr="00D30F10">
        <w:t xml:space="preserve">, prediction, and </w:t>
      </w:r>
      <w:r w:rsidR="00856A32">
        <w:t>extrapolation</w:t>
      </w:r>
      <w:r w:rsidRPr="00D30F10">
        <w:t xml:space="preserve"> of </w:t>
      </w:r>
      <w:r w:rsidR="00856A32">
        <w:t>results</w:t>
      </w:r>
      <w:r w:rsidRPr="00D30F10">
        <w:t>; Patton (2001) defines this as a "real world environment (where) the researcher does not attempt to modify the phenomenon of interest" (Patton, 2001, p. 39). In addition, the researcher and the reader might benefit significantly from a quantitative approach's comprehensive description of a phenomenon (Hoepfl, 1997). Since quantitative techniques aim to collect a significant amount of data, which can be done through surveys or interviews, the methods emphasize collecting and analyzing that data. According to Jacobsen (2002), a quantitative survey allows researchers to analyze data from a large sample of units for a minimal investment.</w:t>
      </w:r>
    </w:p>
    <w:p w:rsidR="007212F6" w:rsidRPr="00D30F10" w:rsidRDefault="007212F6" w:rsidP="007212F6">
      <w:pPr>
        <w:spacing w:line="360" w:lineRule="auto"/>
        <w:ind w:left="12" w:right="14"/>
        <w:jc w:val="both"/>
      </w:pPr>
      <w:r>
        <w:tab/>
      </w:r>
      <w:r w:rsidRPr="00D30F10">
        <w:t>(Bryman &amp; Bell, 2003) states that due to the paucity of prior work in the field of Robo-advisory, this thesis uses a quantitative approach. Moreover, a quantitative study is the most excellent option because it will allow for the exploration of consumer characteristics and the investigation of consumers' opinions, attitudes, and thoughts regarding Robo-advisors.</w:t>
      </w:r>
    </w:p>
    <w:p w:rsidR="007212F6" w:rsidRPr="00500CB5" w:rsidRDefault="007212F6" w:rsidP="007212F6">
      <w:pPr>
        <w:pStyle w:val="Heading2"/>
        <w:tabs>
          <w:tab w:val="center" w:pos="2401"/>
        </w:tabs>
        <w:spacing w:line="360" w:lineRule="auto"/>
        <w:jc w:val="both"/>
        <w:rPr>
          <w:color w:val="000000" w:themeColor="text1"/>
          <w:sz w:val="24"/>
        </w:rPr>
      </w:pPr>
      <w:bookmarkStart w:id="24" w:name="_Toc105653"/>
      <w:bookmarkStart w:id="25" w:name="_Toc113387222"/>
      <w:r w:rsidRPr="00500CB5">
        <w:rPr>
          <w:color w:val="000000" w:themeColor="text1"/>
          <w:sz w:val="24"/>
        </w:rPr>
        <w:t>3.3 Data Collection and Description</w:t>
      </w:r>
      <w:bookmarkEnd w:id="24"/>
      <w:bookmarkEnd w:id="25"/>
    </w:p>
    <w:p w:rsidR="007212F6" w:rsidRPr="005F02A0" w:rsidRDefault="007212F6" w:rsidP="007212F6">
      <w:pPr>
        <w:spacing w:line="360" w:lineRule="auto"/>
        <w:jc w:val="both"/>
      </w:pPr>
      <w:r w:rsidRPr="005F02A0">
        <w:rPr>
          <w:sz w:val="26"/>
        </w:rPr>
        <w:tab/>
      </w:r>
      <w:r w:rsidRPr="005F02A0">
        <w:t xml:space="preserve">The cross-sectional information will be gathered by a survey over at least two weeks in the spring of 2022. Period differences are typically disregarded when analyzing cross-sectional data because it provides values for individual observations at a </w:t>
      </w:r>
      <w:r w:rsidR="00B975E8">
        <w:t>specific period</w:t>
      </w:r>
      <w:r w:rsidRPr="005F02A0">
        <w:t>. According to (Carter-Hill, Griffiths, &amp; Lim 2011) Second-hand information was not available for this thesis since there was a dearth of relevant prior research, and the research topics were unique to the Canadian financial market. For this reason, we will be collecting primary data by interviewing real people to answer our study questions. The benefits of using primary data include new information applicable to the current investigation. Since a third party has not gathered information, the accuracy and reliability of primary data are more easily verified. However, cost, time, and confidentiality issues make primary data challenging to use. (Bryman and Bell, 2003).</w:t>
      </w:r>
    </w:p>
    <w:p w:rsidR="007212F6" w:rsidRPr="005F02A0" w:rsidRDefault="007212F6" w:rsidP="007212F6">
      <w:pPr>
        <w:spacing w:line="360" w:lineRule="auto"/>
        <w:jc w:val="both"/>
      </w:pPr>
      <w:r>
        <w:tab/>
      </w:r>
      <w:r w:rsidRPr="005F02A0">
        <w:t>In contrast to a qualitative approach, surveys can quickly reach many respondents. Due to standardized questions, there will be no discrepancies in question formulation, as may occur in qualitative interviews. Respondents are not obligated to complete the survey and can do so whenever they have a free moment. However, poll pitfalls must be considered—missing out on crucial details because a single inquiry has halted future inquiries. The survey design presents a difficulty, as asking irrelevant questions may discourage people from participating. According to (Bryman &amp; Bell, 2003), these problems can be sidestepped by first having a select group of people conduct test surveys and provide feedback on the final product. Since the survey cannot be changed after it has been published, this was crucial in ensuring the survey's quality and determining if they understood the questions. The survey questions will elicit subjective responses based on the respondents' understanding of, comfort with, and enthusiasm for Robo-advisory.</w:t>
      </w:r>
    </w:p>
    <w:p w:rsidR="007212F6" w:rsidRPr="005F02A0" w:rsidRDefault="007212F6" w:rsidP="007212F6">
      <w:pPr>
        <w:spacing w:line="360" w:lineRule="auto"/>
        <w:jc w:val="both"/>
      </w:pPr>
      <w:r>
        <w:tab/>
      </w:r>
      <w:r w:rsidRPr="005F02A0">
        <w:t xml:space="preserve">A Canadian bank will announce the survey link on its internal network and social media platforms, including LinkedIn, Twitter, and Facebook. The identity of the chosen bank will be concealed for reasons of confidentiality. </w:t>
      </w:r>
      <w:r w:rsidR="000D7431">
        <w:t>To</w:t>
      </w:r>
      <w:r w:rsidRPr="005F02A0">
        <w:t xml:space="preserve"> choose which users will be seen the poll, social media platforms use algorithms. The survey is piloted on a small scale within the network and subsequently propagated throughout the network. There will be a two-week window in which the connection can be used. There was no defined audience for this poll, and the same link will be sent across all channels. The majority of our network, however, will consist of young adults (18–35) with ties to or interest in the banking and financial industries. Both authors of this thesis will be employed in the financial sector, so it is safe to presume that many of their personal and professional contacts also work in this sector. Therefore, it is reasonable to assume that most of this sample consists of active-duty financial sector employees. Any one of these could affect the reliability of a study's results.</w:t>
      </w:r>
    </w:p>
    <w:p w:rsidR="007212F6" w:rsidRPr="005F02A0" w:rsidRDefault="007212F6" w:rsidP="007212F6">
      <w:pPr>
        <w:spacing w:line="360" w:lineRule="auto"/>
        <w:ind w:left="12" w:right="14"/>
        <w:jc w:val="both"/>
        <w:rPr>
          <w:sz w:val="26"/>
        </w:rPr>
      </w:pPr>
      <w:r>
        <w:tab/>
      </w:r>
      <w:r w:rsidRPr="005F02A0">
        <w:t>On the other hand, expanding the survey to include respondents with experience in the financial market or Robo advice may prove helpful here. Since Robo-advisory is still relatively new, it may need to gain traction within these communities before it can be widely embraced. If you have a beneficial idea, its early adoption and dissemination will likely be driven by people in these subgroups. If people in the financial sector use the invention, others are more inclined to put their faith in it and adopt it.</w:t>
      </w:r>
    </w:p>
    <w:p w:rsidR="007212F6" w:rsidRPr="00500CB5" w:rsidRDefault="007212F6" w:rsidP="007212F6">
      <w:pPr>
        <w:pStyle w:val="Heading3"/>
        <w:tabs>
          <w:tab w:val="center" w:pos="1946"/>
        </w:tabs>
        <w:spacing w:line="360" w:lineRule="auto"/>
        <w:jc w:val="both"/>
        <w:rPr>
          <w:color w:val="000000" w:themeColor="text1"/>
        </w:rPr>
      </w:pPr>
      <w:bookmarkStart w:id="26" w:name="_Toc105654"/>
      <w:bookmarkStart w:id="27" w:name="_Toc113387223"/>
      <w:r w:rsidRPr="00500CB5">
        <w:rPr>
          <w:color w:val="000000" w:themeColor="text1"/>
        </w:rPr>
        <w:t>3.2.1 Survey Description</w:t>
      </w:r>
      <w:bookmarkEnd w:id="26"/>
      <w:bookmarkEnd w:id="27"/>
    </w:p>
    <w:p w:rsidR="007212F6" w:rsidRPr="007A12E6" w:rsidRDefault="007212F6" w:rsidP="007212F6">
      <w:pPr>
        <w:spacing w:line="360" w:lineRule="auto"/>
        <w:jc w:val="both"/>
      </w:pPr>
      <w:r w:rsidRPr="007A12E6">
        <w:tab/>
        <w:t>The data for this study will be gathered electronically through a google form survey. The survey asked respondents 28 questions about their experience with and opinion of Robo-advisors. Personality questions will kick off the survey, and then participants will be split into three groups based on their investment history: those who have never bought stocks, those who have bought stocks but have never used a Robo-advisor, and those who have bought stocks and used a Robo-advisor. The questions were primarily multiple-choice, with a few open-ended ones thrown in for good measure, allowing respondents to provide honest opinions. As such, the survey's open-ended questions may assist glean information that was otherwise overlooked. Two questions could not be easily converted into the multiple-choice format. In the first question, respondents will be asked to compare Robo-advice versus human advisory based on several criteria, including cost, usability, revenue, and user experience. The second question will ask for suggestions on how Robo-advisors might be made more effective, and respondents will be free to select as many or as few answers as they feel best reflect their perspective.</w:t>
      </w:r>
    </w:p>
    <w:p w:rsidR="007212F6" w:rsidRPr="007A12E6" w:rsidRDefault="007212F6" w:rsidP="007212F6">
      <w:pPr>
        <w:spacing w:line="360" w:lineRule="auto"/>
        <w:jc w:val="both"/>
      </w:pPr>
      <w:r>
        <w:tab/>
      </w:r>
      <w:r w:rsidRPr="007A12E6">
        <w:t>This was done to compare and contrast the groups based on their characteristics and level of Robo-advisory experience. They will not be multiple-choice because we can learn more about the respondents' priorities before deciding whether or not to implement the robot advice, which may offer more than simply multiple-choice options. In addition, respondent anonymity has been ensured so that only honest answers will be published. Refer to Appendix A for a summary of the survey's findings. In Appendix A, you will find both the questions asked and the options from which respondents might pick.</w:t>
      </w:r>
    </w:p>
    <w:p w:rsidR="007212F6" w:rsidRPr="007A12E6" w:rsidRDefault="007212F6" w:rsidP="007212F6">
      <w:pPr>
        <w:spacing w:line="360" w:lineRule="auto"/>
        <w:jc w:val="both"/>
      </w:pPr>
      <w:r>
        <w:tab/>
      </w:r>
      <w:r w:rsidRPr="007A12E6">
        <w:t>Also, the provision of a definition of Robo-advisory and human advisory will be made available for the respondent. The definitions are:</w:t>
      </w:r>
    </w:p>
    <w:p w:rsidR="007212F6" w:rsidRPr="007A12E6" w:rsidRDefault="007212F6" w:rsidP="007212F6">
      <w:pPr>
        <w:spacing w:line="360" w:lineRule="auto"/>
        <w:jc w:val="both"/>
      </w:pPr>
      <w:r w:rsidRPr="007A12E6">
        <w:t>• Robo-Advisory: This refers to the provision of individualized recommendations concerning financial instruments (i.e. securities such as shares and funds) without or with minimal human intervention, typically over the internet.</w:t>
      </w:r>
      <w:r w:rsidR="00B7449B">
        <w:t xml:space="preserve"> </w:t>
      </w:r>
      <w:r w:rsidR="00B7449B" w:rsidRPr="00B7449B">
        <w:t>This refers to the delivery of tailored suggestions regarding financial instruments (i.e., securities like shares and funds) through the web, typically requiring little to no user intervention.</w:t>
      </w:r>
    </w:p>
    <w:p w:rsidR="007212F6" w:rsidRPr="007A12E6" w:rsidRDefault="007212F6" w:rsidP="007212F6">
      <w:pPr>
        <w:spacing w:line="360" w:lineRule="auto"/>
        <w:ind w:left="12" w:right="14"/>
        <w:jc w:val="both"/>
      </w:pPr>
      <w:r w:rsidRPr="007A12E6">
        <w:t>• Human-Advisory: This is a one-on-one conversation with a professional financial advisor in which advice is offered about various financial instruments (e.g., stocks, bonds, mutual funds, etc</w:t>
      </w:r>
      <w:r>
        <w:t>etera</w:t>
      </w:r>
      <w:r w:rsidRPr="007A12E6">
        <w:t>.).</w:t>
      </w:r>
    </w:p>
    <w:p w:rsidR="007212F6" w:rsidRPr="00500CB5" w:rsidRDefault="007212F6" w:rsidP="007212F6">
      <w:pPr>
        <w:pStyle w:val="Heading3"/>
        <w:tabs>
          <w:tab w:val="center" w:pos="2371"/>
        </w:tabs>
        <w:spacing w:line="360" w:lineRule="auto"/>
        <w:jc w:val="both"/>
        <w:rPr>
          <w:color w:val="000000" w:themeColor="text1"/>
        </w:rPr>
      </w:pPr>
      <w:bookmarkStart w:id="28" w:name="_Toc105655"/>
      <w:bookmarkStart w:id="29" w:name="_Toc113387224"/>
      <w:r w:rsidRPr="00500CB5">
        <w:rPr>
          <w:color w:val="000000" w:themeColor="text1"/>
        </w:rPr>
        <w:t>3.2.2 Variables and Hypotheses</w:t>
      </w:r>
      <w:bookmarkEnd w:id="28"/>
      <w:bookmarkEnd w:id="29"/>
    </w:p>
    <w:p w:rsidR="007212F6" w:rsidRPr="00564481" w:rsidRDefault="007212F6" w:rsidP="007212F6">
      <w:pPr>
        <w:spacing w:line="360" w:lineRule="auto"/>
        <w:jc w:val="both"/>
      </w:pPr>
      <w:r w:rsidRPr="00564481">
        <w:tab/>
        <w:t xml:space="preserve">Whether or not a person has made investments in securities and whether or not a person has made investments using a Robo-advisory service are the two factors on which we rely. We can learn about current and future users of Robo-advisors by using two dependent variables in our research. This study aims to examine the personal characteristics and </w:t>
      </w:r>
      <w:r w:rsidR="00B83404" w:rsidRPr="00564481">
        <w:t>behavioral</w:t>
      </w:r>
      <w:r w:rsidRPr="00564481">
        <w:t xml:space="preserve"> factors of consumers whose adoption of Robo-advisory services influences their investing decisions; hence, two dependent variables were selected. Two variables are being studied (the dependent ones) and eleven others (the independent ones).</w:t>
      </w:r>
    </w:p>
    <w:p w:rsidR="007212F6" w:rsidRPr="00564481" w:rsidRDefault="007212F6" w:rsidP="007212F6">
      <w:pPr>
        <w:spacing w:line="360" w:lineRule="auto"/>
        <w:ind w:left="12" w:right="14"/>
        <w:jc w:val="both"/>
      </w:pPr>
      <w:r>
        <w:tab/>
      </w:r>
      <w:r w:rsidRPr="00564481">
        <w:t>The variables serving as controls will be treated as independent variables in the regression analyses. Using independent variables allows researchers to see if any potential influences on the dependent variables are there. Our conclusion that all</w:t>
      </w:r>
      <w:r w:rsidR="00431D1B">
        <w:t xml:space="preserve"> explanatory</w:t>
      </w:r>
      <w:r w:rsidRPr="00564481">
        <w:t xml:space="preserve"> variables may impact our dependent variables is based on prior research on personality traits and </w:t>
      </w:r>
      <w:r w:rsidR="00500CB5" w:rsidRPr="00564481">
        <w:t>behavioral</w:t>
      </w:r>
      <w:r w:rsidRPr="00564481">
        <w:t xml:space="preserve"> theories. Although both models will use some of the eleven independent variables, not all of them will be used. Only the six characteristic variables will be used in </w:t>
      </w:r>
      <w:r w:rsidR="004A773A" w:rsidRPr="00564481">
        <w:t>the</w:t>
      </w:r>
      <w:r w:rsidR="004A773A">
        <w:t xml:space="preserve"> coefficient of determination</w:t>
      </w:r>
      <w:r w:rsidRPr="00564481">
        <w:t>, with s</w:t>
      </w:r>
      <w:r w:rsidR="00493922">
        <w:t>tocks and shares</w:t>
      </w:r>
      <w:r w:rsidRPr="00564481">
        <w:t xml:space="preserve"> as the dependent variable. This is because the remaining elements are all related to the Robo advice and will have no bearing on whether or not a person chooses to invest in stocks. All eleven independent factors will be used in the regression with Robo-advisory as the dependent variable. These variables are intriguing based on prior research involving personal attributes and </w:t>
      </w:r>
      <w:r w:rsidR="00500CB5" w:rsidRPr="00564481">
        <w:t>behavioral</w:t>
      </w:r>
      <w:r w:rsidRPr="00564481">
        <w:t xml:space="preserve"> theories about perceived attitudes and expectations.</w:t>
      </w:r>
    </w:p>
    <w:p w:rsidR="007212F6" w:rsidRPr="00213AD5" w:rsidRDefault="007212F6" w:rsidP="007212F6">
      <w:pPr>
        <w:spacing w:line="360" w:lineRule="auto"/>
        <w:ind w:left="12" w:right="14"/>
        <w:jc w:val="both"/>
      </w:pPr>
      <w:r w:rsidRPr="00213AD5">
        <w:tab/>
        <w:t>Table 3.1 gives an overview of the two dependent variables, while table 3.2 contains the eleven independent variables and related hypotheses based on the existing literature.</w:t>
      </w:r>
    </w:p>
    <w:tbl>
      <w:tblPr>
        <w:tblStyle w:val="TableGrid"/>
        <w:tblW w:w="7371" w:type="dxa"/>
        <w:tblInd w:w="8" w:type="dxa"/>
        <w:tblCellMar>
          <w:top w:w="36" w:type="dxa"/>
          <w:left w:w="116" w:type="dxa"/>
          <w:right w:w="115" w:type="dxa"/>
        </w:tblCellMar>
        <w:tblLook w:val="04A0" w:firstRow="1" w:lastRow="0" w:firstColumn="1" w:lastColumn="0" w:noHBand="0" w:noVBand="1"/>
      </w:tblPr>
      <w:tblGrid>
        <w:gridCol w:w="1664"/>
        <w:gridCol w:w="5707"/>
      </w:tblGrid>
      <w:tr w:rsidR="007212F6" w:rsidRPr="00516072" w:rsidTr="007212F6">
        <w:trPr>
          <w:trHeight w:val="283"/>
        </w:trPr>
        <w:tc>
          <w:tcPr>
            <w:tcW w:w="1664" w:type="dxa"/>
            <w:tcBorders>
              <w:top w:val="single" w:sz="4" w:space="0" w:color="auto"/>
              <w:left w:val="nil"/>
              <w:bottom w:val="single" w:sz="4" w:space="0" w:color="000000"/>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Variable</w:t>
            </w:r>
          </w:p>
        </w:tc>
        <w:tc>
          <w:tcPr>
            <w:tcW w:w="5706" w:type="dxa"/>
            <w:tcBorders>
              <w:top w:val="single" w:sz="4" w:space="0" w:color="auto"/>
              <w:left w:val="single" w:sz="4" w:space="0" w:color="000000"/>
              <w:bottom w:val="single" w:sz="4" w:space="0" w:color="000000"/>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Description</w:t>
            </w:r>
          </w:p>
        </w:tc>
      </w:tr>
      <w:tr w:rsidR="007212F6" w:rsidRPr="00516072" w:rsidTr="007212F6">
        <w:trPr>
          <w:trHeight w:val="281"/>
        </w:trPr>
        <w:tc>
          <w:tcPr>
            <w:tcW w:w="1664" w:type="dxa"/>
            <w:tcBorders>
              <w:top w:val="single" w:sz="4" w:space="0" w:color="000000"/>
              <w:left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Securities</w:t>
            </w:r>
          </w:p>
        </w:tc>
        <w:tc>
          <w:tcPr>
            <w:tcW w:w="5706" w:type="dxa"/>
            <w:tcBorders>
              <w:top w:val="single" w:sz="4" w:space="0" w:color="000000"/>
              <w:left w:val="single" w:sz="3" w:space="0" w:color="000000"/>
              <w:right w:val="nil"/>
            </w:tcBorders>
          </w:tcPr>
          <w:p w:rsidR="007212F6" w:rsidRPr="00516072" w:rsidRDefault="007212F6" w:rsidP="007212F6">
            <w:pPr>
              <w:spacing w:line="360" w:lineRule="auto"/>
              <w:jc w:val="both"/>
              <w:rPr>
                <w:rFonts w:ascii="Times New Roman" w:hAnsi="Times New Roman"/>
              </w:rPr>
            </w:pPr>
            <w:r>
              <w:rPr>
                <w:rFonts w:ascii="Times New Roman" w:hAnsi="Times New Roman"/>
              </w:rPr>
              <w:t>T</w:t>
            </w:r>
            <w:r w:rsidRPr="00AC59F6">
              <w:rPr>
                <w:rFonts w:ascii="Times New Roman" w:hAnsi="Times New Roman"/>
              </w:rPr>
              <w:t>he ability to make intelligent decisions based on prior investment experience</w:t>
            </w:r>
          </w:p>
        </w:tc>
      </w:tr>
      <w:tr w:rsidR="007212F6" w:rsidRPr="00516072" w:rsidTr="007212F6">
        <w:trPr>
          <w:trHeight w:val="282"/>
        </w:trPr>
        <w:tc>
          <w:tcPr>
            <w:tcW w:w="1664" w:type="dxa"/>
            <w:tcBorders>
              <w:top w:val="nil"/>
              <w:left w:val="nil"/>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Robo-advisory</w:t>
            </w:r>
          </w:p>
        </w:tc>
        <w:tc>
          <w:tcPr>
            <w:tcW w:w="5706" w:type="dxa"/>
            <w:tcBorders>
              <w:top w:val="nil"/>
              <w:left w:val="single" w:sz="4" w:space="0" w:color="000000"/>
              <w:bottom w:val="single" w:sz="4" w:space="0" w:color="auto"/>
              <w:right w:val="nil"/>
            </w:tcBorders>
          </w:tcPr>
          <w:p w:rsidR="007212F6" w:rsidRPr="00516072" w:rsidRDefault="007212F6" w:rsidP="007212F6">
            <w:pPr>
              <w:spacing w:line="360" w:lineRule="auto"/>
              <w:jc w:val="both"/>
              <w:rPr>
                <w:rFonts w:ascii="Times New Roman" w:hAnsi="Times New Roman"/>
              </w:rPr>
            </w:pPr>
            <w:r>
              <w:rPr>
                <w:rFonts w:ascii="Times New Roman" w:hAnsi="Times New Roman"/>
              </w:rPr>
              <w:t xml:space="preserve">I </w:t>
            </w:r>
            <w:r w:rsidRPr="00AC59F6">
              <w:rPr>
                <w:rFonts w:ascii="Times New Roman" w:hAnsi="Times New Roman"/>
              </w:rPr>
              <w:t xml:space="preserve">Have been using a </w:t>
            </w:r>
            <w:r>
              <w:rPr>
                <w:rFonts w:ascii="Times New Roman" w:hAnsi="Times New Roman"/>
              </w:rPr>
              <w:t>R</w:t>
            </w:r>
            <w:r w:rsidRPr="00AC59F6">
              <w:rPr>
                <w:rFonts w:ascii="Times New Roman" w:hAnsi="Times New Roman"/>
              </w:rPr>
              <w:t>obo-advisor before</w:t>
            </w:r>
          </w:p>
        </w:tc>
      </w:tr>
    </w:tbl>
    <w:p w:rsidR="007212F6" w:rsidRPr="00A93C22" w:rsidRDefault="007212F6" w:rsidP="007212F6">
      <w:pPr>
        <w:ind w:left="12" w:right="39" w:hanging="10"/>
        <w:jc w:val="both"/>
        <w:rPr>
          <w:sz w:val="10"/>
        </w:rPr>
      </w:pPr>
    </w:p>
    <w:p w:rsidR="007212F6" w:rsidRDefault="007212F6" w:rsidP="007212F6">
      <w:pPr>
        <w:spacing w:line="360" w:lineRule="auto"/>
        <w:ind w:left="12" w:right="39" w:hanging="10"/>
        <w:jc w:val="both"/>
      </w:pPr>
      <w:r w:rsidRPr="00516072">
        <w:t>Table 3.1: Dependent Variables described</w:t>
      </w:r>
    </w:p>
    <w:p w:rsidR="007212F6" w:rsidRDefault="007212F6" w:rsidP="007212F6">
      <w:pPr>
        <w:spacing w:line="360" w:lineRule="auto"/>
        <w:ind w:left="12" w:right="39" w:hanging="10"/>
        <w:jc w:val="both"/>
      </w:pPr>
    </w:p>
    <w:p w:rsidR="007212F6" w:rsidRDefault="007212F6" w:rsidP="007212F6">
      <w:pPr>
        <w:spacing w:line="360" w:lineRule="auto"/>
        <w:ind w:left="12" w:right="39" w:hanging="10"/>
        <w:jc w:val="both"/>
      </w:pPr>
    </w:p>
    <w:p w:rsidR="007212F6" w:rsidRDefault="007212F6" w:rsidP="007212F6">
      <w:pPr>
        <w:spacing w:line="360" w:lineRule="auto"/>
        <w:ind w:left="12" w:right="39" w:hanging="10"/>
        <w:jc w:val="both"/>
      </w:pPr>
    </w:p>
    <w:p w:rsidR="007212F6" w:rsidRPr="00516072" w:rsidRDefault="007212F6" w:rsidP="007212F6">
      <w:pPr>
        <w:spacing w:line="360" w:lineRule="auto"/>
        <w:ind w:left="12" w:right="39" w:hanging="10"/>
        <w:jc w:val="both"/>
      </w:pPr>
    </w:p>
    <w:tbl>
      <w:tblPr>
        <w:tblStyle w:val="TableGrid"/>
        <w:tblW w:w="7223" w:type="dxa"/>
        <w:tblInd w:w="82" w:type="dxa"/>
        <w:tblCellMar>
          <w:top w:w="31" w:type="dxa"/>
          <w:left w:w="88" w:type="dxa"/>
          <w:right w:w="64" w:type="dxa"/>
        </w:tblCellMar>
        <w:tblLook w:val="04A0" w:firstRow="1" w:lastRow="0" w:firstColumn="1" w:lastColumn="0" w:noHBand="0" w:noVBand="1"/>
      </w:tblPr>
      <w:tblGrid>
        <w:gridCol w:w="1445"/>
        <w:gridCol w:w="2889"/>
        <w:gridCol w:w="2889"/>
      </w:tblGrid>
      <w:tr w:rsidR="007212F6" w:rsidRPr="00D30028" w:rsidTr="007212F6">
        <w:trPr>
          <w:trHeight w:val="232"/>
        </w:trPr>
        <w:tc>
          <w:tcPr>
            <w:tcW w:w="1445" w:type="dxa"/>
            <w:tcBorders>
              <w:top w:val="single" w:sz="4" w:space="0" w:color="auto"/>
              <w:left w:val="nil"/>
              <w:bottom w:val="single" w:sz="4" w:space="0" w:color="000000"/>
              <w:right w:val="single" w:sz="4"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b/>
              </w:rPr>
              <w:t>Variable</w:t>
            </w:r>
          </w:p>
        </w:tc>
        <w:tc>
          <w:tcPr>
            <w:tcW w:w="2889" w:type="dxa"/>
            <w:tcBorders>
              <w:top w:val="single" w:sz="4" w:space="0" w:color="auto"/>
              <w:left w:val="single" w:sz="4" w:space="0" w:color="000000"/>
              <w:bottom w:val="single" w:sz="4" w:space="0" w:color="000000"/>
              <w:right w:val="single" w:sz="4"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b/>
              </w:rPr>
              <w:t>Description</w:t>
            </w:r>
          </w:p>
        </w:tc>
        <w:tc>
          <w:tcPr>
            <w:tcW w:w="2889" w:type="dxa"/>
            <w:tcBorders>
              <w:top w:val="single" w:sz="4" w:space="0" w:color="auto"/>
              <w:left w:val="single" w:sz="4" w:space="0" w:color="000000"/>
              <w:bottom w:val="single" w:sz="4" w:space="0" w:color="000000"/>
              <w:right w:val="nil"/>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b/>
              </w:rPr>
              <w:t>Hypotheses</w:t>
            </w:r>
          </w:p>
        </w:tc>
      </w:tr>
      <w:tr w:rsidR="007212F6" w:rsidRPr="00D30028" w:rsidTr="007212F6">
        <w:trPr>
          <w:trHeight w:val="694"/>
        </w:trPr>
        <w:tc>
          <w:tcPr>
            <w:tcW w:w="1445" w:type="dxa"/>
            <w:tcBorders>
              <w:top w:val="single" w:sz="4"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Gender</w:t>
            </w:r>
          </w:p>
        </w:tc>
        <w:tc>
          <w:tcPr>
            <w:tcW w:w="2889" w:type="dxa"/>
            <w:tcBorders>
              <w:top w:val="single" w:sz="4"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Gender of the respondents</w:t>
            </w:r>
          </w:p>
        </w:tc>
        <w:tc>
          <w:tcPr>
            <w:tcW w:w="2889" w:type="dxa"/>
            <w:tcBorders>
              <w:top w:val="single" w:sz="4" w:space="0" w:color="000000"/>
              <w:left w:val="single" w:sz="3" w:space="0" w:color="000000"/>
              <w:bottom w:val="single" w:sz="3" w:space="0" w:color="000000"/>
              <w:right w:val="nil"/>
            </w:tcBorders>
          </w:tcPr>
          <w:p w:rsidR="007212F6" w:rsidRPr="00D30028" w:rsidRDefault="007212F6" w:rsidP="007212F6">
            <w:pPr>
              <w:spacing w:line="360" w:lineRule="auto"/>
              <w:ind w:firstLine="7"/>
              <w:jc w:val="both"/>
              <w:rPr>
                <w:rFonts w:ascii="Times New Roman" w:hAnsi="Times New Roman"/>
              </w:rPr>
            </w:pPr>
            <w:r w:rsidRPr="00D30028">
              <w:rPr>
                <w:rFonts w:ascii="Times New Roman" w:hAnsi="Times New Roman"/>
              </w:rPr>
              <w:t>Men are more likely than women to use Robo-advisors and invest in securities.</w:t>
            </w:r>
          </w:p>
        </w:tc>
      </w:tr>
      <w:tr w:rsidR="007212F6" w:rsidRPr="00D30028" w:rsidTr="007212F6">
        <w:trPr>
          <w:trHeight w:val="923"/>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Age</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0D7431" w:rsidP="007212F6">
            <w:pPr>
              <w:spacing w:line="360" w:lineRule="auto"/>
              <w:jc w:val="both"/>
              <w:rPr>
                <w:rFonts w:ascii="Times New Roman" w:hAnsi="Times New Roman"/>
              </w:rPr>
            </w:pPr>
            <w:r>
              <w:rPr>
                <w:rFonts w:ascii="Times New Roman" w:hAnsi="Times New Roman"/>
              </w:rPr>
              <w:t>The age</w:t>
            </w:r>
            <w:r w:rsidR="007212F6" w:rsidRPr="00D30028">
              <w:rPr>
                <w:rFonts w:ascii="Times New Roman" w:hAnsi="Times New Roman"/>
              </w:rPr>
              <w:t xml:space="preserve"> range of the respondents</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Millennials are more inclined to use Robo-advisors, whereas Baby Boomers put their money into the stock market.</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Education</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 xml:space="preserve">Level of education based on </w:t>
            </w:r>
            <w:r w:rsidR="000D7431">
              <w:rPr>
                <w:rFonts w:ascii="Times New Roman" w:hAnsi="Times New Roman"/>
              </w:rPr>
              <w:t xml:space="preserve">the </w:t>
            </w:r>
            <w:r w:rsidRPr="00D30028">
              <w:rPr>
                <w:rFonts w:ascii="Times New Roman" w:hAnsi="Times New Roman"/>
              </w:rPr>
              <w:t>degree</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Those with excellent schooling are statistically more likely to use Robo-advisors and invest in equities.</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Income</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Income range of the respondents</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right="26" w:hanging="7"/>
              <w:jc w:val="both"/>
              <w:rPr>
                <w:rFonts w:ascii="Times New Roman" w:hAnsi="Times New Roman"/>
              </w:rPr>
            </w:pPr>
            <w:r w:rsidRPr="00D30028">
              <w:rPr>
                <w:rFonts w:ascii="Times New Roman" w:hAnsi="Times New Roman"/>
              </w:rPr>
              <w:t>Those with more significant disposable income are statistically more likely to use Robo-advisors and invest in equities.</w:t>
            </w:r>
          </w:p>
        </w:tc>
      </w:tr>
      <w:tr w:rsidR="007212F6" w:rsidRPr="00D30028" w:rsidTr="007212F6">
        <w:trPr>
          <w:trHeight w:val="923"/>
        </w:trPr>
        <w:tc>
          <w:tcPr>
            <w:tcW w:w="1445" w:type="dxa"/>
            <w:tcBorders>
              <w:top w:val="single" w:sz="3" w:space="0" w:color="000000"/>
              <w:left w:val="nil"/>
              <w:bottom w:val="single" w:sz="3" w:space="0" w:color="000000"/>
              <w:right w:val="single" w:sz="3" w:space="0" w:color="000000"/>
            </w:tcBorders>
          </w:tcPr>
          <w:p w:rsidR="007212F6" w:rsidRPr="00D30028" w:rsidRDefault="000D7431" w:rsidP="007212F6">
            <w:pPr>
              <w:spacing w:line="360" w:lineRule="auto"/>
              <w:ind w:left="7"/>
              <w:jc w:val="both"/>
              <w:rPr>
                <w:rFonts w:ascii="Times New Roman" w:hAnsi="Times New Roman"/>
              </w:rPr>
            </w:pPr>
            <w:r>
              <w:rPr>
                <w:rFonts w:ascii="Times New Roman" w:hAnsi="Times New Roman"/>
              </w:rPr>
              <w:t>Monthly</w:t>
            </w:r>
            <w:r w:rsidR="007212F6" w:rsidRPr="00D30028">
              <w:rPr>
                <w:rFonts w:ascii="Times New Roman" w:hAnsi="Times New Roman"/>
              </w:rPr>
              <w:t xml:space="preserve"> Savings</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Savings per month in $</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Those who put away more monthly money are more inclined to use investment vehicles like stocks and Robo advisors.</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Risk_ps</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Personal risk level based on different quotes</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firstLine="7"/>
              <w:jc w:val="both"/>
              <w:rPr>
                <w:rFonts w:ascii="Times New Roman" w:hAnsi="Times New Roman"/>
              </w:rPr>
            </w:pPr>
            <w:r w:rsidRPr="00D30028">
              <w:rPr>
                <w:rFonts w:ascii="Times New Roman" w:hAnsi="Times New Roman"/>
              </w:rPr>
              <w:t>Regarding stocks and Robo-advisory investments, men are more likely to take risks than women.</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Risk_hr</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risk regarding Robo advisory compared to human advisory</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jc w:val="both"/>
              <w:rPr>
                <w:rFonts w:ascii="Times New Roman" w:hAnsi="Times New Roman"/>
              </w:rPr>
            </w:pPr>
            <w:r w:rsidRPr="00D30028">
              <w:rPr>
                <w:rFonts w:ascii="Times New Roman" w:hAnsi="Times New Roman"/>
              </w:rPr>
              <w:t>If people think Robo-advice is risky, they are more likely to choose human guidance.</w:t>
            </w:r>
          </w:p>
        </w:tc>
      </w:tr>
      <w:tr w:rsidR="007212F6" w:rsidRPr="00D30028" w:rsidTr="007212F6">
        <w:trPr>
          <w:trHeight w:val="923"/>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Return</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return regarding Robo advisory compared to human advisory</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The greater an individual's expectation of a return from a Robo-advisor, the more likely they will use one.</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Cost</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cost regarding Robo advisory compared to human advisory</w:t>
            </w:r>
          </w:p>
        </w:tc>
        <w:tc>
          <w:tcPr>
            <w:tcW w:w="2889" w:type="dxa"/>
            <w:tcBorders>
              <w:top w:val="single" w:sz="3" w:space="0" w:color="000000"/>
              <w:left w:val="single" w:sz="3" w:space="0" w:color="000000"/>
              <w:bottom w:val="single" w:sz="3" w:space="0" w:color="000000"/>
              <w:right w:val="nil"/>
            </w:tcBorders>
          </w:tcPr>
          <w:p w:rsidR="007212F6" w:rsidRPr="00D30028" w:rsidRDefault="000D7431" w:rsidP="007212F6">
            <w:pPr>
              <w:spacing w:line="360" w:lineRule="auto"/>
              <w:jc w:val="both"/>
              <w:rPr>
                <w:rFonts w:ascii="Times New Roman" w:hAnsi="Times New Roman"/>
              </w:rPr>
            </w:pPr>
            <w:r>
              <w:rPr>
                <w:rFonts w:ascii="Times New Roman" w:hAnsi="Times New Roman"/>
              </w:rPr>
              <w:t>Human</w:t>
            </w:r>
            <w:r w:rsidR="007212F6" w:rsidRPr="00D30028">
              <w:rPr>
                <w:rFonts w:ascii="Times New Roman" w:hAnsi="Times New Roman"/>
              </w:rPr>
              <w:t xml:space="preserve"> advisory is preferred over Robo advisory when the former is seen as more expensive.</w:t>
            </w:r>
          </w:p>
        </w:tc>
      </w:tr>
      <w:tr w:rsidR="007212F6" w:rsidRPr="00D30028" w:rsidTr="007212F6">
        <w:trPr>
          <w:trHeight w:val="923"/>
        </w:trPr>
        <w:tc>
          <w:tcPr>
            <w:tcW w:w="1445" w:type="dxa"/>
            <w:tcBorders>
              <w:top w:val="single" w:sz="3" w:space="0" w:color="000000"/>
              <w:left w:val="nil"/>
              <w:bottom w:val="single" w:sz="4"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Usability</w:t>
            </w:r>
          </w:p>
        </w:tc>
        <w:tc>
          <w:tcPr>
            <w:tcW w:w="2889" w:type="dxa"/>
            <w:tcBorders>
              <w:top w:val="single" w:sz="3" w:space="0" w:color="000000"/>
              <w:left w:val="single" w:sz="3" w:space="0" w:color="000000"/>
              <w:bottom w:val="single" w:sz="4"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usability regarding Robo advisory compared to human advisory</w:t>
            </w:r>
          </w:p>
        </w:tc>
        <w:tc>
          <w:tcPr>
            <w:tcW w:w="2889" w:type="dxa"/>
            <w:tcBorders>
              <w:top w:val="single" w:sz="3" w:space="0" w:color="000000"/>
              <w:left w:val="single" w:sz="3" w:space="0" w:color="000000"/>
              <w:bottom w:val="single" w:sz="4"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More people will choose Robo-advisors if they believe they are easy to use.</w:t>
            </w:r>
          </w:p>
        </w:tc>
      </w:tr>
      <w:tr w:rsidR="007212F6" w:rsidRPr="00D30028" w:rsidTr="007212F6">
        <w:trPr>
          <w:trHeight w:val="691"/>
        </w:trPr>
        <w:tc>
          <w:tcPr>
            <w:tcW w:w="1445" w:type="dxa"/>
            <w:tcBorders>
              <w:top w:val="single" w:sz="4" w:space="0" w:color="000000"/>
              <w:left w:val="nil"/>
              <w:bottom w:val="single" w:sz="4" w:space="0" w:color="auto"/>
              <w:right w:val="single" w:sz="4"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Trust</w:t>
            </w:r>
          </w:p>
        </w:tc>
        <w:tc>
          <w:tcPr>
            <w:tcW w:w="2889" w:type="dxa"/>
            <w:tcBorders>
              <w:top w:val="single" w:sz="4" w:space="0" w:color="000000"/>
              <w:left w:val="single" w:sz="4" w:space="0" w:color="000000"/>
              <w:bottom w:val="single" w:sz="4" w:space="0" w:color="auto"/>
              <w:right w:val="single" w:sz="4"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trust regarding Robo advisory compared to human advisory</w:t>
            </w:r>
          </w:p>
        </w:tc>
        <w:tc>
          <w:tcPr>
            <w:tcW w:w="2889" w:type="dxa"/>
            <w:tcBorders>
              <w:top w:val="single" w:sz="4" w:space="0" w:color="000000"/>
              <w:left w:val="single" w:sz="4" w:space="0" w:color="000000"/>
              <w:bottom w:val="single" w:sz="4" w:space="0" w:color="auto"/>
              <w:right w:val="nil"/>
            </w:tcBorders>
          </w:tcPr>
          <w:p w:rsidR="007212F6" w:rsidRPr="00D30028" w:rsidRDefault="007212F6" w:rsidP="007212F6">
            <w:pPr>
              <w:spacing w:line="360" w:lineRule="auto"/>
              <w:ind w:left="2" w:hanging="2"/>
              <w:jc w:val="both"/>
              <w:rPr>
                <w:rFonts w:ascii="Times New Roman" w:hAnsi="Times New Roman"/>
              </w:rPr>
            </w:pPr>
            <w:r w:rsidRPr="00D30028">
              <w:rPr>
                <w:rFonts w:ascii="Times New Roman" w:hAnsi="Times New Roman"/>
              </w:rPr>
              <w:t>The more an individual's faith in Robo-advisors, the greater the likelihood they will choose to work with them.</w:t>
            </w:r>
          </w:p>
        </w:tc>
      </w:tr>
    </w:tbl>
    <w:p w:rsidR="007212F6" w:rsidRPr="00732544" w:rsidRDefault="007212F6" w:rsidP="007212F6">
      <w:pPr>
        <w:ind w:left="12" w:hanging="10"/>
        <w:jc w:val="both"/>
        <w:rPr>
          <w:sz w:val="6"/>
        </w:rPr>
      </w:pPr>
    </w:p>
    <w:p w:rsidR="007212F6" w:rsidRPr="00516072" w:rsidRDefault="007212F6" w:rsidP="007212F6">
      <w:pPr>
        <w:spacing w:line="360" w:lineRule="auto"/>
        <w:ind w:left="12" w:hanging="10"/>
        <w:jc w:val="both"/>
      </w:pPr>
      <w:r w:rsidRPr="00516072">
        <w:t>Table 3.2: Independent Variables described</w:t>
      </w:r>
    </w:p>
    <w:p w:rsidR="007212F6" w:rsidRPr="00EE1AA4" w:rsidRDefault="007212F6" w:rsidP="007212F6">
      <w:pPr>
        <w:pStyle w:val="Heading3"/>
        <w:tabs>
          <w:tab w:val="center" w:pos="1506"/>
        </w:tabs>
        <w:jc w:val="both"/>
        <w:rPr>
          <w:sz w:val="10"/>
        </w:rPr>
      </w:pPr>
      <w:bookmarkStart w:id="30" w:name="_Toc105656"/>
    </w:p>
    <w:p w:rsidR="007212F6" w:rsidRPr="00500CB5" w:rsidRDefault="007212F6" w:rsidP="007212F6">
      <w:pPr>
        <w:pStyle w:val="Heading3"/>
        <w:tabs>
          <w:tab w:val="center" w:pos="1506"/>
        </w:tabs>
        <w:spacing w:line="360" w:lineRule="auto"/>
        <w:jc w:val="both"/>
        <w:rPr>
          <w:color w:val="000000" w:themeColor="text1"/>
        </w:rPr>
      </w:pPr>
      <w:bookmarkStart w:id="31" w:name="_Toc113387225"/>
      <w:r w:rsidRPr="00500CB5">
        <w:rPr>
          <w:color w:val="000000" w:themeColor="text1"/>
        </w:rPr>
        <w:t>3.2.3</w:t>
      </w:r>
      <w:r w:rsidRPr="00500CB5">
        <w:rPr>
          <w:color w:val="000000" w:themeColor="text1"/>
        </w:rPr>
        <w:tab/>
        <w:t xml:space="preserve"> Descriptive Statistics</w:t>
      </w:r>
      <w:bookmarkEnd w:id="30"/>
      <w:bookmarkEnd w:id="31"/>
    </w:p>
    <w:p w:rsidR="007212F6" w:rsidRDefault="007212F6" w:rsidP="007212F6">
      <w:pPr>
        <w:spacing w:line="360" w:lineRule="auto"/>
        <w:ind w:left="12" w:right="14"/>
        <w:jc w:val="both"/>
      </w:pPr>
      <w:r>
        <w:tab/>
        <w:t>Table 3.3 shows descriptive statistics for the 435 survey participants. The variables differ in their observations because no survey question was required, and respondents may have to skip a question or not receive a question depending on their past responses.</w:t>
      </w:r>
    </w:p>
    <w:p w:rsidR="007212F6" w:rsidRPr="004A5233" w:rsidRDefault="007212F6" w:rsidP="007212F6">
      <w:pPr>
        <w:spacing w:line="360" w:lineRule="auto"/>
        <w:ind w:left="12" w:right="14"/>
        <w:jc w:val="both"/>
        <w:rPr>
          <w:sz w:val="8"/>
        </w:rPr>
      </w:pPr>
    </w:p>
    <w:tbl>
      <w:tblPr>
        <w:tblStyle w:val="TableGrid"/>
        <w:tblW w:w="8420" w:type="dxa"/>
        <w:tblInd w:w="-860" w:type="dxa"/>
        <w:tblCellMar>
          <w:top w:w="16" w:type="dxa"/>
          <w:left w:w="101" w:type="dxa"/>
          <w:right w:w="101" w:type="dxa"/>
        </w:tblCellMar>
        <w:tblLook w:val="04A0" w:firstRow="1" w:lastRow="0" w:firstColumn="1" w:lastColumn="0" w:noHBand="0" w:noVBand="1"/>
      </w:tblPr>
      <w:tblGrid>
        <w:gridCol w:w="1640"/>
        <w:gridCol w:w="1290"/>
        <w:gridCol w:w="2931"/>
        <w:gridCol w:w="2559"/>
      </w:tblGrid>
      <w:tr w:rsidR="007212F6" w:rsidRPr="00516072" w:rsidTr="007212F6">
        <w:trPr>
          <w:trHeight w:val="223"/>
        </w:trPr>
        <w:tc>
          <w:tcPr>
            <w:tcW w:w="1640" w:type="dxa"/>
            <w:tcBorders>
              <w:top w:val="single" w:sz="4" w:space="0" w:color="auto"/>
              <w:left w:val="nil"/>
              <w:bottom w:val="single" w:sz="4" w:space="0" w:color="000000"/>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Variable</w:t>
            </w:r>
          </w:p>
        </w:tc>
        <w:tc>
          <w:tcPr>
            <w:tcW w:w="1290" w:type="dxa"/>
            <w:tcBorders>
              <w:top w:val="single" w:sz="4" w:space="0" w:color="auto"/>
              <w:left w:val="single" w:sz="4" w:space="0" w:color="000000"/>
              <w:bottom w:val="single" w:sz="4" w:space="0" w:color="000000"/>
              <w:right w:val="single" w:sz="4" w:space="0" w:color="000000"/>
            </w:tcBorders>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b/>
              </w:rPr>
              <w:t>N</w:t>
            </w:r>
          </w:p>
        </w:tc>
        <w:tc>
          <w:tcPr>
            <w:tcW w:w="2931" w:type="dxa"/>
            <w:tcBorders>
              <w:top w:val="single" w:sz="4" w:space="0" w:color="auto"/>
              <w:left w:val="single" w:sz="4" w:space="0" w:color="000000"/>
              <w:bottom w:val="single" w:sz="4" w:space="0" w:color="000000"/>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Subcategories</w:t>
            </w:r>
          </w:p>
        </w:tc>
        <w:tc>
          <w:tcPr>
            <w:tcW w:w="2559" w:type="dxa"/>
            <w:tcBorders>
              <w:top w:val="single" w:sz="4" w:space="0" w:color="auto"/>
              <w:left w:val="single" w:sz="4" w:space="0" w:color="000000"/>
              <w:bottom w:val="single" w:sz="4" w:space="0" w:color="000000"/>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Respondents in %</w:t>
            </w:r>
          </w:p>
        </w:tc>
      </w:tr>
      <w:tr w:rsidR="007212F6" w:rsidRPr="00516072" w:rsidTr="007212F6">
        <w:trPr>
          <w:trHeight w:val="216"/>
        </w:trPr>
        <w:tc>
          <w:tcPr>
            <w:tcW w:w="1640" w:type="dxa"/>
            <w:tcBorders>
              <w:top w:val="single" w:sz="4" w:space="0" w:color="000000"/>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Securities</w:t>
            </w:r>
          </w:p>
        </w:tc>
        <w:tc>
          <w:tcPr>
            <w:tcW w:w="1290" w:type="dxa"/>
            <w:tcBorders>
              <w:top w:val="single" w:sz="4" w:space="0" w:color="000000"/>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433</w:t>
            </w:r>
          </w:p>
        </w:tc>
        <w:tc>
          <w:tcPr>
            <w:tcW w:w="2931" w:type="dxa"/>
            <w:tcBorders>
              <w:top w:val="single" w:sz="4" w:space="0" w:color="000000"/>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Yes</w:t>
            </w:r>
          </w:p>
        </w:tc>
        <w:tc>
          <w:tcPr>
            <w:tcW w:w="2559" w:type="dxa"/>
            <w:tcBorders>
              <w:top w:val="single" w:sz="4" w:space="0" w:color="000000"/>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Robo-advisory</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388</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Yes</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87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Gender</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435</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Male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61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Female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Age</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435</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Under 18</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18 - 35</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73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36 - 50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Over 50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Education</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433</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Elementary school</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 School</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Vocational education</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Bachelor’s Degree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Master’s Degree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Doctor of Philosophy</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Income</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432</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0 - 20 000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20 001 - 30 000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30 001 - 40 000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40 001 - 50 000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Over 50 000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16</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Monthly Savings</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434</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Less than 100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100 - 300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301 - 500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501 - 1 000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1 000 - 5 000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More than 5 000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Risk_ps</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434</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w:t>
            </w:r>
            <w:r>
              <w:rPr>
                <w:rFonts w:ascii="Times New Roman" w:hAnsi="Times New Roman"/>
              </w:rPr>
              <w:t xml:space="preserve"> </w:t>
            </w:r>
            <w:r w:rsidRPr="00516072">
              <w:rPr>
                <w:rFonts w:ascii="Times New Roman" w:hAnsi="Times New Roman"/>
              </w:rPr>
              <w:t>n</w:t>
            </w:r>
            <w:r>
              <w:rPr>
                <w:rFonts w:ascii="Times New Roman" w:hAnsi="Times New Roman"/>
              </w:rPr>
              <w:t>o</w:t>
            </w:r>
            <w:r w:rsidRPr="00516072">
              <w:rPr>
                <w:rFonts w:ascii="Times New Roman" w:hAnsi="Times New Roman"/>
              </w:rPr>
              <w:t>t want to take any risk at all</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want to take minimal risk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Some risk is ok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 xml:space="preserve">I want to take </w:t>
            </w:r>
            <w:r w:rsidR="000D7431">
              <w:rPr>
                <w:rFonts w:ascii="Times New Roman" w:hAnsi="Times New Roman"/>
              </w:rPr>
              <w:t xml:space="preserve">a </w:t>
            </w:r>
            <w:r w:rsidRPr="00516072">
              <w:rPr>
                <w:rFonts w:ascii="Times New Roman" w:hAnsi="Times New Roman"/>
              </w:rPr>
              <w:t>risk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 xml:space="preserve">I want to take </w:t>
            </w:r>
            <w:r w:rsidR="000D7431">
              <w:rPr>
                <w:rFonts w:ascii="Times New Roman" w:hAnsi="Times New Roman"/>
              </w:rPr>
              <w:t xml:space="preserve">the </w:t>
            </w:r>
            <w:r w:rsidRPr="00516072">
              <w:rPr>
                <w:rFonts w:ascii="Times New Roman" w:hAnsi="Times New Roman"/>
              </w:rPr>
              <w:t>high risk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16</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Risk_hr</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393</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Return</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392</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Cost</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365</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18</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Usability</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394</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16</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17</w:t>
            </w:r>
          </w:p>
        </w:tc>
      </w:tr>
      <w:tr w:rsidR="007212F6" w:rsidRPr="00516072" w:rsidTr="007212F6">
        <w:trPr>
          <w:trHeight w:val="220"/>
        </w:trPr>
        <w:tc>
          <w:tcPr>
            <w:tcW w:w="1640" w:type="dxa"/>
            <w:tcBorders>
              <w:top w:val="nil"/>
              <w:left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25</w:t>
            </w:r>
          </w:p>
        </w:tc>
      </w:tr>
      <w:tr w:rsidR="007212F6" w:rsidRPr="00516072" w:rsidTr="007212F6">
        <w:trPr>
          <w:trHeight w:val="220"/>
        </w:trPr>
        <w:tc>
          <w:tcPr>
            <w:tcW w:w="1640" w:type="dxa"/>
            <w:tcBorders>
              <w:top w:val="nil"/>
              <w:left w:val="nil"/>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Trust</w:t>
            </w:r>
          </w:p>
        </w:tc>
        <w:tc>
          <w:tcPr>
            <w:tcW w:w="1290"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391</w:t>
            </w:r>
          </w:p>
        </w:tc>
        <w:tc>
          <w:tcPr>
            <w:tcW w:w="2931"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Robo-advisor</w:t>
            </w:r>
          </w:p>
        </w:tc>
        <w:tc>
          <w:tcPr>
            <w:tcW w:w="2559" w:type="dxa"/>
            <w:tcBorders>
              <w:top w:val="nil"/>
              <w:left w:val="single" w:sz="4"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23</w:t>
            </w:r>
          </w:p>
        </w:tc>
      </w:tr>
      <w:tr w:rsidR="007212F6" w:rsidRPr="00516072" w:rsidTr="007212F6">
        <w:trPr>
          <w:trHeight w:val="220"/>
        </w:trPr>
        <w:tc>
          <w:tcPr>
            <w:tcW w:w="1640" w:type="dxa"/>
            <w:tcBorders>
              <w:top w:val="nil"/>
              <w:left w:val="nil"/>
              <w:bottom w:val="nil"/>
              <w:right w:val="single" w:sz="4"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Human advisor</w:t>
            </w:r>
          </w:p>
        </w:tc>
        <w:tc>
          <w:tcPr>
            <w:tcW w:w="2559" w:type="dxa"/>
            <w:tcBorders>
              <w:top w:val="nil"/>
              <w:left w:val="single" w:sz="4"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49</w:t>
            </w:r>
          </w:p>
        </w:tc>
      </w:tr>
      <w:tr w:rsidR="007212F6" w:rsidRPr="00516072" w:rsidTr="007212F6">
        <w:trPr>
          <w:trHeight w:val="227"/>
        </w:trPr>
        <w:tc>
          <w:tcPr>
            <w:tcW w:w="1640" w:type="dxa"/>
            <w:tcBorders>
              <w:top w:val="nil"/>
              <w:left w:val="nil"/>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4" w:space="0" w:color="000000"/>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4" w:space="0" w:color="000000"/>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4" w:space="0" w:color="000000"/>
              <w:bottom w:val="single" w:sz="4" w:space="0" w:color="auto"/>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37</w:t>
            </w:r>
          </w:p>
        </w:tc>
      </w:tr>
    </w:tbl>
    <w:p w:rsidR="007212F6" w:rsidRPr="00CA741B" w:rsidRDefault="007212F6" w:rsidP="007212F6">
      <w:pPr>
        <w:ind w:left="12" w:firstLine="3"/>
        <w:jc w:val="both"/>
        <w:rPr>
          <w:sz w:val="8"/>
        </w:rPr>
      </w:pPr>
    </w:p>
    <w:p w:rsidR="007212F6" w:rsidRDefault="007212F6" w:rsidP="007212F6">
      <w:pPr>
        <w:spacing w:line="360" w:lineRule="auto"/>
        <w:ind w:left="12" w:firstLine="3"/>
        <w:jc w:val="both"/>
      </w:pPr>
      <w:r w:rsidRPr="00516072">
        <w:t>Table 3.3: Descriptive statistics for all depe</w:t>
      </w:r>
      <w:r>
        <w:t>ndent and independent variables</w:t>
      </w:r>
    </w:p>
    <w:p w:rsidR="007212F6" w:rsidRPr="00D0761F" w:rsidRDefault="007212F6" w:rsidP="007212F6">
      <w:pPr>
        <w:spacing w:line="360" w:lineRule="auto"/>
        <w:jc w:val="both"/>
      </w:pPr>
      <w:r w:rsidRPr="00D0761F">
        <w:tab/>
        <w:t>Upon being asked if they have ever invested in securities, 433 individuals provided an answer. According to the results, most respondents (90%) have made or are investing in the stock market. To determine how many people had invested in Robo advisory services, 388 people took the survey. Results show that few people have used Robo-advisors to invest their money. The vast majority of the 435 responders were young adult males (ages 18–35). Most of our respondents hold a bachelor's degree and make between 30,000 and 40,000 Canadian $ per year; the monthly savings data shows that the majority save between 1,000 and 5,000 Canadian $ per month. The vast majority of our respondents are willing to take some calculated risks.</w:t>
      </w:r>
    </w:p>
    <w:p w:rsidR="007212F6" w:rsidRPr="00D0761F" w:rsidRDefault="007212F6" w:rsidP="007212F6">
      <w:pPr>
        <w:spacing w:line="360" w:lineRule="auto"/>
        <w:jc w:val="both"/>
      </w:pPr>
      <w:r>
        <w:tab/>
      </w:r>
      <w:r w:rsidRPr="00D0761F">
        <w:t>When asked how they felt about Robo-advisors and human advisors compared to risk, return, cost, and usability, most respondents said they saw no difference in risk. In addition, they reported that Robo-advise provided the same or better return on investment and cost less than human advisory. When asked about usability, most respondents said they thought Robo-advisors were more straightforward to use than human advisors.</w:t>
      </w:r>
    </w:p>
    <w:p w:rsidR="007212F6" w:rsidRPr="004B2924" w:rsidRDefault="007212F6" w:rsidP="007212F6">
      <w:pPr>
        <w:spacing w:line="360" w:lineRule="auto"/>
        <w:ind w:left="12" w:firstLine="3"/>
        <w:jc w:val="both"/>
        <w:rPr>
          <w:b/>
          <w:sz w:val="12"/>
        </w:rPr>
      </w:pPr>
      <w:r>
        <w:tab/>
      </w:r>
      <w:r w:rsidRPr="00D0761F">
        <w:t xml:space="preserve">However, most respondents said they would instead take a human </w:t>
      </w:r>
      <w:r w:rsidR="000D7431">
        <w:t>counselor’s</w:t>
      </w:r>
      <w:r w:rsidRPr="00D0761F">
        <w:t xml:space="preserve"> advice than a computer program. Another 37% are unsure whether they would be more likely to follow the advice of a human or a robot advisor.</w:t>
      </w:r>
    </w:p>
    <w:p w:rsidR="007212F6" w:rsidRPr="00516072" w:rsidRDefault="007212F6" w:rsidP="007212F6">
      <w:pPr>
        <w:tabs>
          <w:tab w:val="center" w:pos="1344"/>
        </w:tabs>
        <w:spacing w:line="360" w:lineRule="auto"/>
        <w:jc w:val="both"/>
      </w:pPr>
      <w:r w:rsidRPr="00516072">
        <w:rPr>
          <w:b/>
        </w:rPr>
        <w:t>3.2.3.1</w:t>
      </w:r>
      <w:r w:rsidRPr="00516072">
        <w:rPr>
          <w:b/>
        </w:rPr>
        <w:tab/>
        <w:t>Modified Data</w:t>
      </w:r>
    </w:p>
    <w:p w:rsidR="007212F6" w:rsidRPr="003359A9" w:rsidRDefault="007212F6" w:rsidP="007212F6">
      <w:pPr>
        <w:spacing w:line="360" w:lineRule="auto"/>
        <w:ind w:left="12" w:right="14"/>
        <w:jc w:val="both"/>
      </w:pPr>
      <w:r w:rsidRPr="003359A9">
        <w:tab/>
        <w:t xml:space="preserve">Examining the data, we found that a handful of the potential responses received negligible votes. </w:t>
      </w:r>
      <w:r w:rsidR="000D7431">
        <w:t>To</w:t>
      </w:r>
      <w:r w:rsidRPr="003359A9">
        <w:t xml:space="preserve"> limit the number of outliers and the degree of skewness, we combined the options with the fewest responses (Carter-Hill, Griffiths &amp; Lim 2011). Since no one under 18 selected this option, we also removed it. Table 3.4 lists the revised variables and the new response choices. The table's commented rows indicate which options have been changed, while the uncommented rows indicate which options have been left unchanged. We combined the options with no difference, and I do not know </w:t>
      </w:r>
      <w:r w:rsidR="000D7431">
        <w:t>about</w:t>
      </w:r>
      <w:r w:rsidRPr="003359A9">
        <w:t xml:space="preserve"> </w:t>
      </w:r>
      <w:r w:rsidR="000D7431">
        <w:t>the v</w:t>
      </w:r>
      <w:r w:rsidR="000D7431" w:rsidRPr="003359A9">
        <w:t>a</w:t>
      </w:r>
      <w:r w:rsidR="000D7431">
        <w:t>luablenes</w:t>
      </w:r>
      <w:r w:rsidR="000D7431" w:rsidRPr="003359A9">
        <w:t>s</w:t>
      </w:r>
      <w:r w:rsidRPr="003359A9">
        <w:t xml:space="preserve"> risk hr, return, cost, and usability because their meanings were so close.</w:t>
      </w:r>
    </w:p>
    <w:tbl>
      <w:tblPr>
        <w:tblStyle w:val="TableGrid"/>
        <w:tblW w:w="8198" w:type="dxa"/>
        <w:tblInd w:w="82" w:type="dxa"/>
        <w:tblCellMar>
          <w:top w:w="30" w:type="dxa"/>
          <w:left w:w="72" w:type="dxa"/>
          <w:right w:w="89" w:type="dxa"/>
        </w:tblCellMar>
        <w:tblLook w:val="04A0" w:firstRow="1" w:lastRow="0" w:firstColumn="1" w:lastColumn="0" w:noHBand="0" w:noVBand="1"/>
      </w:tblPr>
      <w:tblGrid>
        <w:gridCol w:w="1503"/>
        <w:gridCol w:w="3275"/>
        <w:gridCol w:w="3420"/>
      </w:tblGrid>
      <w:tr w:rsidR="007212F6" w:rsidRPr="00516072" w:rsidTr="007212F6">
        <w:trPr>
          <w:trHeight w:val="230"/>
        </w:trPr>
        <w:tc>
          <w:tcPr>
            <w:tcW w:w="1503" w:type="dxa"/>
            <w:tcBorders>
              <w:top w:val="single" w:sz="4" w:space="0" w:color="auto"/>
              <w:left w:val="nil"/>
              <w:bottom w:val="single" w:sz="4" w:space="0" w:color="000000"/>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b/>
              </w:rPr>
              <w:t>Variable</w:t>
            </w:r>
          </w:p>
        </w:tc>
        <w:tc>
          <w:tcPr>
            <w:tcW w:w="3275" w:type="dxa"/>
            <w:tcBorders>
              <w:top w:val="single" w:sz="4" w:space="0" w:color="auto"/>
              <w:left w:val="single" w:sz="4" w:space="0" w:color="000000"/>
              <w:bottom w:val="single" w:sz="4" w:space="0" w:color="000000"/>
              <w:right w:val="single" w:sz="4" w:space="0" w:color="000000"/>
            </w:tcBorders>
          </w:tcPr>
          <w:p w:rsidR="007212F6" w:rsidRPr="00516072" w:rsidRDefault="007212F6" w:rsidP="007212F6">
            <w:pPr>
              <w:spacing w:line="360" w:lineRule="auto"/>
              <w:ind w:left="13"/>
              <w:jc w:val="both"/>
              <w:rPr>
                <w:rFonts w:ascii="Times New Roman" w:hAnsi="Times New Roman"/>
              </w:rPr>
            </w:pPr>
            <w:r w:rsidRPr="00516072">
              <w:rPr>
                <w:rFonts w:ascii="Times New Roman" w:hAnsi="Times New Roman"/>
                <w:b/>
              </w:rPr>
              <w:t>Alternatives</w:t>
            </w:r>
          </w:p>
        </w:tc>
        <w:tc>
          <w:tcPr>
            <w:tcW w:w="3420" w:type="dxa"/>
            <w:tcBorders>
              <w:top w:val="single" w:sz="4" w:space="0" w:color="auto"/>
              <w:left w:val="single" w:sz="4" w:space="0" w:color="000000"/>
              <w:bottom w:val="single" w:sz="4"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b/>
              </w:rPr>
              <w:t>Modified Alternatives</w:t>
            </w:r>
          </w:p>
        </w:tc>
      </w:tr>
      <w:tr w:rsidR="007212F6" w:rsidRPr="00516072" w:rsidTr="007212F6">
        <w:trPr>
          <w:trHeight w:val="228"/>
        </w:trPr>
        <w:tc>
          <w:tcPr>
            <w:tcW w:w="1503" w:type="dxa"/>
            <w:tcBorders>
              <w:top w:val="single" w:sz="4"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Age</w:t>
            </w:r>
          </w:p>
        </w:tc>
        <w:tc>
          <w:tcPr>
            <w:tcW w:w="3275" w:type="dxa"/>
            <w:tcBorders>
              <w:top w:val="single" w:sz="4"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Under 18 (dropped)</w:t>
            </w:r>
          </w:p>
        </w:tc>
        <w:tc>
          <w:tcPr>
            <w:tcW w:w="3420" w:type="dxa"/>
            <w:tcBorders>
              <w:top w:val="single" w:sz="4" w:space="0" w:color="000000"/>
              <w:left w:val="single" w:sz="3" w:space="0" w:color="000000"/>
              <w:bottom w:val="nil"/>
              <w:right w:val="nil"/>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 xml:space="preserve">18 </w:t>
            </w:r>
            <w:r>
              <w:rPr>
                <w:rFonts w:ascii="Times New Roman" w:hAnsi="Times New Roman"/>
              </w:rPr>
              <w:t>–</w:t>
            </w:r>
            <w:r w:rsidRPr="00516072">
              <w:rPr>
                <w:rFonts w:ascii="Times New Roman" w:hAnsi="Times New Roman"/>
              </w:rPr>
              <w:t xml:space="preserve"> 35</w:t>
            </w:r>
          </w:p>
        </w:tc>
      </w:tr>
      <w:tr w:rsidR="007212F6" w:rsidRPr="00516072" w:rsidTr="007212F6">
        <w:trPr>
          <w:trHeight w:val="686"/>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 xml:space="preserve">18 </w:t>
            </w:r>
            <w:r>
              <w:rPr>
                <w:rFonts w:ascii="Times New Roman" w:hAnsi="Times New Roman"/>
              </w:rPr>
              <w:t>–</w:t>
            </w:r>
            <w:r w:rsidRPr="00516072">
              <w:rPr>
                <w:rFonts w:ascii="Times New Roman" w:hAnsi="Times New Roman"/>
              </w:rPr>
              <w:t xml:space="preserve"> 35</w:t>
            </w:r>
          </w:p>
          <w:p w:rsidR="007212F6" w:rsidRPr="00516072" w:rsidRDefault="007212F6" w:rsidP="007212F6">
            <w:pPr>
              <w:spacing w:line="360" w:lineRule="auto"/>
              <w:ind w:left="17"/>
              <w:jc w:val="both"/>
              <w:rPr>
                <w:rFonts w:ascii="Times New Roman" w:hAnsi="Times New Roman"/>
              </w:rPr>
            </w:pPr>
            <w:r w:rsidRPr="00516072">
              <w:rPr>
                <w:rFonts w:ascii="Times New Roman" w:hAnsi="Times New Roman"/>
              </w:rPr>
              <w:t>36 - 50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Over 50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Over 36</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Education</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Elementary School (merged)</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Bachelor’s degree and under</w:t>
            </w:r>
          </w:p>
        </w:tc>
      </w:tr>
      <w:tr w:rsidR="007212F6" w:rsidRPr="00516072" w:rsidTr="007212F6">
        <w:trPr>
          <w:trHeight w:val="1140"/>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 School (merged)</w:t>
            </w:r>
          </w:p>
          <w:p w:rsidR="007212F6" w:rsidRPr="00516072" w:rsidRDefault="007212F6" w:rsidP="007212F6">
            <w:pPr>
              <w:spacing w:line="360" w:lineRule="auto"/>
              <w:ind w:left="15"/>
              <w:jc w:val="both"/>
              <w:rPr>
                <w:rFonts w:ascii="Times New Roman" w:hAnsi="Times New Roman"/>
              </w:rPr>
            </w:pPr>
            <w:r w:rsidRPr="00516072">
              <w:rPr>
                <w:rFonts w:ascii="Times New Roman" w:hAnsi="Times New Roman"/>
              </w:rPr>
              <w:t>Vocational education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Bachelor’s degree (merged) Master’s degree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Doctor of Philosophy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Master’s degree and above</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Monthly savings</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0 (merged)</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Less than 501</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Less than 100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501 - 1 000</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100 - 300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1 001 - 5 000</w:t>
            </w:r>
          </w:p>
        </w:tc>
      </w:tr>
      <w:tr w:rsidR="007212F6" w:rsidRPr="00516072" w:rsidTr="007212F6">
        <w:trPr>
          <w:trHeight w:val="913"/>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17"/>
              <w:jc w:val="both"/>
              <w:rPr>
                <w:rFonts w:ascii="Times New Roman" w:hAnsi="Times New Roman"/>
              </w:rPr>
            </w:pPr>
            <w:r w:rsidRPr="00516072">
              <w:rPr>
                <w:rFonts w:ascii="Times New Roman" w:hAnsi="Times New Roman"/>
              </w:rPr>
              <w:t>301 - 500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501 - 1 000</w:t>
            </w:r>
          </w:p>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1 001 - 5 000</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More than 5 000</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More than 5 000</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Risk_ps</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 xml:space="preserve">I want to take </w:t>
            </w:r>
            <w:r w:rsidR="000D7431">
              <w:rPr>
                <w:rFonts w:ascii="Times New Roman" w:hAnsi="Times New Roman"/>
              </w:rPr>
              <w:t>the high-risk</w:t>
            </w:r>
            <w:r w:rsidRPr="00516072">
              <w:rPr>
                <w:rFonts w:ascii="Times New Roman" w:hAnsi="Times New Roman"/>
              </w:rPr>
              <w:t xml:space="preserve"> (merged)</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Risk lover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 xml:space="preserve">I want to take </w:t>
            </w:r>
            <w:r w:rsidR="000D7431">
              <w:rPr>
                <w:rFonts w:ascii="Times New Roman" w:hAnsi="Times New Roman"/>
              </w:rPr>
              <w:t xml:space="preserve">the </w:t>
            </w:r>
            <w:r w:rsidRPr="00516072">
              <w:rPr>
                <w:rFonts w:ascii="Times New Roman" w:hAnsi="Times New Roman"/>
              </w:rPr>
              <w:t>risk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Some risk is ok</w:t>
            </w:r>
          </w:p>
        </w:tc>
      </w:tr>
      <w:tr w:rsidR="007212F6" w:rsidRPr="00516072" w:rsidTr="007212F6">
        <w:trPr>
          <w:trHeight w:val="1140"/>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Some risk is ok</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want to take minimal risk</w:t>
            </w:r>
          </w:p>
          <w:p w:rsidR="007212F6" w:rsidRPr="00516072" w:rsidRDefault="007212F6" w:rsidP="007212F6">
            <w:pPr>
              <w:spacing w:line="360" w:lineRule="auto"/>
              <w:jc w:val="both"/>
              <w:rPr>
                <w:rFonts w:ascii="Times New Roman" w:hAnsi="Times New Roman"/>
              </w:rPr>
            </w:pPr>
            <w:r w:rsidRPr="00516072">
              <w:rPr>
                <w:rFonts w:ascii="Times New Roman" w:hAnsi="Times New Roman"/>
              </w:rPr>
              <w:t>(merged)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 xml:space="preserve">I do not want to take any </w:t>
            </w:r>
            <w:r w:rsidR="000D7431">
              <w:rPr>
                <w:rFonts w:ascii="Times New Roman" w:hAnsi="Times New Roman"/>
              </w:rPr>
              <w:t>risks</w:t>
            </w:r>
            <w:r w:rsidRPr="00516072">
              <w:rPr>
                <w:rFonts w:ascii="Times New Roman" w:hAnsi="Times New Roman"/>
              </w:rPr>
              <w:t xml:space="preserve"> at</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all (merged)</w:t>
            </w:r>
          </w:p>
        </w:tc>
        <w:tc>
          <w:tcPr>
            <w:tcW w:w="3420" w:type="dxa"/>
            <w:tcBorders>
              <w:top w:val="nil"/>
              <w:left w:val="single" w:sz="3" w:space="0" w:color="000000"/>
              <w:bottom w:val="single" w:sz="3" w:space="0" w:color="000000"/>
              <w:right w:val="nil"/>
            </w:tcBorders>
          </w:tcPr>
          <w:p w:rsidR="007212F6" w:rsidRPr="00516072" w:rsidRDefault="000D7431" w:rsidP="007212F6">
            <w:pPr>
              <w:spacing w:line="360" w:lineRule="auto"/>
              <w:ind w:left="22"/>
              <w:jc w:val="both"/>
              <w:rPr>
                <w:rFonts w:ascii="Times New Roman" w:hAnsi="Times New Roman"/>
              </w:rPr>
            </w:pPr>
            <w:r>
              <w:rPr>
                <w:rFonts w:ascii="Times New Roman" w:hAnsi="Times New Roman"/>
              </w:rPr>
              <w:t>Risk-averse</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Risk_hr</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9"/>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Return</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9"/>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Cost</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9"/>
        </w:trPr>
        <w:tc>
          <w:tcPr>
            <w:tcW w:w="1503" w:type="dxa"/>
            <w:tcBorders>
              <w:top w:val="nil"/>
              <w:left w:val="nil"/>
              <w:bottom w:val="single" w:sz="4"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4"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3" w:space="0" w:color="000000"/>
              <w:bottom w:val="single" w:sz="4"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r w:rsidR="007212F6" w:rsidRPr="00516072" w:rsidTr="007212F6">
        <w:trPr>
          <w:trHeight w:val="228"/>
        </w:trPr>
        <w:tc>
          <w:tcPr>
            <w:tcW w:w="1503" w:type="dxa"/>
            <w:tcBorders>
              <w:top w:val="single" w:sz="4" w:space="0" w:color="000000"/>
              <w:left w:val="nil"/>
              <w:bottom w:val="nil"/>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Usability</w:t>
            </w:r>
          </w:p>
        </w:tc>
        <w:tc>
          <w:tcPr>
            <w:tcW w:w="3275" w:type="dxa"/>
            <w:tcBorders>
              <w:top w:val="single" w:sz="4" w:space="0" w:color="000000"/>
              <w:left w:val="single" w:sz="4" w:space="0" w:color="000000"/>
              <w:bottom w:val="nil"/>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4" w:space="0" w:color="000000"/>
              <w:left w:val="single" w:sz="4"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4"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4" w:space="0" w:color="000000"/>
              <w:bottom w:val="nil"/>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4"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6"/>
        </w:trPr>
        <w:tc>
          <w:tcPr>
            <w:tcW w:w="1503" w:type="dxa"/>
            <w:tcBorders>
              <w:top w:val="nil"/>
              <w:left w:val="nil"/>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4" w:space="0" w:color="000000"/>
              <w:bottom w:val="single" w:sz="4" w:space="0" w:color="auto"/>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4" w:space="0" w:color="000000"/>
              <w:bottom w:val="single" w:sz="4" w:space="0" w:color="auto"/>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bl>
    <w:p w:rsidR="007212F6" w:rsidRPr="00236293" w:rsidRDefault="007212F6" w:rsidP="007212F6">
      <w:pPr>
        <w:ind w:left="12" w:right="32" w:hanging="10"/>
        <w:jc w:val="both"/>
        <w:rPr>
          <w:sz w:val="12"/>
        </w:rPr>
      </w:pPr>
    </w:p>
    <w:p w:rsidR="007212F6" w:rsidRPr="00516072" w:rsidRDefault="007212F6" w:rsidP="007212F6">
      <w:pPr>
        <w:spacing w:line="360" w:lineRule="auto"/>
        <w:ind w:left="12" w:right="32" w:hanging="10"/>
        <w:jc w:val="both"/>
      </w:pPr>
      <w:r w:rsidRPr="00516072">
        <w:t xml:space="preserve">Table 3.4: Modified </w:t>
      </w:r>
      <w:r>
        <w:t>D</w:t>
      </w:r>
      <w:r w:rsidRPr="00516072">
        <w:t>ata</w:t>
      </w:r>
    </w:p>
    <w:p w:rsidR="007212F6" w:rsidRPr="00516072" w:rsidRDefault="007212F6" w:rsidP="007212F6">
      <w:pPr>
        <w:tabs>
          <w:tab w:val="center" w:pos="1842"/>
        </w:tabs>
        <w:spacing w:line="360" w:lineRule="auto"/>
        <w:jc w:val="both"/>
      </w:pPr>
      <w:r w:rsidRPr="00516072">
        <w:rPr>
          <w:b/>
        </w:rPr>
        <w:t>3.2.3.2</w:t>
      </w:r>
      <w:r w:rsidRPr="00516072">
        <w:rPr>
          <w:b/>
        </w:rPr>
        <w:tab/>
      </w:r>
      <w:r>
        <w:rPr>
          <w:b/>
        </w:rPr>
        <w:t xml:space="preserve"> Comparative DataS</w:t>
      </w:r>
      <w:r w:rsidRPr="00516072">
        <w:rPr>
          <w:b/>
        </w:rPr>
        <w:t>ets</w:t>
      </w:r>
    </w:p>
    <w:p w:rsidR="007212F6" w:rsidRPr="00590CC9" w:rsidRDefault="007212F6" w:rsidP="007212F6">
      <w:pPr>
        <w:spacing w:line="360" w:lineRule="auto"/>
        <w:jc w:val="both"/>
      </w:pPr>
      <w:r w:rsidRPr="00590CC9">
        <w:tab/>
        <w:t>This dataset may not be typical of Canada because only 435 persons responded to the survey. However, the country now has an estimated 38,451,490 residents, according to the world meters elaborated version of the current United Nations data. Several representative variables will be compared with statistics to evaluate whether the data set is.</w:t>
      </w:r>
    </w:p>
    <w:p w:rsidR="007212F6" w:rsidRPr="00590CC9" w:rsidRDefault="007212F6" w:rsidP="007212F6">
      <w:pPr>
        <w:spacing w:line="360" w:lineRule="auto"/>
        <w:jc w:val="both"/>
      </w:pPr>
      <w:r>
        <w:tab/>
      </w:r>
      <w:r w:rsidRPr="00590CC9">
        <w:t xml:space="preserve">About 50.36 </w:t>
      </w:r>
      <w:r w:rsidR="000D7431">
        <w:t>percent</w:t>
      </w:r>
      <w:r w:rsidRPr="00590CC9">
        <w:t xml:space="preserve"> of the population, or 38 million people, are female, while 49.64 </w:t>
      </w:r>
      <w:r w:rsidR="00F6032D">
        <w:t>percent are</w:t>
      </w:r>
      <w:r w:rsidRPr="00590CC9">
        <w:t xml:space="preserve"> male. According to the dataset, 61% of respondents were male, 38% were female, and 1% replied "other," indicating that they did not wish to disclose their gender. This suggests that a significantly higher proportion of males than females in Canada participated in the survey.</w:t>
      </w:r>
    </w:p>
    <w:p w:rsidR="007212F6" w:rsidRPr="00590CC9" w:rsidRDefault="007212F6" w:rsidP="007212F6">
      <w:pPr>
        <w:spacing w:line="360" w:lineRule="auto"/>
        <w:jc w:val="both"/>
      </w:pPr>
      <w:r>
        <w:tab/>
      </w:r>
      <w:r w:rsidRPr="00590CC9">
        <w:t>Canada has a population average age of 41. (Worldometer elaboration of the latest United Nations data, 2022). A wide range of ages was represented in the survey. However, the largest single demographic comprised those aged 18 to 35 (73%). Around 20% were in the 36-50 age range, and 7% were in the 50+ bracket. Thus, the average age of the respondents in this dataset is lower than that of the general population of Canada. This is not necessarily a drawback because this demographic is expected to adopt the technology at a higher rate.</w:t>
      </w:r>
    </w:p>
    <w:p w:rsidR="007212F6" w:rsidRPr="00590CC9" w:rsidRDefault="007212F6" w:rsidP="007212F6">
      <w:pPr>
        <w:spacing w:line="360" w:lineRule="auto"/>
        <w:jc w:val="both"/>
      </w:pPr>
      <w:r>
        <w:tab/>
      </w:r>
      <w:r w:rsidRPr="00590CC9">
        <w:t xml:space="preserve">Worldometer's breakdown of the most recent United Nations statistics (2022) shows that the </w:t>
      </w:r>
      <w:r w:rsidR="003F7311">
        <w:t xml:space="preserve">typical educational level </w:t>
      </w:r>
      <w:r w:rsidRPr="00590CC9">
        <w:t xml:space="preserve">is a bachelor's degree or higher. The post-secondary education data in this set will include information about bachelor's, master's, and doctoral degrees. Seventy-six </w:t>
      </w:r>
      <w:r w:rsidR="000D7431">
        <w:t>percent</w:t>
      </w:r>
      <w:r w:rsidRPr="00590CC9">
        <w:t xml:space="preserve"> of those who participated in the survey have a bachelor's degree or higher. Canada's median monthly income is USD 2,975 (world meter elaboration of the latest United Nations data, 2022). Nearly a third of respondents (31%) had incomes of $1,000 or less, most likely because they were students. There are 13% of Canadians whose annual income is between $1001 and 2001, 27% whose income is between $2,000 and $3,000, 14% whose income is between $3,000 and $4,000, and 16% who</w:t>
      </w:r>
      <w:r w:rsidR="003F7311">
        <w:t xml:space="preserve"> earn </w:t>
      </w:r>
      <w:r w:rsidRPr="00590CC9">
        <w:t>over $4,000</w:t>
      </w:r>
      <w:r w:rsidR="003F7311">
        <w:t xml:space="preserve"> annually</w:t>
      </w:r>
      <w:r w:rsidRPr="00590CC9">
        <w:t>. This means that most respondents had incomes inside a narrow band around the median for all of Canada.</w:t>
      </w:r>
    </w:p>
    <w:p w:rsidR="007212F6" w:rsidRPr="00590CC9" w:rsidRDefault="007212F6" w:rsidP="007212F6">
      <w:pPr>
        <w:spacing w:line="360" w:lineRule="auto"/>
        <w:jc w:val="both"/>
      </w:pPr>
      <w:r>
        <w:tab/>
      </w:r>
      <w:r w:rsidRPr="00590CC9">
        <w:t>The net saving ratio for Canadian families was about 16% by 2022. (Worldometer elaboration of the latest United Nations data, 2022). That means the typical Swedish family of four puts away about $5,200 from their $32,800 annual income. Most (42%) of Canadians put away between 1,000 and 5,000 $ annually, while a third (33%) save more than 5,000 $ annually. Students' limited financial resources may help explain why this sample suggests that most respondents save less than the average Canadian.</w:t>
      </w:r>
    </w:p>
    <w:p w:rsidR="007212F6" w:rsidRPr="00590CC9" w:rsidRDefault="007212F6" w:rsidP="007212F6">
      <w:pPr>
        <w:spacing w:line="360" w:lineRule="auto"/>
        <w:ind w:left="12" w:right="14"/>
        <w:jc w:val="both"/>
      </w:pPr>
      <w:r>
        <w:tab/>
      </w:r>
      <w:r w:rsidRPr="00590CC9">
        <w:t xml:space="preserve">Worldometer elaboration of the latest United Nations data (2017) reports that roughly 14% of Canadian residents are stock market investors. We have 11% females and 16% males. (Worldometer elaboration of the latest United Nations data, 2017) Ninety </w:t>
      </w:r>
      <w:r w:rsidR="000D7431">
        <w:t>percent</w:t>
      </w:r>
      <w:r w:rsidRPr="00590CC9">
        <w:t xml:space="preserve"> of respondents in the dataset said they had bought shares, funds, ETFs, certificates, or obligations. Since the survey was publicized by a Canadian bank and the majority of our network comprises people who work in the financial industry, the number of respondents who indicated that they invest in securities is substantially higher in the data set.</w:t>
      </w:r>
    </w:p>
    <w:p w:rsidR="007212F6" w:rsidRPr="00500CB5" w:rsidRDefault="007212F6" w:rsidP="007212F6">
      <w:pPr>
        <w:pStyle w:val="Heading3"/>
        <w:tabs>
          <w:tab w:val="center" w:pos="1986"/>
        </w:tabs>
        <w:spacing w:line="360" w:lineRule="auto"/>
        <w:jc w:val="both"/>
        <w:rPr>
          <w:color w:val="000000" w:themeColor="text1"/>
        </w:rPr>
      </w:pPr>
      <w:bookmarkStart w:id="32" w:name="_Toc105657"/>
      <w:bookmarkStart w:id="33" w:name="_Toc113387226"/>
      <w:r w:rsidRPr="00500CB5">
        <w:rPr>
          <w:color w:val="000000" w:themeColor="text1"/>
        </w:rPr>
        <w:t>3.2.4 Econometric Model</w:t>
      </w:r>
      <w:bookmarkEnd w:id="32"/>
      <w:bookmarkEnd w:id="33"/>
    </w:p>
    <w:p w:rsidR="007212F6" w:rsidRPr="00087801" w:rsidRDefault="007212F6" w:rsidP="007212F6">
      <w:pPr>
        <w:spacing w:line="360" w:lineRule="auto"/>
        <w:ind w:left="12" w:right="14"/>
        <w:jc w:val="both"/>
      </w:pPr>
      <w:r w:rsidRPr="00087801">
        <w:tab/>
        <w:t>The econometric model that was selected for this thesis is presented in this part.</w:t>
      </w:r>
    </w:p>
    <w:p w:rsidR="007212F6" w:rsidRPr="00516072" w:rsidRDefault="007212F6" w:rsidP="007212F6">
      <w:pPr>
        <w:tabs>
          <w:tab w:val="center" w:pos="2378"/>
        </w:tabs>
        <w:spacing w:line="360" w:lineRule="auto"/>
        <w:jc w:val="both"/>
      </w:pPr>
      <w:r>
        <w:rPr>
          <w:b/>
        </w:rPr>
        <w:t xml:space="preserve">3.2.4.1 </w:t>
      </w:r>
      <w:r w:rsidRPr="00516072">
        <w:rPr>
          <w:b/>
        </w:rPr>
        <w:t xml:space="preserve">The Probability </w:t>
      </w:r>
      <w:r>
        <w:rPr>
          <w:b/>
        </w:rPr>
        <w:t>M</w:t>
      </w:r>
      <w:r w:rsidRPr="00516072">
        <w:rPr>
          <w:b/>
        </w:rPr>
        <w:t>odel</w:t>
      </w:r>
    </w:p>
    <w:p w:rsidR="007212F6" w:rsidRPr="00623F44" w:rsidRDefault="007212F6" w:rsidP="007212F6">
      <w:pPr>
        <w:spacing w:line="360" w:lineRule="auto"/>
        <w:jc w:val="both"/>
      </w:pPr>
      <w:r w:rsidRPr="00623F44">
        <w:tab/>
        <w:t xml:space="preserve">Due to the study question, this thesis will include two dependent variables; however, as they are both binary, they can only have a value of one or </w:t>
      </w:r>
      <w:r w:rsidR="00A87304">
        <w:t>nil</w:t>
      </w:r>
      <w:r w:rsidRPr="00623F44">
        <w:t xml:space="preserve">. One suggests that a person has invested in securities and Robo-advisory, whereas </w:t>
      </w:r>
      <w:r w:rsidR="00A87304">
        <w:t>nil</w:t>
      </w:r>
      <w:r w:rsidRPr="00623F44">
        <w:t xml:space="preserve"> indicates that they have not.</w:t>
      </w:r>
      <w:r w:rsidR="006E34EB">
        <w:t xml:space="preserve"> Owing</w:t>
      </w:r>
      <w:r w:rsidRPr="00623F44">
        <w:t xml:space="preserve"> to the binary nature of the </w:t>
      </w:r>
      <w:r w:rsidR="00877B5B">
        <w:t>explanatory</w:t>
      </w:r>
      <w:r w:rsidRPr="00623F44">
        <w:t xml:space="preserve"> variables, two probability (probit) models were utilized as an econometric technique to determine the probabilities that the dependent and independent variables have non-linear relationships. These models determine the likelihood that a person has invested in s</w:t>
      </w:r>
      <w:r w:rsidR="00877B5B">
        <w:t>tocks and shares</w:t>
      </w:r>
      <w:r w:rsidRPr="00623F44">
        <w:t xml:space="preserve"> and </w:t>
      </w:r>
      <w:r w:rsidR="00877B5B">
        <w:t>personal digital finance that</w:t>
      </w:r>
      <w:r w:rsidRPr="00623F44">
        <w:t xml:space="preserve"> explain</w:t>
      </w:r>
      <w:r w:rsidR="00877B5B">
        <w:t>s</w:t>
      </w:r>
      <w:r w:rsidRPr="00623F44">
        <w:t xml:space="preserve"> a person's decision. Advantageously, the probit models do not assume that marginal </w:t>
      </w:r>
      <w:r w:rsidR="00877B5B">
        <w:t>estimated coefficients remain the same</w:t>
      </w:r>
      <w:r w:rsidRPr="00623F44">
        <w:t>. These models ought to be more appropriate than a linear probability model because it is often thought that the marginal impacts decrease as Xi rises. Heteroscedasticity can be ignored because the probit model takes homoscedasticity into account. Carter-Hill, Griffiths, and Lim (2011).</w:t>
      </w:r>
    </w:p>
    <w:p w:rsidR="007212F6" w:rsidRPr="00623F44" w:rsidRDefault="007212F6" w:rsidP="007212F6">
      <w:pPr>
        <w:spacing w:line="360" w:lineRule="auto"/>
        <w:ind w:left="12" w:right="14"/>
        <w:jc w:val="both"/>
      </w:pPr>
      <w:r>
        <w:tab/>
      </w:r>
      <w:r w:rsidRPr="00623F44">
        <w:t>The function F(Zi) calculates the chance pi that an event will occur, where F(Zi) represents the cumulative standardized normal distribution as seen in function 1:</w:t>
      </w:r>
    </w:p>
    <w:p w:rsidR="007212F6" w:rsidRPr="00516072" w:rsidRDefault="007212F6" w:rsidP="007212F6">
      <w:pPr>
        <w:spacing w:line="360" w:lineRule="auto"/>
        <w:ind w:left="12" w:right="14"/>
        <w:jc w:val="both"/>
      </w:pPr>
      <w:r w:rsidRPr="00516072">
        <w:tab/>
      </w:r>
      <w:r w:rsidRPr="00516072">
        <w:rPr>
          <w:i/>
        </w:rPr>
        <w:t>p</w:t>
      </w:r>
      <w:r w:rsidRPr="00516072">
        <w:rPr>
          <w:i/>
          <w:vertAlign w:val="subscript"/>
        </w:rPr>
        <w:t xml:space="preserve">i </w:t>
      </w:r>
      <w:r w:rsidRPr="00516072">
        <w:t xml:space="preserve">= </w:t>
      </w:r>
      <w:r w:rsidRPr="00516072">
        <w:rPr>
          <w:i/>
        </w:rPr>
        <w:t>F</w:t>
      </w:r>
      <w:r w:rsidRPr="00516072">
        <w:t>(</w:t>
      </w:r>
      <w:r w:rsidRPr="00516072">
        <w:rPr>
          <w:i/>
        </w:rPr>
        <w:t>Z</w:t>
      </w:r>
      <w:r w:rsidRPr="00516072">
        <w:rPr>
          <w:i/>
          <w:vertAlign w:val="subscript"/>
        </w:rPr>
        <w:t>i</w:t>
      </w:r>
      <w:r w:rsidRPr="00516072">
        <w:t>)</w:t>
      </w:r>
      <w:r w:rsidRPr="00516072">
        <w:tab/>
        <w:t>(1)</w:t>
      </w:r>
    </w:p>
    <w:p w:rsidR="007212F6" w:rsidRPr="003D331B" w:rsidRDefault="007212F6" w:rsidP="007212F6">
      <w:pPr>
        <w:spacing w:line="360" w:lineRule="auto"/>
        <w:ind w:left="12" w:hanging="2"/>
        <w:jc w:val="both"/>
      </w:pPr>
      <w:r>
        <w:tab/>
      </w:r>
      <w:r>
        <w:tab/>
      </w:r>
      <w:r w:rsidRPr="003D331B">
        <w:t>Two probit models are produced due to the two dependent variables, securities</w:t>
      </w:r>
      <w:r w:rsidR="000D7431">
        <w:t>,</w:t>
      </w:r>
      <w:r w:rsidRPr="003D331B">
        <w:t xml:space="preserve"> and Robo-advisory. The likelihood that a person will buy securities is expressed by function 2:</w:t>
      </w:r>
    </w:p>
    <w:p w:rsidR="007212F6" w:rsidRPr="00516072" w:rsidRDefault="007212F6" w:rsidP="007212F6">
      <w:pPr>
        <w:tabs>
          <w:tab w:val="center" w:pos="3146"/>
          <w:tab w:val="center" w:pos="6681"/>
        </w:tabs>
        <w:spacing w:line="360" w:lineRule="auto"/>
        <w:jc w:val="both"/>
      </w:pPr>
      <w:r w:rsidRPr="00516072">
        <w:tab/>
      </w:r>
      <w:r w:rsidRPr="00516072">
        <w:rPr>
          <w:i/>
        </w:rPr>
        <w:t>p</w:t>
      </w:r>
      <w:r w:rsidRPr="00516072">
        <w:rPr>
          <w:i/>
          <w:vertAlign w:val="subscript"/>
        </w:rPr>
        <w:t xml:space="preserve">i </w:t>
      </w:r>
      <w:r w:rsidRPr="00516072">
        <w:t xml:space="preserve">= </w:t>
      </w:r>
      <w:r w:rsidRPr="00516072">
        <w:rPr>
          <w:i/>
        </w:rPr>
        <w:t>p</w:t>
      </w:r>
      <w:r w:rsidRPr="00516072">
        <w:t>(</w:t>
      </w:r>
      <w:r w:rsidRPr="00516072">
        <w:rPr>
          <w:i/>
        </w:rPr>
        <w:t xml:space="preserve">securities </w:t>
      </w:r>
      <w:r w:rsidRPr="00516072">
        <w:t xml:space="preserve">= 1) = </w:t>
      </w:r>
      <w:r w:rsidRPr="00516072">
        <w:rPr>
          <w:i/>
        </w:rPr>
        <w:t>F</w:t>
      </w:r>
      <w:r w:rsidRPr="00516072">
        <w:t>(</w:t>
      </w:r>
      <w:r w:rsidRPr="00516072">
        <w:rPr>
          <w:i/>
        </w:rPr>
        <w:t>Z</w:t>
      </w:r>
      <w:r w:rsidRPr="00516072">
        <w:rPr>
          <w:i/>
          <w:vertAlign w:val="subscript"/>
        </w:rPr>
        <w:t>i</w:t>
      </w:r>
      <w:r w:rsidRPr="00516072">
        <w:t>)</w:t>
      </w:r>
      <w:r w:rsidRPr="00516072">
        <w:tab/>
        <w:t>(2)</w:t>
      </w:r>
    </w:p>
    <w:p w:rsidR="007212F6" w:rsidRPr="00516072" w:rsidRDefault="007212F6" w:rsidP="007212F6">
      <w:pPr>
        <w:spacing w:line="360" w:lineRule="auto"/>
        <w:ind w:left="12" w:right="14"/>
        <w:jc w:val="both"/>
      </w:pPr>
      <w:r w:rsidRPr="00516072">
        <w:rPr>
          <w:i/>
        </w:rPr>
        <w:t>Z</w:t>
      </w:r>
      <w:r w:rsidRPr="00516072">
        <w:rPr>
          <w:i/>
          <w:vertAlign w:val="subscript"/>
        </w:rPr>
        <w:t xml:space="preserve">i </w:t>
      </w:r>
      <w:r w:rsidRPr="0007642E">
        <w:t>is estimated by function 3 for the securities probit model</w:t>
      </w:r>
      <w:r w:rsidRPr="00516072">
        <w:t>:</w:t>
      </w:r>
    </w:p>
    <w:p w:rsidR="007212F6" w:rsidRPr="00516072" w:rsidRDefault="007212F6" w:rsidP="007212F6">
      <w:pPr>
        <w:spacing w:line="360" w:lineRule="auto"/>
        <w:ind w:right="2"/>
        <w:jc w:val="both"/>
      </w:pPr>
      <w:r w:rsidRPr="00516072">
        <w:rPr>
          <w:i/>
        </w:rPr>
        <w:t>Z</w:t>
      </w:r>
      <w:r w:rsidRPr="00516072">
        <w:rPr>
          <w:i/>
          <w:vertAlign w:val="subscript"/>
        </w:rPr>
        <w:t xml:space="preserve">i </w:t>
      </w:r>
      <w:r w:rsidRPr="00516072">
        <w:t xml:space="preserve">= </w:t>
      </w:r>
      <w:r w:rsidRPr="00516072">
        <w:rPr>
          <w:i/>
        </w:rPr>
        <w:t>β</w:t>
      </w:r>
      <w:r w:rsidRPr="00516072">
        <w:rPr>
          <w:vertAlign w:val="subscript"/>
        </w:rPr>
        <w:t>1</w:t>
      </w:r>
      <w:r w:rsidRPr="00516072">
        <w:rPr>
          <w:i/>
        </w:rPr>
        <w:t>gender</w:t>
      </w:r>
      <w:r w:rsidRPr="00516072">
        <w:rPr>
          <w:i/>
          <w:vertAlign w:val="subscript"/>
        </w:rPr>
        <w:t xml:space="preserve">i </w:t>
      </w:r>
      <w:r w:rsidRPr="00516072">
        <w:t xml:space="preserve">+ </w:t>
      </w:r>
      <w:r w:rsidRPr="00516072">
        <w:rPr>
          <w:i/>
        </w:rPr>
        <w:t>β</w:t>
      </w:r>
      <w:r w:rsidRPr="00516072">
        <w:rPr>
          <w:vertAlign w:val="subscript"/>
        </w:rPr>
        <w:t>2</w:t>
      </w:r>
      <w:r w:rsidRPr="00516072">
        <w:rPr>
          <w:i/>
        </w:rPr>
        <w:t>age</w:t>
      </w:r>
      <w:r w:rsidRPr="00516072">
        <w:rPr>
          <w:i/>
          <w:vertAlign w:val="subscript"/>
        </w:rPr>
        <w:t xml:space="preserve">i </w:t>
      </w:r>
      <w:r w:rsidRPr="00516072">
        <w:t xml:space="preserve">+ </w:t>
      </w:r>
      <w:r w:rsidRPr="00516072">
        <w:rPr>
          <w:i/>
        </w:rPr>
        <w:t>β</w:t>
      </w:r>
      <w:r w:rsidRPr="00516072">
        <w:rPr>
          <w:vertAlign w:val="subscript"/>
        </w:rPr>
        <w:t>3</w:t>
      </w:r>
      <w:r w:rsidRPr="00516072">
        <w:rPr>
          <w:i/>
        </w:rPr>
        <w:t>education</w:t>
      </w:r>
      <w:r w:rsidRPr="00516072">
        <w:rPr>
          <w:i/>
          <w:vertAlign w:val="subscript"/>
        </w:rPr>
        <w:t xml:space="preserve">i </w:t>
      </w:r>
      <w:r w:rsidRPr="00516072">
        <w:t xml:space="preserve">+ </w:t>
      </w:r>
      <w:r w:rsidRPr="00516072">
        <w:rPr>
          <w:i/>
        </w:rPr>
        <w:t>β</w:t>
      </w:r>
      <w:r w:rsidRPr="00516072">
        <w:rPr>
          <w:vertAlign w:val="subscript"/>
        </w:rPr>
        <w:t>3</w:t>
      </w:r>
      <w:r w:rsidRPr="00516072">
        <w:rPr>
          <w:i/>
        </w:rPr>
        <w:t>income</w:t>
      </w:r>
      <w:r w:rsidRPr="00516072">
        <w:rPr>
          <w:i/>
          <w:vertAlign w:val="subscript"/>
        </w:rPr>
        <w:t>i</w:t>
      </w:r>
    </w:p>
    <w:p w:rsidR="007212F6" w:rsidRPr="00516072" w:rsidRDefault="007212F6" w:rsidP="007212F6">
      <w:pPr>
        <w:spacing w:line="360" w:lineRule="auto"/>
        <w:ind w:left="1440" w:firstLine="720"/>
        <w:jc w:val="both"/>
      </w:pPr>
      <w:r w:rsidRPr="00516072">
        <w:t xml:space="preserve">+ </w:t>
      </w:r>
      <w:r w:rsidRPr="00516072">
        <w:rPr>
          <w:i/>
        </w:rPr>
        <w:t>β</w:t>
      </w:r>
      <w:r w:rsidRPr="00516072">
        <w:rPr>
          <w:vertAlign w:val="subscript"/>
        </w:rPr>
        <w:t>5</w:t>
      </w:r>
      <w:r w:rsidRPr="00516072">
        <w:rPr>
          <w:i/>
        </w:rPr>
        <w:t>risk</w:t>
      </w:r>
      <w:r w:rsidRPr="00516072">
        <w:t>_</w:t>
      </w:r>
      <w:r w:rsidRPr="00516072">
        <w:rPr>
          <w:i/>
        </w:rPr>
        <w:t>pr</w:t>
      </w:r>
      <w:r w:rsidRPr="00516072">
        <w:rPr>
          <w:i/>
          <w:vertAlign w:val="subscript"/>
        </w:rPr>
        <w:t>i</w:t>
      </w:r>
      <w:r w:rsidRPr="00516072">
        <w:t xml:space="preserve"> </w:t>
      </w:r>
      <w:r>
        <w:tab/>
      </w:r>
      <w:r>
        <w:tab/>
      </w:r>
      <w:r>
        <w:tab/>
      </w:r>
      <w:r>
        <w:tab/>
      </w:r>
      <w:r>
        <w:tab/>
      </w:r>
      <w:r w:rsidRPr="00516072">
        <w:t>(3) +</w:t>
      </w:r>
      <w:r w:rsidRPr="00516072">
        <w:rPr>
          <w:i/>
        </w:rPr>
        <w:t>β</w:t>
      </w:r>
      <w:r w:rsidRPr="00516072">
        <w:rPr>
          <w:vertAlign w:val="subscript"/>
        </w:rPr>
        <w:t>4</w:t>
      </w:r>
      <w:r w:rsidRPr="00516072">
        <w:rPr>
          <w:i/>
        </w:rPr>
        <w:t>monthlysavings</w:t>
      </w:r>
      <w:r w:rsidRPr="00516072">
        <w:rPr>
          <w:i/>
          <w:vertAlign w:val="subscript"/>
        </w:rPr>
        <w:t xml:space="preserve">i </w:t>
      </w:r>
    </w:p>
    <w:p w:rsidR="007212F6" w:rsidRPr="00402AF2" w:rsidRDefault="007212F6" w:rsidP="007212F6">
      <w:pPr>
        <w:spacing w:line="360" w:lineRule="auto"/>
        <w:ind w:left="12" w:right="14"/>
        <w:jc w:val="both"/>
        <w:rPr>
          <w:sz w:val="26"/>
        </w:rPr>
      </w:pPr>
      <w:r w:rsidRPr="00402AF2">
        <w:rPr>
          <w:sz w:val="26"/>
        </w:rPr>
        <w:tab/>
      </w:r>
      <w:r w:rsidRPr="00402AF2">
        <w:t>The likelihood that a person will use a Robo-advisor for investing is expressed by the probit function 4:</w:t>
      </w:r>
    </w:p>
    <w:tbl>
      <w:tblPr>
        <w:tblStyle w:val="TableGrid"/>
        <w:tblW w:w="7370" w:type="dxa"/>
        <w:tblInd w:w="8" w:type="dxa"/>
        <w:tblBorders>
          <w:top w:val="single" w:sz="4" w:space="0" w:color="auto"/>
          <w:bottom w:val="single" w:sz="4" w:space="0" w:color="auto"/>
          <w:insideH w:val="single" w:sz="4" w:space="0" w:color="auto"/>
          <w:insideV w:val="single" w:sz="4" w:space="0" w:color="auto"/>
        </w:tblBorders>
        <w:tblCellMar>
          <w:top w:w="12" w:type="dxa"/>
        </w:tblCellMar>
        <w:tblLook w:val="04A0" w:firstRow="1" w:lastRow="0" w:firstColumn="1" w:lastColumn="0" w:noHBand="0" w:noVBand="1"/>
      </w:tblPr>
      <w:tblGrid>
        <w:gridCol w:w="7071"/>
        <w:gridCol w:w="299"/>
      </w:tblGrid>
      <w:tr w:rsidR="007212F6" w:rsidRPr="00516072" w:rsidTr="007212F6">
        <w:trPr>
          <w:trHeight w:val="2143"/>
        </w:trPr>
        <w:tc>
          <w:tcPr>
            <w:tcW w:w="7071" w:type="dxa"/>
          </w:tcPr>
          <w:p w:rsidR="007212F6" w:rsidRPr="00516072" w:rsidRDefault="007212F6" w:rsidP="007212F6">
            <w:pPr>
              <w:spacing w:line="360" w:lineRule="auto"/>
              <w:ind w:left="299"/>
              <w:jc w:val="both"/>
              <w:rPr>
                <w:rFonts w:ascii="Times New Roman" w:hAnsi="Times New Roman"/>
              </w:rPr>
            </w:pPr>
            <w:r>
              <w:rPr>
                <w:rFonts w:ascii="Times New Roman" w:hAnsi="Times New Roman"/>
                <w:i/>
              </w:rPr>
              <w:tab/>
            </w:r>
            <w:r>
              <w:rPr>
                <w:rFonts w:ascii="Times New Roman" w:hAnsi="Times New Roman"/>
                <w:i/>
              </w:rPr>
              <w:tab/>
            </w:r>
            <w:r>
              <w:rPr>
                <w:rFonts w:ascii="Times New Roman" w:hAnsi="Times New Roman"/>
                <w:i/>
              </w:rPr>
              <w:tab/>
            </w:r>
            <w:r w:rsidRPr="00516072">
              <w:rPr>
                <w:rFonts w:ascii="Times New Roman" w:hAnsi="Times New Roman"/>
                <w:i/>
              </w:rPr>
              <w:t>p</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p</w:t>
            </w:r>
            <w:r w:rsidRPr="00516072">
              <w:rPr>
                <w:rFonts w:ascii="Times New Roman" w:hAnsi="Times New Roman"/>
              </w:rPr>
              <w:t>(</w:t>
            </w:r>
            <w:r w:rsidR="000D7431">
              <w:rPr>
                <w:rFonts w:ascii="Times New Roman" w:hAnsi="Times New Roman"/>
                <w:i/>
              </w:rPr>
              <w:t>Robo</w:t>
            </w:r>
            <w:r w:rsidRPr="00516072">
              <w:rPr>
                <w:rFonts w:ascii="Times New Roman" w:hAnsi="Times New Roman"/>
                <w:i/>
              </w:rPr>
              <w:t xml:space="preserve"> − advisory </w:t>
            </w:r>
            <w:r w:rsidRPr="00516072">
              <w:rPr>
                <w:rFonts w:ascii="Times New Roman" w:hAnsi="Times New Roman"/>
              </w:rPr>
              <w:t xml:space="preserve">= 1) = </w:t>
            </w:r>
            <w:r w:rsidRPr="00516072">
              <w:rPr>
                <w:rFonts w:ascii="Times New Roman" w:hAnsi="Times New Roman"/>
                <w:i/>
              </w:rPr>
              <w:t>F</w:t>
            </w:r>
            <w:r w:rsidRPr="00516072">
              <w:rPr>
                <w:rFonts w:ascii="Times New Roman" w:hAnsi="Times New Roman"/>
              </w:rPr>
              <w:t>(</w:t>
            </w:r>
            <w:r w:rsidRPr="00516072">
              <w:rPr>
                <w:rFonts w:ascii="Times New Roman" w:hAnsi="Times New Roman"/>
                <w:i/>
              </w:rPr>
              <w:t>Z</w:t>
            </w:r>
            <w:r w:rsidRPr="00516072">
              <w:rPr>
                <w:rFonts w:ascii="Times New Roman" w:hAnsi="Times New Roman"/>
                <w:i/>
                <w:vertAlign w:val="subscript"/>
              </w:rPr>
              <w:t>i</w:t>
            </w:r>
            <w:r w:rsidRPr="00516072">
              <w:rPr>
                <w:rFonts w:ascii="Times New Roman" w:hAnsi="Times New Roman"/>
              </w:rPr>
              <w:t>)</w:t>
            </w:r>
          </w:p>
          <w:p w:rsidR="007212F6" w:rsidRPr="00516072" w:rsidRDefault="007212F6" w:rsidP="007212F6">
            <w:pPr>
              <w:spacing w:line="360" w:lineRule="auto"/>
              <w:jc w:val="both"/>
              <w:rPr>
                <w:rFonts w:ascii="Times New Roman" w:hAnsi="Times New Roman"/>
              </w:rPr>
            </w:pPr>
            <w:r w:rsidRPr="00516072">
              <w:rPr>
                <w:rFonts w:ascii="Times New Roman" w:hAnsi="Times New Roman"/>
                <w:i/>
              </w:rPr>
              <w:t>Z</w:t>
            </w:r>
            <w:r w:rsidRPr="00516072">
              <w:rPr>
                <w:rFonts w:ascii="Times New Roman" w:hAnsi="Times New Roman"/>
                <w:i/>
                <w:vertAlign w:val="subscript"/>
              </w:rPr>
              <w:t xml:space="preserve">i </w:t>
            </w:r>
            <w:r w:rsidRPr="00516072">
              <w:rPr>
                <w:rFonts w:ascii="Times New Roman" w:hAnsi="Times New Roman"/>
              </w:rPr>
              <w:t>is e</w:t>
            </w:r>
            <w:r>
              <w:rPr>
                <w:rFonts w:ascii="Times New Roman" w:hAnsi="Times New Roman"/>
              </w:rPr>
              <w:t xml:space="preserve">stimated by function 5 for the </w:t>
            </w:r>
            <w:r w:rsidR="000D7431">
              <w:rPr>
                <w:rFonts w:ascii="Times New Roman" w:hAnsi="Times New Roman"/>
              </w:rPr>
              <w:t>robot</w:t>
            </w:r>
            <w:r w:rsidRPr="00516072">
              <w:rPr>
                <w:rFonts w:ascii="Times New Roman" w:hAnsi="Times New Roman"/>
              </w:rPr>
              <w:t>-advisory probit model:</w:t>
            </w:r>
          </w:p>
          <w:p w:rsidR="007212F6" w:rsidRPr="00516072" w:rsidRDefault="007212F6" w:rsidP="007212F6">
            <w:pPr>
              <w:spacing w:line="360" w:lineRule="auto"/>
              <w:ind w:left="989"/>
              <w:jc w:val="both"/>
              <w:rPr>
                <w:rFonts w:ascii="Times New Roman" w:hAnsi="Times New Roman"/>
              </w:rPr>
            </w:pPr>
            <w:r>
              <w:rPr>
                <w:rFonts w:ascii="Times New Roman" w:hAnsi="Times New Roman"/>
                <w:i/>
              </w:rPr>
              <w:tab/>
            </w:r>
            <w:r>
              <w:rPr>
                <w:rFonts w:ascii="Times New Roman" w:hAnsi="Times New Roman"/>
                <w:i/>
              </w:rPr>
              <w:tab/>
            </w:r>
            <w:r w:rsidRPr="00516072">
              <w:rPr>
                <w:rFonts w:ascii="Times New Roman" w:hAnsi="Times New Roman"/>
                <w:i/>
              </w:rPr>
              <w:t>Z</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1</w:t>
            </w:r>
            <w:r w:rsidRPr="00516072">
              <w:rPr>
                <w:rFonts w:ascii="Times New Roman" w:hAnsi="Times New Roman"/>
                <w:i/>
              </w:rPr>
              <w:t>gender</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2</w:t>
            </w:r>
            <w:r w:rsidRPr="00516072">
              <w:rPr>
                <w:rFonts w:ascii="Times New Roman" w:hAnsi="Times New Roman"/>
                <w:i/>
              </w:rPr>
              <w:t>age</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3</w:t>
            </w:r>
            <w:r w:rsidRPr="00516072">
              <w:rPr>
                <w:rFonts w:ascii="Times New Roman" w:hAnsi="Times New Roman"/>
                <w:i/>
              </w:rPr>
              <w:t>education</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3</w:t>
            </w:r>
            <w:r w:rsidRPr="00516072">
              <w:rPr>
                <w:rFonts w:ascii="Times New Roman" w:hAnsi="Times New Roman"/>
                <w:i/>
              </w:rPr>
              <w:t>income</w:t>
            </w:r>
            <w:r w:rsidRPr="00516072">
              <w:rPr>
                <w:rFonts w:ascii="Times New Roman" w:hAnsi="Times New Roman"/>
                <w:i/>
                <w:vertAlign w:val="subscript"/>
              </w:rPr>
              <w:t>i</w:t>
            </w:r>
          </w:p>
        </w:tc>
        <w:tc>
          <w:tcPr>
            <w:tcW w:w="299"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w:t>
            </w:r>
          </w:p>
        </w:tc>
      </w:tr>
      <w:tr w:rsidR="007212F6" w:rsidRPr="00516072" w:rsidTr="007212F6">
        <w:trPr>
          <w:trHeight w:val="299"/>
        </w:trPr>
        <w:tc>
          <w:tcPr>
            <w:tcW w:w="7071" w:type="dxa"/>
          </w:tcPr>
          <w:p w:rsidR="007212F6" w:rsidRPr="00516072" w:rsidRDefault="007212F6" w:rsidP="007212F6">
            <w:pPr>
              <w:spacing w:line="360" w:lineRule="auto"/>
              <w:ind w:left="1381"/>
              <w:jc w:val="both"/>
              <w:rPr>
                <w:rFonts w:ascii="Times New Roman" w:hAnsi="Times New Roman"/>
              </w:rPr>
            </w:pPr>
            <w:r w:rsidRPr="00516072">
              <w:rPr>
                <w:rFonts w:ascii="Times New Roman" w:hAnsi="Times New Roman"/>
              </w:rPr>
              <w:t>+</w:t>
            </w:r>
            <w:r w:rsidRPr="00516072">
              <w:rPr>
                <w:rFonts w:ascii="Times New Roman" w:hAnsi="Times New Roman"/>
                <w:i/>
              </w:rPr>
              <w:t>β</w:t>
            </w:r>
            <w:r w:rsidRPr="00516072">
              <w:rPr>
                <w:rFonts w:ascii="Times New Roman" w:hAnsi="Times New Roman"/>
                <w:vertAlign w:val="subscript"/>
              </w:rPr>
              <w:t>4</w:t>
            </w:r>
            <w:r w:rsidRPr="00516072">
              <w:rPr>
                <w:rFonts w:ascii="Times New Roman" w:hAnsi="Times New Roman"/>
                <w:i/>
              </w:rPr>
              <w:t>monthlysavings</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5</w:t>
            </w:r>
            <w:r w:rsidRPr="00516072">
              <w:rPr>
                <w:rFonts w:ascii="Times New Roman" w:hAnsi="Times New Roman"/>
                <w:i/>
              </w:rPr>
              <w:t>risk</w:t>
            </w:r>
            <w:r w:rsidRPr="00516072">
              <w:rPr>
                <w:rFonts w:ascii="Times New Roman" w:hAnsi="Times New Roman"/>
              </w:rPr>
              <w:t>_</w:t>
            </w:r>
            <w:r w:rsidRPr="00516072">
              <w:rPr>
                <w:rFonts w:ascii="Times New Roman" w:hAnsi="Times New Roman"/>
                <w:i/>
              </w:rPr>
              <w:t>pr</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6</w:t>
            </w:r>
            <w:r w:rsidRPr="00516072">
              <w:rPr>
                <w:rFonts w:ascii="Times New Roman" w:hAnsi="Times New Roman"/>
                <w:i/>
              </w:rPr>
              <w:t>risk</w:t>
            </w:r>
            <w:r w:rsidRPr="00516072">
              <w:rPr>
                <w:rFonts w:ascii="Times New Roman" w:hAnsi="Times New Roman"/>
              </w:rPr>
              <w:t>_</w:t>
            </w:r>
            <w:r w:rsidRPr="00516072">
              <w:rPr>
                <w:rFonts w:ascii="Times New Roman" w:hAnsi="Times New Roman"/>
                <w:i/>
              </w:rPr>
              <w:t>hr</w:t>
            </w:r>
            <w:r w:rsidRPr="00516072">
              <w:rPr>
                <w:rFonts w:ascii="Times New Roman" w:hAnsi="Times New Roman"/>
                <w:i/>
                <w:vertAlign w:val="subscript"/>
              </w:rPr>
              <w:t>i</w:t>
            </w:r>
          </w:p>
        </w:tc>
        <w:tc>
          <w:tcPr>
            <w:tcW w:w="299"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(5)</w:t>
            </w:r>
          </w:p>
        </w:tc>
      </w:tr>
    </w:tbl>
    <w:p w:rsidR="007212F6" w:rsidRPr="00516072" w:rsidRDefault="007212F6" w:rsidP="007212F6">
      <w:pPr>
        <w:spacing w:line="360" w:lineRule="auto"/>
        <w:ind w:left="1553" w:hanging="10"/>
        <w:jc w:val="both"/>
      </w:pPr>
      <w:r w:rsidRPr="00516072">
        <w:t>+</w:t>
      </w:r>
      <w:r w:rsidRPr="00516072">
        <w:rPr>
          <w:i/>
        </w:rPr>
        <w:t>β</w:t>
      </w:r>
      <w:r w:rsidRPr="00516072">
        <w:rPr>
          <w:vertAlign w:val="subscript"/>
        </w:rPr>
        <w:t>7</w:t>
      </w:r>
      <w:r w:rsidRPr="00516072">
        <w:rPr>
          <w:i/>
        </w:rPr>
        <w:t>return</w:t>
      </w:r>
      <w:r w:rsidRPr="00516072">
        <w:rPr>
          <w:i/>
          <w:vertAlign w:val="subscript"/>
        </w:rPr>
        <w:t xml:space="preserve">i </w:t>
      </w:r>
      <w:r w:rsidRPr="00516072">
        <w:t xml:space="preserve">+ </w:t>
      </w:r>
      <w:r w:rsidRPr="00516072">
        <w:rPr>
          <w:i/>
        </w:rPr>
        <w:t>β</w:t>
      </w:r>
      <w:r w:rsidRPr="00516072">
        <w:rPr>
          <w:vertAlign w:val="subscript"/>
        </w:rPr>
        <w:t>8</w:t>
      </w:r>
      <w:r w:rsidRPr="00516072">
        <w:rPr>
          <w:i/>
        </w:rPr>
        <w:t>cost</w:t>
      </w:r>
      <w:r w:rsidRPr="00516072">
        <w:rPr>
          <w:i/>
          <w:vertAlign w:val="subscript"/>
        </w:rPr>
        <w:t xml:space="preserve">i </w:t>
      </w:r>
      <w:r w:rsidRPr="00516072">
        <w:t xml:space="preserve">+ </w:t>
      </w:r>
      <w:r w:rsidRPr="00516072">
        <w:rPr>
          <w:i/>
        </w:rPr>
        <w:t>β</w:t>
      </w:r>
      <w:r w:rsidRPr="00516072">
        <w:rPr>
          <w:vertAlign w:val="subscript"/>
        </w:rPr>
        <w:t>9</w:t>
      </w:r>
      <w:r w:rsidRPr="00516072">
        <w:rPr>
          <w:i/>
        </w:rPr>
        <w:t>usability</w:t>
      </w:r>
      <w:r w:rsidRPr="00516072">
        <w:rPr>
          <w:i/>
          <w:vertAlign w:val="subscript"/>
        </w:rPr>
        <w:t xml:space="preserve">i </w:t>
      </w:r>
      <w:r w:rsidRPr="00516072">
        <w:t xml:space="preserve">+ </w:t>
      </w:r>
      <w:r w:rsidRPr="00516072">
        <w:rPr>
          <w:i/>
        </w:rPr>
        <w:t>β</w:t>
      </w:r>
      <w:r w:rsidRPr="00516072">
        <w:rPr>
          <w:vertAlign w:val="subscript"/>
        </w:rPr>
        <w:t>10</w:t>
      </w:r>
      <w:r w:rsidRPr="00516072">
        <w:rPr>
          <w:i/>
        </w:rPr>
        <w:t>trust</w:t>
      </w:r>
      <w:r w:rsidRPr="00516072">
        <w:rPr>
          <w:i/>
          <w:vertAlign w:val="subscript"/>
        </w:rPr>
        <w:t>i</w:t>
      </w:r>
    </w:p>
    <w:p w:rsidR="007212F6" w:rsidRPr="00C44DF4" w:rsidRDefault="007212F6" w:rsidP="007212F6">
      <w:pPr>
        <w:spacing w:line="360" w:lineRule="auto"/>
        <w:ind w:left="12" w:right="14"/>
        <w:jc w:val="both"/>
      </w:pPr>
      <w:r w:rsidRPr="00C44DF4">
        <w:t xml:space="preserve">The coefficients of the probit model cannot be interpreted because of partial-slope coefficients because it is non-linear, i.e., generated from the conventional normal distribution. As a result, it is essential to calculate the marginal effects. Since the </w:t>
      </w:r>
      <w:r w:rsidR="00EC0517">
        <w:t>estimated coefficient</w:t>
      </w:r>
      <w:r w:rsidRPr="00C44DF4">
        <w:t xml:space="preserve"> changes continually throughout the estimated function, it is merely an estimation and not entirely accurate. The marginal effect is determined by taking the probit function's derivative concerning Xi, and the explanatory variable is calculated and expressed by function 6:</w:t>
      </w:r>
    </w:p>
    <w:p w:rsidR="007212F6" w:rsidRPr="00516072" w:rsidRDefault="007212F6" w:rsidP="007212F6">
      <w:pPr>
        <w:spacing w:line="360" w:lineRule="auto"/>
        <w:ind w:left="2757" w:hanging="361"/>
        <w:jc w:val="both"/>
      </w:pPr>
      <w:r w:rsidRPr="00516072">
        <w:rPr>
          <w:noProof/>
        </w:rPr>
        <w:drawing>
          <wp:inline distT="0" distB="0" distL="0" distR="0" wp14:anchorId="5FE47EE9" wp14:editId="5BE59B0B">
            <wp:extent cx="1612392" cy="326136"/>
            <wp:effectExtent l="0" t="0" r="0" b="0"/>
            <wp:docPr id="102058" name="Picture 102058"/>
            <wp:cNvGraphicFramePr/>
            <a:graphic xmlns:a="http://schemas.openxmlformats.org/drawingml/2006/main">
              <a:graphicData uri="http://schemas.openxmlformats.org/drawingml/2006/picture">
                <pic:pic xmlns:pic="http://schemas.openxmlformats.org/drawingml/2006/picture">
                  <pic:nvPicPr>
                    <pic:cNvPr id="102058" name="Picture 102058"/>
                    <pic:cNvPicPr/>
                  </pic:nvPicPr>
                  <pic:blipFill>
                    <a:blip r:embed="rId17"/>
                    <a:stretch>
                      <a:fillRect/>
                    </a:stretch>
                  </pic:blipFill>
                  <pic:spPr>
                    <a:xfrm>
                      <a:off x="0" y="0"/>
                      <a:ext cx="1612392" cy="326136"/>
                    </a:xfrm>
                    <a:prstGeom prst="rect">
                      <a:avLst/>
                    </a:prstGeom>
                  </pic:spPr>
                </pic:pic>
              </a:graphicData>
            </a:graphic>
          </wp:inline>
        </w:drawing>
      </w:r>
      <w:r w:rsidRPr="00516072">
        <w:rPr>
          <w:i/>
        </w:rPr>
        <w:t>i</w:t>
      </w:r>
      <w:r w:rsidRPr="00516072">
        <w:rPr>
          <w:i/>
        </w:rPr>
        <w:tab/>
      </w:r>
      <w:r w:rsidRPr="00516072">
        <w:t xml:space="preserve">(6) </w:t>
      </w:r>
      <w:r w:rsidRPr="00516072">
        <w:rPr>
          <w:i/>
        </w:rPr>
        <w:t>i</w:t>
      </w:r>
      <w:r w:rsidRPr="00516072">
        <w:rPr>
          <w:i/>
        </w:rPr>
        <w:tab/>
        <w:t>i</w:t>
      </w:r>
    </w:p>
    <w:p w:rsidR="007212F6" w:rsidRPr="00516072" w:rsidRDefault="007212F6" w:rsidP="007212F6">
      <w:pPr>
        <w:spacing w:line="360" w:lineRule="auto"/>
        <w:ind w:left="12" w:hanging="2"/>
        <w:jc w:val="both"/>
      </w:pPr>
      <w:r>
        <w:tab/>
      </w:r>
      <w:r>
        <w:tab/>
      </w:r>
      <w:r w:rsidRPr="00AC5E7A">
        <w:t>Finally</w:t>
      </w:r>
      <w:r>
        <w:t>,</w:t>
      </w:r>
      <w:r w:rsidRPr="00AC5E7A">
        <w:t xml:space="preserve"> but not least, it is multiplied by the calculated coefficient I to calculate the marginal effect, yielding function 7.</w:t>
      </w:r>
      <w:r w:rsidRPr="00516072">
        <w:t xml:space="preserve"> (</w:t>
      </w:r>
      <w:r w:rsidR="000D7431">
        <w:t>Carter-Hill</w:t>
      </w:r>
      <w:r w:rsidRPr="00516072">
        <w:t>, Griffiths &amp; Lim 2011):</w:t>
      </w:r>
    </w:p>
    <w:p w:rsidR="007212F6" w:rsidRPr="00516072" w:rsidRDefault="007212F6" w:rsidP="007212F6">
      <w:pPr>
        <w:spacing w:line="360" w:lineRule="auto"/>
        <w:ind w:left="2903"/>
        <w:jc w:val="both"/>
      </w:pPr>
      <w:r w:rsidRPr="00516072">
        <w:rPr>
          <w:noProof/>
        </w:rPr>
        <w:drawing>
          <wp:anchor distT="0" distB="0" distL="114300" distR="114300" simplePos="0" relativeHeight="251658240" behindDoc="0" locked="0" layoutInCell="1" allowOverlap="0" wp14:anchorId="1279CC24" wp14:editId="65993E11">
            <wp:simplePos x="0" y="0"/>
            <wp:positionH relativeFrom="column">
              <wp:posOffset>1843316</wp:posOffset>
            </wp:positionH>
            <wp:positionV relativeFrom="paragraph">
              <wp:posOffset>-66330</wp:posOffset>
            </wp:positionV>
            <wp:extent cx="725424" cy="347472"/>
            <wp:effectExtent l="0" t="0" r="0" b="0"/>
            <wp:wrapSquare wrapText="bothSides"/>
            <wp:docPr id="102059" name="Picture 102059"/>
            <wp:cNvGraphicFramePr/>
            <a:graphic xmlns:a="http://schemas.openxmlformats.org/drawingml/2006/main">
              <a:graphicData uri="http://schemas.openxmlformats.org/drawingml/2006/picture">
                <pic:pic xmlns:pic="http://schemas.openxmlformats.org/drawingml/2006/picture">
                  <pic:nvPicPr>
                    <pic:cNvPr id="102059" name="Picture 102059"/>
                    <pic:cNvPicPr/>
                  </pic:nvPicPr>
                  <pic:blipFill>
                    <a:blip r:embed="rId18"/>
                    <a:stretch>
                      <a:fillRect/>
                    </a:stretch>
                  </pic:blipFill>
                  <pic:spPr>
                    <a:xfrm>
                      <a:off x="0" y="0"/>
                      <a:ext cx="725424" cy="347472"/>
                    </a:xfrm>
                    <a:prstGeom prst="rect">
                      <a:avLst/>
                    </a:prstGeom>
                  </pic:spPr>
                </pic:pic>
              </a:graphicData>
            </a:graphic>
          </wp:anchor>
        </w:drawing>
      </w:r>
      <w:r w:rsidRPr="00516072">
        <w:rPr>
          <w:i/>
        </w:rPr>
        <w:t>−</w:t>
      </w:r>
      <w:r w:rsidRPr="00516072">
        <w:rPr>
          <w:u w:val="single" w:color="000000"/>
        </w:rPr>
        <w:t>1</w:t>
      </w:r>
      <w:r w:rsidRPr="00516072">
        <w:rPr>
          <w:i/>
        </w:rPr>
        <w:t>Z</w:t>
      </w:r>
      <w:r w:rsidRPr="00516072">
        <w:t>2</w:t>
      </w:r>
    </w:p>
    <w:p w:rsidR="007212F6" w:rsidRPr="00516072" w:rsidRDefault="007212F6" w:rsidP="007212F6">
      <w:pPr>
        <w:tabs>
          <w:tab w:val="center" w:pos="3591"/>
          <w:tab w:val="right" w:pos="7443"/>
        </w:tabs>
        <w:spacing w:line="360" w:lineRule="auto"/>
        <w:ind w:right="-15"/>
        <w:jc w:val="both"/>
      </w:pPr>
      <w:r w:rsidRPr="00516072">
        <w:tab/>
      </w:r>
      <w:r w:rsidRPr="00516072">
        <w:rPr>
          <w:i/>
        </w:rPr>
        <w:t xml:space="preserve">fe </w:t>
      </w:r>
      <w:r w:rsidRPr="00516072">
        <w:rPr>
          <w:vertAlign w:val="superscript"/>
        </w:rPr>
        <w:t>2</w:t>
      </w:r>
      <w:r w:rsidRPr="00516072">
        <w:rPr>
          <w:vertAlign w:val="superscript"/>
        </w:rPr>
        <w:tab/>
      </w:r>
      <w:r w:rsidRPr="00516072">
        <w:t>(7)</w:t>
      </w:r>
    </w:p>
    <w:p w:rsidR="007212F6" w:rsidRPr="007B3FF7" w:rsidRDefault="007212F6" w:rsidP="007212F6">
      <w:pPr>
        <w:spacing w:line="360" w:lineRule="auto"/>
        <w:ind w:left="12" w:right="14"/>
        <w:jc w:val="both"/>
      </w:pPr>
      <w:r w:rsidRPr="007B3FF7">
        <w:tab/>
        <w:t xml:space="preserve">The probit model produces a pseudo-R2 </w:t>
      </w:r>
      <w:r w:rsidR="002D605B">
        <w:t xml:space="preserve">degree of linear regression </w:t>
      </w:r>
      <w:r w:rsidRPr="007B3FF7">
        <w:t>for determining the goodness of fit.</w:t>
      </w:r>
      <w:r w:rsidR="002D605B">
        <w:t xml:space="preserve"> </w:t>
      </w:r>
      <w:r w:rsidR="00C75B8D">
        <w:t>Despite</w:t>
      </w:r>
      <w:r w:rsidRPr="007B3FF7">
        <w:t xml:space="preserve"> not </w:t>
      </w:r>
      <w:r w:rsidR="00C75B8D">
        <w:t xml:space="preserve">being </w:t>
      </w:r>
      <w:r w:rsidRPr="007B3FF7">
        <w:t>calculated in the same way as OLS R2, this explains how well the model matches the collection of observations. However, they are comparable in scale, ranging from 0 to 1. Higher values indicated a better model fit. After running a probit model, STATA may calculate various pseudo R2 metrics, including McFadden's R2, McKelvey and Zovoina's R2, Cragg &amp; Uhler's R2, and Effron's R2. Carter-Hill, Griffiths, and Lim McFadden (2011) were selected for our probit models, and a pseudo R2 coefficient of between 0.2 and 0.4 indicates a good fit for the model. (McFadden, 1979).</w:t>
      </w:r>
    </w:p>
    <w:p w:rsidR="007212F6" w:rsidRPr="00C60752" w:rsidRDefault="007212F6" w:rsidP="007212F6">
      <w:pPr>
        <w:spacing w:line="360" w:lineRule="auto"/>
        <w:ind w:left="12" w:right="14"/>
        <w:jc w:val="both"/>
      </w:pPr>
      <w:r w:rsidRPr="00C60752">
        <w:tab/>
        <w:t xml:space="preserve">Although the </w:t>
      </w:r>
      <w:r w:rsidR="00854097">
        <w:t xml:space="preserve">explanatory </w:t>
      </w:r>
      <w:r w:rsidRPr="00C60752">
        <w:t xml:space="preserve">variables are </w:t>
      </w:r>
      <w:r w:rsidR="00854097">
        <w:t>in categories</w:t>
      </w:r>
      <w:r w:rsidRPr="00C60752">
        <w:t xml:space="preserve">, a regression analysis requires that they be on an interval scale. As a result, the variables can be considered on an interval scale because there are only two potential values: zero and one (Carter-Hill, Griffiths &amp; Lim 2011). </w:t>
      </w:r>
      <w:r w:rsidR="000D7431">
        <w:t>To</w:t>
      </w:r>
      <w:r w:rsidRPr="00C60752">
        <w:t xml:space="preserve"> simulate these factors, we constructed dummies.</w:t>
      </w:r>
    </w:p>
    <w:p w:rsidR="007212F6" w:rsidRPr="00500CB5" w:rsidRDefault="007212F6" w:rsidP="007212F6">
      <w:pPr>
        <w:pStyle w:val="Heading3"/>
        <w:tabs>
          <w:tab w:val="center" w:pos="1264"/>
        </w:tabs>
        <w:spacing w:line="360" w:lineRule="auto"/>
        <w:jc w:val="both"/>
        <w:rPr>
          <w:color w:val="000000" w:themeColor="text1"/>
        </w:rPr>
      </w:pPr>
      <w:bookmarkStart w:id="34" w:name="_Toc105658"/>
      <w:bookmarkStart w:id="35" w:name="_Toc113387227"/>
      <w:r w:rsidRPr="00500CB5">
        <w:rPr>
          <w:color w:val="000000" w:themeColor="text1"/>
        </w:rPr>
        <w:t>3.2.5</w:t>
      </w:r>
      <w:r w:rsidRPr="00500CB5">
        <w:rPr>
          <w:color w:val="000000" w:themeColor="text1"/>
        </w:rPr>
        <w:tab/>
        <w:t xml:space="preserve"> Multicollinearity</w:t>
      </w:r>
      <w:bookmarkEnd w:id="34"/>
      <w:bookmarkEnd w:id="35"/>
    </w:p>
    <w:p w:rsidR="007212F6" w:rsidRPr="00A71F51" w:rsidRDefault="007212F6" w:rsidP="007212F6">
      <w:pPr>
        <w:spacing w:line="360" w:lineRule="auto"/>
        <w:ind w:left="12" w:right="14"/>
        <w:jc w:val="both"/>
      </w:pPr>
      <w:r w:rsidRPr="00A71F51">
        <w:tab/>
        <w:t xml:space="preserve">When performing quantitative research, it is crucial to be aware of frequent econometric issues related to the methodology. As a result, any possible econometric issues must be dealt with openly. The model may experience multicollinearity if two or more of the explanatory variables in the regression are significantly linked. The explaining variables are substantially connected if the correlation gets a value of 0.8 or more (Westerlund, 2005). Multicollinearity increases the variance of the variables, which lowers the model's capacity for an explanation. A model could become faulty if multicollinearity is sufficiently high and interferes with an estimate. 2011 (Dougherty). A correlation matrix was utilized to </w:t>
      </w:r>
      <w:r w:rsidR="00885BED">
        <w:t>look</w:t>
      </w:r>
      <w:r w:rsidRPr="00A71F51">
        <w:t xml:space="preserve"> for </w:t>
      </w:r>
      <w:r w:rsidR="000D7431">
        <w:t xml:space="preserve">a </w:t>
      </w:r>
      <w:r w:rsidR="00F73499">
        <w:t xml:space="preserve">significant correlation </w:t>
      </w:r>
      <w:r w:rsidRPr="00A71F51">
        <w:t xml:space="preserve">between our explanatory variables to find multicollinearity within the probit model. A number more significant than 0.8 denotes substantial inter-variable correlation, which could result in multicollinearity. As a result, variables with values greater than 0,8 ought to be left out of the model. Since neither of the two correlation </w:t>
      </w:r>
      <w:r w:rsidR="00854097">
        <w:t>coefficients</w:t>
      </w:r>
      <w:r w:rsidRPr="00A71F51">
        <w:t xml:space="preserve"> displayed a</w:t>
      </w:r>
      <w:r w:rsidR="00854097">
        <w:t>n output</w:t>
      </w:r>
      <w:r w:rsidRPr="00A71F51">
        <w:t xml:space="preserve"> greater than 0.8, no variables were disregarded. The probit model prevents the use of any additional tests, such as a VIF test for OLS, to determine multicollinearity (Dougherty, 2011).</w:t>
      </w:r>
    </w:p>
    <w:p w:rsidR="007212F6" w:rsidRPr="00516072" w:rsidRDefault="007212F6" w:rsidP="007212F6">
      <w:pPr>
        <w:tabs>
          <w:tab w:val="center" w:pos="2398"/>
        </w:tabs>
        <w:spacing w:line="360" w:lineRule="auto"/>
        <w:jc w:val="both"/>
      </w:pPr>
      <w:r w:rsidRPr="00516072">
        <w:rPr>
          <w:b/>
        </w:rPr>
        <w:t>3.2.5.1</w:t>
      </w:r>
      <w:r w:rsidRPr="00516072">
        <w:rPr>
          <w:b/>
        </w:rPr>
        <w:tab/>
        <w:t xml:space="preserve">Correlation </w:t>
      </w:r>
      <w:r>
        <w:rPr>
          <w:b/>
        </w:rPr>
        <w:t>M</w:t>
      </w:r>
      <w:r w:rsidRPr="00516072">
        <w:rPr>
          <w:b/>
        </w:rPr>
        <w:t xml:space="preserve">atrix for </w:t>
      </w:r>
      <w:r>
        <w:rPr>
          <w:b/>
        </w:rPr>
        <w:t>S</w:t>
      </w:r>
      <w:r w:rsidRPr="00516072">
        <w:rPr>
          <w:b/>
        </w:rPr>
        <w:t>ecurities</w:t>
      </w:r>
    </w:p>
    <w:tbl>
      <w:tblPr>
        <w:tblStyle w:val="TableGrid"/>
        <w:tblW w:w="9243" w:type="dxa"/>
        <w:tblInd w:w="27" w:type="dxa"/>
        <w:tblBorders>
          <w:top w:val="single" w:sz="4" w:space="0" w:color="auto"/>
          <w:bottom w:val="single" w:sz="4" w:space="0" w:color="auto"/>
          <w:insideH w:val="single" w:sz="4" w:space="0" w:color="auto"/>
          <w:insideV w:val="single" w:sz="4" w:space="0" w:color="auto"/>
        </w:tblBorders>
        <w:tblLayout w:type="fixed"/>
        <w:tblCellMar>
          <w:top w:w="38" w:type="dxa"/>
          <w:right w:w="86" w:type="dxa"/>
        </w:tblCellMar>
        <w:tblLook w:val="04A0" w:firstRow="1" w:lastRow="0" w:firstColumn="1" w:lastColumn="0" w:noHBand="0" w:noVBand="1"/>
      </w:tblPr>
      <w:tblGrid>
        <w:gridCol w:w="1323"/>
        <w:gridCol w:w="1350"/>
        <w:gridCol w:w="1080"/>
        <w:gridCol w:w="990"/>
        <w:gridCol w:w="1170"/>
        <w:gridCol w:w="990"/>
        <w:gridCol w:w="1170"/>
        <w:gridCol w:w="1170"/>
      </w:tblGrid>
      <w:tr w:rsidR="007212F6" w:rsidRPr="00516072" w:rsidTr="007212F6">
        <w:trPr>
          <w:trHeight w:val="232"/>
        </w:trPr>
        <w:tc>
          <w:tcPr>
            <w:tcW w:w="1323" w:type="dxa"/>
          </w:tcPr>
          <w:p w:rsidR="007212F6" w:rsidRPr="00516072" w:rsidRDefault="007212F6" w:rsidP="007212F6">
            <w:pPr>
              <w:spacing w:line="360" w:lineRule="auto"/>
              <w:jc w:val="both"/>
              <w:rPr>
                <w:rFonts w:ascii="Times New Roman" w:hAnsi="Times New Roman"/>
              </w:rPr>
            </w:pPr>
          </w:p>
        </w:tc>
        <w:tc>
          <w:tcPr>
            <w:tcW w:w="1350" w:type="dxa"/>
          </w:tcPr>
          <w:p w:rsidR="007212F6" w:rsidRPr="00516072" w:rsidRDefault="007212F6" w:rsidP="007212F6">
            <w:pPr>
              <w:spacing w:line="360" w:lineRule="auto"/>
              <w:jc w:val="both"/>
              <w:rPr>
                <w:rFonts w:ascii="Times New Roman" w:hAnsi="Times New Roman"/>
              </w:rPr>
            </w:pPr>
          </w:p>
        </w:tc>
        <w:tc>
          <w:tcPr>
            <w:tcW w:w="108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Monthly</w:t>
            </w: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8"/>
        </w:trPr>
        <w:tc>
          <w:tcPr>
            <w:tcW w:w="1323" w:type="dxa"/>
          </w:tcPr>
          <w:p w:rsidR="007212F6" w:rsidRPr="00516072" w:rsidRDefault="007212F6" w:rsidP="007212F6">
            <w:pPr>
              <w:spacing w:line="360" w:lineRule="auto"/>
              <w:jc w:val="both"/>
              <w:rPr>
                <w:rFonts w:ascii="Times New Roman" w:hAnsi="Times New Roman"/>
              </w:rPr>
            </w:pPr>
          </w:p>
        </w:tc>
        <w:tc>
          <w:tcPr>
            <w:tcW w:w="1350" w:type="dxa"/>
          </w:tcPr>
          <w:p w:rsidR="007212F6" w:rsidRPr="00516072" w:rsidRDefault="007212F6" w:rsidP="007212F6">
            <w:pPr>
              <w:spacing w:line="360" w:lineRule="auto"/>
              <w:ind w:left="86"/>
              <w:jc w:val="both"/>
              <w:rPr>
                <w:rFonts w:ascii="Times New Roman" w:hAnsi="Times New Roman"/>
              </w:rPr>
            </w:pPr>
            <w:r w:rsidRPr="00516072">
              <w:rPr>
                <w:rFonts w:ascii="Times New Roman" w:hAnsi="Times New Roman"/>
                <w:b/>
              </w:rPr>
              <w:t>Securities</w:t>
            </w:r>
          </w:p>
        </w:tc>
        <w:tc>
          <w:tcPr>
            <w:tcW w:w="108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990" w:type="dxa"/>
          </w:tcPr>
          <w:p w:rsidR="007212F6" w:rsidRPr="00516072" w:rsidRDefault="007212F6" w:rsidP="007212F6">
            <w:pPr>
              <w:spacing w:line="360" w:lineRule="auto"/>
              <w:ind w:left="159"/>
              <w:jc w:val="both"/>
              <w:rPr>
                <w:rFonts w:ascii="Times New Roman" w:hAnsi="Times New Roman"/>
              </w:rPr>
            </w:pPr>
            <w:r w:rsidRPr="00516072">
              <w:rPr>
                <w:rFonts w:ascii="Times New Roman" w:hAnsi="Times New Roman"/>
                <w:b/>
              </w:rPr>
              <w:t>Age</w:t>
            </w:r>
          </w:p>
        </w:tc>
        <w:tc>
          <w:tcPr>
            <w:tcW w:w="117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Education</w:t>
            </w:r>
          </w:p>
        </w:tc>
        <w:tc>
          <w:tcPr>
            <w:tcW w:w="99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1170" w:type="dxa"/>
          </w:tcPr>
          <w:p w:rsidR="007212F6" w:rsidRPr="00516072" w:rsidRDefault="007212F6" w:rsidP="007212F6">
            <w:pPr>
              <w:spacing w:line="360" w:lineRule="auto"/>
              <w:ind w:left="49"/>
              <w:jc w:val="both"/>
              <w:rPr>
                <w:rFonts w:ascii="Times New Roman" w:hAnsi="Times New Roman"/>
              </w:rPr>
            </w:pPr>
            <w:r w:rsidRPr="00516072">
              <w:rPr>
                <w:rFonts w:ascii="Times New Roman" w:hAnsi="Times New Roman"/>
                <w:b/>
              </w:rPr>
              <w:t>Savings</w:t>
            </w:r>
          </w:p>
        </w:tc>
        <w:tc>
          <w:tcPr>
            <w:tcW w:w="117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Risk_ps</w:t>
            </w:r>
          </w:p>
        </w:tc>
      </w:tr>
      <w:tr w:rsidR="007212F6" w:rsidRPr="00516072" w:rsidTr="007212F6">
        <w:trPr>
          <w:trHeight w:val="234"/>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Securities</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1.0000</w:t>
            </w:r>
          </w:p>
        </w:tc>
        <w:tc>
          <w:tcPr>
            <w:tcW w:w="108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1350" w:type="dxa"/>
          </w:tcPr>
          <w:p w:rsidR="007212F6" w:rsidRPr="00516072" w:rsidRDefault="007212F6" w:rsidP="007212F6">
            <w:pPr>
              <w:spacing w:line="360" w:lineRule="auto"/>
              <w:ind w:left="347"/>
              <w:jc w:val="both"/>
              <w:rPr>
                <w:rFonts w:ascii="Times New Roman" w:hAnsi="Times New Roman"/>
              </w:rPr>
            </w:pPr>
            <w:r w:rsidRPr="00516072">
              <w:rPr>
                <w:rFonts w:ascii="Times New Roman" w:hAnsi="Times New Roman"/>
              </w:rPr>
              <w:t>-0.2580</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1.0000</w:t>
            </w: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Age</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0.1189</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0.0464</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1.0000</w:t>
            </w: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ind w:right="1"/>
              <w:jc w:val="both"/>
              <w:rPr>
                <w:rFonts w:ascii="Times New Roman" w:hAnsi="Times New Roman"/>
              </w:rPr>
            </w:pPr>
            <w:r w:rsidRPr="00516072">
              <w:rPr>
                <w:rFonts w:ascii="Times New Roman" w:hAnsi="Times New Roman"/>
                <w:b/>
              </w:rPr>
              <w:t>Education</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0.0888</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0.0278</w:t>
            </w:r>
          </w:p>
        </w:tc>
        <w:tc>
          <w:tcPr>
            <w:tcW w:w="99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-0.0864</w:t>
            </w:r>
          </w:p>
        </w:tc>
        <w:tc>
          <w:tcPr>
            <w:tcW w:w="1170" w:type="dxa"/>
          </w:tcPr>
          <w:p w:rsidR="007212F6" w:rsidRPr="00516072" w:rsidRDefault="007212F6" w:rsidP="007212F6">
            <w:pPr>
              <w:spacing w:line="360" w:lineRule="auto"/>
              <w:ind w:left="349"/>
              <w:jc w:val="both"/>
              <w:rPr>
                <w:rFonts w:ascii="Times New Roman" w:hAnsi="Times New Roman"/>
              </w:rPr>
            </w:pPr>
            <w:r w:rsidRPr="00516072">
              <w:rPr>
                <w:rFonts w:ascii="Times New Roman" w:hAnsi="Times New Roman"/>
              </w:rPr>
              <w:t>1.0000</w:t>
            </w: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0.2111</w:t>
            </w:r>
          </w:p>
        </w:tc>
        <w:tc>
          <w:tcPr>
            <w:tcW w:w="1080" w:type="dxa"/>
          </w:tcPr>
          <w:p w:rsidR="007212F6" w:rsidRPr="00516072" w:rsidRDefault="007212F6" w:rsidP="007212F6">
            <w:pPr>
              <w:spacing w:line="360" w:lineRule="auto"/>
              <w:ind w:left="43"/>
              <w:jc w:val="both"/>
              <w:rPr>
                <w:rFonts w:ascii="Times New Roman" w:hAnsi="Times New Roman"/>
              </w:rPr>
            </w:pPr>
            <w:r w:rsidRPr="00516072">
              <w:rPr>
                <w:rFonts w:ascii="Times New Roman" w:hAnsi="Times New Roman"/>
              </w:rPr>
              <w:t>-0.2116</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0.4591</w:t>
            </w:r>
          </w:p>
        </w:tc>
        <w:tc>
          <w:tcPr>
            <w:tcW w:w="1170" w:type="dxa"/>
          </w:tcPr>
          <w:p w:rsidR="007212F6" w:rsidRPr="00516072" w:rsidRDefault="007212F6" w:rsidP="007212F6">
            <w:pPr>
              <w:spacing w:line="360" w:lineRule="auto"/>
              <w:ind w:left="349"/>
              <w:jc w:val="both"/>
              <w:rPr>
                <w:rFonts w:ascii="Times New Roman" w:hAnsi="Times New Roman"/>
              </w:rPr>
            </w:pPr>
            <w:r w:rsidRPr="00516072">
              <w:rPr>
                <w:rFonts w:ascii="Times New Roman" w:hAnsi="Times New Roman"/>
              </w:rPr>
              <w:t>0.2057</w:t>
            </w:r>
          </w:p>
        </w:tc>
        <w:tc>
          <w:tcPr>
            <w:tcW w:w="990"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1.0000</w:t>
            </w: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ind w:left="86"/>
              <w:jc w:val="both"/>
              <w:rPr>
                <w:rFonts w:ascii="Times New Roman" w:hAnsi="Times New Roman"/>
              </w:rPr>
            </w:pPr>
            <w:r w:rsidRPr="00516072">
              <w:rPr>
                <w:rFonts w:ascii="Times New Roman" w:hAnsi="Times New Roman"/>
                <w:b/>
              </w:rPr>
              <w:t>Monthly Savings</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0.2098</w:t>
            </w:r>
          </w:p>
        </w:tc>
        <w:tc>
          <w:tcPr>
            <w:tcW w:w="1080" w:type="dxa"/>
          </w:tcPr>
          <w:p w:rsidR="007212F6" w:rsidRPr="00516072" w:rsidRDefault="007212F6" w:rsidP="007212F6">
            <w:pPr>
              <w:spacing w:line="360" w:lineRule="auto"/>
              <w:ind w:left="43"/>
              <w:jc w:val="both"/>
              <w:rPr>
                <w:rFonts w:ascii="Times New Roman" w:hAnsi="Times New Roman"/>
              </w:rPr>
            </w:pPr>
            <w:r w:rsidRPr="00516072">
              <w:rPr>
                <w:rFonts w:ascii="Times New Roman" w:hAnsi="Times New Roman"/>
              </w:rPr>
              <w:t>-0.1175</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0.1152</w:t>
            </w:r>
          </w:p>
        </w:tc>
        <w:tc>
          <w:tcPr>
            <w:tcW w:w="1170" w:type="dxa"/>
          </w:tcPr>
          <w:p w:rsidR="007212F6" w:rsidRPr="00516072" w:rsidRDefault="007212F6" w:rsidP="007212F6">
            <w:pPr>
              <w:spacing w:line="360" w:lineRule="auto"/>
              <w:ind w:left="349"/>
              <w:jc w:val="both"/>
              <w:rPr>
                <w:rFonts w:ascii="Times New Roman" w:hAnsi="Times New Roman"/>
              </w:rPr>
            </w:pPr>
            <w:r w:rsidRPr="00516072">
              <w:rPr>
                <w:rFonts w:ascii="Times New Roman" w:hAnsi="Times New Roman"/>
              </w:rPr>
              <w:t>0.0832</w:t>
            </w:r>
          </w:p>
        </w:tc>
        <w:tc>
          <w:tcPr>
            <w:tcW w:w="990"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0.3639</w:t>
            </w:r>
          </w:p>
        </w:tc>
        <w:tc>
          <w:tcPr>
            <w:tcW w:w="1170" w:type="dxa"/>
          </w:tcPr>
          <w:p w:rsidR="007212F6" w:rsidRPr="00516072" w:rsidRDefault="007212F6" w:rsidP="007212F6">
            <w:pPr>
              <w:spacing w:line="360" w:lineRule="auto"/>
              <w:ind w:left="145"/>
              <w:jc w:val="both"/>
              <w:rPr>
                <w:rFonts w:ascii="Times New Roman" w:hAnsi="Times New Roman"/>
              </w:rPr>
            </w:pPr>
            <w:r w:rsidRPr="00516072">
              <w:rPr>
                <w:rFonts w:ascii="Times New Roman" w:hAnsi="Times New Roman"/>
              </w:rPr>
              <w:t>1.0000</w:t>
            </w: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6"/>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Risk_ps</w:t>
            </w:r>
          </w:p>
        </w:tc>
        <w:tc>
          <w:tcPr>
            <w:tcW w:w="1350" w:type="dxa"/>
          </w:tcPr>
          <w:p w:rsidR="007212F6" w:rsidRPr="00516072" w:rsidRDefault="007212F6" w:rsidP="007212F6">
            <w:pPr>
              <w:spacing w:line="360" w:lineRule="auto"/>
              <w:ind w:left="347"/>
              <w:jc w:val="both"/>
              <w:rPr>
                <w:rFonts w:ascii="Times New Roman" w:hAnsi="Times New Roman"/>
              </w:rPr>
            </w:pPr>
            <w:r w:rsidRPr="00516072">
              <w:rPr>
                <w:rFonts w:ascii="Times New Roman" w:hAnsi="Times New Roman"/>
              </w:rPr>
              <w:t>-0.1231</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0.2855</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0.1033</w:t>
            </w:r>
          </w:p>
        </w:tc>
        <w:tc>
          <w:tcPr>
            <w:tcW w:w="1170" w:type="dxa"/>
          </w:tcPr>
          <w:p w:rsidR="007212F6" w:rsidRPr="00516072" w:rsidRDefault="007212F6" w:rsidP="007212F6">
            <w:pPr>
              <w:spacing w:line="360" w:lineRule="auto"/>
              <w:ind w:left="207"/>
              <w:jc w:val="both"/>
              <w:rPr>
                <w:rFonts w:ascii="Times New Roman" w:hAnsi="Times New Roman"/>
              </w:rPr>
            </w:pPr>
            <w:r w:rsidRPr="00516072">
              <w:rPr>
                <w:rFonts w:ascii="Times New Roman" w:hAnsi="Times New Roman"/>
              </w:rPr>
              <w:t>-0.0922</w:t>
            </w:r>
          </w:p>
        </w:tc>
        <w:tc>
          <w:tcPr>
            <w:tcW w:w="990" w:type="dxa"/>
          </w:tcPr>
          <w:p w:rsidR="007212F6" w:rsidRPr="00516072" w:rsidRDefault="007212F6" w:rsidP="007212F6">
            <w:pPr>
              <w:spacing w:line="360" w:lineRule="auto"/>
              <w:ind w:left="69"/>
              <w:jc w:val="both"/>
              <w:rPr>
                <w:rFonts w:ascii="Times New Roman" w:hAnsi="Times New Roman"/>
              </w:rPr>
            </w:pPr>
            <w:r w:rsidRPr="00516072">
              <w:rPr>
                <w:rFonts w:ascii="Times New Roman" w:hAnsi="Times New Roman"/>
              </w:rPr>
              <w:t>-0.1852</w:t>
            </w:r>
          </w:p>
        </w:tc>
        <w:tc>
          <w:tcPr>
            <w:tcW w:w="1170" w:type="dxa"/>
          </w:tcPr>
          <w:p w:rsidR="007212F6" w:rsidRPr="00516072" w:rsidRDefault="007212F6" w:rsidP="007212F6">
            <w:pPr>
              <w:spacing w:line="360" w:lineRule="auto"/>
              <w:ind w:left="89"/>
              <w:jc w:val="both"/>
              <w:rPr>
                <w:rFonts w:ascii="Times New Roman" w:hAnsi="Times New Roman"/>
              </w:rPr>
            </w:pPr>
            <w:r w:rsidRPr="00516072">
              <w:rPr>
                <w:rFonts w:ascii="Times New Roman" w:hAnsi="Times New Roman"/>
              </w:rPr>
              <w:t>-0.0892</w:t>
            </w:r>
          </w:p>
        </w:tc>
        <w:tc>
          <w:tcPr>
            <w:tcW w:w="1170" w:type="dxa"/>
          </w:tcPr>
          <w:p w:rsidR="007212F6" w:rsidRPr="00516072" w:rsidRDefault="007212F6" w:rsidP="007212F6">
            <w:pPr>
              <w:spacing w:line="360" w:lineRule="auto"/>
              <w:ind w:left="173"/>
              <w:jc w:val="both"/>
              <w:rPr>
                <w:rFonts w:ascii="Times New Roman" w:hAnsi="Times New Roman"/>
              </w:rPr>
            </w:pPr>
            <w:r w:rsidRPr="00516072">
              <w:rPr>
                <w:rFonts w:ascii="Times New Roman" w:hAnsi="Times New Roman"/>
              </w:rPr>
              <w:t>1.0000</w:t>
            </w:r>
          </w:p>
        </w:tc>
      </w:tr>
    </w:tbl>
    <w:p w:rsidR="007212F6" w:rsidRPr="009065FF" w:rsidRDefault="007212F6" w:rsidP="007212F6">
      <w:pPr>
        <w:ind w:left="12" w:right="26" w:hanging="10"/>
        <w:jc w:val="both"/>
        <w:rPr>
          <w:sz w:val="10"/>
        </w:rPr>
      </w:pPr>
    </w:p>
    <w:p w:rsidR="007212F6" w:rsidRPr="00516072" w:rsidRDefault="007212F6" w:rsidP="007212F6">
      <w:pPr>
        <w:spacing w:line="360" w:lineRule="auto"/>
        <w:ind w:left="12" w:right="26" w:hanging="10"/>
        <w:jc w:val="both"/>
      </w:pPr>
      <w:r w:rsidRPr="00516072">
        <w:t>Table 3.5: Correlation matrix for securities regression</w:t>
      </w:r>
    </w:p>
    <w:p w:rsidR="007212F6" w:rsidRPr="00E543A6" w:rsidRDefault="007212F6" w:rsidP="007212F6">
      <w:pPr>
        <w:spacing w:line="360" w:lineRule="auto"/>
        <w:ind w:left="12" w:right="14"/>
        <w:jc w:val="both"/>
      </w:pPr>
      <w:r w:rsidRPr="00E543A6">
        <w:tab/>
        <w:t xml:space="preserve">The table shows the correlations between variables as displayed. The age and income </w:t>
      </w:r>
      <w:r w:rsidR="00854097">
        <w:t xml:space="preserve">degree of </w:t>
      </w:r>
      <w:r w:rsidR="000D7431">
        <w:t xml:space="preserve">the </w:t>
      </w:r>
      <w:r w:rsidR="00854097">
        <w:t xml:space="preserve">non-linear relationship </w:t>
      </w:r>
      <w:r w:rsidRPr="00E543A6">
        <w:t>for the securities model is 0.4591, which is the highest value. This number is less than 0.8, indicating that this model does not exhibit multicollinearity and that all selected variables can be incorporated into the regression model.</w:t>
      </w:r>
    </w:p>
    <w:p w:rsidR="007212F6" w:rsidRPr="00516072" w:rsidRDefault="007212F6" w:rsidP="007212F6">
      <w:pPr>
        <w:tabs>
          <w:tab w:val="center" w:pos="3227"/>
        </w:tabs>
        <w:spacing w:line="360" w:lineRule="auto"/>
        <w:jc w:val="both"/>
      </w:pPr>
      <w:r>
        <w:rPr>
          <w:b/>
        </w:rPr>
        <w:t xml:space="preserve">3.2.5.2 </w:t>
      </w:r>
      <w:r w:rsidRPr="00516072">
        <w:rPr>
          <w:b/>
        </w:rPr>
        <w:t xml:space="preserve">Correlation </w:t>
      </w:r>
      <w:r>
        <w:rPr>
          <w:b/>
        </w:rPr>
        <w:t>M</w:t>
      </w:r>
      <w:r w:rsidRPr="00516072">
        <w:rPr>
          <w:b/>
        </w:rPr>
        <w:t xml:space="preserve">atrix for </w:t>
      </w:r>
      <w:r>
        <w:rPr>
          <w:b/>
        </w:rPr>
        <w:t>R</w:t>
      </w:r>
      <w:r w:rsidRPr="00516072">
        <w:rPr>
          <w:b/>
        </w:rPr>
        <w:t>obo-</w:t>
      </w:r>
      <w:r>
        <w:rPr>
          <w:b/>
        </w:rPr>
        <w:t>A</w:t>
      </w:r>
      <w:r w:rsidRPr="00516072">
        <w:rPr>
          <w:b/>
        </w:rPr>
        <w:t>dvisory</w:t>
      </w:r>
    </w:p>
    <w:tbl>
      <w:tblPr>
        <w:tblStyle w:val="TableGrid"/>
        <w:tblW w:w="11610" w:type="dxa"/>
        <w:tblInd w:w="-990" w:type="dxa"/>
        <w:tblBorders>
          <w:top w:val="single" w:sz="4" w:space="0" w:color="auto"/>
          <w:bottom w:val="single" w:sz="4" w:space="0" w:color="auto"/>
          <w:insideH w:val="single" w:sz="4" w:space="0" w:color="auto"/>
          <w:insideV w:val="single" w:sz="4" w:space="0" w:color="auto"/>
        </w:tblBorders>
        <w:tblCellMar>
          <w:top w:w="25" w:type="dxa"/>
          <w:right w:w="57" w:type="dxa"/>
        </w:tblCellMar>
        <w:tblLook w:val="04A0" w:firstRow="1" w:lastRow="0" w:firstColumn="1" w:lastColumn="0" w:noHBand="0" w:noVBand="1"/>
      </w:tblPr>
      <w:tblGrid>
        <w:gridCol w:w="1111"/>
        <w:gridCol w:w="996"/>
        <w:gridCol w:w="856"/>
        <w:gridCol w:w="837"/>
        <w:gridCol w:w="1140"/>
        <w:gridCol w:w="891"/>
        <w:gridCol w:w="938"/>
        <w:gridCol w:w="804"/>
        <w:gridCol w:w="818"/>
        <w:gridCol w:w="794"/>
        <w:gridCol w:w="720"/>
        <w:gridCol w:w="938"/>
        <w:gridCol w:w="767"/>
      </w:tblGrid>
      <w:tr w:rsidR="007212F6" w:rsidRPr="00516072" w:rsidTr="007212F6">
        <w:trPr>
          <w:trHeight w:val="155"/>
        </w:trPr>
        <w:tc>
          <w:tcPr>
            <w:tcW w:w="1111" w:type="dxa"/>
          </w:tcPr>
          <w:p w:rsidR="007212F6" w:rsidRPr="00516072" w:rsidRDefault="007212F6" w:rsidP="007212F6">
            <w:pPr>
              <w:spacing w:line="360" w:lineRule="auto"/>
              <w:jc w:val="both"/>
              <w:rPr>
                <w:rFonts w:ascii="Times New Roman" w:hAnsi="Times New Roman"/>
              </w:rPr>
            </w:pPr>
          </w:p>
        </w:tc>
        <w:tc>
          <w:tcPr>
            <w:tcW w:w="996" w:type="dxa"/>
          </w:tcPr>
          <w:p w:rsidR="007212F6" w:rsidRPr="00516072" w:rsidRDefault="007212F6" w:rsidP="007212F6">
            <w:pPr>
              <w:spacing w:line="360" w:lineRule="auto"/>
              <w:ind w:left="167"/>
              <w:jc w:val="both"/>
              <w:rPr>
                <w:rFonts w:ascii="Times New Roman" w:hAnsi="Times New Roman"/>
              </w:rPr>
            </w:pPr>
            <w:r>
              <w:rPr>
                <w:rFonts w:ascii="Times New Roman" w:hAnsi="Times New Roman"/>
                <w:b/>
              </w:rPr>
              <w:t>R</w:t>
            </w:r>
            <w:r w:rsidRPr="00516072">
              <w:rPr>
                <w:rFonts w:ascii="Times New Roman" w:hAnsi="Times New Roman"/>
                <w:b/>
              </w:rPr>
              <w:t>obo</w:t>
            </w:r>
          </w:p>
        </w:tc>
        <w:tc>
          <w:tcPr>
            <w:tcW w:w="863" w:type="dxa"/>
          </w:tcPr>
          <w:p w:rsidR="007212F6" w:rsidRPr="00516072" w:rsidRDefault="007212F6" w:rsidP="007212F6">
            <w:pPr>
              <w:spacing w:line="360" w:lineRule="auto"/>
              <w:jc w:val="both"/>
              <w:rPr>
                <w:rFonts w:ascii="Times New Roman" w:hAnsi="Times New Roman"/>
              </w:rPr>
            </w:pPr>
          </w:p>
        </w:tc>
        <w:tc>
          <w:tcPr>
            <w:tcW w:w="837" w:type="dxa"/>
          </w:tcPr>
          <w:p w:rsidR="007212F6" w:rsidRPr="00516072" w:rsidRDefault="007212F6" w:rsidP="007212F6">
            <w:pPr>
              <w:spacing w:line="360" w:lineRule="auto"/>
              <w:jc w:val="both"/>
              <w:rPr>
                <w:rFonts w:ascii="Times New Roman" w:hAnsi="Times New Roman"/>
              </w:rPr>
            </w:pP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Monthly</w:t>
            </w: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2"/>
        </w:trPr>
        <w:tc>
          <w:tcPr>
            <w:tcW w:w="1111" w:type="dxa"/>
          </w:tcPr>
          <w:p w:rsidR="007212F6" w:rsidRPr="00516072" w:rsidRDefault="007212F6" w:rsidP="007212F6">
            <w:pPr>
              <w:spacing w:line="360" w:lineRule="auto"/>
              <w:jc w:val="both"/>
              <w:rPr>
                <w:rFonts w:ascii="Times New Roman" w:hAnsi="Times New Roman"/>
              </w:rPr>
            </w:pPr>
          </w:p>
        </w:tc>
        <w:tc>
          <w:tcPr>
            <w:tcW w:w="996"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b/>
              </w:rPr>
              <w:t>advisory</w:t>
            </w:r>
          </w:p>
        </w:tc>
        <w:tc>
          <w:tcPr>
            <w:tcW w:w="86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837" w:type="dxa"/>
          </w:tcPr>
          <w:p w:rsidR="007212F6" w:rsidRPr="00516072" w:rsidRDefault="00967D19" w:rsidP="007212F6">
            <w:pPr>
              <w:spacing w:line="360" w:lineRule="auto"/>
              <w:ind w:left="125"/>
              <w:jc w:val="both"/>
              <w:rPr>
                <w:rFonts w:ascii="Times New Roman" w:hAnsi="Times New Roman"/>
              </w:rPr>
            </w:pPr>
            <w:r w:rsidRPr="00516072">
              <w:rPr>
                <w:rFonts w:ascii="Times New Roman" w:hAnsi="Times New Roman"/>
                <w:b/>
              </w:rPr>
              <w:t>A</w:t>
            </w:r>
            <w:r w:rsidR="007212F6" w:rsidRPr="00516072">
              <w:rPr>
                <w:rFonts w:ascii="Times New Roman" w:hAnsi="Times New Roman"/>
                <w:b/>
              </w:rPr>
              <w:t>ge</w:t>
            </w:r>
          </w:p>
        </w:tc>
        <w:tc>
          <w:tcPr>
            <w:tcW w:w="114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Education</w:t>
            </w:r>
          </w:p>
        </w:tc>
        <w:tc>
          <w:tcPr>
            <w:tcW w:w="90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911" w:type="dxa"/>
          </w:tcPr>
          <w:p w:rsidR="007212F6" w:rsidRPr="00516072" w:rsidRDefault="007212F6" w:rsidP="007212F6">
            <w:pPr>
              <w:spacing w:line="360" w:lineRule="auto"/>
              <w:ind w:left="33"/>
              <w:jc w:val="both"/>
              <w:rPr>
                <w:rFonts w:ascii="Times New Roman" w:hAnsi="Times New Roman"/>
              </w:rPr>
            </w:pPr>
            <w:r w:rsidRPr="00516072">
              <w:rPr>
                <w:rFonts w:ascii="Times New Roman" w:hAnsi="Times New Roman"/>
                <w:b/>
              </w:rPr>
              <w:t>Savings</w:t>
            </w:r>
          </w:p>
        </w:tc>
        <w:tc>
          <w:tcPr>
            <w:tcW w:w="804"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risk_ps</w:t>
            </w:r>
          </w:p>
        </w:tc>
        <w:tc>
          <w:tcPr>
            <w:tcW w:w="818"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risk_hr</w:t>
            </w:r>
          </w:p>
        </w:tc>
        <w:tc>
          <w:tcPr>
            <w:tcW w:w="797"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return</w:t>
            </w:r>
          </w:p>
        </w:tc>
        <w:tc>
          <w:tcPr>
            <w:tcW w:w="720" w:type="dxa"/>
          </w:tcPr>
          <w:p w:rsidR="007212F6" w:rsidRPr="00516072" w:rsidRDefault="007212F6" w:rsidP="007212F6">
            <w:pPr>
              <w:spacing w:line="360" w:lineRule="auto"/>
              <w:ind w:left="89"/>
              <w:jc w:val="both"/>
              <w:rPr>
                <w:rFonts w:ascii="Times New Roman" w:hAnsi="Times New Roman"/>
              </w:rPr>
            </w:pPr>
            <w:r w:rsidRPr="00516072">
              <w:rPr>
                <w:rFonts w:ascii="Times New Roman" w:hAnsi="Times New Roman"/>
                <w:b/>
              </w:rPr>
              <w:t>cost</w:t>
            </w:r>
          </w:p>
        </w:tc>
        <w:tc>
          <w:tcPr>
            <w:tcW w:w="938"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usability</w:t>
            </w:r>
          </w:p>
        </w:tc>
        <w:tc>
          <w:tcPr>
            <w:tcW w:w="772" w:type="dxa"/>
          </w:tcPr>
          <w:p w:rsidR="007212F6" w:rsidRPr="00516072" w:rsidRDefault="007212F6" w:rsidP="007212F6">
            <w:pPr>
              <w:spacing w:line="360" w:lineRule="auto"/>
              <w:ind w:left="36"/>
              <w:jc w:val="both"/>
              <w:rPr>
                <w:rFonts w:ascii="Times New Roman" w:hAnsi="Times New Roman"/>
              </w:rPr>
            </w:pPr>
            <w:r w:rsidRPr="00516072">
              <w:rPr>
                <w:rFonts w:ascii="Times New Roman" w:hAnsi="Times New Roman"/>
                <w:b/>
              </w:rPr>
              <w:t>trust</w:t>
            </w:r>
          </w:p>
        </w:tc>
      </w:tr>
      <w:tr w:rsidR="007212F6" w:rsidRPr="00516072" w:rsidTr="007212F6">
        <w:trPr>
          <w:trHeight w:val="156"/>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Robo Advisory</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1.0000</w:t>
            </w:r>
          </w:p>
        </w:tc>
        <w:tc>
          <w:tcPr>
            <w:tcW w:w="863" w:type="dxa"/>
          </w:tcPr>
          <w:p w:rsidR="007212F6" w:rsidRPr="00516072" w:rsidRDefault="007212F6" w:rsidP="007212F6">
            <w:pPr>
              <w:spacing w:line="360" w:lineRule="auto"/>
              <w:jc w:val="both"/>
              <w:rPr>
                <w:rFonts w:ascii="Times New Roman" w:hAnsi="Times New Roman"/>
              </w:rPr>
            </w:pPr>
          </w:p>
        </w:tc>
        <w:tc>
          <w:tcPr>
            <w:tcW w:w="837" w:type="dxa"/>
          </w:tcPr>
          <w:p w:rsidR="007212F6" w:rsidRPr="00516072" w:rsidRDefault="007212F6" w:rsidP="007212F6">
            <w:pPr>
              <w:spacing w:line="360" w:lineRule="auto"/>
              <w:jc w:val="both"/>
              <w:rPr>
                <w:rFonts w:ascii="Times New Roman" w:hAnsi="Times New Roman"/>
              </w:rPr>
            </w:pP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0.0913</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1.0000</w:t>
            </w:r>
          </w:p>
        </w:tc>
        <w:tc>
          <w:tcPr>
            <w:tcW w:w="837" w:type="dxa"/>
          </w:tcPr>
          <w:p w:rsidR="007212F6" w:rsidRPr="00516072" w:rsidRDefault="007212F6" w:rsidP="007212F6">
            <w:pPr>
              <w:spacing w:line="360" w:lineRule="auto"/>
              <w:jc w:val="both"/>
              <w:rPr>
                <w:rFonts w:ascii="Times New Roman" w:hAnsi="Times New Roman"/>
              </w:rPr>
            </w:pP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Age</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0.0299</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0.0976</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1.0000</w:t>
            </w: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Education</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0.0186</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0.0587</w:t>
            </w:r>
          </w:p>
        </w:tc>
        <w:tc>
          <w:tcPr>
            <w:tcW w:w="837" w:type="dxa"/>
          </w:tcPr>
          <w:p w:rsidR="007212F6" w:rsidRPr="00516072" w:rsidRDefault="007212F6" w:rsidP="007212F6">
            <w:pPr>
              <w:spacing w:line="360" w:lineRule="auto"/>
              <w:ind w:left="19"/>
              <w:jc w:val="both"/>
              <w:rPr>
                <w:rFonts w:ascii="Times New Roman" w:hAnsi="Times New Roman"/>
              </w:rPr>
            </w:pPr>
            <w:r w:rsidRPr="00516072">
              <w:rPr>
                <w:rFonts w:ascii="Times New Roman" w:hAnsi="Times New Roman"/>
              </w:rPr>
              <w:t>-0.1127</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1.0000</w:t>
            </w: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0.0298</w:t>
            </w:r>
          </w:p>
        </w:tc>
        <w:tc>
          <w:tcPr>
            <w:tcW w:w="863" w:type="dxa"/>
          </w:tcPr>
          <w:p w:rsidR="007212F6" w:rsidRPr="00516072" w:rsidRDefault="007212F6" w:rsidP="007212F6">
            <w:pPr>
              <w:spacing w:line="360" w:lineRule="auto"/>
              <w:ind w:left="29"/>
              <w:jc w:val="both"/>
              <w:rPr>
                <w:rFonts w:ascii="Times New Roman" w:hAnsi="Times New Roman"/>
              </w:rPr>
            </w:pPr>
            <w:r w:rsidRPr="00516072">
              <w:rPr>
                <w:rFonts w:ascii="Times New Roman" w:hAnsi="Times New Roman"/>
              </w:rPr>
              <w:t>-0.1333</w:t>
            </w:r>
          </w:p>
        </w:tc>
        <w:tc>
          <w:tcPr>
            <w:tcW w:w="837"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0.44312</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0.1656</w:t>
            </w:r>
          </w:p>
        </w:tc>
        <w:tc>
          <w:tcPr>
            <w:tcW w:w="900" w:type="dxa"/>
          </w:tcPr>
          <w:p w:rsidR="007212F6" w:rsidRPr="00516072" w:rsidRDefault="007212F6" w:rsidP="007212F6">
            <w:pPr>
              <w:spacing w:line="360" w:lineRule="auto"/>
              <w:ind w:left="84"/>
              <w:jc w:val="both"/>
              <w:rPr>
                <w:rFonts w:ascii="Times New Roman" w:hAnsi="Times New Roman"/>
              </w:rPr>
            </w:pPr>
            <w:r w:rsidRPr="00516072">
              <w:rPr>
                <w:rFonts w:ascii="Times New Roman" w:hAnsi="Times New Roman"/>
              </w:rPr>
              <w:t>1.0000</w:t>
            </w: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b/>
              </w:rPr>
              <w:t>Monthly Savings</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0.0479</w:t>
            </w:r>
          </w:p>
        </w:tc>
        <w:tc>
          <w:tcPr>
            <w:tcW w:w="863" w:type="dxa"/>
          </w:tcPr>
          <w:p w:rsidR="007212F6" w:rsidRPr="00516072" w:rsidRDefault="007212F6" w:rsidP="007212F6">
            <w:pPr>
              <w:spacing w:line="360" w:lineRule="auto"/>
              <w:ind w:left="29"/>
              <w:jc w:val="both"/>
              <w:rPr>
                <w:rFonts w:ascii="Times New Roman" w:hAnsi="Times New Roman"/>
              </w:rPr>
            </w:pPr>
            <w:r w:rsidRPr="00516072">
              <w:rPr>
                <w:rFonts w:ascii="Times New Roman" w:hAnsi="Times New Roman"/>
              </w:rPr>
              <w:t>-0.0503</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0.0860</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0.0340</w:t>
            </w:r>
          </w:p>
        </w:tc>
        <w:tc>
          <w:tcPr>
            <w:tcW w:w="900" w:type="dxa"/>
          </w:tcPr>
          <w:p w:rsidR="007212F6" w:rsidRPr="00516072" w:rsidRDefault="007212F6" w:rsidP="007212F6">
            <w:pPr>
              <w:spacing w:line="360" w:lineRule="auto"/>
              <w:ind w:left="84"/>
              <w:jc w:val="both"/>
              <w:rPr>
                <w:rFonts w:ascii="Times New Roman" w:hAnsi="Times New Roman"/>
              </w:rPr>
            </w:pPr>
            <w:r w:rsidRPr="00516072">
              <w:rPr>
                <w:rFonts w:ascii="Times New Roman" w:hAnsi="Times New Roman"/>
              </w:rPr>
              <w:t>0.3280</w:t>
            </w:r>
          </w:p>
        </w:tc>
        <w:tc>
          <w:tcPr>
            <w:tcW w:w="911" w:type="dxa"/>
          </w:tcPr>
          <w:p w:rsidR="007212F6" w:rsidRPr="00516072" w:rsidRDefault="007212F6" w:rsidP="007212F6">
            <w:pPr>
              <w:spacing w:line="360" w:lineRule="auto"/>
              <w:ind w:left="97"/>
              <w:jc w:val="both"/>
              <w:rPr>
                <w:rFonts w:ascii="Times New Roman" w:hAnsi="Times New Roman"/>
              </w:rPr>
            </w:pPr>
            <w:r w:rsidRPr="00516072">
              <w:rPr>
                <w:rFonts w:ascii="Times New Roman" w:hAnsi="Times New Roman"/>
              </w:rPr>
              <w:t>1.0000</w:t>
            </w: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Risk_ps</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0.0362</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0.2572</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0.0936</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-0.0757</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-0.1841</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-0.0598</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1.0000</w:t>
            </w: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Risk_hr</w:t>
            </w:r>
          </w:p>
        </w:tc>
        <w:tc>
          <w:tcPr>
            <w:tcW w:w="996"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-0.0045</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0.0242</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0.0393</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-0.1181</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-0.1111</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-0.0305</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0.1158</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1.0000</w:t>
            </w: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Return</w:t>
            </w:r>
          </w:p>
        </w:tc>
        <w:tc>
          <w:tcPr>
            <w:tcW w:w="996"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-0.0413</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0.0891</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0.0130</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-0.0650</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-0.1213</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-0.0350</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0.1185</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0.4968</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1.0000</w:t>
            </w: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Cost</w:t>
            </w:r>
          </w:p>
        </w:tc>
        <w:tc>
          <w:tcPr>
            <w:tcW w:w="996"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-0.0971</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0.1557</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0.1566</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-0.0532</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-0.0284</w:t>
            </w:r>
          </w:p>
        </w:tc>
        <w:tc>
          <w:tcPr>
            <w:tcW w:w="911" w:type="dxa"/>
          </w:tcPr>
          <w:p w:rsidR="007212F6" w:rsidRPr="00516072" w:rsidRDefault="007212F6" w:rsidP="007212F6">
            <w:pPr>
              <w:spacing w:line="360" w:lineRule="auto"/>
              <w:ind w:left="97"/>
              <w:jc w:val="both"/>
              <w:rPr>
                <w:rFonts w:ascii="Times New Roman" w:hAnsi="Times New Roman"/>
              </w:rPr>
            </w:pPr>
            <w:r w:rsidRPr="00516072">
              <w:rPr>
                <w:rFonts w:ascii="Times New Roman" w:hAnsi="Times New Roman"/>
              </w:rPr>
              <w:t>0.0125</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0.1615</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0.2664</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0.2587</w:t>
            </w:r>
          </w:p>
        </w:tc>
        <w:tc>
          <w:tcPr>
            <w:tcW w:w="72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1.0000</w:t>
            </w: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Usability</w:t>
            </w:r>
          </w:p>
        </w:tc>
        <w:tc>
          <w:tcPr>
            <w:tcW w:w="996" w:type="dxa"/>
          </w:tcPr>
          <w:p w:rsidR="007212F6" w:rsidRPr="00516072" w:rsidRDefault="007212F6" w:rsidP="007212F6">
            <w:pPr>
              <w:spacing w:line="360" w:lineRule="auto"/>
              <w:ind w:left="157"/>
              <w:jc w:val="both"/>
              <w:rPr>
                <w:rFonts w:ascii="Times New Roman" w:hAnsi="Times New Roman"/>
              </w:rPr>
            </w:pPr>
            <w:r w:rsidRPr="00516072">
              <w:rPr>
                <w:rFonts w:ascii="Times New Roman" w:hAnsi="Times New Roman"/>
              </w:rPr>
              <w:t>-01465</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0.1296</w:t>
            </w:r>
          </w:p>
        </w:tc>
        <w:tc>
          <w:tcPr>
            <w:tcW w:w="837" w:type="dxa"/>
          </w:tcPr>
          <w:p w:rsidR="007212F6" w:rsidRPr="00516072" w:rsidRDefault="007212F6" w:rsidP="007212F6">
            <w:pPr>
              <w:spacing w:line="360" w:lineRule="auto"/>
              <w:ind w:left="19"/>
              <w:jc w:val="both"/>
              <w:rPr>
                <w:rFonts w:ascii="Times New Roman" w:hAnsi="Times New Roman"/>
              </w:rPr>
            </w:pPr>
            <w:r w:rsidRPr="00516072">
              <w:rPr>
                <w:rFonts w:ascii="Times New Roman" w:hAnsi="Times New Roman"/>
              </w:rPr>
              <w:t>-0.0610</w:t>
            </w:r>
          </w:p>
        </w:tc>
        <w:tc>
          <w:tcPr>
            <w:tcW w:w="1143" w:type="dxa"/>
          </w:tcPr>
          <w:p w:rsidR="007212F6" w:rsidRPr="00516072" w:rsidRDefault="007212F6" w:rsidP="007212F6">
            <w:pPr>
              <w:spacing w:line="360" w:lineRule="auto"/>
              <w:ind w:left="139"/>
              <w:jc w:val="both"/>
              <w:rPr>
                <w:rFonts w:ascii="Times New Roman" w:hAnsi="Times New Roman"/>
              </w:rPr>
            </w:pPr>
            <w:r w:rsidRPr="00516072">
              <w:rPr>
                <w:rFonts w:ascii="Times New Roman" w:hAnsi="Times New Roman"/>
              </w:rPr>
              <w:t>-0.0384</w:t>
            </w:r>
          </w:p>
        </w:tc>
        <w:tc>
          <w:tcPr>
            <w:tcW w:w="900"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-0.1823</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-0.0414</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0.1382</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0.2789</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0.3299</w:t>
            </w:r>
          </w:p>
        </w:tc>
        <w:tc>
          <w:tcPr>
            <w:tcW w:w="72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0.3003</w:t>
            </w:r>
          </w:p>
        </w:tc>
        <w:tc>
          <w:tcPr>
            <w:tcW w:w="938" w:type="dxa"/>
          </w:tcPr>
          <w:p w:rsidR="007212F6" w:rsidRPr="00516072" w:rsidRDefault="007212F6" w:rsidP="007212F6">
            <w:pPr>
              <w:spacing w:line="360" w:lineRule="auto"/>
              <w:ind w:left="111"/>
              <w:jc w:val="both"/>
              <w:rPr>
                <w:rFonts w:ascii="Times New Roman" w:hAnsi="Times New Roman"/>
              </w:rPr>
            </w:pPr>
            <w:r w:rsidRPr="00516072">
              <w:rPr>
                <w:rFonts w:ascii="Times New Roman" w:hAnsi="Times New Roman"/>
              </w:rPr>
              <w:t>1.0000</w:t>
            </w: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1"/>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Trust</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0.0384</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0.0196</w:t>
            </w:r>
          </w:p>
        </w:tc>
        <w:tc>
          <w:tcPr>
            <w:tcW w:w="837" w:type="dxa"/>
          </w:tcPr>
          <w:p w:rsidR="007212F6" w:rsidRPr="00516072" w:rsidRDefault="007212F6" w:rsidP="007212F6">
            <w:pPr>
              <w:spacing w:line="360" w:lineRule="auto"/>
              <w:ind w:left="19"/>
              <w:jc w:val="both"/>
              <w:rPr>
                <w:rFonts w:ascii="Times New Roman" w:hAnsi="Times New Roman"/>
              </w:rPr>
            </w:pPr>
            <w:r w:rsidRPr="00516072">
              <w:rPr>
                <w:rFonts w:ascii="Times New Roman" w:hAnsi="Times New Roman"/>
              </w:rPr>
              <w:t>-0.0538</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0.0381</w:t>
            </w:r>
          </w:p>
        </w:tc>
        <w:tc>
          <w:tcPr>
            <w:tcW w:w="900" w:type="dxa"/>
          </w:tcPr>
          <w:p w:rsidR="007212F6" w:rsidRPr="00516072" w:rsidRDefault="007212F6" w:rsidP="007212F6">
            <w:pPr>
              <w:spacing w:line="360" w:lineRule="auto"/>
              <w:ind w:left="84"/>
              <w:jc w:val="both"/>
              <w:rPr>
                <w:rFonts w:ascii="Times New Roman" w:hAnsi="Times New Roman"/>
              </w:rPr>
            </w:pPr>
            <w:r w:rsidRPr="00516072">
              <w:rPr>
                <w:rFonts w:ascii="Times New Roman" w:hAnsi="Times New Roman"/>
              </w:rPr>
              <w:t>0.0419</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-0.0124</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0.0260</w:t>
            </w:r>
          </w:p>
        </w:tc>
        <w:tc>
          <w:tcPr>
            <w:tcW w:w="818" w:type="dxa"/>
          </w:tcPr>
          <w:p w:rsidR="007212F6" w:rsidRPr="00516072" w:rsidRDefault="007212F6" w:rsidP="007212F6">
            <w:pPr>
              <w:spacing w:line="360" w:lineRule="auto"/>
              <w:ind w:left="80"/>
              <w:jc w:val="both"/>
              <w:rPr>
                <w:rFonts w:ascii="Times New Roman" w:hAnsi="Times New Roman"/>
              </w:rPr>
            </w:pPr>
            <w:r w:rsidRPr="00516072">
              <w:rPr>
                <w:rFonts w:ascii="Times New Roman" w:hAnsi="Times New Roman"/>
              </w:rPr>
              <w:t>-0.0248</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0.1038</w:t>
            </w:r>
          </w:p>
        </w:tc>
        <w:tc>
          <w:tcPr>
            <w:tcW w:w="72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0.0620</w:t>
            </w:r>
          </w:p>
        </w:tc>
        <w:tc>
          <w:tcPr>
            <w:tcW w:w="938" w:type="dxa"/>
          </w:tcPr>
          <w:p w:rsidR="007212F6" w:rsidRPr="00516072" w:rsidRDefault="007212F6" w:rsidP="007212F6">
            <w:pPr>
              <w:spacing w:line="360" w:lineRule="auto"/>
              <w:ind w:left="111"/>
              <w:jc w:val="both"/>
              <w:rPr>
                <w:rFonts w:ascii="Times New Roman" w:hAnsi="Times New Roman"/>
              </w:rPr>
            </w:pPr>
            <w:r w:rsidRPr="00516072">
              <w:rPr>
                <w:rFonts w:ascii="Times New Roman" w:hAnsi="Times New Roman"/>
              </w:rPr>
              <w:t>0.0639</w:t>
            </w:r>
          </w:p>
        </w:tc>
        <w:tc>
          <w:tcPr>
            <w:tcW w:w="772"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1.0000</w:t>
            </w:r>
          </w:p>
        </w:tc>
      </w:tr>
    </w:tbl>
    <w:p w:rsidR="007212F6" w:rsidRPr="00F4065A" w:rsidRDefault="007212F6" w:rsidP="007212F6">
      <w:pPr>
        <w:ind w:left="12" w:right="39" w:hanging="10"/>
        <w:jc w:val="both"/>
        <w:rPr>
          <w:sz w:val="14"/>
        </w:rPr>
      </w:pPr>
    </w:p>
    <w:p w:rsidR="007212F6" w:rsidRPr="00516072" w:rsidRDefault="007212F6" w:rsidP="007212F6">
      <w:pPr>
        <w:spacing w:line="360" w:lineRule="auto"/>
        <w:ind w:left="12" w:right="39" w:hanging="10"/>
        <w:jc w:val="both"/>
      </w:pPr>
      <w:r w:rsidRPr="00516072">
        <w:t xml:space="preserve">Table 3.6: Correlation </w:t>
      </w:r>
      <w:r>
        <w:t>M</w:t>
      </w:r>
      <w:r w:rsidRPr="00516072">
        <w:t xml:space="preserve">atrix for </w:t>
      </w:r>
      <w:r>
        <w:t>R</w:t>
      </w:r>
      <w:r w:rsidRPr="00516072">
        <w:t>obo-</w:t>
      </w:r>
      <w:r>
        <w:t>A</w:t>
      </w:r>
      <w:r w:rsidRPr="00516072">
        <w:t xml:space="preserve">dvisory </w:t>
      </w:r>
      <w:r>
        <w:t>R</w:t>
      </w:r>
      <w:r w:rsidRPr="00516072">
        <w:t>egression</w:t>
      </w:r>
    </w:p>
    <w:p w:rsidR="007212F6" w:rsidRPr="00716062" w:rsidRDefault="007212F6" w:rsidP="007212F6">
      <w:pPr>
        <w:spacing w:line="360" w:lineRule="auto"/>
        <w:ind w:left="12" w:right="14"/>
        <w:jc w:val="both"/>
      </w:pPr>
      <w:r>
        <w:tab/>
      </w:r>
      <w:r w:rsidRPr="00716062">
        <w:t>Table 3.6 show the relationships between our variables are displayed. The robot advice model has the highest correlation coefficient of 0.4968 between return and risk hr. We can safely include all selected variables in the regression model because these values are less than 0.8, indicating no evidence of multicollinearity in the model.</w:t>
      </w:r>
    </w:p>
    <w:p w:rsidR="00215074" w:rsidRPr="007340E3" w:rsidRDefault="00215074" w:rsidP="00215074">
      <w:pPr>
        <w:spacing w:before="240" w:line="360" w:lineRule="auto"/>
        <w:jc w:val="center"/>
      </w:pPr>
      <w:r w:rsidRPr="007340E3">
        <w:rPr>
          <w:b/>
          <w:bCs/>
        </w:rPr>
        <w:t>CHAPTER FOUR</w:t>
      </w:r>
    </w:p>
    <w:p w:rsidR="00215074" w:rsidRPr="007340E3" w:rsidRDefault="00215074" w:rsidP="00215074">
      <w:pPr>
        <w:spacing w:line="360" w:lineRule="auto"/>
        <w:jc w:val="center"/>
      </w:pPr>
      <w:r w:rsidRPr="007340E3">
        <w:rPr>
          <w:b/>
          <w:bCs/>
        </w:rPr>
        <w:t>DATA ANALYSIS AND RESULT</w:t>
      </w:r>
    </w:p>
    <w:p w:rsidR="00215074" w:rsidRPr="007340E3" w:rsidRDefault="00215074" w:rsidP="00215074">
      <w:pPr>
        <w:spacing w:line="360" w:lineRule="auto"/>
        <w:jc w:val="both"/>
      </w:pPr>
      <w:r>
        <w:tab/>
      </w:r>
      <w:r w:rsidRPr="007340E3">
        <w:t>The findings of the survey and the two pro</w:t>
      </w:r>
      <w:r w:rsidR="00CF14AC">
        <w:t>hi</w:t>
      </w:r>
      <w:r w:rsidRPr="007340E3">
        <w:t>bit regressions are presented in this chapter. The examination of the results is a part of this process as well.</w:t>
      </w:r>
    </w:p>
    <w:p w:rsidR="00215074" w:rsidRPr="007340E3" w:rsidRDefault="00215074" w:rsidP="00215074">
      <w:pPr>
        <w:pStyle w:val="Heading2"/>
        <w:keepNext w:val="0"/>
        <w:keepLines w:val="0"/>
        <w:spacing w:before="0" w:line="360" w:lineRule="auto"/>
        <w:jc w:val="both"/>
        <w:rPr>
          <w:sz w:val="24"/>
        </w:rPr>
      </w:pPr>
      <w:r w:rsidRPr="007340E3">
        <w:rPr>
          <w:color w:val="auto"/>
          <w:sz w:val="24"/>
        </w:rPr>
        <w:t>4.1 Results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4.1.1 Survey Statistics</w:t>
      </w:r>
    </w:p>
    <w:p w:rsidR="00215074" w:rsidRDefault="00215074" w:rsidP="00215074">
      <w:pPr>
        <w:spacing w:line="360" w:lineRule="auto"/>
        <w:jc w:val="both"/>
      </w:pPr>
      <w:r>
        <w:tab/>
      </w:r>
      <w:r w:rsidRPr="007340E3">
        <w:t>This section will give the questions not used in the regression analyses. It is important to note that respondents were given the option of selecting multiple answers in several areas. Sometimes, respondents were allowed to choose "other" and explain why they felt their preferred response was not included in the list of possible answers. As a precaution, the "other" option was added in the query in case critical details were left out. Nonetheless, there was no discernible trend in the responses. Thus the "other" option will not be provided. The answer to each question is displayed just below the associated bar chart. Total percentages are rounded to the nearest whole number.</w:t>
      </w:r>
    </w:p>
    <w:p w:rsidR="00215074" w:rsidRDefault="00215074" w:rsidP="00215074">
      <w:pPr>
        <w:spacing w:line="360" w:lineRule="auto"/>
        <w:jc w:val="both"/>
      </w:pPr>
      <w:r w:rsidRPr="000372B4">
        <w:rPr>
          <w:noProof/>
        </w:rPr>
        <w:drawing>
          <wp:inline distT="0" distB="0" distL="0" distR="0" wp14:anchorId="4C1B0882" wp14:editId="442233C6">
            <wp:extent cx="5848350" cy="2533650"/>
            <wp:effectExtent l="0" t="0" r="0" b="0"/>
            <wp:docPr id="3074" name="Picture 3074"/>
            <wp:cNvGraphicFramePr/>
            <a:graphic xmlns:a="http://schemas.openxmlformats.org/drawingml/2006/main">
              <a:graphicData uri="http://schemas.openxmlformats.org/drawingml/2006/picture">
                <pic:pic xmlns:pic="http://schemas.openxmlformats.org/drawingml/2006/picture">
                  <pic:nvPicPr>
                    <pic:cNvPr id="3074" name="Picture 3074"/>
                    <pic:cNvPicPr/>
                  </pic:nvPicPr>
                  <pic:blipFill>
                    <a:blip r:embed="rId19"/>
                    <a:stretch>
                      <a:fillRect/>
                    </a:stretch>
                  </pic:blipFill>
                  <pic:spPr>
                    <a:xfrm>
                      <a:off x="0" y="0"/>
                      <a:ext cx="5848981" cy="2533923"/>
                    </a:xfrm>
                    <a:prstGeom prst="rect">
                      <a:avLst/>
                    </a:prstGeom>
                  </pic:spPr>
                </pic:pic>
              </a:graphicData>
            </a:graphic>
          </wp:inline>
        </w:drawing>
      </w:r>
    </w:p>
    <w:p w:rsidR="00215074" w:rsidRPr="003064A2" w:rsidRDefault="00215074" w:rsidP="00215074">
      <w:pPr>
        <w:jc w:val="both"/>
        <w:rPr>
          <w:sz w:val="8"/>
        </w:rPr>
      </w:pPr>
    </w:p>
    <w:p w:rsidR="00215074" w:rsidRPr="007340E3" w:rsidRDefault="00215074" w:rsidP="00215074">
      <w:pPr>
        <w:spacing w:line="360" w:lineRule="auto"/>
        <w:jc w:val="both"/>
      </w:pPr>
      <w:r w:rsidRPr="007340E3">
        <w:rPr>
          <w:b/>
          <w:bCs/>
        </w:rPr>
        <w:t xml:space="preserve">Figure 4.1: Response Results for Survey Question 11, </w:t>
      </w:r>
      <w:r w:rsidRPr="007340E3">
        <w:rPr>
          <w:b/>
          <w:bCs/>
          <w:i/>
          <w:iCs/>
        </w:rPr>
        <w:t>"How do you invest?"</w:t>
      </w:r>
    </w:p>
    <w:p w:rsidR="00215074" w:rsidRDefault="00215074" w:rsidP="00215074">
      <w:pPr>
        <w:spacing w:line="360" w:lineRule="auto"/>
        <w:jc w:val="both"/>
      </w:pPr>
      <w:r>
        <w:tab/>
      </w:r>
      <w:r w:rsidRPr="007340E3">
        <w:t>Respondents to Question 11 were given the option of selecting several responses, and the question was posed to individuals who have made or plan to invest in securities. Regarding making financial decisions, 89% of investors rely on their data and research (see Figure 4.1). Most males (90%), but fewer women (61%), make investment decisions based on personal knowledge and analysis. Also, 39% of investors have acted on the advice of friends or family members, with 6% of women and 2% of men working this way. Only 8% of men and 31% of women invest with the help of a human, financial advisor. Only about one-fifth of those polled said they never use a human counsel.</w:t>
      </w:r>
    </w:p>
    <w:p w:rsidR="00215074" w:rsidRPr="009D2678" w:rsidRDefault="00215074" w:rsidP="00215074">
      <w:pPr>
        <w:jc w:val="both"/>
        <w:rPr>
          <w:sz w:val="2"/>
        </w:rPr>
      </w:pPr>
    </w:p>
    <w:p w:rsidR="00215074" w:rsidRDefault="00215074" w:rsidP="00215074">
      <w:pPr>
        <w:spacing w:line="360" w:lineRule="auto"/>
        <w:jc w:val="both"/>
        <w:rPr>
          <w:b/>
          <w:bCs/>
        </w:rPr>
      </w:pPr>
      <w:r w:rsidRPr="000372B4">
        <w:rPr>
          <w:noProof/>
        </w:rPr>
        <w:drawing>
          <wp:inline distT="0" distB="0" distL="0" distR="0" wp14:anchorId="6F2916E2" wp14:editId="165FC1C8">
            <wp:extent cx="5219700" cy="2914650"/>
            <wp:effectExtent l="0" t="0" r="0" b="0"/>
            <wp:docPr id="3100" name="Picture 3100"/>
            <wp:cNvGraphicFramePr/>
            <a:graphic xmlns:a="http://schemas.openxmlformats.org/drawingml/2006/main">
              <a:graphicData uri="http://schemas.openxmlformats.org/drawingml/2006/picture">
                <pic:pic xmlns:pic="http://schemas.openxmlformats.org/drawingml/2006/picture">
                  <pic:nvPicPr>
                    <pic:cNvPr id="3100" name="Picture 3100"/>
                    <pic:cNvPicPr/>
                  </pic:nvPicPr>
                  <pic:blipFill>
                    <a:blip r:embed="rId20"/>
                    <a:stretch>
                      <a:fillRect/>
                    </a:stretch>
                  </pic:blipFill>
                  <pic:spPr>
                    <a:xfrm>
                      <a:off x="0" y="0"/>
                      <a:ext cx="5220318" cy="2914995"/>
                    </a:xfrm>
                    <a:prstGeom prst="rect">
                      <a:avLst/>
                    </a:prstGeom>
                  </pic:spPr>
                </pic:pic>
              </a:graphicData>
            </a:graphic>
          </wp:inline>
        </w:drawing>
      </w:r>
    </w:p>
    <w:p w:rsidR="00215074" w:rsidRPr="00FA3814" w:rsidRDefault="00215074" w:rsidP="00215074">
      <w:pPr>
        <w:jc w:val="both"/>
        <w:rPr>
          <w:b/>
          <w:bCs/>
          <w:sz w:val="12"/>
        </w:rPr>
      </w:pPr>
    </w:p>
    <w:p w:rsidR="00215074" w:rsidRPr="007340E3" w:rsidRDefault="00215074" w:rsidP="00215074">
      <w:pPr>
        <w:spacing w:line="360" w:lineRule="auto"/>
        <w:jc w:val="both"/>
      </w:pPr>
      <w:r w:rsidRPr="007340E3">
        <w:rPr>
          <w:b/>
          <w:bCs/>
        </w:rPr>
        <w:t xml:space="preserve">Figure 4.2: Response Results for Survey Question 12, </w:t>
      </w:r>
      <w:r w:rsidRPr="007340E3">
        <w:rPr>
          <w:b/>
          <w:bCs/>
          <w:i/>
          <w:iCs/>
        </w:rPr>
        <w:t xml:space="preserve">"Do you currently invest, or have you </w:t>
      </w:r>
      <w:r>
        <w:rPr>
          <w:b/>
          <w:bCs/>
          <w:i/>
          <w:iCs/>
        </w:rPr>
        <w:t>I</w:t>
      </w:r>
      <w:r w:rsidRPr="007340E3">
        <w:rPr>
          <w:b/>
          <w:bCs/>
          <w:i/>
          <w:iCs/>
        </w:rPr>
        <w:t>nvested, Via Robo-Advisory (Digital Automated Advisory)?"</w:t>
      </w:r>
    </w:p>
    <w:p w:rsidR="00215074" w:rsidRDefault="00215074" w:rsidP="00215074">
      <w:pPr>
        <w:spacing w:line="360" w:lineRule="auto"/>
        <w:jc w:val="both"/>
      </w:pPr>
      <w:r>
        <w:tab/>
      </w:r>
      <w:r w:rsidRPr="007340E3">
        <w:t xml:space="preserve">Figure 4.2 reveals that 13% of responders (52 people) use or have used a Robo-Advisory to make or manage their investments. 87% have not used a Robo-Advisory to invest. The percentage of male respondents who support or have invested via Robo-Advisory is 13%, whereas the corresponding portion of female respondents is 10%. </w:t>
      </w:r>
      <w:r w:rsidR="00A93032" w:rsidRPr="00A93032">
        <w:t>50 percent of the 52 individuals who currently invest in or have previously invested in Robo-Advisory have high incomes (above $40,000 per month).</w:t>
      </w:r>
      <w:r w:rsidR="00A93032">
        <w:t xml:space="preserve"> </w:t>
      </w:r>
      <w:r w:rsidRPr="007340E3">
        <w:t>Even more impressive is that most of these people have advanced degrees.</w:t>
      </w:r>
    </w:p>
    <w:p w:rsidR="00215074" w:rsidRDefault="00215074" w:rsidP="00215074">
      <w:pPr>
        <w:spacing w:line="360" w:lineRule="auto"/>
        <w:jc w:val="both"/>
        <w:rPr>
          <w:b/>
          <w:bCs/>
        </w:rPr>
      </w:pPr>
    </w:p>
    <w:p w:rsidR="00215074" w:rsidRDefault="00215074" w:rsidP="00215074">
      <w:pPr>
        <w:spacing w:line="360" w:lineRule="auto"/>
        <w:jc w:val="both"/>
        <w:rPr>
          <w:b/>
          <w:bCs/>
        </w:rPr>
      </w:pPr>
      <w:r w:rsidRPr="000372B4">
        <w:rPr>
          <w:noProof/>
        </w:rPr>
        <w:drawing>
          <wp:inline distT="0" distB="0" distL="0" distR="0" wp14:anchorId="7299DBDC" wp14:editId="13948EB2">
            <wp:extent cx="5200650" cy="3409950"/>
            <wp:effectExtent l="0" t="0" r="0" b="0"/>
            <wp:docPr id="3112" name="Picture 3112"/>
            <wp:cNvGraphicFramePr/>
            <a:graphic xmlns:a="http://schemas.openxmlformats.org/drawingml/2006/main">
              <a:graphicData uri="http://schemas.openxmlformats.org/drawingml/2006/picture">
                <pic:pic xmlns:pic="http://schemas.openxmlformats.org/drawingml/2006/picture">
                  <pic:nvPicPr>
                    <pic:cNvPr id="3112" name="Picture 3112"/>
                    <pic:cNvPicPr/>
                  </pic:nvPicPr>
                  <pic:blipFill>
                    <a:blip r:embed="rId21"/>
                    <a:stretch>
                      <a:fillRect/>
                    </a:stretch>
                  </pic:blipFill>
                  <pic:spPr>
                    <a:xfrm>
                      <a:off x="0" y="0"/>
                      <a:ext cx="5201262" cy="3410351"/>
                    </a:xfrm>
                    <a:prstGeom prst="rect">
                      <a:avLst/>
                    </a:prstGeom>
                  </pic:spPr>
                </pic:pic>
              </a:graphicData>
            </a:graphic>
          </wp:inline>
        </w:drawing>
      </w:r>
    </w:p>
    <w:p w:rsidR="00215074" w:rsidRPr="005912B2" w:rsidRDefault="00215074" w:rsidP="00215074">
      <w:pPr>
        <w:jc w:val="both"/>
        <w:rPr>
          <w:b/>
          <w:bCs/>
          <w:sz w:val="10"/>
        </w:rPr>
      </w:pPr>
    </w:p>
    <w:p w:rsidR="00215074" w:rsidRPr="007340E3" w:rsidRDefault="00215074" w:rsidP="00215074">
      <w:pPr>
        <w:spacing w:line="360" w:lineRule="auto"/>
        <w:jc w:val="both"/>
      </w:pPr>
      <w:r w:rsidRPr="007340E3">
        <w:rPr>
          <w:b/>
          <w:bCs/>
        </w:rPr>
        <w:t xml:space="preserve">Figure 4.3: Response Results for Survey Questions 16 and 23, </w:t>
      </w:r>
      <w:r w:rsidRPr="007340E3">
        <w:rPr>
          <w:b/>
          <w:bCs/>
          <w:i/>
          <w:iCs/>
        </w:rPr>
        <w:t>"Whose Recommendation do you Trust More?"</w:t>
      </w:r>
    </w:p>
    <w:p w:rsidR="00215074" w:rsidRPr="007340E3" w:rsidRDefault="00215074" w:rsidP="00215074">
      <w:pPr>
        <w:spacing w:line="360" w:lineRule="auto"/>
        <w:jc w:val="both"/>
      </w:pPr>
      <w:r>
        <w:tab/>
      </w:r>
      <w:r w:rsidRPr="007340E3">
        <w:t>43% of respondents prefer human, financial advice over that provided by a Robo-Advisor, as seen in Figure 4.3. 19% of people would put more stock in the direction of a Robo-Advisor than a human advisor regarding their finances, while 37% are unsure which they would trust more.</w:t>
      </w:r>
    </w:p>
    <w:p w:rsidR="00215074" w:rsidRDefault="00215074" w:rsidP="00215074">
      <w:pPr>
        <w:spacing w:line="360" w:lineRule="auto"/>
        <w:jc w:val="both"/>
        <w:rPr>
          <w:b/>
          <w:bCs/>
        </w:rPr>
      </w:pPr>
      <w:r w:rsidRPr="000372B4">
        <w:rPr>
          <w:noProof/>
        </w:rPr>
        <w:drawing>
          <wp:inline distT="0" distB="0" distL="0" distR="0" wp14:anchorId="4532FB3C" wp14:editId="4FDD0BF5">
            <wp:extent cx="5362575" cy="2266950"/>
            <wp:effectExtent l="0" t="0" r="9525" b="0"/>
            <wp:docPr id="3128" name="Picture 3128"/>
            <wp:cNvGraphicFramePr/>
            <a:graphic xmlns:a="http://schemas.openxmlformats.org/drawingml/2006/main">
              <a:graphicData uri="http://schemas.openxmlformats.org/drawingml/2006/picture">
                <pic:pic xmlns:pic="http://schemas.openxmlformats.org/drawingml/2006/picture">
                  <pic:nvPicPr>
                    <pic:cNvPr id="3128" name="Picture 3128"/>
                    <pic:cNvPicPr/>
                  </pic:nvPicPr>
                  <pic:blipFill>
                    <a:blip r:embed="rId22"/>
                    <a:stretch>
                      <a:fillRect/>
                    </a:stretch>
                  </pic:blipFill>
                  <pic:spPr>
                    <a:xfrm>
                      <a:off x="0" y="0"/>
                      <a:ext cx="5363368" cy="2267285"/>
                    </a:xfrm>
                    <a:prstGeom prst="rect">
                      <a:avLst/>
                    </a:prstGeom>
                  </pic:spPr>
                </pic:pic>
              </a:graphicData>
            </a:graphic>
          </wp:inline>
        </w:drawing>
      </w:r>
    </w:p>
    <w:p w:rsidR="00215074" w:rsidRPr="006D051F" w:rsidRDefault="00215074" w:rsidP="00215074">
      <w:pPr>
        <w:jc w:val="both"/>
        <w:rPr>
          <w:b/>
          <w:bCs/>
          <w:sz w:val="12"/>
        </w:rPr>
      </w:pPr>
    </w:p>
    <w:p w:rsidR="00215074" w:rsidRPr="007340E3" w:rsidRDefault="00215074" w:rsidP="00215074">
      <w:pPr>
        <w:spacing w:line="360" w:lineRule="auto"/>
        <w:jc w:val="both"/>
      </w:pPr>
      <w:r w:rsidRPr="007340E3">
        <w:rPr>
          <w:b/>
          <w:bCs/>
        </w:rPr>
        <w:t xml:space="preserve">Figure 4.4: Response Results for Question 17, </w:t>
      </w:r>
      <w:r w:rsidRPr="007340E3">
        <w:rPr>
          <w:b/>
          <w:bCs/>
          <w:i/>
          <w:iCs/>
        </w:rPr>
        <w:t>"Do you think Robo-Advisory will be a successful investment alternative in the future?"</w:t>
      </w:r>
    </w:p>
    <w:p w:rsidR="00215074" w:rsidRPr="007340E3" w:rsidRDefault="00215074" w:rsidP="00215074">
      <w:pPr>
        <w:spacing w:line="360" w:lineRule="auto"/>
        <w:jc w:val="both"/>
      </w:pPr>
      <w:r>
        <w:tab/>
      </w:r>
      <w:r w:rsidRPr="007340E3">
        <w:t>As seen in Figure 4.4, most respondents (77%) are optimistic about Robo-potential Advisory as a viable investment option in the future, while the minority (8%) are pessimistic. However, 15% of respondents are unsure of Robo</w:t>
      </w:r>
      <w:r>
        <w:t>-long-term Advisory's viability.</w:t>
      </w:r>
    </w:p>
    <w:p w:rsidR="00215074" w:rsidRDefault="00215074" w:rsidP="00215074">
      <w:pPr>
        <w:spacing w:before="240" w:line="360" w:lineRule="auto"/>
        <w:jc w:val="both"/>
        <w:rPr>
          <w:b/>
          <w:bCs/>
        </w:rPr>
      </w:pPr>
      <w:r w:rsidRPr="000372B4">
        <w:rPr>
          <w:noProof/>
        </w:rPr>
        <w:drawing>
          <wp:inline distT="0" distB="0" distL="0" distR="0" wp14:anchorId="6E2083B4" wp14:editId="70697817">
            <wp:extent cx="5829300" cy="2428875"/>
            <wp:effectExtent l="0" t="0" r="0" b="0"/>
            <wp:docPr id="3136" name="Picture 3136"/>
            <wp:cNvGraphicFramePr/>
            <a:graphic xmlns:a="http://schemas.openxmlformats.org/drawingml/2006/main">
              <a:graphicData uri="http://schemas.openxmlformats.org/drawingml/2006/picture">
                <pic:pic xmlns:pic="http://schemas.openxmlformats.org/drawingml/2006/picture">
                  <pic:nvPicPr>
                    <pic:cNvPr id="3136" name="Picture 3136"/>
                    <pic:cNvPicPr/>
                  </pic:nvPicPr>
                  <pic:blipFill>
                    <a:blip r:embed="rId23"/>
                    <a:stretch>
                      <a:fillRect/>
                    </a:stretch>
                  </pic:blipFill>
                  <pic:spPr>
                    <a:xfrm>
                      <a:off x="0" y="0"/>
                      <a:ext cx="5831412" cy="2429755"/>
                    </a:xfrm>
                    <a:prstGeom prst="rect">
                      <a:avLst/>
                    </a:prstGeom>
                  </pic:spPr>
                </pic:pic>
              </a:graphicData>
            </a:graphic>
          </wp:inline>
        </w:drawing>
      </w:r>
    </w:p>
    <w:p w:rsidR="00215074" w:rsidRPr="007340E3" w:rsidRDefault="00215074" w:rsidP="00215074">
      <w:pPr>
        <w:spacing w:line="360" w:lineRule="auto"/>
        <w:jc w:val="both"/>
      </w:pPr>
      <w:r w:rsidRPr="007340E3">
        <w:rPr>
          <w:b/>
          <w:bCs/>
        </w:rPr>
        <w:t>Figure 4.5: Response Results for Survey Questions 18, 24</w:t>
      </w:r>
      <w:r w:rsidR="000D7431">
        <w:rPr>
          <w:b/>
          <w:bCs/>
        </w:rPr>
        <w:t>,</w:t>
      </w:r>
      <w:r w:rsidRPr="007340E3">
        <w:rPr>
          <w:b/>
          <w:bCs/>
        </w:rPr>
        <w:t xml:space="preserve"> and 28, </w:t>
      </w:r>
      <w:r w:rsidRPr="007340E3">
        <w:rPr>
          <w:b/>
          <w:bCs/>
          <w:i/>
          <w:iCs/>
        </w:rPr>
        <w:t>"Which factors need to be improved within Robo-Advisory?"</w:t>
      </w:r>
    </w:p>
    <w:p w:rsidR="00215074" w:rsidRPr="007340E3" w:rsidRDefault="00215074" w:rsidP="00215074">
      <w:pPr>
        <w:spacing w:line="360" w:lineRule="auto"/>
        <w:jc w:val="both"/>
      </w:pPr>
      <w:r>
        <w:tab/>
      </w:r>
      <w:r w:rsidRPr="007340E3">
        <w:t xml:space="preserve">Figure 4.5 shows responses to questions 18, 24, and 28 from the survey. There is a consistency in intent and potential responses across all three queries. There are three possible ways to proceed through the survey, which is </w:t>
      </w:r>
      <w:r w:rsidR="007B31F9">
        <w:t xml:space="preserve">the reason for </w:t>
      </w:r>
      <w:r w:rsidRPr="007340E3">
        <w:t xml:space="preserve">three </w:t>
      </w:r>
      <w:r w:rsidR="00A93032">
        <w:t>groups</w:t>
      </w:r>
      <w:r w:rsidRPr="007340E3">
        <w:t xml:space="preserve"> of identical questions: each </w:t>
      </w:r>
      <w:r w:rsidR="007B31F9">
        <w:t xml:space="preserve">pair of </w:t>
      </w:r>
      <w:r w:rsidR="000D7431">
        <w:t>inquiries</w:t>
      </w:r>
      <w:r w:rsidR="007B31F9">
        <w:t xml:space="preserve"> </w:t>
      </w:r>
      <w:r w:rsidR="00F6032D">
        <w:t>was</w:t>
      </w:r>
      <w:r w:rsidRPr="007340E3">
        <w:t xml:space="preserve"> tailored to the respondent's last answer.</w:t>
      </w:r>
    </w:p>
    <w:p w:rsidR="00215074" w:rsidRDefault="0045700A" w:rsidP="00215074">
      <w:pPr>
        <w:pStyle w:val="ListParagraph"/>
        <w:numPr>
          <w:ilvl w:val="0"/>
          <w:numId w:val="8"/>
        </w:numPr>
        <w:suppressAutoHyphens w:val="0"/>
        <w:spacing w:before="240" w:after="0" w:line="360" w:lineRule="auto"/>
        <w:jc w:val="both"/>
      </w:pPr>
      <w:r>
        <w:t xml:space="preserve">Those who </w:t>
      </w:r>
      <w:r w:rsidR="00F874B6">
        <w:t xml:space="preserve">previously invested in </w:t>
      </w:r>
      <w:r w:rsidR="00BA5B6E">
        <w:t>financial assets and</w:t>
      </w:r>
      <w:r w:rsidR="00215074" w:rsidRPr="007340E3">
        <w:t xml:space="preserve"> investments in</w:t>
      </w:r>
      <w:r w:rsidR="00BA5B6E">
        <w:t>struments</w:t>
      </w:r>
      <w:r w:rsidR="00215074" w:rsidRPr="007340E3">
        <w:t xml:space="preserve"> but not through a Robo-Advisory</w:t>
      </w:r>
    </w:p>
    <w:p w:rsidR="00215074" w:rsidRDefault="00215074" w:rsidP="00215074">
      <w:pPr>
        <w:pStyle w:val="ListParagraph"/>
        <w:numPr>
          <w:ilvl w:val="0"/>
          <w:numId w:val="8"/>
        </w:numPr>
        <w:suppressAutoHyphens w:val="0"/>
        <w:spacing w:before="240" w:after="0" w:line="360" w:lineRule="auto"/>
        <w:jc w:val="both"/>
      </w:pPr>
      <w:r w:rsidRPr="007340E3">
        <w:t>People who have used a robotic investment advisor (Robo-Advisory) and who responded to this survey</w:t>
      </w:r>
    </w:p>
    <w:p w:rsidR="00215074" w:rsidRPr="007340E3" w:rsidRDefault="00215074" w:rsidP="00215074">
      <w:pPr>
        <w:pStyle w:val="ListParagraph"/>
        <w:numPr>
          <w:ilvl w:val="0"/>
          <w:numId w:val="8"/>
        </w:numPr>
        <w:suppressAutoHyphens w:val="0"/>
        <w:spacing w:before="240" w:after="0" w:line="360" w:lineRule="auto"/>
        <w:jc w:val="both"/>
      </w:pPr>
      <w:r w:rsidRPr="007340E3">
        <w:t>Those who have not put money into the stock market or used a robot advisor</w:t>
      </w:r>
    </w:p>
    <w:p w:rsidR="00215074" w:rsidRPr="007340E3" w:rsidRDefault="00215074" w:rsidP="00215074">
      <w:pPr>
        <w:spacing w:line="360" w:lineRule="auto"/>
        <w:jc w:val="both"/>
      </w:pPr>
      <w:r>
        <w:tab/>
      </w:r>
      <w:r w:rsidRPr="007340E3">
        <w:t xml:space="preserve">At the end of the survey, everyone was asked the identical question. Several striking results can be seen in the graph. </w:t>
      </w:r>
      <w:r w:rsidR="0045700A">
        <w:t>Individuals that purchased financial instruments</w:t>
      </w:r>
      <w:r w:rsidRPr="007340E3">
        <w:t xml:space="preserve"> before but not through a Robo-Advisor are the most likely to agree that they should be free of charge (58%). People who have never invested in securities and have never used a Robo-Advisor are the most likely to choose the option that Robo-Advisors should be more transparent (75 </w:t>
      </w:r>
      <w:r w:rsidR="0045700A">
        <w:t>percent</w:t>
      </w:r>
      <w:r w:rsidRPr="007340E3">
        <w:t>). Most respondents who opted for this option (those who had invested in securities before but not through a Robo-Advisor) feel they need more Education and understanding of Robo-Advisory. Robo-Advisors and "greater security options" were not selected by people who have never invested in securities.</w:t>
      </w:r>
    </w:p>
    <w:p w:rsidR="00215074" w:rsidRPr="007340E3" w:rsidRDefault="00215074" w:rsidP="00215074">
      <w:pPr>
        <w:spacing w:before="240" w:line="360" w:lineRule="auto"/>
        <w:jc w:val="both"/>
      </w:pPr>
      <w:r w:rsidRPr="000372B4">
        <w:rPr>
          <w:noProof/>
        </w:rPr>
        <w:drawing>
          <wp:inline distT="0" distB="0" distL="0" distR="0" wp14:anchorId="1930F32F" wp14:editId="05EE0A0D">
            <wp:extent cx="5857875" cy="3181350"/>
            <wp:effectExtent l="0" t="0" r="0" b="0"/>
            <wp:docPr id="3176" name="Picture 3176"/>
            <wp:cNvGraphicFramePr/>
            <a:graphic xmlns:a="http://schemas.openxmlformats.org/drawingml/2006/main">
              <a:graphicData uri="http://schemas.openxmlformats.org/drawingml/2006/picture">
                <pic:pic xmlns:pic="http://schemas.openxmlformats.org/drawingml/2006/picture">
                  <pic:nvPicPr>
                    <pic:cNvPr id="3176" name="Picture 3176"/>
                    <pic:cNvPicPr/>
                  </pic:nvPicPr>
                  <pic:blipFill>
                    <a:blip r:embed="rId24"/>
                    <a:stretch>
                      <a:fillRect/>
                    </a:stretch>
                  </pic:blipFill>
                  <pic:spPr>
                    <a:xfrm>
                      <a:off x="0" y="0"/>
                      <a:ext cx="5859125" cy="3182029"/>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4.6: Response Results for Survey Question 25, </w:t>
      </w:r>
      <w:r w:rsidRPr="007340E3">
        <w:rPr>
          <w:b/>
          <w:bCs/>
          <w:i/>
          <w:iCs/>
        </w:rPr>
        <w:t>"Why do you not invest today?"</w:t>
      </w:r>
    </w:p>
    <w:p w:rsidR="00215074" w:rsidRPr="007340E3" w:rsidRDefault="00215074" w:rsidP="00215074">
      <w:pPr>
        <w:spacing w:line="360" w:lineRule="auto"/>
        <w:jc w:val="both"/>
      </w:pPr>
      <w:r>
        <w:tab/>
      </w:r>
      <w:r w:rsidRPr="007340E3">
        <w:t xml:space="preserve">More than one possible response is presented in Figure 4.6 for respondents who said they have never invested in securities. Of those who did not invest in securities, 68% cited a lack of understanding as the primary reason. Twenty-three </w:t>
      </w:r>
      <w:r w:rsidR="000D7431">
        <w:t>percent</w:t>
      </w:r>
      <w:r w:rsidRPr="007340E3">
        <w:t xml:space="preserve"> of people said they were not interested, and twenty-five </w:t>
      </w:r>
      <w:r w:rsidR="000D7431">
        <w:t>percent</w:t>
      </w:r>
      <w:r w:rsidRPr="007340E3">
        <w:t xml:space="preserve"> said they did not trust themselves to be able to invest any money. Only 13% were </w:t>
      </w:r>
      <w:r w:rsidR="00F663A9">
        <w:t xml:space="preserve">prepared to accept every kind of </w:t>
      </w:r>
      <w:r w:rsidRPr="007340E3">
        <w:t xml:space="preserve">chance, and 28% </w:t>
      </w:r>
      <w:r w:rsidR="00F663A9">
        <w:t xml:space="preserve">lacked </w:t>
      </w:r>
      <w:r w:rsidRPr="007340E3">
        <w:t>the</w:t>
      </w:r>
      <w:r w:rsidR="00F663A9">
        <w:t xml:space="preserve"> necessary time</w:t>
      </w:r>
      <w:r w:rsidRPr="007340E3">
        <w:t>.</w:t>
      </w:r>
    </w:p>
    <w:p w:rsidR="00215074" w:rsidRPr="007340E3" w:rsidRDefault="00215074" w:rsidP="00215074">
      <w:pPr>
        <w:spacing w:before="240" w:line="360" w:lineRule="auto"/>
        <w:jc w:val="both"/>
      </w:pPr>
      <w:r w:rsidRPr="000372B4">
        <w:rPr>
          <w:noProof/>
        </w:rPr>
        <w:drawing>
          <wp:inline distT="0" distB="0" distL="0" distR="0" wp14:anchorId="18043C23" wp14:editId="7583D305">
            <wp:extent cx="5191125" cy="2809875"/>
            <wp:effectExtent l="0" t="0" r="0" b="9525"/>
            <wp:docPr id="3199" name="Picture 3199"/>
            <wp:cNvGraphicFramePr/>
            <a:graphic xmlns:a="http://schemas.openxmlformats.org/drawingml/2006/main">
              <a:graphicData uri="http://schemas.openxmlformats.org/drawingml/2006/picture">
                <pic:pic xmlns:pic="http://schemas.openxmlformats.org/drawingml/2006/picture">
                  <pic:nvPicPr>
                    <pic:cNvPr id="3199" name="Picture 3199"/>
                    <pic:cNvPicPr/>
                  </pic:nvPicPr>
                  <pic:blipFill>
                    <a:blip r:embed="rId25"/>
                    <a:stretch>
                      <a:fillRect/>
                    </a:stretch>
                  </pic:blipFill>
                  <pic:spPr>
                    <a:xfrm>
                      <a:off x="0" y="0"/>
                      <a:ext cx="5191743" cy="2810210"/>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4.7: Response Results for Survey Question 26, </w:t>
      </w:r>
      <w:r w:rsidRPr="007340E3">
        <w:rPr>
          <w:b/>
          <w:bCs/>
          <w:i/>
          <w:iCs/>
        </w:rPr>
        <w:t>"Would you, for a fee, consider investing in securities if you got help from a human advisor or Robo-Advisor?"</w:t>
      </w:r>
    </w:p>
    <w:p w:rsidR="00215074" w:rsidRPr="007340E3" w:rsidRDefault="00215074" w:rsidP="00215074">
      <w:pPr>
        <w:spacing w:line="360" w:lineRule="auto"/>
        <w:jc w:val="both"/>
      </w:pPr>
      <w:r>
        <w:tab/>
      </w:r>
      <w:r w:rsidRPr="007340E3">
        <w:t xml:space="preserve">Figure 4.7 highlights statistics for people who have never </w:t>
      </w:r>
      <w:r w:rsidR="00857773">
        <w:t>purchased stocks and bonds</w:t>
      </w:r>
      <w:r w:rsidRPr="007340E3">
        <w:t xml:space="preserve"> but could, in exchange for payment, </w:t>
      </w:r>
      <w:r w:rsidR="00F663A9">
        <w:t xml:space="preserve">contemplate </w:t>
      </w:r>
      <w:r w:rsidRPr="007340E3">
        <w:t>doing so with the assistance of human advising or Robo-Advisory. Of those polled, 25% said they would not support it if given any service, while another 25% said they were not sure. Without help, only 25% would invest.</w:t>
      </w:r>
    </w:p>
    <w:p w:rsidR="00215074" w:rsidRPr="007340E3" w:rsidRDefault="00215074" w:rsidP="00215074">
      <w:pPr>
        <w:spacing w:before="240" w:line="360" w:lineRule="auto"/>
        <w:jc w:val="both"/>
      </w:pPr>
      <w:r w:rsidRPr="000372B4">
        <w:rPr>
          <w:noProof/>
        </w:rPr>
        <w:drawing>
          <wp:inline distT="0" distB="0" distL="0" distR="0" wp14:anchorId="5D434B85" wp14:editId="79B50BF3">
            <wp:extent cx="5057775" cy="2486025"/>
            <wp:effectExtent l="0" t="0" r="9525" b="9525"/>
            <wp:docPr id="3214" name="Picture 3214"/>
            <wp:cNvGraphicFramePr/>
            <a:graphic xmlns:a="http://schemas.openxmlformats.org/drawingml/2006/main">
              <a:graphicData uri="http://schemas.openxmlformats.org/drawingml/2006/picture">
                <pic:pic xmlns:pic="http://schemas.openxmlformats.org/drawingml/2006/picture">
                  <pic:nvPicPr>
                    <pic:cNvPr id="3214" name="Picture 3214"/>
                    <pic:cNvPicPr/>
                  </pic:nvPicPr>
                  <pic:blipFill>
                    <a:blip r:embed="rId26"/>
                    <a:stretch>
                      <a:fillRect/>
                    </a:stretch>
                  </pic:blipFill>
                  <pic:spPr>
                    <a:xfrm>
                      <a:off x="0" y="0"/>
                      <a:ext cx="5058534" cy="2486398"/>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4.8: Response Results for Survey Question 27, </w:t>
      </w:r>
      <w:r w:rsidRPr="007340E3">
        <w:rPr>
          <w:b/>
          <w:bCs/>
          <w:i/>
          <w:iCs/>
        </w:rPr>
        <w:t>"Would you prefer human advisory or Robo-Advisory?"</w:t>
      </w:r>
    </w:p>
    <w:p w:rsidR="00215074" w:rsidRPr="007340E3" w:rsidRDefault="00215074" w:rsidP="00215074">
      <w:pPr>
        <w:spacing w:before="240" w:line="360" w:lineRule="auto"/>
        <w:jc w:val="both"/>
      </w:pPr>
      <w:r>
        <w:tab/>
      </w:r>
      <w:r w:rsidRPr="007340E3">
        <w:t xml:space="preserve">People who have never invested in securities can see their preference between human and Robo-Advisory in Figure 4.8. Eighty </w:t>
      </w:r>
      <w:r w:rsidR="000D7431">
        <w:t>percent</w:t>
      </w:r>
      <w:r w:rsidRPr="007340E3">
        <w:t xml:space="preserve"> of people would rather have a human advisor than one made entirely of robots.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4.1.2 Probit Model and Average Marginal Effect</w:t>
      </w:r>
    </w:p>
    <w:p w:rsidR="00215074" w:rsidRDefault="00215074" w:rsidP="00215074">
      <w:pPr>
        <w:pStyle w:val="ListParagraph"/>
        <w:numPr>
          <w:ilvl w:val="0"/>
          <w:numId w:val="9"/>
        </w:numPr>
        <w:suppressAutoHyphens w:val="0"/>
        <w:spacing w:after="0" w:line="360" w:lineRule="auto"/>
        <w:jc w:val="both"/>
      </w:pPr>
      <w:r w:rsidRPr="007340E3">
        <w:t xml:space="preserve">Securities </w:t>
      </w:r>
    </w:p>
    <w:p w:rsidR="00215074" w:rsidRPr="007340E3" w:rsidRDefault="00215074" w:rsidP="00215074">
      <w:pPr>
        <w:spacing w:line="360" w:lineRule="auto"/>
        <w:jc w:val="both"/>
      </w:pPr>
      <w:r>
        <w:tab/>
      </w:r>
      <w:r w:rsidRPr="007340E3">
        <w:t>The Probit Model's results, including average marginal effects, are summarized in Table 4.1. A considerable impact of independent variables on securities is demonstrated. The only factors that will receive commentary are those that meet the criteria for statistical significance.</w:t>
      </w:r>
    </w:p>
    <w:p w:rsidR="00215074" w:rsidRPr="007340E3" w:rsidRDefault="00215074" w:rsidP="00215074">
      <w:pPr>
        <w:spacing w:line="360" w:lineRule="auto"/>
        <w:jc w:val="both"/>
      </w:pPr>
      <w:r>
        <w:tab/>
      </w:r>
      <w:r w:rsidRPr="007340E3">
        <w:t>Their z-scores quantify the significance of the variable coefficients. A star is placed next to each coefficient whose z-value is smaller than one of the three thresholds for statistical significance. Table 4.1 lists how many stars are awarded at each achievement level. According to the probit regression results, the female gender is associated with a 17% reduction in the likelihood of investing in securities at the 1% significance level. A bachelor's degree correlates with less interest in investing in securities, although how much less is unclear because the marginal effect is negligible.</w:t>
      </w:r>
    </w:p>
    <w:p w:rsidR="00215074" w:rsidRPr="007340E3" w:rsidRDefault="00215074" w:rsidP="00215074">
      <w:pPr>
        <w:spacing w:line="360" w:lineRule="auto"/>
        <w:jc w:val="both"/>
      </w:pPr>
      <w:r w:rsidRPr="007340E3">
        <w:rPr>
          <w:b/>
          <w:bCs/>
        </w:rPr>
        <w:t>Probit Standard Average Marginal Securities Coefficient error Z-statistics Effect, dy/dx</w:t>
      </w:r>
    </w:p>
    <w:p w:rsidR="00215074" w:rsidRPr="00372D35" w:rsidRDefault="00215074" w:rsidP="00215074">
      <w:pPr>
        <w:spacing w:before="240"/>
        <w:jc w:val="both"/>
        <w:rPr>
          <w:b/>
          <w:bCs/>
          <w:sz w:val="2"/>
        </w:rPr>
      </w:pPr>
      <w:r>
        <w:rPr>
          <w:b/>
          <w:bCs/>
        </w:rPr>
        <w:tab/>
      </w:r>
    </w:p>
    <w:tbl>
      <w:tblPr>
        <w:tblStyle w:val="TableGrid"/>
        <w:tblW w:w="9339" w:type="dxa"/>
        <w:tblInd w:w="185" w:type="dxa"/>
        <w:tblBorders>
          <w:top w:val="single" w:sz="4" w:space="0" w:color="auto"/>
          <w:bottom w:val="single" w:sz="4" w:space="0" w:color="auto"/>
          <w:insideH w:val="single" w:sz="4" w:space="0" w:color="auto"/>
          <w:insideV w:val="single" w:sz="4" w:space="0" w:color="auto"/>
        </w:tblBorders>
        <w:tblCellMar>
          <w:top w:w="38" w:type="dxa"/>
          <w:right w:w="86" w:type="dxa"/>
        </w:tblCellMar>
        <w:tblLook w:val="04A0" w:firstRow="1" w:lastRow="0" w:firstColumn="1" w:lastColumn="0" w:noHBand="0" w:noVBand="1"/>
      </w:tblPr>
      <w:tblGrid>
        <w:gridCol w:w="2790"/>
        <w:gridCol w:w="1620"/>
        <w:gridCol w:w="1170"/>
        <w:gridCol w:w="1170"/>
        <w:gridCol w:w="106"/>
        <w:gridCol w:w="1604"/>
        <w:gridCol w:w="879"/>
      </w:tblGrid>
      <w:tr w:rsidR="00215074" w:rsidRPr="000372B4" w:rsidTr="00CF14AC">
        <w:trPr>
          <w:gridAfter w:val="1"/>
          <w:wAfter w:w="879" w:type="dxa"/>
          <w:trHeight w:val="464"/>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Gender</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Male</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Female</w:t>
            </w:r>
          </w:p>
        </w:tc>
        <w:tc>
          <w:tcPr>
            <w:tcW w:w="1620" w:type="dxa"/>
          </w:tcPr>
          <w:p w:rsidR="00215074" w:rsidRPr="000372B4" w:rsidRDefault="00215074" w:rsidP="00CF14AC">
            <w:pPr>
              <w:spacing w:line="360" w:lineRule="auto"/>
              <w:ind w:left="121"/>
              <w:jc w:val="both"/>
              <w:rPr>
                <w:rFonts w:ascii="Times New Roman" w:hAnsi="Times New Roman"/>
              </w:rPr>
            </w:pPr>
            <w:r>
              <w:rPr>
                <w:rFonts w:ascii="Times New Roman" w:hAnsi="Times New Roman"/>
              </w:rPr>
              <w:t>-</w:t>
            </w:r>
            <w:r w:rsidRPr="000372B4">
              <w:rPr>
                <w:rFonts w:ascii="Times New Roman" w:hAnsi="Times New Roman"/>
              </w:rPr>
              <w:t>.7264476</w:t>
            </w:r>
          </w:p>
        </w:tc>
        <w:tc>
          <w:tcPr>
            <w:tcW w:w="117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.234721</w:t>
            </w:r>
          </w:p>
        </w:tc>
        <w:tc>
          <w:tcPr>
            <w:tcW w:w="1170" w:type="dxa"/>
          </w:tcPr>
          <w:p w:rsidR="00215074" w:rsidRPr="000372B4" w:rsidRDefault="00215074" w:rsidP="00CF14AC">
            <w:pPr>
              <w:spacing w:line="360" w:lineRule="auto"/>
              <w:ind w:left="133"/>
              <w:jc w:val="both"/>
              <w:rPr>
                <w:rFonts w:ascii="Times New Roman" w:hAnsi="Times New Roman"/>
              </w:rPr>
            </w:pPr>
            <w:r w:rsidRPr="000372B4">
              <w:rPr>
                <w:rFonts w:ascii="Times New Roman" w:hAnsi="Times New Roman"/>
              </w:rPr>
              <w:t>-3.78**</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-.1738569**</w:t>
            </w: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Age</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18 - 35</w:t>
            </w:r>
          </w:p>
        </w:tc>
        <w:tc>
          <w:tcPr>
            <w:tcW w:w="162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-.1942266</w:t>
            </w:r>
          </w:p>
        </w:tc>
        <w:tc>
          <w:tcPr>
            <w:tcW w:w="117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.4483829</w:t>
            </w:r>
          </w:p>
        </w:tc>
        <w:tc>
          <w:tcPr>
            <w:tcW w:w="1170" w:type="dxa"/>
            <w:vAlign w:val="bottom"/>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-0.55</w:t>
            </w:r>
          </w:p>
        </w:tc>
        <w:tc>
          <w:tcPr>
            <w:tcW w:w="1710" w:type="dxa"/>
            <w:gridSpan w:val="2"/>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-.6593561</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35</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ind w:right="1"/>
              <w:jc w:val="both"/>
              <w:rPr>
                <w:rFonts w:ascii="Times New Roman" w:hAnsi="Times New Roman"/>
              </w:rPr>
            </w:pPr>
            <w:r w:rsidRPr="000372B4">
              <w:rPr>
                <w:rFonts w:ascii="Times New Roman" w:hAnsi="Times New Roman"/>
                <w:b/>
              </w:rPr>
              <w:t>Education</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Bachelor’s degree and under</w:t>
            </w:r>
          </w:p>
        </w:tc>
        <w:tc>
          <w:tcPr>
            <w:tcW w:w="162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-.4367187</w:t>
            </w:r>
          </w:p>
        </w:tc>
        <w:tc>
          <w:tcPr>
            <w:tcW w:w="1170" w:type="dxa"/>
            <w:vAlign w:val="bottom"/>
          </w:tcPr>
          <w:p w:rsidR="00215074" w:rsidRPr="000372B4" w:rsidRDefault="00215074" w:rsidP="00CF14AC">
            <w:pPr>
              <w:spacing w:line="360" w:lineRule="auto"/>
              <w:ind w:left="85"/>
              <w:jc w:val="both"/>
              <w:rPr>
                <w:rFonts w:ascii="Times New Roman" w:hAnsi="Times New Roman"/>
              </w:rPr>
            </w:pPr>
            <w:r w:rsidRPr="000372B4">
              <w:rPr>
                <w:rFonts w:ascii="Times New Roman" w:hAnsi="Times New Roman"/>
              </w:rPr>
              <w:t>.28494</w:t>
            </w:r>
          </w:p>
        </w:tc>
        <w:tc>
          <w:tcPr>
            <w:tcW w:w="1170" w:type="dxa"/>
            <w:vAlign w:val="bottom"/>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-2.06*</w:t>
            </w:r>
          </w:p>
        </w:tc>
        <w:tc>
          <w:tcPr>
            <w:tcW w:w="1710" w:type="dxa"/>
            <w:gridSpan w:val="2"/>
            <w:vAlign w:val="bottom"/>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-.4140512</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Master’s degree and above</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Income</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0 - 20 000</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20 001 - 30 000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.5283751</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.7438165</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1.61</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.0789499</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30 001 - 40 000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.3515165</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.2924575</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1.20</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.0573525</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40 001 - 50 000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.7387529</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.5062191</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1.46</w:t>
            </w:r>
          </w:p>
        </w:tc>
        <w:tc>
          <w:tcPr>
            <w:tcW w:w="1710" w:type="dxa"/>
            <w:gridSpan w:val="2"/>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.099141</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50 000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.1508017</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.4385786</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0.34</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.02708</w:t>
            </w: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Monthly savings</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Less than 501</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501 - 1 000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.4070878</w:t>
            </w:r>
          </w:p>
        </w:tc>
        <w:tc>
          <w:tcPr>
            <w:tcW w:w="1170" w:type="dxa"/>
          </w:tcPr>
          <w:p w:rsidR="00215074" w:rsidRPr="000372B4" w:rsidRDefault="00215074" w:rsidP="00CF14AC">
            <w:pPr>
              <w:spacing w:line="360" w:lineRule="auto"/>
              <w:ind w:left="85"/>
              <w:jc w:val="both"/>
              <w:rPr>
                <w:rFonts w:ascii="Times New Roman" w:hAnsi="Times New Roman"/>
              </w:rPr>
            </w:pPr>
            <w:r w:rsidRPr="000372B4">
              <w:rPr>
                <w:rFonts w:ascii="Times New Roman" w:hAnsi="Times New Roman"/>
              </w:rPr>
              <w:t>.96906</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1.46</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.2347893</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1 001 - 5 000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.5551901</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.3684597</w:t>
            </w:r>
          </w:p>
        </w:tc>
        <w:tc>
          <w:tcPr>
            <w:tcW w:w="1170" w:type="dxa"/>
          </w:tcPr>
          <w:p w:rsidR="00215074" w:rsidRPr="000372B4" w:rsidRDefault="00215074" w:rsidP="00CF14AC">
            <w:pPr>
              <w:spacing w:line="360" w:lineRule="auto"/>
              <w:ind w:left="204"/>
              <w:jc w:val="both"/>
              <w:rPr>
                <w:rFonts w:ascii="Times New Roman" w:hAnsi="Times New Roman"/>
              </w:rPr>
            </w:pPr>
            <w:r w:rsidRPr="000372B4">
              <w:rPr>
                <w:rFonts w:ascii="Times New Roman" w:hAnsi="Times New Roman"/>
              </w:rPr>
              <w:t>2.55*</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.1790303*</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More than 5 000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.6734675</w:t>
            </w:r>
          </w:p>
        </w:tc>
        <w:tc>
          <w:tcPr>
            <w:tcW w:w="117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.408065</w:t>
            </w:r>
          </w:p>
        </w:tc>
        <w:tc>
          <w:tcPr>
            <w:tcW w:w="1170" w:type="dxa"/>
          </w:tcPr>
          <w:p w:rsidR="00215074" w:rsidRPr="000372B4" w:rsidRDefault="00215074" w:rsidP="00CF14AC">
            <w:pPr>
              <w:spacing w:line="360" w:lineRule="auto"/>
              <w:ind w:left="203"/>
              <w:jc w:val="both"/>
              <w:rPr>
                <w:rFonts w:ascii="Times New Roman" w:hAnsi="Times New Roman"/>
              </w:rPr>
            </w:pPr>
            <w:r w:rsidRPr="000372B4">
              <w:rPr>
                <w:rFonts w:ascii="Times New Roman" w:hAnsi="Times New Roman"/>
              </w:rPr>
              <w:t>1.97*</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.2074155</w:t>
            </w:r>
          </w:p>
        </w:tc>
      </w:tr>
      <w:tr w:rsidR="00215074" w:rsidRPr="000372B4" w:rsidTr="00CF14AC">
        <w:trPr>
          <w:gridAfter w:val="1"/>
          <w:wAfter w:w="879" w:type="dxa"/>
          <w:trHeight w:val="68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Risk_ps</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Risk lover</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Some risk is okay</w:t>
            </w:r>
          </w:p>
        </w:tc>
        <w:tc>
          <w:tcPr>
            <w:tcW w:w="162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-.3508670</w:t>
            </w:r>
          </w:p>
        </w:tc>
        <w:tc>
          <w:tcPr>
            <w:tcW w:w="117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.2225674</w:t>
            </w:r>
          </w:p>
        </w:tc>
        <w:tc>
          <w:tcPr>
            <w:tcW w:w="1170" w:type="dxa"/>
            <w:vAlign w:val="bottom"/>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-1.67</w:t>
            </w:r>
          </w:p>
        </w:tc>
        <w:tc>
          <w:tcPr>
            <w:tcW w:w="1710" w:type="dxa"/>
            <w:gridSpan w:val="2"/>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-.8934373</w:t>
            </w:r>
          </w:p>
        </w:tc>
      </w:tr>
      <w:tr w:rsidR="00215074" w:rsidRPr="000372B4" w:rsidTr="00CF14AC">
        <w:trPr>
          <w:gridAfter w:val="1"/>
          <w:wAfter w:w="879" w:type="dxa"/>
          <w:trHeight w:val="230"/>
        </w:trPr>
        <w:tc>
          <w:tcPr>
            <w:tcW w:w="2790" w:type="dxa"/>
          </w:tcPr>
          <w:p w:rsidR="00215074" w:rsidRPr="000372B4" w:rsidRDefault="00F6032D" w:rsidP="00CF14AC">
            <w:pPr>
              <w:spacing w:line="360" w:lineRule="auto"/>
              <w:jc w:val="both"/>
              <w:rPr>
                <w:rFonts w:ascii="Times New Roman" w:hAnsi="Times New Roman"/>
              </w:rPr>
            </w:pPr>
            <w:r>
              <w:rPr>
                <w:rFonts w:ascii="Times New Roman" w:hAnsi="Times New Roman"/>
              </w:rPr>
              <w:t>Risk-averse</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trHeight w:val="235"/>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McFadden’s Pseudo R2</w:t>
            </w:r>
          </w:p>
        </w:tc>
        <w:tc>
          <w:tcPr>
            <w:tcW w:w="3960" w:type="dxa"/>
            <w:gridSpan w:val="3"/>
          </w:tcPr>
          <w:p w:rsidR="00215074" w:rsidRPr="000372B4" w:rsidRDefault="00215074" w:rsidP="00CF14AC">
            <w:pPr>
              <w:spacing w:line="360" w:lineRule="auto"/>
              <w:ind w:left="302"/>
              <w:jc w:val="both"/>
              <w:rPr>
                <w:rFonts w:ascii="Times New Roman" w:hAnsi="Times New Roman"/>
              </w:rPr>
            </w:pPr>
            <w:r w:rsidRPr="000372B4">
              <w:rPr>
                <w:rFonts w:ascii="Times New Roman" w:hAnsi="Times New Roman"/>
              </w:rPr>
              <w:t>0.2534</w:t>
            </w:r>
          </w:p>
        </w:tc>
        <w:tc>
          <w:tcPr>
            <w:tcW w:w="106" w:type="dxa"/>
          </w:tcPr>
          <w:p w:rsidR="00215074" w:rsidRPr="000372B4" w:rsidRDefault="00215074" w:rsidP="00CF14AC">
            <w:pPr>
              <w:spacing w:line="360" w:lineRule="auto"/>
              <w:jc w:val="both"/>
              <w:rPr>
                <w:rFonts w:ascii="Times New Roman" w:hAnsi="Times New Roman"/>
              </w:rPr>
            </w:pPr>
          </w:p>
        </w:tc>
        <w:tc>
          <w:tcPr>
            <w:tcW w:w="2483"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trHeight w:val="235"/>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N</w:t>
            </w:r>
          </w:p>
        </w:tc>
        <w:tc>
          <w:tcPr>
            <w:tcW w:w="3960" w:type="dxa"/>
            <w:gridSpan w:val="3"/>
          </w:tcPr>
          <w:p w:rsidR="00215074" w:rsidRPr="000372B4" w:rsidRDefault="00215074" w:rsidP="00CF14AC">
            <w:pPr>
              <w:spacing w:line="360" w:lineRule="auto"/>
              <w:ind w:left="410"/>
              <w:jc w:val="both"/>
              <w:rPr>
                <w:rFonts w:ascii="Times New Roman" w:hAnsi="Times New Roman"/>
              </w:rPr>
            </w:pPr>
            <w:r w:rsidRPr="000372B4">
              <w:rPr>
                <w:rFonts w:ascii="Times New Roman" w:hAnsi="Times New Roman"/>
              </w:rPr>
              <w:t>387</w:t>
            </w:r>
          </w:p>
        </w:tc>
        <w:tc>
          <w:tcPr>
            <w:tcW w:w="106" w:type="dxa"/>
          </w:tcPr>
          <w:p w:rsidR="00215074" w:rsidRPr="000372B4" w:rsidRDefault="00215074" w:rsidP="00CF14AC">
            <w:pPr>
              <w:spacing w:line="360" w:lineRule="auto"/>
              <w:jc w:val="both"/>
              <w:rPr>
                <w:rFonts w:ascii="Times New Roman" w:hAnsi="Times New Roman"/>
              </w:rPr>
            </w:pPr>
          </w:p>
        </w:tc>
        <w:tc>
          <w:tcPr>
            <w:tcW w:w="2483" w:type="dxa"/>
            <w:gridSpan w:val="2"/>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387</w:t>
            </w:r>
          </w:p>
        </w:tc>
      </w:tr>
      <w:tr w:rsidR="00215074" w:rsidRPr="000372B4" w:rsidTr="00CF14AC">
        <w:trPr>
          <w:trHeight w:val="233"/>
        </w:trPr>
        <w:tc>
          <w:tcPr>
            <w:tcW w:w="2790" w:type="dxa"/>
          </w:tcPr>
          <w:p w:rsidR="00215074" w:rsidRPr="000372B4" w:rsidRDefault="00215074" w:rsidP="00CF14AC">
            <w:pPr>
              <w:spacing w:line="360" w:lineRule="auto"/>
              <w:ind w:left="86"/>
              <w:jc w:val="both"/>
              <w:rPr>
                <w:rFonts w:ascii="Times New Roman" w:hAnsi="Times New Roman"/>
              </w:rPr>
            </w:pPr>
            <w:r w:rsidRPr="000372B4">
              <w:rPr>
                <w:rFonts w:ascii="Times New Roman" w:hAnsi="Times New Roman"/>
                <w:b/>
              </w:rPr>
              <w:t>Statistical significance levels</w:t>
            </w:r>
          </w:p>
        </w:tc>
        <w:tc>
          <w:tcPr>
            <w:tcW w:w="3960" w:type="dxa"/>
            <w:gridSpan w:val="3"/>
          </w:tcPr>
          <w:p w:rsidR="00215074" w:rsidRPr="000372B4" w:rsidRDefault="00215074" w:rsidP="00CF14AC">
            <w:pPr>
              <w:spacing w:line="360" w:lineRule="auto"/>
              <w:ind w:left="86"/>
              <w:jc w:val="both"/>
              <w:rPr>
                <w:rFonts w:ascii="Times New Roman" w:hAnsi="Times New Roman"/>
              </w:rPr>
            </w:pPr>
            <w:r w:rsidRPr="000372B4">
              <w:rPr>
                <w:rFonts w:ascii="Times New Roman" w:hAnsi="Times New Roman"/>
                <w:b/>
              </w:rPr>
              <w:t>*z&lt;0.05 **z&lt;0.01 ***z&lt;0.001</w:t>
            </w:r>
          </w:p>
        </w:tc>
        <w:tc>
          <w:tcPr>
            <w:tcW w:w="106" w:type="dxa"/>
          </w:tcPr>
          <w:p w:rsidR="00215074" w:rsidRPr="000372B4" w:rsidRDefault="00215074" w:rsidP="00CF14AC">
            <w:pPr>
              <w:spacing w:line="360" w:lineRule="auto"/>
              <w:jc w:val="both"/>
              <w:rPr>
                <w:rFonts w:ascii="Times New Roman" w:hAnsi="Times New Roman"/>
              </w:rPr>
            </w:pPr>
          </w:p>
        </w:tc>
        <w:tc>
          <w:tcPr>
            <w:tcW w:w="2483" w:type="dxa"/>
            <w:gridSpan w:val="2"/>
          </w:tcPr>
          <w:p w:rsidR="00215074" w:rsidRPr="000372B4" w:rsidRDefault="00215074" w:rsidP="00CF14AC">
            <w:pPr>
              <w:spacing w:line="360" w:lineRule="auto"/>
              <w:jc w:val="both"/>
              <w:rPr>
                <w:rFonts w:ascii="Times New Roman" w:hAnsi="Times New Roman"/>
              </w:rPr>
            </w:pPr>
          </w:p>
        </w:tc>
      </w:tr>
    </w:tbl>
    <w:p w:rsidR="00215074" w:rsidRPr="00B75E19" w:rsidRDefault="00215074" w:rsidP="00215074">
      <w:pPr>
        <w:spacing w:before="240"/>
        <w:jc w:val="both"/>
        <w:rPr>
          <w:b/>
          <w:bCs/>
          <w:sz w:val="2"/>
        </w:rPr>
      </w:pPr>
    </w:p>
    <w:p w:rsidR="00215074" w:rsidRPr="007340E3" w:rsidRDefault="00215074" w:rsidP="00215074">
      <w:pPr>
        <w:spacing w:line="360" w:lineRule="auto"/>
        <w:jc w:val="both"/>
      </w:pPr>
      <w:r w:rsidRPr="007340E3">
        <w:rPr>
          <w:b/>
          <w:bCs/>
        </w:rPr>
        <w:t>Table 4.1: Probit Regression with Securities as the Dependent Variable.</w:t>
      </w:r>
    </w:p>
    <w:p w:rsidR="00215074" w:rsidRPr="007340E3" w:rsidRDefault="00215074" w:rsidP="00215074">
      <w:pPr>
        <w:spacing w:line="360" w:lineRule="auto"/>
        <w:jc w:val="both"/>
      </w:pPr>
      <w:r>
        <w:tab/>
      </w:r>
      <w:r w:rsidRPr="007340E3">
        <w:t>When asked about their savings habits, those who put away between $1,001 and $5,000 per month were 18% more likely to invest in securities.</w:t>
      </w:r>
      <w:r w:rsidR="00857773">
        <w:t xml:space="preserve"> </w:t>
      </w:r>
      <w:r w:rsidR="00857773" w:rsidRPr="00857773">
        <w:t>Additionally, savings amounts above $5,000 per month increase the possibility of stock investing</w:t>
      </w:r>
      <w:r w:rsidR="00857773">
        <w:t>.</w:t>
      </w:r>
      <w:r w:rsidRPr="007340E3">
        <w:t xml:space="preserve"> Still, we cannot specify how much the probability increases due to no significant marginal effect. Both data sets are effective at the 5% threshold of significance.</w:t>
      </w:r>
    </w:p>
    <w:p w:rsidR="00215074" w:rsidRPr="007340E3" w:rsidRDefault="00215074" w:rsidP="00215074">
      <w:pPr>
        <w:spacing w:line="360" w:lineRule="auto"/>
        <w:jc w:val="both"/>
      </w:pPr>
      <w:r>
        <w:tab/>
      </w:r>
      <w:r w:rsidRPr="007340E3">
        <w:t>As an indicator of how well the puzzle pieces fit together, McFadden's Pseudo R2 is 0.2534. A coefficient between 0.2 and 0.4 suggests that our model is reasonably well-fitting.</w:t>
      </w:r>
    </w:p>
    <w:p w:rsidR="00215074" w:rsidRPr="001C7B01" w:rsidRDefault="00215074" w:rsidP="00215074">
      <w:pPr>
        <w:pStyle w:val="Heading3"/>
        <w:keepNext w:val="0"/>
        <w:keepLines w:val="0"/>
        <w:spacing w:before="0"/>
        <w:jc w:val="both"/>
        <w:rPr>
          <w:color w:val="auto"/>
          <w:sz w:val="16"/>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4.1.3 Probit Model and Average Marginal Effect</w:t>
      </w:r>
    </w:p>
    <w:p w:rsidR="00215074" w:rsidRPr="007340E3" w:rsidRDefault="00215074" w:rsidP="00215074">
      <w:pPr>
        <w:numPr>
          <w:ilvl w:val="0"/>
          <w:numId w:val="7"/>
        </w:numPr>
        <w:spacing w:line="360" w:lineRule="auto"/>
        <w:ind w:hanging="204"/>
        <w:jc w:val="both"/>
      </w:pPr>
      <w:r w:rsidRPr="007340E3">
        <w:t>Robo-Advisory</w:t>
      </w:r>
    </w:p>
    <w:p w:rsidR="00215074" w:rsidRPr="007340E3" w:rsidRDefault="00215074" w:rsidP="00215074">
      <w:pPr>
        <w:spacing w:line="360" w:lineRule="auto"/>
        <w:jc w:val="both"/>
      </w:pPr>
      <w:r>
        <w:tab/>
      </w:r>
      <w:r w:rsidRPr="007340E3">
        <w:t>Results from the probit model, including the average marginal effect, are detailed in Table 4.2. It demonstrates the significance of the results and the impact of the independent variables on Robo-Advisory. About 22% of women, and a significantly higher 1% of men, use Robo-Advisors. The only factors that will receive commentary are those that meet the criteria for statistical significance.</w:t>
      </w:r>
    </w:p>
    <w:p w:rsidR="00215074" w:rsidRPr="007340E3" w:rsidRDefault="00215074" w:rsidP="00215074">
      <w:pPr>
        <w:spacing w:line="360" w:lineRule="auto"/>
        <w:jc w:val="both"/>
      </w:pPr>
      <w:r>
        <w:tab/>
      </w:r>
      <w:r w:rsidRPr="007340E3">
        <w:t>If respondents rate themselves as "risk averse," it correlates with a 14.6% rise in the likelihood that they will use Robo-Advisory at the 1% significance level. Only 2% of the male and 20% of the women respondents went with that option. Those who believe the risks associated with Robo-Advice are greater than those related to human advisory at the 5% significance level are less likely to use Robo-Advisory. We cannot quantify the degree to which the likelihood decreases because there is no discernible marginal effect.</w:t>
      </w:r>
    </w:p>
    <w:p w:rsidR="00215074" w:rsidRPr="007340E3" w:rsidRDefault="00215074" w:rsidP="00215074">
      <w:pPr>
        <w:spacing w:line="360" w:lineRule="auto"/>
        <w:jc w:val="both"/>
      </w:pPr>
      <w:r>
        <w:tab/>
      </w:r>
      <w:r w:rsidRPr="007340E3">
        <w:t>For respondents who think Robo-Advise is less usable than human advisory, the likelihood of utilizing Robo-Advisory drops by 13.5% at the 5% significance level.</w:t>
      </w:r>
    </w:p>
    <w:p w:rsidR="00215074" w:rsidRPr="007340E3" w:rsidRDefault="00215074" w:rsidP="00215074">
      <w:pPr>
        <w:spacing w:line="360" w:lineRule="auto"/>
        <w:jc w:val="both"/>
      </w:pPr>
      <w:r>
        <w:tab/>
      </w:r>
      <w:r w:rsidRPr="007340E3">
        <w:t>Respondents who said they trusted human advisors more than Robo-Advisors were 21% less likely to use Robo-Advisors at the</w:t>
      </w:r>
      <w:r w:rsidR="00B8112A">
        <w:t xml:space="preserve"> </w:t>
      </w:r>
      <w:r w:rsidRPr="007340E3">
        <w:t>significance level</w:t>
      </w:r>
      <w:r w:rsidR="00B8112A">
        <w:t xml:space="preserve"> of 0.05</w:t>
      </w:r>
      <w:r w:rsidRPr="007340E3">
        <w:t>.</w:t>
      </w:r>
    </w:p>
    <w:p w:rsidR="00215074" w:rsidRPr="007340E3" w:rsidRDefault="00215074" w:rsidP="00215074">
      <w:pPr>
        <w:spacing w:line="360" w:lineRule="auto"/>
        <w:jc w:val="both"/>
      </w:pPr>
      <w:r>
        <w:tab/>
      </w:r>
      <w:r w:rsidRPr="007340E3">
        <w:t>McFadden's Pseudo R2 is 0.3876, which indicates a very excellent fit. With a coefficient between 0.2 and 0.4, it is clear that our model is reasonably accurate.</w:t>
      </w:r>
    </w:p>
    <w:p w:rsidR="00215074" w:rsidRPr="007340E3" w:rsidRDefault="00215074" w:rsidP="00215074">
      <w:pPr>
        <w:spacing w:line="360" w:lineRule="auto"/>
        <w:jc w:val="both"/>
      </w:pPr>
      <w:r w:rsidRPr="007340E3">
        <w:rPr>
          <w:b/>
          <w:bCs/>
        </w:rPr>
        <w:t>Probit Standard Average Marginal</w:t>
      </w:r>
    </w:p>
    <w:p w:rsidR="00215074" w:rsidRPr="007340E3" w:rsidRDefault="00215074" w:rsidP="00215074">
      <w:pPr>
        <w:spacing w:line="360" w:lineRule="auto"/>
        <w:jc w:val="both"/>
      </w:pPr>
      <w:r w:rsidRPr="007340E3">
        <w:rPr>
          <w:b/>
          <w:bCs/>
        </w:rPr>
        <w:t>Robo-advisory Coefficient error Z-statistics Effect, dy/dx</w:t>
      </w:r>
    </w:p>
    <w:tbl>
      <w:tblPr>
        <w:tblStyle w:val="TableGrid"/>
        <w:tblW w:w="10278" w:type="dxa"/>
        <w:tblInd w:w="-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4" w:type="dxa"/>
          <w:left w:w="68" w:type="dxa"/>
          <w:right w:w="86" w:type="dxa"/>
        </w:tblCellMar>
        <w:tblLook w:val="04A0" w:firstRow="1" w:lastRow="0" w:firstColumn="1" w:lastColumn="0" w:noHBand="0" w:noVBand="1"/>
      </w:tblPr>
      <w:tblGrid>
        <w:gridCol w:w="4608"/>
        <w:gridCol w:w="1710"/>
        <w:gridCol w:w="1350"/>
        <w:gridCol w:w="990"/>
        <w:gridCol w:w="1620"/>
      </w:tblGrid>
      <w:tr w:rsidR="00215074" w:rsidRPr="000372B4" w:rsidTr="00CF14AC">
        <w:trPr>
          <w:trHeight w:val="373"/>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Gender </w:t>
            </w:r>
            <w:r>
              <w:rPr>
                <w:rFonts w:ascii="Times New Roman" w:hAnsi="Times New Roman"/>
                <w:b/>
              </w:rPr>
              <w:t xml:space="preserve">                  </w:t>
            </w:r>
            <w:r w:rsidRPr="000372B4">
              <w:rPr>
                <w:rFonts w:ascii="Times New Roman" w:hAnsi="Times New Roman"/>
              </w:rPr>
              <w:t>Male</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center"/>
              <w:rPr>
                <w:rFonts w:ascii="Times New Roman" w:hAnsi="Times New Roman"/>
              </w:rPr>
            </w:pPr>
            <w:r w:rsidRPr="000372B4">
              <w:rPr>
                <w:rFonts w:ascii="Times New Roman" w:hAnsi="Times New Roman"/>
              </w:rPr>
              <w:t>Female</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1.812352</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.7998435</w:t>
            </w:r>
          </w:p>
        </w:tc>
        <w:tc>
          <w:tcPr>
            <w:tcW w:w="990" w:type="dxa"/>
          </w:tcPr>
          <w:p w:rsidR="00215074" w:rsidRPr="000372B4" w:rsidRDefault="00215074" w:rsidP="00CF14AC">
            <w:pPr>
              <w:spacing w:line="360" w:lineRule="auto"/>
              <w:ind w:left="161"/>
              <w:jc w:val="both"/>
              <w:rPr>
                <w:rFonts w:ascii="Times New Roman" w:hAnsi="Times New Roman"/>
              </w:rPr>
            </w:pPr>
            <w:r>
              <w:rPr>
                <w:rFonts w:ascii="Times New Roman" w:hAnsi="Times New Roman"/>
              </w:rPr>
              <w:t>2.79</w:t>
            </w:r>
          </w:p>
        </w:tc>
        <w:tc>
          <w:tcPr>
            <w:tcW w:w="1620" w:type="dxa"/>
          </w:tcPr>
          <w:p w:rsidR="00215074" w:rsidRPr="000372B4" w:rsidRDefault="00215074" w:rsidP="00CF14AC">
            <w:pPr>
              <w:spacing w:line="360" w:lineRule="auto"/>
              <w:ind w:right="68"/>
              <w:jc w:val="both"/>
              <w:rPr>
                <w:rFonts w:ascii="Times New Roman" w:hAnsi="Times New Roman"/>
              </w:rPr>
            </w:pPr>
            <w:r>
              <w:rPr>
                <w:rFonts w:ascii="Times New Roman" w:hAnsi="Times New Roman"/>
              </w:rPr>
              <w:t>.2189765</w:t>
            </w:r>
          </w:p>
        </w:tc>
      </w:tr>
      <w:tr w:rsidR="00215074" w:rsidRPr="000372B4" w:rsidTr="00CF14AC">
        <w:trPr>
          <w:trHeight w:val="374"/>
        </w:trPr>
        <w:tc>
          <w:tcPr>
            <w:tcW w:w="4608" w:type="dxa"/>
          </w:tcPr>
          <w:p w:rsidR="00215074" w:rsidRDefault="00215074" w:rsidP="00CF14AC">
            <w:pPr>
              <w:spacing w:line="360" w:lineRule="auto"/>
              <w:rPr>
                <w:rFonts w:ascii="Times New Roman" w:hAnsi="Times New Roman"/>
                <w:b/>
              </w:rPr>
            </w:pPr>
            <w:r w:rsidRPr="000372B4">
              <w:rPr>
                <w:rFonts w:ascii="Times New Roman" w:hAnsi="Times New Roman"/>
                <w:b/>
              </w:rPr>
              <w:t xml:space="preserve">Age </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18 - 35</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.7879025</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1.145278</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0.37</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.04159320</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35</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Education </w:t>
            </w:r>
            <w:r w:rsidRPr="000372B4">
              <w:rPr>
                <w:rFonts w:ascii="Times New Roman" w:hAnsi="Times New Roman"/>
              </w:rPr>
              <w:t>Bachelor’s degree and under</w:t>
            </w:r>
          </w:p>
        </w:tc>
        <w:tc>
          <w:tcPr>
            <w:tcW w:w="171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-.8962094</w:t>
            </w:r>
          </w:p>
        </w:tc>
        <w:tc>
          <w:tcPr>
            <w:tcW w:w="1350" w:type="dxa"/>
            <w:vAlign w:val="bottom"/>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.498979</w:t>
            </w:r>
          </w:p>
        </w:tc>
        <w:tc>
          <w:tcPr>
            <w:tcW w:w="990" w:type="dxa"/>
            <w:vAlign w:val="bottom"/>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-1.41</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-.03390517</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Master’s degree and above</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Income</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0 - 20 000</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20 001 - 30 000</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-.6784356</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.856709</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-0.76</w:t>
            </w:r>
          </w:p>
        </w:tc>
        <w:tc>
          <w:tcPr>
            <w:tcW w:w="1620" w:type="dxa"/>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-.0492815</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30 001 - 40 000</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.4578167</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.876389</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0.70</w:t>
            </w:r>
          </w:p>
        </w:tc>
        <w:tc>
          <w:tcPr>
            <w:tcW w:w="1620" w:type="dxa"/>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.05643890</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40 001 - 50 000</w:t>
            </w:r>
          </w:p>
        </w:tc>
        <w:tc>
          <w:tcPr>
            <w:tcW w:w="1710" w:type="dxa"/>
          </w:tcPr>
          <w:p w:rsidR="00215074" w:rsidRPr="000372B4" w:rsidRDefault="00215074" w:rsidP="00CF14AC">
            <w:pPr>
              <w:spacing w:line="360" w:lineRule="auto"/>
              <w:ind w:left="191"/>
              <w:jc w:val="both"/>
              <w:rPr>
                <w:rFonts w:ascii="Times New Roman" w:hAnsi="Times New Roman"/>
              </w:rPr>
            </w:pPr>
            <w:r w:rsidRPr="000372B4">
              <w:rPr>
                <w:rFonts w:ascii="Times New Roman" w:hAnsi="Times New Roman"/>
              </w:rPr>
              <w:t>.412238</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.795864</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0.46</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.0297856</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50 000</w:t>
            </w:r>
          </w:p>
        </w:tc>
        <w:tc>
          <w:tcPr>
            <w:tcW w:w="1710" w:type="dxa"/>
          </w:tcPr>
          <w:p w:rsidR="00215074" w:rsidRPr="000372B4" w:rsidRDefault="00215074" w:rsidP="00CF14AC">
            <w:pPr>
              <w:spacing w:line="360" w:lineRule="auto"/>
              <w:ind w:left="163"/>
              <w:jc w:val="both"/>
              <w:rPr>
                <w:rFonts w:ascii="Times New Roman" w:hAnsi="Times New Roman"/>
              </w:rPr>
            </w:pPr>
            <w:r w:rsidRPr="000372B4">
              <w:rPr>
                <w:rFonts w:ascii="Times New Roman" w:hAnsi="Times New Roman"/>
              </w:rPr>
              <w:t>-.346082</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1.254156</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-0.28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-.0322376</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Monthly savings </w:t>
            </w:r>
            <w:r w:rsidR="000D7431">
              <w:rPr>
                <w:rFonts w:ascii="Times New Roman" w:hAnsi="Times New Roman"/>
                <w:b/>
              </w:rPr>
              <w:t xml:space="preserve">of </w:t>
            </w:r>
            <w:r w:rsidRPr="000372B4">
              <w:rPr>
                <w:rFonts w:ascii="Times New Roman" w:hAnsi="Times New Roman"/>
              </w:rPr>
              <w:t>Less than 501</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501 - 1 000</w:t>
            </w:r>
          </w:p>
        </w:tc>
        <w:tc>
          <w:tcPr>
            <w:tcW w:w="1710" w:type="dxa"/>
          </w:tcPr>
          <w:p w:rsidR="00215074" w:rsidRPr="000372B4" w:rsidRDefault="00215074" w:rsidP="00CF14AC">
            <w:pPr>
              <w:spacing w:line="360" w:lineRule="auto"/>
              <w:ind w:left="191"/>
              <w:jc w:val="both"/>
              <w:rPr>
                <w:rFonts w:ascii="Times New Roman" w:hAnsi="Times New Roman"/>
              </w:rPr>
            </w:pPr>
            <w:r w:rsidRPr="000372B4">
              <w:rPr>
                <w:rFonts w:ascii="Times New Roman" w:hAnsi="Times New Roman"/>
              </w:rPr>
              <w:t>.230985</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.8951018</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0.23</w:t>
            </w:r>
          </w:p>
        </w:tc>
        <w:tc>
          <w:tcPr>
            <w:tcW w:w="1620" w:type="dxa"/>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.2367109</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1 001 - 5 000</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-.1689756</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.9814321</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-0.21</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.0026812</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More than 5 000</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-.4368971</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.5709821</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-0.38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.6071994</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Risk_ps </w:t>
            </w:r>
            <w:r w:rsidRPr="000372B4">
              <w:rPr>
                <w:rFonts w:ascii="Times New Roman" w:hAnsi="Times New Roman"/>
              </w:rPr>
              <w:t>Risk lover</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Some risk is okay</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.9081289</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.9659755</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0.94</w:t>
            </w: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Risk averse</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2.031014</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.9993013</w:t>
            </w:r>
          </w:p>
        </w:tc>
        <w:tc>
          <w:tcPr>
            <w:tcW w:w="990" w:type="dxa"/>
          </w:tcPr>
          <w:p w:rsidR="00215074" w:rsidRPr="000372B4" w:rsidRDefault="00215074" w:rsidP="00CF14AC">
            <w:pPr>
              <w:spacing w:line="360" w:lineRule="auto"/>
              <w:ind w:left="161"/>
              <w:jc w:val="both"/>
              <w:rPr>
                <w:rFonts w:ascii="Times New Roman" w:hAnsi="Times New Roman"/>
              </w:rPr>
            </w:pPr>
            <w:r w:rsidRPr="000372B4">
              <w:rPr>
                <w:rFonts w:ascii="Times New Roman" w:hAnsi="Times New Roman"/>
              </w:rPr>
              <w:t>2.03**</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.146058**</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Risk_hr </w:t>
            </w: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-1.575014</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.7275029</w:t>
            </w:r>
          </w:p>
        </w:tc>
        <w:tc>
          <w:tcPr>
            <w:tcW w:w="990" w:type="dxa"/>
            <w:vAlign w:val="bottom"/>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-2.16*</w:t>
            </w:r>
          </w:p>
        </w:tc>
        <w:tc>
          <w:tcPr>
            <w:tcW w:w="1620" w:type="dxa"/>
            <w:vAlign w:val="bottom"/>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.3371964</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1.769087</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.4689009</w:t>
            </w:r>
          </w:p>
        </w:tc>
        <w:tc>
          <w:tcPr>
            <w:tcW w:w="990" w:type="dxa"/>
          </w:tcPr>
          <w:p w:rsidR="00215074" w:rsidRPr="000372B4" w:rsidRDefault="00215074" w:rsidP="00CF14AC">
            <w:pPr>
              <w:spacing w:line="360" w:lineRule="auto"/>
              <w:ind w:left="288"/>
              <w:jc w:val="both"/>
              <w:rPr>
                <w:rFonts w:ascii="Times New Roman" w:hAnsi="Times New Roman"/>
              </w:rPr>
            </w:pPr>
            <w:r w:rsidRPr="000372B4">
              <w:rPr>
                <w:rFonts w:ascii="Times New Roman" w:hAnsi="Times New Roman"/>
              </w:rPr>
              <w:t>.89</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.4582106</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Return </w:t>
            </w: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1.254723</w:t>
            </w:r>
          </w:p>
        </w:tc>
        <w:tc>
          <w:tcPr>
            <w:tcW w:w="1350" w:type="dxa"/>
            <w:vAlign w:val="bottom"/>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.905256</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1.23</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.5592158</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1.762258</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1.374088</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1.28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.1187307</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Cost </w:t>
            </w: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1.659045</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.8790122</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1.30</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-.231750</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78"/>
              <w:jc w:val="both"/>
              <w:rPr>
                <w:rFonts w:ascii="Times New Roman" w:hAnsi="Times New Roman"/>
              </w:rPr>
            </w:pPr>
            <w:r w:rsidRPr="000372B4">
              <w:rPr>
                <w:rFonts w:ascii="Times New Roman" w:hAnsi="Times New Roman"/>
              </w:rPr>
              <w:t>-1.0047238</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.8885623</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-1.18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-.0991071</w:t>
            </w:r>
          </w:p>
        </w:tc>
      </w:tr>
      <w:tr w:rsidR="00215074" w:rsidRPr="000372B4" w:rsidTr="00CF14AC">
        <w:trPr>
          <w:trHeight w:val="374"/>
        </w:trPr>
        <w:tc>
          <w:tcPr>
            <w:tcW w:w="4608" w:type="dxa"/>
          </w:tcPr>
          <w:p w:rsidR="00215074" w:rsidRPr="000372B4" w:rsidRDefault="00215074" w:rsidP="00CF14AC">
            <w:pPr>
              <w:spacing w:line="360" w:lineRule="auto"/>
              <w:ind w:right="1"/>
              <w:jc w:val="both"/>
              <w:rPr>
                <w:rFonts w:ascii="Times New Roman" w:hAnsi="Times New Roman"/>
              </w:rPr>
            </w:pPr>
            <w:r w:rsidRPr="000372B4">
              <w:rPr>
                <w:rFonts w:ascii="Times New Roman" w:hAnsi="Times New Roman"/>
                <w:b/>
              </w:rPr>
              <w:t>Usability</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1.076545</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.6142914</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0.64</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.1853011</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-1.773188</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1.22569</w:t>
            </w:r>
          </w:p>
        </w:tc>
        <w:tc>
          <w:tcPr>
            <w:tcW w:w="990" w:type="dxa"/>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-1.45*</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-.135967*</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Trust </w:t>
            </w:r>
            <w:r w:rsidRPr="000372B4">
              <w:rPr>
                <w:rFonts w:ascii="Times New Roman" w:hAnsi="Times New Roman"/>
              </w:rPr>
              <w:t>Robo-advisor</w:t>
            </w:r>
          </w:p>
        </w:tc>
        <w:tc>
          <w:tcPr>
            <w:tcW w:w="1710" w:type="dxa"/>
            <w:vAlign w:val="bottom"/>
          </w:tcPr>
          <w:p w:rsidR="00215074" w:rsidRPr="000372B4" w:rsidRDefault="00215074" w:rsidP="00CF14AC">
            <w:pPr>
              <w:spacing w:line="360" w:lineRule="auto"/>
              <w:ind w:left="191"/>
              <w:jc w:val="both"/>
              <w:rPr>
                <w:rFonts w:ascii="Times New Roman" w:hAnsi="Times New Roman"/>
              </w:rPr>
            </w:pPr>
            <w:r w:rsidRPr="000372B4">
              <w:rPr>
                <w:rFonts w:ascii="Times New Roman" w:hAnsi="Times New Roman"/>
              </w:rPr>
              <w:t>.432951</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.9856306</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1.49</w:t>
            </w:r>
          </w:p>
        </w:tc>
        <w:tc>
          <w:tcPr>
            <w:tcW w:w="1620" w:type="dxa"/>
            <w:vAlign w:val="bottom"/>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.2361947</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Human advisor</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-2.309716</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.9190419</w:t>
            </w:r>
          </w:p>
        </w:tc>
        <w:tc>
          <w:tcPr>
            <w:tcW w:w="990" w:type="dxa"/>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-2.51*</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-.210357*</w:t>
            </w:r>
          </w:p>
        </w:tc>
      </w:tr>
      <w:tr w:rsidR="00215074" w:rsidRPr="000372B4" w:rsidTr="00CF14AC">
        <w:trPr>
          <w:trHeight w:val="197"/>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Do not know</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9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McFadden’s Pseudo R2</w:t>
            </w:r>
          </w:p>
        </w:tc>
        <w:tc>
          <w:tcPr>
            <w:tcW w:w="4050" w:type="dxa"/>
            <w:gridSpan w:val="3"/>
          </w:tcPr>
          <w:p w:rsidR="00215074" w:rsidRPr="000372B4" w:rsidRDefault="00215074" w:rsidP="00CF14AC">
            <w:pPr>
              <w:spacing w:line="360" w:lineRule="auto"/>
              <w:ind w:left="215"/>
              <w:jc w:val="both"/>
              <w:rPr>
                <w:rFonts w:ascii="Times New Roman" w:hAnsi="Times New Roman"/>
              </w:rPr>
            </w:pPr>
            <w:r w:rsidRPr="000372B4">
              <w:rPr>
                <w:rFonts w:ascii="Times New Roman" w:hAnsi="Times New Roman"/>
              </w:rPr>
              <w:t>0.3876</w:t>
            </w: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9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N</w:t>
            </w:r>
          </w:p>
        </w:tc>
        <w:tc>
          <w:tcPr>
            <w:tcW w:w="4050" w:type="dxa"/>
            <w:gridSpan w:val="3"/>
          </w:tcPr>
          <w:p w:rsidR="00215074" w:rsidRPr="000372B4" w:rsidRDefault="00215074" w:rsidP="00CF14AC">
            <w:pPr>
              <w:spacing w:line="360" w:lineRule="auto"/>
              <w:ind w:left="324"/>
              <w:jc w:val="both"/>
              <w:rPr>
                <w:rFonts w:ascii="Times New Roman" w:hAnsi="Times New Roman"/>
              </w:rPr>
            </w:pPr>
            <w:r w:rsidRPr="000372B4">
              <w:rPr>
                <w:rFonts w:ascii="Times New Roman" w:hAnsi="Times New Roman"/>
              </w:rPr>
              <w:t>322</w:t>
            </w:r>
          </w:p>
        </w:tc>
        <w:tc>
          <w:tcPr>
            <w:tcW w:w="1620" w:type="dxa"/>
          </w:tcPr>
          <w:p w:rsidR="00215074" w:rsidRPr="000372B4" w:rsidRDefault="00215074" w:rsidP="00CF14AC">
            <w:pPr>
              <w:spacing w:line="360" w:lineRule="auto"/>
              <w:ind w:right="86"/>
              <w:jc w:val="both"/>
              <w:rPr>
                <w:rFonts w:ascii="Times New Roman" w:hAnsi="Times New Roman"/>
              </w:rPr>
            </w:pPr>
            <w:r w:rsidRPr="000372B4">
              <w:rPr>
                <w:rFonts w:ascii="Times New Roman" w:hAnsi="Times New Roman"/>
              </w:rPr>
              <w:t>322</w:t>
            </w:r>
          </w:p>
        </w:tc>
      </w:tr>
      <w:tr w:rsidR="00215074" w:rsidRPr="000372B4" w:rsidTr="00CF14AC">
        <w:trPr>
          <w:trHeight w:val="191"/>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Statistical significance levels</w:t>
            </w:r>
          </w:p>
        </w:tc>
        <w:tc>
          <w:tcPr>
            <w:tcW w:w="4050" w:type="dxa"/>
            <w:gridSpan w:val="3"/>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*z&lt;0.05 **z&lt;0.01 ***z&lt;0.001</w:t>
            </w:r>
          </w:p>
        </w:tc>
        <w:tc>
          <w:tcPr>
            <w:tcW w:w="1620" w:type="dxa"/>
          </w:tcPr>
          <w:p w:rsidR="00215074" w:rsidRPr="000372B4" w:rsidRDefault="00215074" w:rsidP="00CF14AC">
            <w:pPr>
              <w:spacing w:line="360" w:lineRule="auto"/>
              <w:jc w:val="both"/>
              <w:rPr>
                <w:rFonts w:ascii="Times New Roman" w:hAnsi="Times New Roman"/>
              </w:rPr>
            </w:pPr>
          </w:p>
        </w:tc>
      </w:tr>
    </w:tbl>
    <w:p w:rsidR="00215074" w:rsidRPr="00A6143E" w:rsidRDefault="00215074" w:rsidP="00215074">
      <w:pPr>
        <w:jc w:val="both"/>
        <w:rPr>
          <w:sz w:val="14"/>
        </w:rPr>
      </w:pPr>
    </w:p>
    <w:p w:rsidR="00215074" w:rsidRPr="007340E3" w:rsidRDefault="00215074" w:rsidP="00215074">
      <w:pPr>
        <w:spacing w:line="360" w:lineRule="auto"/>
        <w:jc w:val="both"/>
      </w:pPr>
      <w:r w:rsidRPr="007340E3">
        <w:t>Table 4.2: Probit regression with Robo-advisory as the dependent variable</w:t>
      </w:r>
    </w:p>
    <w:p w:rsidR="00215074" w:rsidRDefault="00215074" w:rsidP="00215074">
      <w:pPr>
        <w:pStyle w:val="Heading2"/>
        <w:keepNext w:val="0"/>
        <w:keepLines w:val="0"/>
        <w:spacing w:before="299" w:line="360" w:lineRule="auto"/>
        <w:jc w:val="both"/>
        <w:rPr>
          <w:color w:val="auto"/>
          <w:sz w:val="24"/>
        </w:rPr>
      </w:pPr>
    </w:p>
    <w:p w:rsidR="00215074" w:rsidRDefault="00215074" w:rsidP="00215074">
      <w:pPr>
        <w:pStyle w:val="Heading2"/>
        <w:keepNext w:val="0"/>
        <w:keepLines w:val="0"/>
        <w:spacing w:before="299" w:line="360" w:lineRule="auto"/>
        <w:jc w:val="both"/>
        <w:rPr>
          <w:color w:val="auto"/>
          <w:sz w:val="24"/>
        </w:rPr>
      </w:pPr>
    </w:p>
    <w:p w:rsidR="00215074" w:rsidRPr="007340E3" w:rsidRDefault="00215074" w:rsidP="00215074">
      <w:pPr>
        <w:pStyle w:val="Heading2"/>
        <w:keepNext w:val="0"/>
        <w:keepLines w:val="0"/>
        <w:spacing w:before="299" w:line="360" w:lineRule="auto"/>
        <w:jc w:val="both"/>
        <w:rPr>
          <w:sz w:val="24"/>
        </w:rPr>
      </w:pPr>
      <w:r w:rsidRPr="007340E3">
        <w:rPr>
          <w:color w:val="auto"/>
          <w:sz w:val="24"/>
        </w:rPr>
        <w:t>4.2 Analysis of the Survey Questions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4.2.1 Innovation Adoption</w:t>
      </w:r>
    </w:p>
    <w:p w:rsidR="00215074" w:rsidRPr="007340E3" w:rsidRDefault="00215074" w:rsidP="00215074">
      <w:pPr>
        <w:spacing w:line="360" w:lineRule="auto"/>
        <w:jc w:val="both"/>
      </w:pPr>
      <w:r>
        <w:tab/>
      </w:r>
      <w:r w:rsidRPr="007340E3">
        <w:t>As Moore (1991) points out, Robo-Advisory is considered innovative since it represents "launching a new product or a new quality of a product," which is one of Schumpeters (1939) 's five categories of innovations. People interested in new technologies and who are among the first to adopt them are called "early adopters" or "innovators." These folks also typically have more resources at their disposal and a better level of Education. Only 13% of respondents have ever invested in Robo-Advisory, but those have fallen into the category of "innovators" and "early adopters." As the theory predicts, those who fall into the category of "early adopters" have a disproportionately high proportion of college degrees. However, half of those who responded may be classified as wealthier than the typical Canadian.</w:t>
      </w:r>
    </w:p>
    <w:p w:rsidR="00215074" w:rsidRPr="00BC7EF2" w:rsidRDefault="00215074" w:rsidP="00215074">
      <w:pPr>
        <w:pStyle w:val="Heading3"/>
        <w:keepNext w:val="0"/>
        <w:keepLines w:val="0"/>
        <w:spacing w:before="0"/>
        <w:jc w:val="both"/>
        <w:rPr>
          <w:color w:val="auto"/>
          <w:sz w:val="6"/>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4.2.2 Disruptive Technology</w:t>
      </w:r>
    </w:p>
    <w:p w:rsidR="00215074" w:rsidRPr="007340E3" w:rsidRDefault="00215074" w:rsidP="00215074">
      <w:pPr>
        <w:spacing w:line="360" w:lineRule="auto"/>
        <w:jc w:val="both"/>
      </w:pPr>
      <w:r>
        <w:tab/>
      </w:r>
      <w:r w:rsidRPr="007340E3">
        <w:t xml:space="preserve">Christensen's (1997) model of disruptive technologies suggests that new technology will first </w:t>
      </w:r>
      <w:r w:rsidR="006909AE">
        <w:t>perform badly</w:t>
      </w:r>
      <w:r w:rsidRPr="007340E3">
        <w:t xml:space="preserve"> and be </w:t>
      </w:r>
      <w:r w:rsidR="006909AE">
        <w:t>turned down</w:t>
      </w:r>
      <w:r w:rsidRPr="007340E3">
        <w:t xml:space="preserve"> by </w:t>
      </w:r>
      <w:r w:rsidR="006909AE">
        <w:t>established parties</w:t>
      </w:r>
      <w:r w:rsidRPr="007340E3">
        <w:t>. This could explain why just 13% of people have used Robo-Advisory, and 87% have never used it. Although initially flawed, the innovation will eventually supersede previous methods. At this point, the majority of the market as a whole has adopted the innovation. This is consistent with our findings that</w:t>
      </w:r>
      <w:r w:rsidR="007F4BDF">
        <w:t xml:space="preserve"> fifty percent</w:t>
      </w:r>
      <w:r w:rsidRPr="007340E3">
        <w:t xml:space="preserve"> of the </w:t>
      </w:r>
      <w:r w:rsidR="00B8112A">
        <w:t xml:space="preserve">participants </w:t>
      </w:r>
      <w:r w:rsidRPr="007340E3">
        <w:t xml:space="preserve">who do not </w:t>
      </w:r>
      <w:r w:rsidR="00B8112A">
        <w:t xml:space="preserve">currently invest </w:t>
      </w:r>
      <w:r w:rsidRPr="007340E3">
        <w:t xml:space="preserve">would consider supporting if they were </w:t>
      </w:r>
      <w:r w:rsidR="006909AE" w:rsidRPr="007340E3">
        <w:t>helped</w:t>
      </w:r>
      <w:r w:rsidRPr="007340E3">
        <w:t xml:space="preserve"> </w:t>
      </w:r>
      <w:r w:rsidR="007F4BDF">
        <w:t>with</w:t>
      </w:r>
      <w:r w:rsidRPr="007340E3">
        <w:t xml:space="preserve"> a charge. Eighty </w:t>
      </w:r>
      <w:r w:rsidR="007F4BDF">
        <w:t>percent</w:t>
      </w:r>
      <w:r w:rsidRPr="007340E3">
        <w:t xml:space="preserve"> of respondents said they would instead work with a human advisor, while twenty </w:t>
      </w:r>
      <w:r w:rsidR="000D7431">
        <w:t>percent</w:t>
      </w:r>
      <w:r w:rsidRPr="007340E3">
        <w:t xml:space="preserve"> said they would instead work with a robot advisor.</w:t>
      </w:r>
    </w:p>
    <w:p w:rsidR="00215074" w:rsidRPr="00BC7EF2" w:rsidRDefault="00215074" w:rsidP="00215074">
      <w:pPr>
        <w:pStyle w:val="Heading3"/>
        <w:keepNext w:val="0"/>
        <w:keepLines w:val="0"/>
        <w:spacing w:before="0"/>
        <w:jc w:val="both"/>
        <w:rPr>
          <w:color w:val="auto"/>
          <w:sz w:val="10"/>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4.2.3 Technology Acceptance and Trust</w:t>
      </w:r>
    </w:p>
    <w:p w:rsidR="00215074" w:rsidRPr="007340E3" w:rsidRDefault="00215074" w:rsidP="00215074">
      <w:pPr>
        <w:spacing w:line="360" w:lineRule="auto"/>
        <w:jc w:val="both"/>
      </w:pPr>
      <w:r>
        <w:tab/>
      </w:r>
      <w:r w:rsidRPr="007340E3">
        <w:t xml:space="preserve">It is conceivable that Robo-advisors will become more widely used shortly. Seventy-seven </w:t>
      </w:r>
      <w:r w:rsidR="000D7431">
        <w:t>percent</w:t>
      </w:r>
      <w:r w:rsidRPr="007340E3">
        <w:t xml:space="preserve"> of people who took the survey consider it a credible long-term investment option. Since Robo-Advisory involves the development of a product or service over time, it has the potential to be a revolutionary development. This may explain why Robo-Advisory adoption has not been as successful, as it is still a novel idea (Christensen, Raynor, &amp; McDonald, 2015). The diffusion of new technology impacts both the decision to innovate and the process of accepting that innovation, as argued by Rogers (2003). When developing new technology, it is essential to factor in the time it will take for people to adapt to it, and the same goes for how quickly word will spread about innovative new ideas. The success of an innovation depends on its widespread adoption within a social system, from which it can spread to others. Only 13% of investors are utilizing or have used Robo-Advisory, yet 77% think it will be a</w:t>
      </w:r>
      <w:r w:rsidR="007A13A1">
        <w:t xml:space="preserve">n attractive </w:t>
      </w:r>
      <w:r w:rsidRPr="007340E3">
        <w:t xml:space="preserve">investment choice </w:t>
      </w:r>
      <w:r w:rsidR="007F4BDF">
        <w:t xml:space="preserve">worth considering </w:t>
      </w:r>
      <w:r w:rsidRPr="007340E3">
        <w:t>(Rogers, 2003).</w:t>
      </w:r>
    </w:p>
    <w:p w:rsidR="00215074" w:rsidRPr="007340E3" w:rsidRDefault="00215074" w:rsidP="00215074">
      <w:pPr>
        <w:spacing w:line="360" w:lineRule="auto"/>
        <w:jc w:val="both"/>
      </w:pPr>
      <w:r>
        <w:tab/>
      </w:r>
      <w:r w:rsidRPr="007340E3">
        <w:t xml:space="preserve">Robo-Advisory is still somewhat novel to consumers because it is in the early stages of </w:t>
      </w:r>
      <w:r w:rsidR="001E57EB">
        <w:t xml:space="preserve">a new idea assessment procedure </w:t>
      </w:r>
      <w:r w:rsidRPr="007340E3">
        <w:t xml:space="preserve">and the technology </w:t>
      </w:r>
      <w:r w:rsidR="001E57EB">
        <w:t>adoption</w:t>
      </w:r>
      <w:r w:rsidRPr="007340E3">
        <w:t xml:space="preserve"> phase. Customers may have trouble putting their faith in a brand-new product. Previous studies have shown that customer trust significantly influences how they feel about using internet banking. Internet banking services have become synonymous with danger and uncertainty in consumers' minds. (Suh, Han, 2002) Only 20% of respondents said they trusted Robo-Advisors, which may provide some insight into this issue. To gain the trust of the vast majority of respondents (77%) and convince them to invest via the Robo-Advisory, it may be necessary to implement the methods outlined by Rogers (2003). A person's propensity to embrace new technologies might be affected by their level of trust. As shown by the findings, people with a higher trust level in human advisors are less likely to use Robo-Advisory. These findings are consistent with the hypotheses in table 3.2 and with the </w:t>
      </w:r>
      <w:r w:rsidR="007A13A1">
        <w:t xml:space="preserve">results </w:t>
      </w:r>
      <w:r w:rsidRPr="007340E3">
        <w:t xml:space="preserve">of </w:t>
      </w:r>
      <w:r w:rsidR="007A13A1">
        <w:t xml:space="preserve">past research </w:t>
      </w:r>
      <w:r w:rsidRPr="007340E3">
        <w:t>on trust and the use of online banking. Since Robo-Advisory is essentially an Internet banking service, the trust issue that has been cited as a significant element in the rise in popularity of online banking (Suh &amp; Han, 2002) holds here as well.</w:t>
      </w:r>
    </w:p>
    <w:p w:rsidR="00215074" w:rsidRPr="007340E3" w:rsidRDefault="00215074" w:rsidP="00215074">
      <w:pPr>
        <w:spacing w:line="360" w:lineRule="auto"/>
        <w:jc w:val="both"/>
      </w:pPr>
      <w:r>
        <w:tab/>
      </w:r>
      <w:r w:rsidRPr="007340E3">
        <w:t xml:space="preserve">Several people who </w:t>
      </w:r>
      <w:r w:rsidR="007A13A1">
        <w:t xml:space="preserve">do not use personal digital finance </w:t>
      </w:r>
      <w:r w:rsidRPr="007340E3">
        <w:t xml:space="preserve">believe that the process should be more open and that educational requirements should be higher. These findings suggest that companies could benefit from being more open and forthcoming with information when promoting their Robo-Advisors to potential customers. According to the literature on trust, customers are more likely to put their faith in technologies they have a basic understanding of. According to (Suh &amp; Han 2002), when Robo-Advisory is improved, information </w:t>
      </w:r>
      <w:r w:rsidR="00A72648">
        <w:t xml:space="preserve">with </w:t>
      </w:r>
      <w:r w:rsidR="00423564">
        <w:t>asymmetries</w:t>
      </w:r>
      <w:r w:rsidR="00A72648">
        <w:t xml:space="preserve"> in</w:t>
      </w:r>
      <w:r w:rsidRPr="007340E3">
        <w:t xml:space="preserve"> the financial market is also reduced since human advisors are less likely to make investment decisions based on the potential financial benefit they would see if their clients bought a particular security. It has been shown that.</w:t>
      </w:r>
    </w:p>
    <w:p w:rsidR="00215074" w:rsidRPr="00BC7EF2" w:rsidRDefault="00215074" w:rsidP="00215074">
      <w:pPr>
        <w:pStyle w:val="Heading3"/>
        <w:keepNext w:val="0"/>
        <w:keepLines w:val="0"/>
        <w:spacing w:before="0"/>
        <w:jc w:val="both"/>
        <w:rPr>
          <w:color w:val="auto"/>
          <w:sz w:val="10"/>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4.2.4 Motivation and Sustaining Innovation</w:t>
      </w:r>
    </w:p>
    <w:p w:rsidR="00215074" w:rsidRPr="007340E3" w:rsidRDefault="00215074" w:rsidP="00215074">
      <w:pPr>
        <w:spacing w:line="360" w:lineRule="auto"/>
        <w:jc w:val="both"/>
      </w:pPr>
      <w:r>
        <w:tab/>
      </w:r>
      <w:r w:rsidRPr="007340E3">
        <w:t xml:space="preserve">Rogers (1962) and Christensen (1997) emphasize the importance of continual development and improvement after innovation has been introduced to the market to build a sustaining innovation that the social system will adapt. As a result, it is crucial to consider the requirements of consumers and to inquire about what consumers think might be enhanced in existing Robo-Advisors. The majority of those who believe Robo-Advisory services should be free of charge are first-time Robo-Advisor investors. This suggests that businesses can either reduce the cost of utilizing Robo-Advisors or emphasize the value that </w:t>
      </w:r>
      <w:r w:rsidR="00423564">
        <w:t>users</w:t>
      </w:r>
      <w:r w:rsidRPr="007340E3">
        <w:t xml:space="preserve"> would get by paying the </w:t>
      </w:r>
      <w:r w:rsidR="00423564">
        <w:t>fee</w:t>
      </w:r>
      <w:r w:rsidRPr="007340E3">
        <w:t xml:space="preserve"> and </w:t>
      </w:r>
      <w:r w:rsidR="00423564">
        <w:t>looking to invest</w:t>
      </w:r>
      <w:r w:rsidRPr="007340E3">
        <w:t xml:space="preserve"> with the assistance of a Robo-Advisor. Because of this, there may be a greater desire to employ the utilization of Robo-Advisors. The Motivational Model (Davis et al., 1992) suggests that consumers' expectations of receiving a benefit (in the form of revenue) from utilizing a particular technology influence their likelihood of actually doing so.</w:t>
      </w:r>
    </w:p>
    <w:p w:rsidR="00215074" w:rsidRPr="00BC7EF2" w:rsidRDefault="00215074" w:rsidP="00215074">
      <w:pPr>
        <w:pStyle w:val="Heading2"/>
        <w:keepNext w:val="0"/>
        <w:keepLines w:val="0"/>
        <w:spacing w:before="0"/>
        <w:jc w:val="both"/>
        <w:rPr>
          <w:color w:val="auto"/>
          <w:sz w:val="8"/>
        </w:rPr>
      </w:pPr>
    </w:p>
    <w:p w:rsidR="00215074" w:rsidRPr="007340E3" w:rsidRDefault="00215074" w:rsidP="00215074">
      <w:pPr>
        <w:pStyle w:val="Heading2"/>
        <w:keepNext w:val="0"/>
        <w:keepLines w:val="0"/>
        <w:spacing w:before="0" w:line="360" w:lineRule="auto"/>
        <w:jc w:val="both"/>
        <w:rPr>
          <w:sz w:val="24"/>
        </w:rPr>
      </w:pPr>
      <w:r w:rsidRPr="007340E3">
        <w:rPr>
          <w:color w:val="auto"/>
          <w:sz w:val="24"/>
        </w:rPr>
        <w:t>4.3 Analysis of the Regressions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4.3.1 Gender</w:t>
      </w:r>
    </w:p>
    <w:p w:rsidR="00215074" w:rsidRPr="007340E3" w:rsidRDefault="00215074" w:rsidP="00215074">
      <w:pPr>
        <w:spacing w:line="360" w:lineRule="auto"/>
        <w:jc w:val="both"/>
      </w:pPr>
      <w:r>
        <w:tab/>
      </w:r>
      <w:r w:rsidRPr="007340E3">
        <w:t xml:space="preserve">There is a possibility of losing money if you invest in stocks. Females are 17% less likely to invest in securities and 22% more likely to invest with a robot advisor. According to the literature, women are less financially confident than males and </w:t>
      </w:r>
      <w:r w:rsidR="000744F6">
        <w:t xml:space="preserve">can be conservative </w:t>
      </w:r>
      <w:r w:rsidRPr="007340E3">
        <w:t xml:space="preserve">when investing (Jianakoplos &amp; Bernasek, 1998). (OECD, 2013). The findings corroborate the prior studies. While nearly two-thirds of women invest, based on their research, nearly ninety </w:t>
      </w:r>
      <w:r w:rsidR="00225625">
        <w:t>percent</w:t>
      </w:r>
      <w:r w:rsidRPr="007340E3">
        <w:t xml:space="preserve"> of men do so. One possible explanation for the disparity is that women </w:t>
      </w:r>
      <w:r w:rsidR="00225625">
        <w:t xml:space="preserve">are more likely to </w:t>
      </w:r>
      <w:r w:rsidRPr="007340E3">
        <w:t xml:space="preserve">have less </w:t>
      </w:r>
      <w:r w:rsidR="000744F6">
        <w:t xml:space="preserve">investment </w:t>
      </w:r>
      <w:r w:rsidRPr="007340E3">
        <w:t xml:space="preserve">expertise and self-assurance than men. Perhaps this is </w:t>
      </w:r>
      <w:r w:rsidR="00225625">
        <w:t xml:space="preserve">because </w:t>
      </w:r>
      <w:r w:rsidRPr="007340E3">
        <w:t>women are more likely to use Robo-Advisory to manage their investment portfolios. Compared to males, women lack the self-assurance and expertise necessary to succeed. These findings suggest that people would rather have someone else make investment decisions on their behalf. 31% of women said they invest with human guidance, whereas only 8% of men said the same.</w:t>
      </w:r>
    </w:p>
    <w:p w:rsidR="00215074" w:rsidRPr="007340E3" w:rsidRDefault="00215074" w:rsidP="00215074">
      <w:pPr>
        <w:spacing w:line="360" w:lineRule="auto"/>
        <w:jc w:val="both"/>
      </w:pPr>
      <w:r>
        <w:tab/>
      </w:r>
      <w:r w:rsidR="00571BA8">
        <w:t xml:space="preserve">Earlier studies show that </w:t>
      </w:r>
      <w:r w:rsidRPr="007340E3">
        <w:t xml:space="preserve">women prefer </w:t>
      </w:r>
      <w:r w:rsidR="00571BA8">
        <w:t>direct contact</w:t>
      </w:r>
      <w:r w:rsidRPr="007340E3">
        <w:t xml:space="preserve"> </w:t>
      </w:r>
      <w:r w:rsidR="00571BA8" w:rsidRPr="00571BA8">
        <w:t>over digital media because they believe it is riskier to get information and services directly from digital media.</w:t>
      </w:r>
      <w:r w:rsidRPr="007340E3">
        <w:t xml:space="preserve"> (Ramón-Jerónimo, Pearl- Pearl &amp; Villarejo-Ramos, 2013).</w:t>
      </w:r>
    </w:p>
    <w:p w:rsidR="00215074" w:rsidRPr="00CB5563" w:rsidRDefault="00215074" w:rsidP="00215074">
      <w:pPr>
        <w:pStyle w:val="Heading3"/>
        <w:keepNext w:val="0"/>
        <w:keepLines w:val="0"/>
        <w:spacing w:before="0"/>
        <w:jc w:val="both"/>
        <w:rPr>
          <w:color w:val="auto"/>
          <w:sz w:val="8"/>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4.3.2 Income and Monthly Savings</w:t>
      </w:r>
    </w:p>
    <w:p w:rsidR="00215074" w:rsidRPr="007340E3" w:rsidRDefault="00215074" w:rsidP="00215074">
      <w:pPr>
        <w:spacing w:line="360" w:lineRule="auto"/>
        <w:jc w:val="both"/>
      </w:pPr>
      <w:r>
        <w:tab/>
      </w:r>
      <w:r w:rsidRPr="007340E3">
        <w:t xml:space="preserve">The amount saved each month is proportional to one's income. The ability to save regularly and automatically opens new investment opportunities. According to table 3.2's premise, persons who save more than $1,000 are more likely to put their money into securities, as shown by the results of probit regression for securities. This is consistent with findings from the field of psychology known as the theory of planned </w:t>
      </w:r>
      <w:r w:rsidR="00C40EB8">
        <w:t>behavior</w:t>
      </w:r>
      <w:r w:rsidRPr="007340E3">
        <w:t xml:space="preserve"> (TPB), which show that </w:t>
      </w:r>
      <w:r w:rsidR="000744F6">
        <w:t xml:space="preserve">a specific person’s </w:t>
      </w:r>
      <w:r w:rsidRPr="007340E3">
        <w:t xml:space="preserve">intent to perform the desired action and their subsequent performance are both affected by their sense of control over the situation and their sense of possession of the necessary resources. (Ajzen, 1991). The ability to save and invest money is facilitated by having such resources. Individuals' reluctance to invest in securities can be attributed to several factors. According to the findings, most consumers avoid investing in securities because they feel they lack the knowledge to do so successfully. The notion of planned </w:t>
      </w:r>
      <w:r w:rsidR="00F435F4" w:rsidRPr="007340E3">
        <w:t>behavior</w:t>
      </w:r>
      <w:r w:rsidRPr="007340E3">
        <w:t xml:space="preserve"> also provides support for this. If an individual does not have access to the correct information, it will be harder for the individual to take on challenging tasks like </w:t>
      </w:r>
      <w:r w:rsidR="00F435F4">
        <w:t>personal</w:t>
      </w:r>
      <w:r w:rsidRPr="007340E3">
        <w:t xml:space="preserve"> </w:t>
      </w:r>
      <w:r w:rsidR="00F435F4">
        <w:t>wealth management</w:t>
      </w:r>
      <w:r w:rsidRPr="007340E3">
        <w:t>.</w:t>
      </w:r>
    </w:p>
    <w:p w:rsidR="00215074" w:rsidRPr="00CB5563" w:rsidRDefault="00215074" w:rsidP="00215074">
      <w:pPr>
        <w:pStyle w:val="Heading3"/>
        <w:keepNext w:val="0"/>
        <w:keepLines w:val="0"/>
        <w:spacing w:before="0"/>
        <w:jc w:val="both"/>
        <w:rPr>
          <w:color w:val="auto"/>
          <w:sz w:val="10"/>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4.3.3 Education</w:t>
      </w:r>
    </w:p>
    <w:p w:rsidR="000F1C0A" w:rsidRDefault="00215074" w:rsidP="00215074">
      <w:pPr>
        <w:spacing w:line="360" w:lineRule="auto"/>
        <w:jc w:val="both"/>
      </w:pPr>
      <w:r>
        <w:tab/>
      </w:r>
      <w:r w:rsidRPr="007340E3">
        <w:t xml:space="preserve">The regression results </w:t>
      </w:r>
      <w:r w:rsidR="005931E8">
        <w:t>using</w:t>
      </w:r>
      <w:r w:rsidRPr="007340E3">
        <w:t xml:space="preserve"> securities as the dependent variable contradict the </w:t>
      </w:r>
      <w:r w:rsidR="005931E8">
        <w:t xml:space="preserve">claim </w:t>
      </w:r>
      <w:r w:rsidRPr="007340E3">
        <w:t xml:space="preserve">that "Those with </w:t>
      </w:r>
      <w:r w:rsidR="005931E8">
        <w:t xml:space="preserve">greater </w:t>
      </w:r>
      <w:r w:rsidRPr="007340E3">
        <w:t xml:space="preserve">education will probably be more likely to invest in securities and Robo-Advisory," which suggests that each </w:t>
      </w:r>
      <w:r w:rsidR="005931E8">
        <w:t>new twelve months of schooling</w:t>
      </w:r>
      <w:r w:rsidRPr="007340E3">
        <w:t xml:space="preserve"> increases the </w:t>
      </w:r>
      <w:r w:rsidR="005931E8">
        <w:t xml:space="preserve">probability </w:t>
      </w:r>
      <w:r w:rsidRPr="007340E3">
        <w:t xml:space="preserve">of owning securities. </w:t>
      </w:r>
    </w:p>
    <w:p w:rsidR="00215074" w:rsidRDefault="00215074" w:rsidP="00215074">
      <w:pPr>
        <w:spacing w:line="360" w:lineRule="auto"/>
        <w:jc w:val="both"/>
      </w:pPr>
      <w:r w:rsidRPr="007340E3">
        <w:t>The majority of prior research shows that higher levels of Education enhance the likelihood of financial investment, making this finding seem counterintuitive (Cole, Paulson &amp; Shastry, 2014).</w:t>
      </w:r>
    </w:p>
    <w:p w:rsidR="00215074" w:rsidRPr="00B72004" w:rsidRDefault="00215074" w:rsidP="00215074">
      <w:pPr>
        <w:spacing w:line="360" w:lineRule="auto"/>
        <w:jc w:val="both"/>
        <w:rPr>
          <w:sz w:val="6"/>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4.3.4 Risk</w:t>
      </w:r>
    </w:p>
    <w:p w:rsidR="00215074" w:rsidRPr="007340E3" w:rsidRDefault="00215074" w:rsidP="00215074">
      <w:pPr>
        <w:spacing w:line="360" w:lineRule="auto"/>
        <w:jc w:val="both"/>
      </w:pPr>
      <w:r>
        <w:tab/>
      </w:r>
      <w:r w:rsidRPr="007340E3">
        <w:t xml:space="preserve">Risk is a significant determinant in whether or not people would accept new technologies, with greater perceived risk discouraging uptake. Bussakorn and Dieter (2005). According to the Robo-Advisor probit regression, those who value safety over gain are more likely to use the service. Only 2% of male respondents went that route, whereas 20% of females did. The employment of Robo-Advisory is associated with little risk, which appeals to the more significant number of women who choose to take low risks. Possibly this is because more people are trusting their money to automated investment advisors like Robo-Advisory instead of making their investments. This finding is consistent with the </w:t>
      </w:r>
      <w:r w:rsidR="001432C8">
        <w:t>theory</w:t>
      </w:r>
      <w:r w:rsidRPr="007340E3">
        <w:t xml:space="preserve"> presented in table 3.2. It may also be </w:t>
      </w:r>
      <w:r w:rsidR="00805771">
        <w:t>linked</w:t>
      </w:r>
      <w:r w:rsidRPr="007340E3">
        <w:t xml:space="preserve"> to the responses to question eleven, which suggested that men are </w:t>
      </w:r>
      <w:r w:rsidR="00805771">
        <w:t xml:space="preserve">more motivated </w:t>
      </w:r>
      <w:r w:rsidRPr="007340E3">
        <w:t xml:space="preserve">to make investment </w:t>
      </w:r>
      <w:r w:rsidR="00805771">
        <w:t>choices</w:t>
      </w:r>
      <w:r w:rsidRPr="007340E3">
        <w:t xml:space="preserve"> based on their independent research and analysis than women. People are less likely to use Robo-Advise when they believe it poses a greater danger than human advisory. </w:t>
      </w:r>
      <w:r w:rsidRPr="00F435F4">
        <w:t xml:space="preserve">This supports the theory that "the </w:t>
      </w:r>
      <w:r w:rsidR="00250001" w:rsidRPr="00F435F4">
        <w:t>higher</w:t>
      </w:r>
      <w:r w:rsidRPr="00F435F4">
        <w:t xml:space="preserve"> the </w:t>
      </w:r>
      <w:r w:rsidR="00805771" w:rsidRPr="00F435F4">
        <w:t xml:space="preserve">perception of </w:t>
      </w:r>
      <w:r w:rsidR="00F435F4" w:rsidRPr="00F435F4">
        <w:t xml:space="preserve">the </w:t>
      </w:r>
      <w:r w:rsidR="00805771" w:rsidRPr="00F435F4">
        <w:t xml:space="preserve">cost of </w:t>
      </w:r>
      <w:r w:rsidR="00F435F4" w:rsidRPr="00F435F4">
        <w:t>automated financing</w:t>
      </w:r>
      <w:r w:rsidRPr="00F435F4">
        <w:t xml:space="preserve">, the </w:t>
      </w:r>
      <w:r w:rsidR="00C27086" w:rsidRPr="00F435F4">
        <w:t>greater the likelihood</w:t>
      </w:r>
      <w:r w:rsidRPr="00F435F4">
        <w:t xml:space="preserve"> the individual will prefer human </w:t>
      </w:r>
      <w:r w:rsidR="00250001" w:rsidRPr="00F435F4">
        <w:t>counsel</w:t>
      </w:r>
      <w:r w:rsidRPr="00F435F4">
        <w:t xml:space="preserve">." </w:t>
      </w:r>
      <w:r w:rsidR="00C27086" w:rsidRPr="00F435F4">
        <w:t xml:space="preserve">These findings are consistent with the risk theory, which states that increasing perceived risk </w:t>
      </w:r>
      <w:r w:rsidR="000D7431">
        <w:t>hurts</w:t>
      </w:r>
      <w:r w:rsidR="00C27086" w:rsidRPr="00F435F4">
        <w:t xml:space="preserve"> technology adoption</w:t>
      </w:r>
      <w:r w:rsidR="00C27086" w:rsidRPr="00C27086">
        <w:t>.</w:t>
      </w:r>
      <w:r w:rsidR="00C27086">
        <w:t xml:space="preserve"> </w:t>
      </w:r>
      <w:r w:rsidRPr="007340E3">
        <w:t>Reference: (Bussakorn and Dieter, 2005).</w:t>
      </w:r>
    </w:p>
    <w:p w:rsidR="00215074" w:rsidRDefault="00215074" w:rsidP="00215074">
      <w:pPr>
        <w:pStyle w:val="Heading3"/>
        <w:keepNext w:val="0"/>
        <w:keepLines w:val="0"/>
        <w:spacing w:before="281" w:line="360" w:lineRule="auto"/>
        <w:jc w:val="both"/>
        <w:rPr>
          <w:color w:val="auto"/>
          <w:sz w:val="24"/>
        </w:rPr>
      </w:pPr>
    </w:p>
    <w:p w:rsidR="00215074" w:rsidRPr="007340E3" w:rsidRDefault="00215074" w:rsidP="00215074">
      <w:pPr>
        <w:pStyle w:val="Heading3"/>
        <w:keepNext w:val="0"/>
        <w:keepLines w:val="0"/>
        <w:spacing w:before="281" w:line="360" w:lineRule="auto"/>
        <w:jc w:val="both"/>
        <w:rPr>
          <w:sz w:val="24"/>
        </w:rPr>
      </w:pPr>
      <w:r w:rsidRPr="007340E3">
        <w:rPr>
          <w:color w:val="auto"/>
          <w:sz w:val="24"/>
        </w:rPr>
        <w:t>4.3.5 Usability</w:t>
      </w:r>
    </w:p>
    <w:p w:rsidR="00215074" w:rsidRPr="007340E3" w:rsidRDefault="00215074" w:rsidP="00215074">
      <w:pPr>
        <w:spacing w:line="360" w:lineRule="auto"/>
        <w:jc w:val="both"/>
      </w:pPr>
      <w:r>
        <w:tab/>
      </w:r>
      <w:r w:rsidRPr="007340E3">
        <w:t>Corresponding to the hypothesis, the</w:t>
      </w:r>
      <w:r w:rsidR="00781C83">
        <w:t xml:space="preserve"> correlation coefficient findings </w:t>
      </w:r>
      <w:r w:rsidR="000D7431">
        <w:t>show</w:t>
      </w:r>
      <w:r w:rsidRPr="007340E3">
        <w:t xml:space="preserve"> that </w:t>
      </w:r>
      <w:r w:rsidR="00781C83">
        <w:t xml:space="preserve">individuals </w:t>
      </w:r>
      <w:r w:rsidRPr="007340E3">
        <w:t xml:space="preserve">are less </w:t>
      </w:r>
      <w:r w:rsidR="00781C83">
        <w:t>inclined</w:t>
      </w:r>
      <w:r w:rsidRPr="007340E3">
        <w:t xml:space="preserve"> to use </w:t>
      </w:r>
      <w:r w:rsidR="00781C83">
        <w:t xml:space="preserve">personal digital </w:t>
      </w:r>
      <w:r w:rsidR="00FA361F">
        <w:t>finance</w:t>
      </w:r>
      <w:r w:rsidRPr="007340E3">
        <w:t xml:space="preserve"> if they believe its usability is worse than human advisory's. This can be explained by the unified theory of acceptance and use of technology (UTAUT) and the technology acceptance model (TAM) (TAM). The theories suggest that </w:t>
      </w:r>
      <w:r w:rsidR="00925EA0" w:rsidRPr="00DA6F7E">
        <w:t>performance expectancy</w:t>
      </w:r>
      <w:r w:rsidRPr="00DA6F7E">
        <w:t xml:space="preserve"> and use </w:t>
      </w:r>
      <w:r w:rsidRPr="000A59C9">
        <w:t>are affected by ef</w:t>
      </w:r>
      <w:r w:rsidR="00FA361F" w:rsidRPr="000A59C9">
        <w:t>fectiveness outcomes</w:t>
      </w:r>
      <w:r w:rsidRPr="000A59C9">
        <w:t xml:space="preserve">, which are the </w:t>
      </w:r>
      <w:r w:rsidR="00DA6F7E" w:rsidRPr="000A59C9">
        <w:t xml:space="preserve">level of comfort </w:t>
      </w:r>
      <w:r w:rsidRPr="000A59C9">
        <w:t xml:space="preserve">associated with utilizing the system and the perceived usefulness. This leads to the possibility of adopting a </w:t>
      </w:r>
      <w:r w:rsidR="000A59C9" w:rsidRPr="000A59C9">
        <w:t>specific</w:t>
      </w:r>
      <w:r w:rsidRPr="000A59C9">
        <w:t xml:space="preserve"> system such as Robo-Advisory increasing if the </w:t>
      </w:r>
      <w:r w:rsidR="000A59C9" w:rsidRPr="000A59C9">
        <w:t>users</w:t>
      </w:r>
      <w:r w:rsidRPr="000A59C9">
        <w:t xml:space="preserve"> find the system </w:t>
      </w:r>
      <w:r w:rsidR="000A59C9" w:rsidRPr="000A59C9">
        <w:t>functional</w:t>
      </w:r>
      <w:r w:rsidRPr="000A59C9">
        <w:t xml:space="preserve"> and s</w:t>
      </w:r>
      <w:r w:rsidR="000A59C9" w:rsidRPr="000A59C9">
        <w:t>imple to use</w:t>
      </w:r>
      <w:r w:rsidRPr="000A59C9">
        <w:t>.</w:t>
      </w:r>
      <w:r w:rsidR="00925EA0" w:rsidRPr="000A59C9">
        <w:t xml:space="preserve"> </w:t>
      </w:r>
    </w:p>
    <w:p w:rsidR="007212F6" w:rsidRDefault="007212F6"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Pr="00F96A6A" w:rsidRDefault="00215074" w:rsidP="00215074">
      <w:pPr>
        <w:spacing w:line="360" w:lineRule="auto"/>
        <w:jc w:val="center"/>
      </w:pPr>
      <w:r w:rsidRPr="00F96A6A">
        <w:rPr>
          <w:b/>
          <w:bCs/>
        </w:rPr>
        <w:t>CHAPTER FIVE</w:t>
      </w:r>
    </w:p>
    <w:p w:rsidR="00215074" w:rsidRPr="00F96A6A" w:rsidRDefault="00215074" w:rsidP="00215074">
      <w:pPr>
        <w:spacing w:line="360" w:lineRule="auto"/>
        <w:jc w:val="center"/>
      </w:pPr>
      <w:r w:rsidRPr="00F96A6A">
        <w:rPr>
          <w:b/>
          <w:bCs/>
        </w:rPr>
        <w:t>DISCUSSION, CON</w:t>
      </w:r>
      <w:r>
        <w:rPr>
          <w:b/>
          <w:bCs/>
        </w:rPr>
        <w:t>CLUSION, AND FURTHER RESEARCH</w:t>
      </w:r>
    </w:p>
    <w:p w:rsidR="00215074" w:rsidRPr="00F96A6A" w:rsidRDefault="00215074" w:rsidP="00215074">
      <w:pPr>
        <w:pStyle w:val="Heading2"/>
        <w:keepNext w:val="0"/>
        <w:keepLines w:val="0"/>
        <w:spacing w:before="0" w:line="360" w:lineRule="auto"/>
        <w:jc w:val="both"/>
        <w:rPr>
          <w:sz w:val="24"/>
        </w:rPr>
      </w:pPr>
      <w:r w:rsidRPr="00F96A6A">
        <w:rPr>
          <w:color w:val="auto"/>
          <w:sz w:val="24"/>
        </w:rPr>
        <w:t>5.1 Discussion</w:t>
      </w:r>
    </w:p>
    <w:p w:rsidR="00215074" w:rsidRPr="00F96A6A" w:rsidRDefault="00215074" w:rsidP="00215074">
      <w:pPr>
        <w:spacing w:line="360" w:lineRule="auto"/>
        <w:jc w:val="both"/>
      </w:pPr>
      <w:r>
        <w:tab/>
      </w:r>
      <w:r w:rsidRPr="00F96A6A">
        <w:t xml:space="preserve">Innovations in financial technology (FinTech) have profoundly affected the banking and financial sector in recent years, resulting in gradual disintermediation and deregulation and requiring banks and financial institutions to make essential adjustments to thrive in a highly competitive market. This study honed in on the subset of FinTech known as Robo-Advisory, with a primary emphasis on gauging potential investors' perceptions of and comfort with these relatively unknown instruments. </w:t>
      </w:r>
    </w:p>
    <w:p w:rsidR="00215074" w:rsidRDefault="000A59C9" w:rsidP="00215074">
      <w:pPr>
        <w:spacing w:line="360" w:lineRule="auto"/>
        <w:jc w:val="both"/>
      </w:pPr>
      <w:r>
        <w:t>According to the result of this research</w:t>
      </w:r>
      <w:r w:rsidR="00215074" w:rsidRPr="000A59C9">
        <w:t>, it</w:t>
      </w:r>
      <w:r w:rsidR="00215074" w:rsidRPr="00F96A6A">
        <w:t xml:space="preserve"> appears that most investors are not prepared to use a Robo-Advisory system. Because of this, it is reasonable to assume that upstarts providing Robo-Advisory services won't be able to unseat the established players any time soon. Therefore, rather </w:t>
      </w:r>
      <w:r w:rsidR="00215074" w:rsidRPr="0056060B">
        <w:t xml:space="preserve">than a disruption scenario, collaboration is likely to be found, in which </w:t>
      </w:r>
      <w:r w:rsidRPr="0056060B">
        <w:t>startups</w:t>
      </w:r>
      <w:r w:rsidR="00215074" w:rsidRPr="0056060B">
        <w:t xml:space="preserve"> will not </w:t>
      </w:r>
      <w:r w:rsidR="00D55A3F" w:rsidRPr="0056060B">
        <w:t xml:space="preserve">be contending with financial institutions </w:t>
      </w:r>
      <w:r w:rsidR="00215074" w:rsidRPr="0056060B">
        <w:t xml:space="preserve">or other </w:t>
      </w:r>
      <w:r w:rsidR="00D55A3F" w:rsidRPr="0056060B">
        <w:t xml:space="preserve">established firms </w:t>
      </w:r>
      <w:r w:rsidR="00215074" w:rsidRPr="0056060B">
        <w:t xml:space="preserve">but </w:t>
      </w:r>
      <w:r w:rsidR="00D55A3F" w:rsidRPr="0056060B">
        <w:t>would rather</w:t>
      </w:r>
      <w:r w:rsidR="00215074" w:rsidRPr="0056060B">
        <w:t xml:space="preserve"> b</w:t>
      </w:r>
      <w:r w:rsidR="00D55A3F" w:rsidRPr="0056060B">
        <w:t xml:space="preserve">e </w:t>
      </w:r>
      <w:r w:rsidR="0056060B" w:rsidRPr="0056060B">
        <w:t>valuable members</w:t>
      </w:r>
      <w:r w:rsidR="00D55A3F" w:rsidRPr="0056060B">
        <w:t xml:space="preserve"> of </w:t>
      </w:r>
      <w:r w:rsidR="00215074" w:rsidRPr="0056060B">
        <w:t xml:space="preserve">their ecosystems, </w:t>
      </w:r>
      <w:r w:rsidR="00D55A3F" w:rsidRPr="0056060B">
        <w:t>focusing on</w:t>
      </w:r>
      <w:r w:rsidR="0056060B" w:rsidRPr="0056060B">
        <w:t xml:space="preserve"> particular roles</w:t>
      </w:r>
      <w:r w:rsidR="00215074" w:rsidRPr="0056060B">
        <w:t xml:space="preserve"> or in</w:t>
      </w:r>
      <w:r w:rsidR="0056060B" w:rsidRPr="0056060B">
        <w:t>corporating</w:t>
      </w:r>
      <w:r w:rsidR="00215074" w:rsidRPr="0056060B">
        <w:t xml:space="preserve"> their </w:t>
      </w:r>
      <w:r w:rsidR="0056060B" w:rsidRPr="0056060B">
        <w:t xml:space="preserve">existing operational </w:t>
      </w:r>
      <w:r w:rsidR="00215074" w:rsidRPr="0056060B">
        <w:t>models.</w:t>
      </w:r>
    </w:p>
    <w:p w:rsidR="00215074" w:rsidRPr="002D0621" w:rsidRDefault="00215074" w:rsidP="00215074">
      <w:pPr>
        <w:jc w:val="both"/>
        <w:rPr>
          <w:sz w:val="2"/>
        </w:rPr>
      </w:pPr>
    </w:p>
    <w:p w:rsidR="00215074" w:rsidRPr="00F96A6A" w:rsidRDefault="00215074" w:rsidP="00215074">
      <w:pPr>
        <w:pStyle w:val="Heading2"/>
        <w:keepNext w:val="0"/>
        <w:keepLines w:val="0"/>
        <w:spacing w:before="0" w:line="360" w:lineRule="auto"/>
        <w:jc w:val="both"/>
        <w:rPr>
          <w:sz w:val="24"/>
        </w:rPr>
      </w:pPr>
      <w:r w:rsidRPr="00F96A6A">
        <w:rPr>
          <w:color w:val="auto"/>
          <w:sz w:val="24"/>
        </w:rPr>
        <w:t>5.2 Conclusion</w:t>
      </w:r>
    </w:p>
    <w:p w:rsidR="00215074" w:rsidRPr="00F96A6A" w:rsidRDefault="00215074" w:rsidP="00215074">
      <w:pPr>
        <w:spacing w:line="360" w:lineRule="auto"/>
        <w:jc w:val="both"/>
      </w:pPr>
      <w:r>
        <w:tab/>
      </w:r>
      <w:r w:rsidRPr="00F96A6A">
        <w:t>This thesis seeks to learn if and how Robo-Advisory has been embraced in Canada and the perspectives of Canadian consumers on this new financial service. In addition, we hope to learn more about the characteristics and habits of the average investor's target demographic. To answer these study topics, primary data was gathered through a survey. Hopefully, this is a step forward in a relatively unexplored field of study.</w:t>
      </w:r>
    </w:p>
    <w:p w:rsidR="00215074" w:rsidRPr="00F96A6A" w:rsidRDefault="00215074" w:rsidP="00215074">
      <w:pPr>
        <w:spacing w:line="360" w:lineRule="auto"/>
        <w:jc w:val="both"/>
      </w:pPr>
      <w:r>
        <w:tab/>
      </w:r>
      <w:r w:rsidRPr="00F96A6A">
        <w:t>Robo-Advisory is still a relatively</w:t>
      </w:r>
      <w:r w:rsidR="0056060B">
        <w:t xml:space="preserve"> recent</w:t>
      </w:r>
      <w:r w:rsidRPr="00F96A6A">
        <w:t xml:space="preserve"> development for Canadian consumers to adopt in financial services. Customer sentiments about Robo-Advisory could be to blame for these findings. For Robo-Advisory to gain widespread consumer acceptance, more research and dissemination of the technology are required at this early stage. Customers in Canada's financial market have asked for greater Robo-Advisory transparency and education before adopting the technology.</w:t>
      </w:r>
    </w:p>
    <w:p w:rsidR="00215074" w:rsidRDefault="00215074" w:rsidP="00215074">
      <w:pPr>
        <w:spacing w:line="360" w:lineRule="auto"/>
        <w:jc w:val="both"/>
      </w:pPr>
      <w:r>
        <w:tab/>
      </w:r>
      <w:r w:rsidRPr="000105E0">
        <w:t xml:space="preserve">Consumers' decisions to put money into stocks and bonds are most heavily influenced by </w:t>
      </w:r>
      <w:r w:rsidR="009F2355" w:rsidRPr="000105E0">
        <w:t>socio-cultural and economic</w:t>
      </w:r>
      <w:r w:rsidRPr="000105E0">
        <w:t xml:space="preserve"> factors such as</w:t>
      </w:r>
      <w:r w:rsidR="00F679B8" w:rsidRPr="000105E0">
        <w:t xml:space="preserve"> </w:t>
      </w:r>
      <w:r w:rsidR="000105E0" w:rsidRPr="000105E0">
        <w:t>sex</w:t>
      </w:r>
      <w:r w:rsidRPr="000105E0">
        <w:t xml:space="preserve"> and </w:t>
      </w:r>
      <w:r w:rsidR="000105E0" w:rsidRPr="000105E0">
        <w:t>academic levels</w:t>
      </w:r>
      <w:r w:rsidRPr="000105E0">
        <w:t>.</w:t>
      </w:r>
      <w:r w:rsidRPr="00F96A6A">
        <w:t xml:space="preserve"> Investing one's monthly savings in the stock market is also heavily influenced by how much money one has to save each month. Whether an individual chooses to invest via a Robo-Advisor or not is heavily influenced by several unique character traits and behavioral aspects. These characteristics include gender and a person's comfort with taking risks. Expectations of effort and performance, as well as trust, are among the most critical aspects of behavior. </w:t>
      </w:r>
    </w:p>
    <w:p w:rsidR="00215074" w:rsidRPr="00053120" w:rsidRDefault="00215074" w:rsidP="00215074">
      <w:pPr>
        <w:jc w:val="both"/>
        <w:rPr>
          <w:sz w:val="8"/>
        </w:rPr>
      </w:pPr>
    </w:p>
    <w:p w:rsidR="00215074" w:rsidRPr="00F96A6A" w:rsidRDefault="00215074" w:rsidP="00215074">
      <w:pPr>
        <w:spacing w:line="360" w:lineRule="auto"/>
        <w:jc w:val="both"/>
      </w:pPr>
      <w:r w:rsidRPr="00F96A6A">
        <w:rPr>
          <w:b/>
          <w:bCs/>
        </w:rPr>
        <w:t>5.3 Further Research</w:t>
      </w:r>
    </w:p>
    <w:p w:rsidR="00215074" w:rsidRPr="00F96A6A" w:rsidRDefault="00215074" w:rsidP="00215074">
      <w:pPr>
        <w:spacing w:line="360" w:lineRule="auto"/>
        <w:jc w:val="both"/>
      </w:pPr>
      <w:r>
        <w:tab/>
      </w:r>
      <w:r w:rsidRPr="00F96A6A">
        <w:t>Several other promising research avenues have emerged throughout this thesis. The opportunity to do research in further depth has not yet presented itself, but we have some ideas for future investigation anyway.</w:t>
      </w:r>
    </w:p>
    <w:p w:rsidR="00215074" w:rsidRPr="00F96A6A" w:rsidRDefault="00215074" w:rsidP="00215074">
      <w:pPr>
        <w:numPr>
          <w:ilvl w:val="0"/>
          <w:numId w:val="7"/>
        </w:numPr>
        <w:spacing w:line="360" w:lineRule="auto"/>
        <w:ind w:hanging="204"/>
        <w:jc w:val="both"/>
      </w:pPr>
      <w:r w:rsidRPr="00F96A6A">
        <w:t>This thesis makes use of a quantitative approach. Exciting results from a qualitative survey could inform future studies of adoption and the kinds of individual characteristics most important in this context.</w:t>
      </w:r>
    </w:p>
    <w:p w:rsidR="00215074" w:rsidRPr="00F96A6A" w:rsidRDefault="00215074" w:rsidP="00215074">
      <w:pPr>
        <w:numPr>
          <w:ilvl w:val="0"/>
          <w:numId w:val="7"/>
        </w:numPr>
        <w:spacing w:line="360" w:lineRule="auto"/>
        <w:ind w:hanging="204"/>
        <w:jc w:val="both"/>
      </w:pPr>
      <w:r w:rsidRPr="00F96A6A">
        <w:t xml:space="preserve">From a business perspective, it would be fascinating to examine how adoption has progressed in </w:t>
      </w:r>
      <w:r w:rsidR="00C27086">
        <w:t>Canada</w:t>
      </w:r>
      <w:r w:rsidRPr="00F96A6A">
        <w:t>.</w:t>
      </w:r>
    </w:p>
    <w:p w:rsidR="00215074" w:rsidRPr="00F96A6A" w:rsidRDefault="00215074" w:rsidP="00215074">
      <w:pPr>
        <w:spacing w:line="360" w:lineRule="auto"/>
        <w:jc w:val="both"/>
      </w:pPr>
      <w:r>
        <w:tab/>
      </w:r>
      <w:r w:rsidRPr="000105E0">
        <w:t>Last but not least, this thesis was formulated by</w:t>
      </w:r>
      <w:r w:rsidR="000105E0" w:rsidRPr="000105E0">
        <w:t xml:space="preserve"> considering the viewpoint of the users</w:t>
      </w:r>
      <w:r w:rsidRPr="000105E0">
        <w:t>.</w:t>
      </w:r>
      <w:r w:rsidRPr="00F96A6A">
        <w:t xml:space="preserve"> Therefore, it would be fascinating to learn how the firms supplying Robo-Advisory see consumer adoption and how they think they can better meet the consumer's demands to increase the adoption rate.</w:t>
      </w:r>
    </w:p>
    <w:p w:rsidR="00215074" w:rsidRDefault="00215074"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7212F6" w:rsidRPr="00DD1592" w:rsidRDefault="007212F6" w:rsidP="001F4FD3">
      <w:pPr>
        <w:spacing w:line="360" w:lineRule="auto"/>
        <w:jc w:val="both"/>
      </w:pPr>
    </w:p>
    <w:sectPr w:rsidR="007212F6" w:rsidRPr="00DD1592">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504020202020204"/>
    <w:charset w:val="00"/>
    <w:family w:val="swiss"/>
    <w:pitch w:val="variable"/>
    <w:sig w:usb0="E0002EFF" w:usb1="C000785B" w:usb2="00000009" w:usb3="00000000" w:csb0="000001FF" w:csb1="00000000"/>
  </w:font>
  <w:font w:name="ヒラギノ角ゴ Pro W3">
    <w:altName w:val="Times New Roman"/>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B554061A">
      <w:start w:val="1"/>
      <w:numFmt w:val="bullet"/>
      <w:lvlText w:val=""/>
      <w:lvlJc w:val="left"/>
      <w:pPr>
        <w:ind w:left="720" w:hanging="360"/>
      </w:pPr>
      <w:rPr>
        <w:rFonts w:ascii="Symbol" w:hAnsi="Symbol"/>
      </w:rPr>
    </w:lvl>
    <w:lvl w:ilvl="1" w:tplc="90B01CB6">
      <w:start w:val="1"/>
      <w:numFmt w:val="bullet"/>
      <w:lvlText w:val="o"/>
      <w:lvlJc w:val="left"/>
      <w:pPr>
        <w:tabs>
          <w:tab w:val="num" w:pos="1440"/>
        </w:tabs>
        <w:ind w:left="1440" w:hanging="360"/>
      </w:pPr>
      <w:rPr>
        <w:rFonts w:ascii="Courier New" w:hAnsi="Courier New"/>
      </w:rPr>
    </w:lvl>
    <w:lvl w:ilvl="2" w:tplc="FC3043FA">
      <w:start w:val="1"/>
      <w:numFmt w:val="bullet"/>
      <w:lvlText w:val=""/>
      <w:lvlJc w:val="left"/>
      <w:pPr>
        <w:tabs>
          <w:tab w:val="num" w:pos="2160"/>
        </w:tabs>
        <w:ind w:left="2160" w:hanging="360"/>
      </w:pPr>
      <w:rPr>
        <w:rFonts w:ascii="Wingdings" w:hAnsi="Wingdings"/>
      </w:rPr>
    </w:lvl>
    <w:lvl w:ilvl="3" w:tplc="41BAFF68">
      <w:start w:val="1"/>
      <w:numFmt w:val="bullet"/>
      <w:lvlText w:val=""/>
      <w:lvlJc w:val="left"/>
      <w:pPr>
        <w:tabs>
          <w:tab w:val="num" w:pos="2880"/>
        </w:tabs>
        <w:ind w:left="2880" w:hanging="360"/>
      </w:pPr>
      <w:rPr>
        <w:rFonts w:ascii="Symbol" w:hAnsi="Symbol"/>
      </w:rPr>
    </w:lvl>
    <w:lvl w:ilvl="4" w:tplc="BE7C2ED4">
      <w:start w:val="1"/>
      <w:numFmt w:val="bullet"/>
      <w:lvlText w:val="o"/>
      <w:lvlJc w:val="left"/>
      <w:pPr>
        <w:tabs>
          <w:tab w:val="num" w:pos="3600"/>
        </w:tabs>
        <w:ind w:left="3600" w:hanging="360"/>
      </w:pPr>
      <w:rPr>
        <w:rFonts w:ascii="Courier New" w:hAnsi="Courier New"/>
      </w:rPr>
    </w:lvl>
    <w:lvl w:ilvl="5" w:tplc="DE560722">
      <w:start w:val="1"/>
      <w:numFmt w:val="bullet"/>
      <w:lvlText w:val=""/>
      <w:lvlJc w:val="left"/>
      <w:pPr>
        <w:tabs>
          <w:tab w:val="num" w:pos="4320"/>
        </w:tabs>
        <w:ind w:left="4320" w:hanging="360"/>
      </w:pPr>
      <w:rPr>
        <w:rFonts w:ascii="Wingdings" w:hAnsi="Wingdings"/>
      </w:rPr>
    </w:lvl>
    <w:lvl w:ilvl="6" w:tplc="F162DE64">
      <w:start w:val="1"/>
      <w:numFmt w:val="bullet"/>
      <w:lvlText w:val=""/>
      <w:lvlJc w:val="left"/>
      <w:pPr>
        <w:tabs>
          <w:tab w:val="num" w:pos="5040"/>
        </w:tabs>
        <w:ind w:left="5040" w:hanging="360"/>
      </w:pPr>
      <w:rPr>
        <w:rFonts w:ascii="Symbol" w:hAnsi="Symbol"/>
      </w:rPr>
    </w:lvl>
    <w:lvl w:ilvl="7" w:tplc="48F2CF1C">
      <w:start w:val="1"/>
      <w:numFmt w:val="bullet"/>
      <w:lvlText w:val="o"/>
      <w:lvlJc w:val="left"/>
      <w:pPr>
        <w:tabs>
          <w:tab w:val="num" w:pos="5760"/>
        </w:tabs>
        <w:ind w:left="5760" w:hanging="360"/>
      </w:pPr>
      <w:rPr>
        <w:rFonts w:ascii="Courier New" w:hAnsi="Courier New"/>
      </w:rPr>
    </w:lvl>
    <w:lvl w:ilvl="8" w:tplc="0016C722">
      <w:start w:val="1"/>
      <w:numFmt w:val="bullet"/>
      <w:lvlText w:val=""/>
      <w:lvlJc w:val="left"/>
      <w:pPr>
        <w:tabs>
          <w:tab w:val="num" w:pos="6480"/>
        </w:tabs>
        <w:ind w:left="6480" w:hanging="360"/>
      </w:pPr>
      <w:rPr>
        <w:rFonts w:ascii="Wingdings" w:hAnsi="Wingdings"/>
      </w:rPr>
    </w:lvl>
  </w:abstractNum>
  <w:abstractNum w:abstractNumId="1" w15:restartNumberingAfterBreak="0">
    <w:nsid w:val="052C2895"/>
    <w:multiLevelType w:val="hybridMultilevel"/>
    <w:tmpl w:val="BAC8F9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AF33A3"/>
    <w:multiLevelType w:val="hybridMultilevel"/>
    <w:tmpl w:val="85404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6B436C"/>
    <w:multiLevelType w:val="hybridMultilevel"/>
    <w:tmpl w:val="D69CD266"/>
    <w:lvl w:ilvl="0" w:tplc="2F5A1714">
      <w:start w:val="1"/>
      <w:numFmt w:val="decimal"/>
      <w:lvlText w:val="%1."/>
      <w:lvlJc w:val="left"/>
      <w:pPr>
        <w:ind w:left="720" w:hanging="360"/>
      </w:pPr>
      <w:rPr>
        <w:rFonts w:ascii="Calibri" w:hAnsi="Calibr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DA0DFC"/>
    <w:multiLevelType w:val="multilevel"/>
    <w:tmpl w:val="52AE65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F743011"/>
    <w:multiLevelType w:val="hybridMultilevel"/>
    <w:tmpl w:val="6B1A2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C062B9"/>
    <w:multiLevelType w:val="hybridMultilevel"/>
    <w:tmpl w:val="C67880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E64A87"/>
    <w:multiLevelType w:val="hybridMultilevel"/>
    <w:tmpl w:val="54B06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A1690B"/>
    <w:multiLevelType w:val="hybridMultilevel"/>
    <w:tmpl w:val="2AD69A80"/>
    <w:lvl w:ilvl="0" w:tplc="D0CCB1BA">
      <w:start w:val="1"/>
      <w:numFmt w:val="bullet"/>
      <w:lvlText w:val="•"/>
      <w:lvlJc w:val="left"/>
      <w:pPr>
        <w:ind w:left="597"/>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1" w:tplc="DA10354E">
      <w:start w:val="1"/>
      <w:numFmt w:val="bullet"/>
      <w:lvlText w:val="o"/>
      <w:lvlJc w:val="left"/>
      <w:pPr>
        <w:ind w:left="144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2" w:tplc="57806608">
      <w:start w:val="1"/>
      <w:numFmt w:val="bullet"/>
      <w:lvlText w:val="▪"/>
      <w:lvlJc w:val="left"/>
      <w:pPr>
        <w:ind w:left="216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3" w:tplc="9C3E9626">
      <w:start w:val="1"/>
      <w:numFmt w:val="bullet"/>
      <w:lvlText w:val="•"/>
      <w:lvlJc w:val="left"/>
      <w:pPr>
        <w:ind w:left="288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4" w:tplc="D0F25B6C">
      <w:start w:val="1"/>
      <w:numFmt w:val="bullet"/>
      <w:lvlText w:val="o"/>
      <w:lvlJc w:val="left"/>
      <w:pPr>
        <w:ind w:left="360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5" w:tplc="BAE42EBA">
      <w:start w:val="1"/>
      <w:numFmt w:val="bullet"/>
      <w:lvlText w:val="▪"/>
      <w:lvlJc w:val="left"/>
      <w:pPr>
        <w:ind w:left="432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6" w:tplc="F62A404E">
      <w:start w:val="1"/>
      <w:numFmt w:val="bullet"/>
      <w:lvlText w:val="•"/>
      <w:lvlJc w:val="left"/>
      <w:pPr>
        <w:ind w:left="504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7" w:tplc="85D48318">
      <w:start w:val="1"/>
      <w:numFmt w:val="bullet"/>
      <w:lvlText w:val="o"/>
      <w:lvlJc w:val="left"/>
      <w:pPr>
        <w:ind w:left="576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8" w:tplc="B07CF314">
      <w:start w:val="1"/>
      <w:numFmt w:val="bullet"/>
      <w:lvlText w:val="▪"/>
      <w:lvlJc w:val="left"/>
      <w:pPr>
        <w:ind w:left="648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7B373C0F"/>
    <w:multiLevelType w:val="multilevel"/>
    <w:tmpl w:val="A9640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2254001">
    <w:abstractNumId w:val="8"/>
  </w:num>
  <w:num w:numId="2" w16cid:durableId="727731564">
    <w:abstractNumId w:val="3"/>
  </w:num>
  <w:num w:numId="3" w16cid:durableId="592208219">
    <w:abstractNumId w:val="6"/>
  </w:num>
  <w:num w:numId="4" w16cid:durableId="850801709">
    <w:abstractNumId w:val="7"/>
  </w:num>
  <w:num w:numId="5" w16cid:durableId="2118983798">
    <w:abstractNumId w:val="1"/>
  </w:num>
  <w:num w:numId="6" w16cid:durableId="1699545171">
    <w:abstractNumId w:val="4"/>
  </w:num>
  <w:num w:numId="7" w16cid:durableId="1100175142">
    <w:abstractNumId w:val="0"/>
  </w:num>
  <w:num w:numId="8" w16cid:durableId="1170802075">
    <w:abstractNumId w:val="5"/>
  </w:num>
  <w:num w:numId="9" w16cid:durableId="616760254">
    <w:abstractNumId w:val="2"/>
  </w:num>
  <w:num w:numId="10" w16cid:durableId="1497133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E08"/>
    <w:rsid w:val="00001E08"/>
    <w:rsid w:val="00006A96"/>
    <w:rsid w:val="000105E0"/>
    <w:rsid w:val="00032257"/>
    <w:rsid w:val="00071058"/>
    <w:rsid w:val="000744F6"/>
    <w:rsid w:val="00076BA9"/>
    <w:rsid w:val="000A512F"/>
    <w:rsid w:val="000A59C9"/>
    <w:rsid w:val="000A731E"/>
    <w:rsid w:val="000B24D0"/>
    <w:rsid w:val="000D7431"/>
    <w:rsid w:val="000F1C0A"/>
    <w:rsid w:val="001432C8"/>
    <w:rsid w:val="0019151E"/>
    <w:rsid w:val="001B6113"/>
    <w:rsid w:val="001D5BDB"/>
    <w:rsid w:val="001E57EB"/>
    <w:rsid w:val="001F4FD3"/>
    <w:rsid w:val="0020537F"/>
    <w:rsid w:val="0021079B"/>
    <w:rsid w:val="00215074"/>
    <w:rsid w:val="00225625"/>
    <w:rsid w:val="00250001"/>
    <w:rsid w:val="002554B2"/>
    <w:rsid w:val="002A4DCE"/>
    <w:rsid w:val="002D605B"/>
    <w:rsid w:val="003562C5"/>
    <w:rsid w:val="003729A5"/>
    <w:rsid w:val="00384873"/>
    <w:rsid w:val="00395103"/>
    <w:rsid w:val="003B24B0"/>
    <w:rsid w:val="003F7311"/>
    <w:rsid w:val="003F7812"/>
    <w:rsid w:val="00410EF8"/>
    <w:rsid w:val="00423564"/>
    <w:rsid w:val="00431D1B"/>
    <w:rsid w:val="0045700A"/>
    <w:rsid w:val="00471084"/>
    <w:rsid w:val="00493922"/>
    <w:rsid w:val="004A773A"/>
    <w:rsid w:val="004E20A8"/>
    <w:rsid w:val="00500CB5"/>
    <w:rsid w:val="00522ADD"/>
    <w:rsid w:val="00524247"/>
    <w:rsid w:val="005406DB"/>
    <w:rsid w:val="0056060B"/>
    <w:rsid w:val="00571BA8"/>
    <w:rsid w:val="0058332C"/>
    <w:rsid w:val="005931E8"/>
    <w:rsid w:val="00597E06"/>
    <w:rsid w:val="005B6E13"/>
    <w:rsid w:val="005C7217"/>
    <w:rsid w:val="005D1DE2"/>
    <w:rsid w:val="005E35E8"/>
    <w:rsid w:val="005E42C3"/>
    <w:rsid w:val="005F0E72"/>
    <w:rsid w:val="00607FB2"/>
    <w:rsid w:val="00634C99"/>
    <w:rsid w:val="00687A21"/>
    <w:rsid w:val="006909AE"/>
    <w:rsid w:val="00691B62"/>
    <w:rsid w:val="00691C62"/>
    <w:rsid w:val="00693315"/>
    <w:rsid w:val="006C3A9F"/>
    <w:rsid w:val="006D7032"/>
    <w:rsid w:val="006E34EB"/>
    <w:rsid w:val="0070298A"/>
    <w:rsid w:val="007212F6"/>
    <w:rsid w:val="00737143"/>
    <w:rsid w:val="00742C30"/>
    <w:rsid w:val="00761B9C"/>
    <w:rsid w:val="00781C83"/>
    <w:rsid w:val="00793448"/>
    <w:rsid w:val="007A13A1"/>
    <w:rsid w:val="007A4DCF"/>
    <w:rsid w:val="007A607A"/>
    <w:rsid w:val="007B31F9"/>
    <w:rsid w:val="007F4BDF"/>
    <w:rsid w:val="00805771"/>
    <w:rsid w:val="00831135"/>
    <w:rsid w:val="00854097"/>
    <w:rsid w:val="00856A32"/>
    <w:rsid w:val="00857773"/>
    <w:rsid w:val="00877B5B"/>
    <w:rsid w:val="00885BED"/>
    <w:rsid w:val="0088713C"/>
    <w:rsid w:val="008B7AE6"/>
    <w:rsid w:val="008F1B0E"/>
    <w:rsid w:val="00925EA0"/>
    <w:rsid w:val="00934737"/>
    <w:rsid w:val="00937831"/>
    <w:rsid w:val="00946337"/>
    <w:rsid w:val="00964D58"/>
    <w:rsid w:val="00967D19"/>
    <w:rsid w:val="00991AB5"/>
    <w:rsid w:val="009C0B94"/>
    <w:rsid w:val="009D062B"/>
    <w:rsid w:val="009F2355"/>
    <w:rsid w:val="00A032D4"/>
    <w:rsid w:val="00A23AC0"/>
    <w:rsid w:val="00A24DE5"/>
    <w:rsid w:val="00A40A9A"/>
    <w:rsid w:val="00A46BBB"/>
    <w:rsid w:val="00A47ED9"/>
    <w:rsid w:val="00A62EBA"/>
    <w:rsid w:val="00A72648"/>
    <w:rsid w:val="00A756C2"/>
    <w:rsid w:val="00A87304"/>
    <w:rsid w:val="00A93032"/>
    <w:rsid w:val="00A96A79"/>
    <w:rsid w:val="00AA03AB"/>
    <w:rsid w:val="00AB7E6D"/>
    <w:rsid w:val="00AC6B77"/>
    <w:rsid w:val="00B7449B"/>
    <w:rsid w:val="00B77FE8"/>
    <w:rsid w:val="00B8112A"/>
    <w:rsid w:val="00B83404"/>
    <w:rsid w:val="00B95A76"/>
    <w:rsid w:val="00B975E8"/>
    <w:rsid w:val="00BA5B6E"/>
    <w:rsid w:val="00C17C04"/>
    <w:rsid w:val="00C27086"/>
    <w:rsid w:val="00C324B9"/>
    <w:rsid w:val="00C40EB8"/>
    <w:rsid w:val="00C42021"/>
    <w:rsid w:val="00C55570"/>
    <w:rsid w:val="00C70430"/>
    <w:rsid w:val="00C73445"/>
    <w:rsid w:val="00C75B8D"/>
    <w:rsid w:val="00C917D3"/>
    <w:rsid w:val="00C91B1A"/>
    <w:rsid w:val="00CB666E"/>
    <w:rsid w:val="00CC4D30"/>
    <w:rsid w:val="00CE51DC"/>
    <w:rsid w:val="00CF14AC"/>
    <w:rsid w:val="00CF3EE8"/>
    <w:rsid w:val="00D55A3F"/>
    <w:rsid w:val="00D65130"/>
    <w:rsid w:val="00D65754"/>
    <w:rsid w:val="00D86D2C"/>
    <w:rsid w:val="00D96C9D"/>
    <w:rsid w:val="00DA6F7E"/>
    <w:rsid w:val="00DC6ED8"/>
    <w:rsid w:val="00DD1592"/>
    <w:rsid w:val="00E50B1E"/>
    <w:rsid w:val="00E60CB1"/>
    <w:rsid w:val="00E647F1"/>
    <w:rsid w:val="00E765A7"/>
    <w:rsid w:val="00EC0517"/>
    <w:rsid w:val="00EC5EC5"/>
    <w:rsid w:val="00ED627C"/>
    <w:rsid w:val="00EF406F"/>
    <w:rsid w:val="00F435F4"/>
    <w:rsid w:val="00F6032D"/>
    <w:rsid w:val="00F663A9"/>
    <w:rsid w:val="00F679B8"/>
    <w:rsid w:val="00F73499"/>
    <w:rsid w:val="00F874B6"/>
    <w:rsid w:val="00FA36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F31AB5-DC57-4D91-972E-AC6B466C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customStyle="1" w:styleId="TableGrid">
    <w:name w:val="TableGrid"/>
    <w:rsid w:val="007212F6"/>
    <w:rPr>
      <w:rFonts w:asciiTheme="minorHAnsi" w:eastAsiaTheme="minorEastAsia" w:hAnsiTheme="minorHAnsi" w:cstheme="minorBidi"/>
      <w:sz w:val="22"/>
      <w:szCs w:val="22"/>
    </w:rPr>
    <w:tblPr>
      <w:tblCellMar>
        <w:top w:w="0" w:type="dxa"/>
        <w:left w:w="0" w:type="dxa"/>
        <w:bottom w:w="0" w:type="dxa"/>
        <w:right w:w="0" w:type="dxa"/>
      </w:tblCellMar>
    </w:tblPr>
  </w:style>
  <w:style w:type="paragraph" w:styleId="ListParagraph">
    <w:name w:val="List Paragraph"/>
    <w:basedOn w:val="Normal"/>
    <w:uiPriority w:val="34"/>
    <w:qFormat/>
    <w:rsid w:val="005D1DE2"/>
    <w:pPr>
      <w:suppressAutoHyphens/>
      <w:spacing w:after="200" w:line="276" w:lineRule="auto"/>
      <w:ind w:left="720"/>
      <w:contextualSpacing/>
    </w:pPr>
    <w:rPr>
      <w:rFonts w:ascii="Calibri" w:eastAsia="SimSun" w:hAnsi="Calibri"/>
      <w:color w:val="00000A"/>
      <w:sz w:val="22"/>
      <w:szCs w:val="22"/>
    </w:rPr>
  </w:style>
  <w:style w:type="paragraph" w:customStyle="1" w:styleId="Default">
    <w:name w:val="Default"/>
    <w:rsid w:val="005D1DE2"/>
    <w:pPr>
      <w:autoSpaceDE w:val="0"/>
      <w:autoSpaceDN w:val="0"/>
      <w:adjustRightInd w:val="0"/>
    </w:pPr>
    <w:rPr>
      <w:rFonts w:ascii="Tahoma" w:eastAsia="Calibri" w:hAnsi="Tahoma" w:cs="Tahoma"/>
      <w:color w:val="000000"/>
      <w:sz w:val="24"/>
      <w:szCs w:val="24"/>
      <w:lang w:val="en-GB"/>
    </w:rPr>
  </w:style>
  <w:style w:type="paragraph" w:styleId="TOCHeading">
    <w:name w:val="TOC Heading"/>
    <w:basedOn w:val="Heading1"/>
    <w:next w:val="Normal"/>
    <w:uiPriority w:val="39"/>
    <w:unhideWhenUsed/>
    <w:qFormat/>
    <w:rsid w:val="00737143"/>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737143"/>
    <w:pPr>
      <w:spacing w:after="100"/>
      <w:ind w:left="240"/>
    </w:pPr>
  </w:style>
  <w:style w:type="paragraph" w:styleId="TOC3">
    <w:name w:val="toc 3"/>
    <w:basedOn w:val="Normal"/>
    <w:next w:val="Normal"/>
    <w:autoRedefine/>
    <w:uiPriority w:val="39"/>
    <w:unhideWhenUsed/>
    <w:rsid w:val="00737143"/>
    <w:pPr>
      <w:spacing w:after="100"/>
      <w:ind w:left="480"/>
    </w:pPr>
  </w:style>
  <w:style w:type="character" w:styleId="Hyperlink">
    <w:name w:val="Hyperlink"/>
    <w:basedOn w:val="DefaultParagraphFont"/>
    <w:uiPriority w:val="99"/>
    <w:unhideWhenUsed/>
    <w:rsid w:val="00737143"/>
    <w:rPr>
      <w:color w:val="0000FF" w:themeColor="hyperlink"/>
      <w:u w:val="single"/>
    </w:rPr>
  </w:style>
  <w:style w:type="paragraph" w:customStyle="1" w:styleId="FreeForm">
    <w:name w:val="Free Form"/>
    <w:rsid w:val="00C70430"/>
    <w:rPr>
      <w:rFonts w:ascii="Helvetica" w:eastAsia="ヒラギノ角ゴ Pro W3" w:hAnsi="Helvetica"/>
      <w:color w:val="000000"/>
      <w:sz w:val="24"/>
    </w:rPr>
  </w:style>
  <w:style w:type="character" w:customStyle="1" w:styleId="author">
    <w:name w:val="author"/>
    <w:basedOn w:val="DefaultParagraphFont"/>
    <w:rsid w:val="005F0E72"/>
  </w:style>
  <w:style w:type="character" w:customStyle="1" w:styleId="pubyear">
    <w:name w:val="pubyear"/>
    <w:basedOn w:val="DefaultParagraphFont"/>
    <w:rsid w:val="005F0E72"/>
  </w:style>
  <w:style w:type="paragraph" w:customStyle="1" w:styleId="c-reading-companionreference-citation">
    <w:name w:val="c-reading-companion__reference-citation"/>
    <w:basedOn w:val="Normal"/>
    <w:rsid w:val="0021079B"/>
    <w:pPr>
      <w:spacing w:before="100" w:beforeAutospacing="1" w:after="100" w:afterAutospacing="1"/>
    </w:pPr>
    <w:rPr>
      <w:lang w:val="en-CA" w:eastAsia="en-CA"/>
    </w:rPr>
  </w:style>
  <w:style w:type="character" w:customStyle="1" w:styleId="css-guq32d">
    <w:name w:val="css-guq32d"/>
    <w:basedOn w:val="DefaultParagraphFont"/>
    <w:rsid w:val="00691C62"/>
  </w:style>
  <w:style w:type="paragraph" w:customStyle="1" w:styleId="ng-binding">
    <w:name w:val="ng-binding"/>
    <w:basedOn w:val="Normal"/>
    <w:rsid w:val="00964D58"/>
    <w:pPr>
      <w:spacing w:before="100" w:beforeAutospacing="1" w:after="100" w:afterAutospacing="1"/>
    </w:pPr>
    <w:rPr>
      <w:lang w:val="en-CA"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35876">
      <w:bodyDiv w:val="1"/>
      <w:marLeft w:val="0"/>
      <w:marRight w:val="0"/>
      <w:marTop w:val="0"/>
      <w:marBottom w:val="0"/>
      <w:divBdr>
        <w:top w:val="none" w:sz="0" w:space="0" w:color="auto"/>
        <w:left w:val="none" w:sz="0" w:space="0" w:color="auto"/>
        <w:bottom w:val="none" w:sz="0" w:space="0" w:color="auto"/>
        <w:right w:val="none" w:sz="0" w:space="0" w:color="auto"/>
      </w:divBdr>
    </w:div>
    <w:div w:id="496578185">
      <w:bodyDiv w:val="1"/>
      <w:marLeft w:val="0"/>
      <w:marRight w:val="0"/>
      <w:marTop w:val="0"/>
      <w:marBottom w:val="0"/>
      <w:divBdr>
        <w:top w:val="none" w:sz="0" w:space="0" w:color="auto"/>
        <w:left w:val="none" w:sz="0" w:space="0" w:color="auto"/>
        <w:bottom w:val="none" w:sz="0" w:space="0" w:color="auto"/>
        <w:right w:val="none" w:sz="0" w:space="0" w:color="auto"/>
      </w:divBdr>
    </w:div>
    <w:div w:id="9367902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 /><Relationship Id="rId13" Type="http://schemas.openxmlformats.org/officeDocument/2006/relationships/image" Target="media/image8.jpg" /><Relationship Id="rId18" Type="http://schemas.openxmlformats.org/officeDocument/2006/relationships/image" Target="media/image13.png" /><Relationship Id="rId26" Type="http://schemas.openxmlformats.org/officeDocument/2006/relationships/image" Target="media/image21.png" /><Relationship Id="rId3" Type="http://schemas.openxmlformats.org/officeDocument/2006/relationships/styles" Target="styles.xml" /><Relationship Id="rId21" Type="http://schemas.openxmlformats.org/officeDocument/2006/relationships/image" Target="media/image16.png" /><Relationship Id="rId7" Type="http://schemas.openxmlformats.org/officeDocument/2006/relationships/image" Target="media/image2.jpg" /><Relationship Id="rId12" Type="http://schemas.openxmlformats.org/officeDocument/2006/relationships/image" Target="media/image7.jpg" /><Relationship Id="rId17" Type="http://schemas.openxmlformats.org/officeDocument/2006/relationships/image" Target="media/image12.png" /><Relationship Id="rId25" Type="http://schemas.openxmlformats.org/officeDocument/2006/relationships/image" Target="media/image20.png" /><Relationship Id="rId2" Type="http://schemas.openxmlformats.org/officeDocument/2006/relationships/numbering" Target="numbering.xml" /><Relationship Id="rId16" Type="http://schemas.openxmlformats.org/officeDocument/2006/relationships/image" Target="media/image11.jpg" /><Relationship Id="rId20" Type="http://schemas.openxmlformats.org/officeDocument/2006/relationships/image" Target="media/image15.png" /><Relationship Id="rId1" Type="http://schemas.openxmlformats.org/officeDocument/2006/relationships/customXml" Target="../customXml/item1.xml" /><Relationship Id="rId6" Type="http://schemas.openxmlformats.org/officeDocument/2006/relationships/image" Target="media/image1.emf" /><Relationship Id="rId11" Type="http://schemas.openxmlformats.org/officeDocument/2006/relationships/image" Target="media/image6.jpg" /><Relationship Id="rId24" Type="http://schemas.openxmlformats.org/officeDocument/2006/relationships/image" Target="media/image19.png" /><Relationship Id="rId5" Type="http://schemas.openxmlformats.org/officeDocument/2006/relationships/webSettings" Target="webSettings.xml" /><Relationship Id="rId15" Type="http://schemas.openxmlformats.org/officeDocument/2006/relationships/image" Target="media/image10.jpg" /><Relationship Id="rId23" Type="http://schemas.openxmlformats.org/officeDocument/2006/relationships/image" Target="media/image18.png" /><Relationship Id="rId28" Type="http://schemas.openxmlformats.org/officeDocument/2006/relationships/theme" Target="theme/theme1.xml" /><Relationship Id="rId10" Type="http://schemas.openxmlformats.org/officeDocument/2006/relationships/image" Target="media/image5.jpg" /><Relationship Id="rId19" Type="http://schemas.openxmlformats.org/officeDocument/2006/relationships/image" Target="media/image14.png" /><Relationship Id="rId4" Type="http://schemas.openxmlformats.org/officeDocument/2006/relationships/settings" Target="settings.xml" /><Relationship Id="rId9" Type="http://schemas.openxmlformats.org/officeDocument/2006/relationships/image" Target="media/image4.jpg" /><Relationship Id="rId14" Type="http://schemas.openxmlformats.org/officeDocument/2006/relationships/image" Target="media/image9.jpg" /><Relationship Id="rId22" Type="http://schemas.openxmlformats.org/officeDocument/2006/relationships/image" Target="media/image17.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91DE1-9540-459F-9F08-F4DFCC5A3D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16102</Words>
  <Characters>91786</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Favour Oladepo</dc:creator>
  <cp:lastModifiedBy>Guest User</cp:lastModifiedBy>
  <cp:revision>2</cp:revision>
  <dcterms:created xsi:type="dcterms:W3CDTF">2022-12-06T21:01:00Z</dcterms:created>
  <dcterms:modified xsi:type="dcterms:W3CDTF">2022-12-06T21:01:00Z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0661e2abfbdba05aaa61f1795becc0b8b244b3b992645a83c7d5ef540cc4ffd4</vt:lpwstr>
  </property>
</Properties>
</file>