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E5787A5" w14:textId="6F614581" w:rsidR="002636ED" w:rsidRDefault="39B1D92D" w:rsidP="3A9C0915">
      <w:pPr>
        <w:ind w:left="1440"/>
        <w:rPr>
          <w:sz w:val="22"/>
          <w:szCs w:val="22"/>
        </w:rPr>
      </w:pPr>
      <w:r w:rsidRPr="3A9C0915">
        <w:rPr>
          <w:sz w:val="22"/>
          <w:szCs w:val="22"/>
        </w:rPr>
        <w:t>Tayyaba Shamim. (2319019)</w:t>
      </w:r>
    </w:p>
    <w:p w14:paraId="199FD9D0" w14:textId="58F543AB" w:rsidR="39B1D92D" w:rsidRDefault="39B1D92D" w:rsidP="3A9C0915">
      <w:pPr>
        <w:ind w:left="1440"/>
        <w:rPr>
          <w:sz w:val="22"/>
          <w:szCs w:val="22"/>
        </w:rPr>
      </w:pPr>
      <w:r w:rsidRPr="3A9C0915">
        <w:rPr>
          <w:sz w:val="22"/>
          <w:szCs w:val="22"/>
        </w:rPr>
        <w:t>Empowering the Older Person. (BMHP6027</w:t>
      </w:r>
      <w:r w:rsidR="6E697B88" w:rsidRPr="3A9C0915">
        <w:rPr>
          <w:sz w:val="22"/>
          <w:szCs w:val="22"/>
        </w:rPr>
        <w:t>)</w:t>
      </w:r>
    </w:p>
    <w:p w14:paraId="74627497" w14:textId="6901AA1D" w:rsidR="6E697B88" w:rsidRDefault="6E697B88" w:rsidP="3A9C0915">
      <w:pPr>
        <w:ind w:left="1440"/>
        <w:rPr>
          <w:sz w:val="22"/>
          <w:szCs w:val="22"/>
        </w:rPr>
      </w:pPr>
      <w:r w:rsidRPr="3A9C0915">
        <w:rPr>
          <w:sz w:val="22"/>
          <w:szCs w:val="22"/>
        </w:rPr>
        <w:t>Component 2: Debate.</w:t>
      </w:r>
    </w:p>
    <w:p w14:paraId="50F69D13" w14:textId="3412C737" w:rsidR="6E697B88" w:rsidRDefault="6E697B88" w:rsidP="3A9C0915">
      <w:pPr>
        <w:ind w:left="1440"/>
        <w:rPr>
          <w:sz w:val="22"/>
          <w:szCs w:val="22"/>
        </w:rPr>
      </w:pPr>
      <w:r w:rsidRPr="3A9C0915">
        <w:rPr>
          <w:sz w:val="22"/>
          <w:szCs w:val="22"/>
        </w:rPr>
        <w:t>Kennedy obohwemu.</w:t>
      </w:r>
    </w:p>
    <w:p w14:paraId="1B9F2A64" w14:textId="1808F45A" w:rsidR="3A9C0915" w:rsidRDefault="3A9C0915" w:rsidP="3A9C0915">
      <w:pPr>
        <w:ind w:left="1440"/>
        <w:rPr>
          <w:sz w:val="22"/>
          <w:szCs w:val="22"/>
        </w:rPr>
      </w:pPr>
    </w:p>
    <w:p w14:paraId="25EBB247" w14:textId="10C5CF99" w:rsidR="6E697B88" w:rsidRPr="00FB09B2" w:rsidRDefault="6E697B88" w:rsidP="3A9C0915">
      <w:pPr>
        <w:rPr>
          <w:rFonts w:ascii="Arial" w:hAnsi="Arial" w:cs="Arial"/>
          <w:sz w:val="22"/>
          <w:szCs w:val="22"/>
        </w:rPr>
      </w:pPr>
      <w:r w:rsidRPr="00FB09B2">
        <w:rPr>
          <w:rFonts w:ascii="Arial" w:hAnsi="Arial" w:cs="Arial"/>
          <w:sz w:val="22"/>
          <w:szCs w:val="22"/>
        </w:rPr>
        <w:t>References:</w:t>
      </w:r>
    </w:p>
    <w:p w14:paraId="011BB7D8" w14:textId="300255B5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eastAsia="Arial" w:hAnsi="Arial" w:cs="Arial"/>
          <w:color w:val="222222"/>
          <w:sz w:val="22"/>
          <w:szCs w:val="22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Age UK. (2025) Older People’s Experiences of Home and Residential Care. London: Age UK.</w:t>
      </w:r>
    </w:p>
    <w:p w14:paraId="34F46ADF" w14:textId="6E1857FA" w:rsidR="001C1C9C" w:rsidRPr="00FB09B2" w:rsidRDefault="001C1C9C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hAnsi="Arial" w:cs="Arial"/>
        </w:rPr>
        <w:t>Carter, A. and Davies, S. (2024) ‘Ageing in place or moving on: a systematic review of autonomy outcomes across care settings’, Health and Social Care in the Community, 32(2), pp. e123–e145.</w:t>
      </w:r>
    </w:p>
    <w:p w14:paraId="71FC1583" w14:textId="598B03BB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Care Act 2014 (c.23). London: The Stationery Office.</w:t>
      </w:r>
    </w:p>
    <w:p w14:paraId="4D8ECFE6" w14:textId="7D57612F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Care England. (2026) Workforce Pressures and Consistency of Care in Domiciliary and Residential Settings. London: Care England.</w:t>
      </w:r>
    </w:p>
    <w:p w14:paraId="43801800" w14:textId="15104E34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Care Quality Commission. (2025) State of Health and Social Care in England 2024/25. London: CQC.</w:t>
      </w:r>
    </w:p>
    <w:p w14:paraId="6C31E8B4" w14:textId="0A56E589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Department of Health and Social Care. (2025) People at the Heart of Care: Implementation Progress Report. London: DHSC.</w:t>
      </w:r>
    </w:p>
    <w:p w14:paraId="41029ED3" w14:textId="19E811C9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eastAsia="Arial" w:hAnsi="Arial" w:cs="Arial"/>
          <w:color w:val="222222"/>
          <w:sz w:val="22"/>
          <w:szCs w:val="22"/>
        </w:rPr>
      </w:pPr>
      <w:hyperlink r:id="rId4">
        <w:r w:rsidRPr="00FB09B2">
          <w:rPr>
            <w:rStyle w:val="Hyperlink"/>
            <w:rFonts w:ascii="Arial" w:hAnsi="Arial" w:cs="Arial"/>
            <w:color w:val="1155CC"/>
          </w:rPr>
          <w:t>GOV.UK</w:t>
        </w:r>
      </w:hyperlink>
      <w:r w:rsidRPr="00FB09B2">
        <w:rPr>
          <w:rFonts w:ascii="Arial" w:eastAsia="Arial" w:hAnsi="Arial" w:cs="Arial"/>
          <w:color w:val="222222"/>
          <w:sz w:val="22"/>
          <w:szCs w:val="22"/>
        </w:rPr>
        <w:t>. (2026) Residential Care Reform: Policy Paper. London: DHSC.</w:t>
      </w:r>
    </w:p>
    <w:p w14:paraId="72111561" w14:textId="512EACBF" w:rsidR="00C7286C" w:rsidRPr="00FB09B2" w:rsidRDefault="00C7286C" w:rsidP="00C7286C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hAnsi="Arial" w:cs="Arial"/>
        </w:rPr>
        <w:t>GOV.UK. (2024) Care Act 2014: Statutory Guidance. London: Department of Health and Social Care.</w:t>
      </w:r>
    </w:p>
    <w:p w14:paraId="4D6AA8A8" w14:textId="146E19F6" w:rsidR="00C7286C" w:rsidRPr="00FB09B2" w:rsidRDefault="00C7286C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hAnsi="Arial" w:cs="Arial"/>
        </w:rPr>
        <w:t>Hughes, N. and Stevenson, J. (2026) ‘“It’s my house, not theirs”: identity and control in domiciliary care’, Ageing and Society, 46(3), pp. 512–534.</w:t>
      </w:r>
    </w:p>
    <w:p w14:paraId="53D4FEBD" w14:textId="7742587C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Health Foundation. (2024) Inequalities in Access to Person-Centred Care for Older Adults. London: The Health Foundation.</w:t>
      </w:r>
    </w:p>
    <w:p w14:paraId="127A3684" w14:textId="3F5F0BF3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Local Government Association. (2026) Fixing Domiciliary Care Funding. London: LGA.</w:t>
      </w:r>
    </w:p>
    <w:p w14:paraId="73B45570" w14:textId="5DC58C57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National Care Service Development Board. (2026) Designing a National Care Service: Empowerment and Choice. Cardiff: Welsh Government.</w:t>
      </w:r>
    </w:p>
    <w:p w14:paraId="7E9191FB" w14:textId="4C9E7E8B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National Institute for Health and Care Excellence. (2025) Guideline NG197: Empowerment in Adult Social Care. London: NICE.</w:t>
      </w:r>
    </w:p>
    <w:p w14:paraId="36458384" w14:textId="2BAF431D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NHS Digital. (2025) Falls and Injury Statistics for Older Adults. Leeds: NHS Digital.</w:t>
      </w:r>
    </w:p>
    <w:p w14:paraId="6CC1568C" w14:textId="3872C403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eastAsia="Arial" w:hAnsi="Arial" w:cs="Arial"/>
          <w:color w:val="222222"/>
          <w:sz w:val="22"/>
          <w:szCs w:val="22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 xml:space="preserve"> Office for National Statistics. (2025) Loneliness in Older People: 2025 Survey. London: ONS.</w:t>
      </w:r>
      <w:r w:rsidRPr="00FB09B2">
        <w:rPr>
          <w:rFonts w:ascii="Arial" w:hAnsi="Arial" w:cs="Arial"/>
        </w:rPr>
        <w:br/>
      </w:r>
    </w:p>
    <w:p w14:paraId="3A4B68BB" w14:textId="31D2F79A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Royal College of Nursing. (2024) Person-Centred Care: RCN Standards for All Care Settings. London: RCN.</w:t>
      </w:r>
    </w:p>
    <w:p w14:paraId="50B2AAF8" w14:textId="51EED246" w:rsidR="3A9C0915" w:rsidRPr="00FB09B2" w:rsidRDefault="3A9C0915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</w:p>
    <w:p w14:paraId="4891983F" w14:textId="5E0C58DE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 xml:space="preserve"> Social Care Institute for Excellence. (2024) Ageing in Place: Research Review. London: SCIE.</w:t>
      </w:r>
    </w:p>
    <w:p w14:paraId="216787B2" w14:textId="5E195164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 xml:space="preserve"> Social Care Institute for Excellence. (2025) Person-Centred Care in Residential Settings. London: SCIE.</w:t>
      </w:r>
    </w:p>
    <w:p w14:paraId="35EC51C0" w14:textId="608D5DA2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Social Care Institute for Excellence. (2026) Empowerment, Voice and Control: Practice Guide for Home and Residential Care. London: SCIE.</w:t>
      </w:r>
    </w:p>
    <w:p w14:paraId="5FC7EF75" w14:textId="678273A1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 xml:space="preserve"> The King’s Fund. (2024) Independence vs Autonomy in Social Care. London: The King’s Fund.</w:t>
      </w:r>
    </w:p>
    <w:p w14:paraId="4089AFA9" w14:textId="7A7CB5BE" w:rsidR="6E697B88" w:rsidRPr="00FB09B2" w:rsidRDefault="6E697B88" w:rsidP="3A9C0915">
      <w:pPr>
        <w:shd w:val="clear" w:color="auto" w:fill="FFFFFF" w:themeFill="background1"/>
        <w:spacing w:before="195" w:after="195"/>
        <w:rPr>
          <w:rFonts w:ascii="Arial" w:hAnsi="Arial" w:cs="Arial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>Think Local Act Personal. (2026) Outcomes-Based Commissioning Guide. Sheffield: TLAP.</w:t>
      </w:r>
    </w:p>
    <w:p w14:paraId="5D5936A3" w14:textId="6FCAC76A" w:rsidR="3A9C0915" w:rsidRPr="00FB09B2" w:rsidRDefault="6E697B88" w:rsidP="00C74809">
      <w:pPr>
        <w:shd w:val="clear" w:color="auto" w:fill="FFFFFF" w:themeFill="background1"/>
        <w:spacing w:before="195" w:after="195"/>
        <w:rPr>
          <w:rFonts w:ascii="Arial" w:hAnsi="Arial" w:cs="Arial"/>
          <w:sz w:val="22"/>
          <w:szCs w:val="22"/>
        </w:rPr>
      </w:pPr>
      <w:r w:rsidRPr="00FB09B2">
        <w:rPr>
          <w:rFonts w:ascii="Arial" w:eastAsia="Arial" w:hAnsi="Arial" w:cs="Arial"/>
          <w:color w:val="222222"/>
          <w:sz w:val="22"/>
          <w:szCs w:val="22"/>
        </w:rPr>
        <w:t xml:space="preserve"> </w:t>
      </w:r>
    </w:p>
    <w:p w14:paraId="063C095A" w14:textId="5B96AF47" w:rsidR="3A9C0915" w:rsidRPr="00FB09B2" w:rsidRDefault="3A9C0915">
      <w:pPr>
        <w:rPr>
          <w:rFonts w:ascii="Arial" w:hAnsi="Arial" w:cs="Arial"/>
        </w:rPr>
      </w:pPr>
    </w:p>
    <w:sectPr w:rsidR="3A9C0915" w:rsidRPr="00FB09B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874B61"/>
    <w:rsid w:val="000D085A"/>
    <w:rsid w:val="0012227C"/>
    <w:rsid w:val="001C1C9C"/>
    <w:rsid w:val="002636ED"/>
    <w:rsid w:val="00625050"/>
    <w:rsid w:val="00673A4E"/>
    <w:rsid w:val="00826549"/>
    <w:rsid w:val="00866141"/>
    <w:rsid w:val="00C7286C"/>
    <w:rsid w:val="00C74809"/>
    <w:rsid w:val="00D166B5"/>
    <w:rsid w:val="00FB09B2"/>
    <w:rsid w:val="19874B61"/>
    <w:rsid w:val="1CB0020F"/>
    <w:rsid w:val="21151221"/>
    <w:rsid w:val="2871C6E3"/>
    <w:rsid w:val="359E6680"/>
    <w:rsid w:val="39B1D92D"/>
    <w:rsid w:val="3A9C0915"/>
    <w:rsid w:val="44AA621C"/>
    <w:rsid w:val="5B1FABDC"/>
    <w:rsid w:val="6129A396"/>
    <w:rsid w:val="638382A2"/>
    <w:rsid w:val="6D17C37E"/>
    <w:rsid w:val="6E697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BD458"/>
  <w15:chartTrackingRefBased/>
  <w15:docId w15:val="{920D7D5B-9E21-4D84-90C5-C15F53D59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3A9C091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gov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358</Words>
  <Characters>2046</Characters>
  <Application>Microsoft Office Word</Application>
  <DocSecurity>0</DocSecurity>
  <Lines>17</Lines>
  <Paragraphs>4</Paragraphs>
  <ScaleCrop>false</ScaleCrop>
  <Company/>
  <LinksUpToDate>false</LinksUpToDate>
  <CharactersWithSpaces>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Tayyaba Shamim (2319019)</dc:creator>
  <cp:keywords/>
  <dc:description/>
  <cp:lastModifiedBy>Tayyaba Shamim (2319019)</cp:lastModifiedBy>
  <cp:revision>2</cp:revision>
  <dcterms:created xsi:type="dcterms:W3CDTF">2026-07-09T22:47:00Z</dcterms:created>
  <dcterms:modified xsi:type="dcterms:W3CDTF">2026-07-09T22:47:00Z</dcterms:modified>
</cp:coreProperties>
</file>