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4662F1" w14:textId="126F005F" w:rsidR="004C6C6B" w:rsidRDefault="00943FB3" w:rsidP="003C2019">
      <w:pPr>
        <w:pStyle w:val="NormalWeb"/>
        <w:spacing w:before="0" w:beforeAutospacing="0" w:after="0" w:afterAutospacing="0"/>
        <w:rPr>
          <w:rStyle w:val="Strong"/>
          <w:rFonts w:eastAsiaTheme="majorEastAsia"/>
          <w:color w:val="0E101A"/>
        </w:rPr>
      </w:pPr>
      <w:r w:rsidRPr="001921A7">
        <w:rPr>
          <w:rFonts w:ascii="Arial" w:eastAsia="Calibri" w:hAnsi="Arial" w:cs="Arial"/>
          <w:noProof/>
        </w:rPr>
        <w:drawing>
          <wp:anchor distT="0" distB="0" distL="114300" distR="114300" simplePos="0" relativeHeight="251659264" behindDoc="0" locked="0" layoutInCell="1" allowOverlap="1" wp14:anchorId="41917A55" wp14:editId="28E08D89">
            <wp:simplePos x="0" y="0"/>
            <wp:positionH relativeFrom="margin">
              <wp:posOffset>1262063</wp:posOffset>
            </wp:positionH>
            <wp:positionV relativeFrom="paragraph">
              <wp:posOffset>152718</wp:posOffset>
            </wp:positionV>
            <wp:extent cx="3190240" cy="123317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190240" cy="1233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382399" w14:textId="63FD95F7" w:rsidR="00943FB3" w:rsidRDefault="00943FB3" w:rsidP="00E60B98">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p>
    <w:p w14:paraId="539BC3DC" w14:textId="77777777" w:rsidR="00943FB3" w:rsidRDefault="00943FB3" w:rsidP="00E60B98">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p>
    <w:p w14:paraId="6862FAA8" w14:textId="77777777" w:rsidR="00943FB3" w:rsidRDefault="00943FB3" w:rsidP="00E60B98">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p>
    <w:p w14:paraId="76D2E925" w14:textId="19B5A40B" w:rsidR="00E60B98" w:rsidRPr="005B1B3F" w:rsidRDefault="00E60B98" w:rsidP="00E60B98">
      <w:pPr>
        <w:spacing w:before="100" w:beforeAutospacing="1" w:after="100" w:afterAutospacing="1" w:line="240" w:lineRule="auto"/>
        <w:jc w:val="center"/>
        <w:rPr>
          <w:rFonts w:asciiTheme="majorBidi" w:eastAsia="Times New Roman" w:hAnsiTheme="majorBidi" w:cstheme="majorBidi"/>
          <w:b/>
          <w:bCs/>
          <w:kern w:val="0"/>
          <w:sz w:val="32"/>
          <w:szCs w:val="32"/>
          <w:lang w:eastAsia="en-GB"/>
          <w14:ligatures w14:val="none"/>
        </w:rPr>
      </w:pPr>
      <w:r w:rsidRPr="008155B5">
        <w:rPr>
          <w:rFonts w:asciiTheme="majorBidi" w:eastAsia="Calibri" w:hAnsiTheme="majorBidi" w:cstheme="majorBidi"/>
          <w:b/>
          <w:bCs/>
          <w:kern w:val="0"/>
          <w:sz w:val="32"/>
          <w:szCs w:val="32"/>
          <w14:ligatures w14:val="none"/>
        </w:rPr>
        <w:t>Professional Graduate Certificate in Education (PCET)</w:t>
      </w:r>
    </w:p>
    <w:p w14:paraId="14471992" w14:textId="77777777" w:rsidR="00E60B98" w:rsidRPr="005B1B3F" w:rsidRDefault="00E60B98" w:rsidP="00E60B98">
      <w:pPr>
        <w:spacing w:before="100" w:beforeAutospacing="1" w:after="100" w:afterAutospacing="1" w:line="240" w:lineRule="auto"/>
        <w:jc w:val="center"/>
        <w:rPr>
          <w:rFonts w:asciiTheme="majorBidi" w:eastAsia="Calibri" w:hAnsiTheme="majorBidi" w:cstheme="majorBidi"/>
          <w:b/>
          <w:kern w:val="0"/>
          <w:sz w:val="32"/>
          <w:szCs w:val="32"/>
          <w14:ligatures w14:val="none"/>
        </w:rPr>
      </w:pPr>
      <w:r w:rsidRPr="008155B5">
        <w:rPr>
          <w:rFonts w:asciiTheme="majorBidi" w:eastAsia="Calibri" w:hAnsiTheme="majorBidi" w:cstheme="majorBidi"/>
          <w:b/>
          <w:kern w:val="0"/>
          <w:sz w:val="32"/>
          <w:szCs w:val="32"/>
          <w14:ligatures w14:val="none"/>
        </w:rPr>
        <w:t>The Teaching Toolkit 1</w:t>
      </w:r>
    </w:p>
    <w:p w14:paraId="06ACA386" w14:textId="77777777" w:rsidR="00E60B98" w:rsidRPr="005B1B3F" w:rsidRDefault="00E60B98" w:rsidP="00E60B98">
      <w:pPr>
        <w:spacing w:before="100" w:beforeAutospacing="1" w:after="100" w:afterAutospacing="1" w:line="240" w:lineRule="auto"/>
        <w:jc w:val="center"/>
        <w:rPr>
          <w:rFonts w:asciiTheme="majorBidi" w:eastAsia="Calibri" w:hAnsiTheme="majorBidi" w:cstheme="majorBidi"/>
          <w:b/>
          <w:kern w:val="0"/>
          <w:sz w:val="32"/>
          <w:szCs w:val="32"/>
          <w14:ligatures w14:val="none"/>
        </w:rPr>
      </w:pPr>
      <w:r w:rsidRPr="008155B5">
        <w:rPr>
          <w:rFonts w:asciiTheme="majorBidi" w:eastAsia="Calibri" w:hAnsiTheme="majorBidi" w:cstheme="majorBidi"/>
          <w:b/>
          <w:kern w:val="0"/>
          <w:sz w:val="32"/>
          <w:szCs w:val="32"/>
          <w14:ligatures w14:val="none"/>
        </w:rPr>
        <w:t>Module code:</w:t>
      </w:r>
      <w:r w:rsidRPr="005B1B3F">
        <w:rPr>
          <w:rFonts w:asciiTheme="majorBidi" w:eastAsia="Calibri" w:hAnsiTheme="majorBidi" w:cstheme="majorBidi"/>
          <w:b/>
          <w:kern w:val="0"/>
          <w:sz w:val="32"/>
          <w:szCs w:val="32"/>
          <w14:ligatures w14:val="none"/>
        </w:rPr>
        <w:t xml:space="preserve"> </w:t>
      </w:r>
      <w:r w:rsidRPr="008155B5">
        <w:rPr>
          <w:rFonts w:asciiTheme="majorBidi" w:eastAsia="Calibri" w:hAnsiTheme="majorBidi" w:cstheme="majorBidi"/>
          <w:b/>
          <w:kern w:val="0"/>
          <w:sz w:val="32"/>
          <w:szCs w:val="32"/>
          <w14:ligatures w14:val="none"/>
        </w:rPr>
        <w:t>ECPT6003</w:t>
      </w:r>
    </w:p>
    <w:p w14:paraId="280A08F9" w14:textId="77777777" w:rsidR="00E60B98" w:rsidRPr="005B1B3F" w:rsidRDefault="00E60B98" w:rsidP="00E60B98">
      <w:pPr>
        <w:spacing w:before="100" w:beforeAutospacing="1" w:after="100" w:afterAutospacing="1" w:line="240" w:lineRule="auto"/>
        <w:jc w:val="center"/>
        <w:rPr>
          <w:rFonts w:asciiTheme="majorBidi" w:eastAsia="Calibri" w:hAnsiTheme="majorBidi" w:cstheme="majorBidi"/>
          <w:b/>
          <w:kern w:val="0"/>
          <w:sz w:val="32"/>
          <w:szCs w:val="32"/>
          <w14:ligatures w14:val="none"/>
        </w:rPr>
      </w:pPr>
      <w:r w:rsidRPr="005B1B3F">
        <w:rPr>
          <w:rFonts w:asciiTheme="majorBidi" w:eastAsia="Calibri" w:hAnsiTheme="majorBidi" w:cstheme="majorBidi"/>
          <w:b/>
          <w:kern w:val="0"/>
          <w:sz w:val="32"/>
          <w:szCs w:val="32"/>
          <w14:ligatures w14:val="none"/>
        </w:rPr>
        <w:t>Assignment 1</w:t>
      </w:r>
    </w:p>
    <w:p w14:paraId="24070243" w14:textId="77777777" w:rsidR="00E60B98" w:rsidRPr="005B1B3F" w:rsidRDefault="00E60B98" w:rsidP="00E60B98">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r w:rsidRPr="005B1B3F">
        <w:rPr>
          <w:rFonts w:asciiTheme="majorBidi" w:eastAsia="Calibri" w:hAnsiTheme="majorBidi" w:cstheme="majorBidi"/>
          <w:b/>
          <w:bCs/>
          <w:kern w:val="0"/>
          <w:sz w:val="32"/>
          <w:szCs w:val="32"/>
          <w14:ligatures w14:val="none"/>
        </w:rPr>
        <w:t>Najem Boumtiri</w:t>
      </w:r>
    </w:p>
    <w:p w14:paraId="3BEE9AF5" w14:textId="77777777" w:rsidR="00E60B98" w:rsidRDefault="00E60B98" w:rsidP="00E60B98">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r w:rsidRPr="005B1B3F">
        <w:rPr>
          <w:rFonts w:asciiTheme="majorBidi" w:eastAsia="Calibri" w:hAnsiTheme="majorBidi" w:cstheme="majorBidi"/>
          <w:b/>
          <w:bCs/>
          <w:kern w:val="0"/>
          <w:sz w:val="32"/>
          <w:szCs w:val="32"/>
          <w14:ligatures w14:val="none"/>
        </w:rPr>
        <w:t>1150231</w:t>
      </w:r>
    </w:p>
    <w:p w14:paraId="4BBB81F2" w14:textId="77777777" w:rsidR="00E60B98" w:rsidRPr="005B1B3F" w:rsidRDefault="00E60B98" w:rsidP="00E60B98">
      <w:pPr>
        <w:spacing w:before="100" w:beforeAutospacing="1" w:after="100" w:afterAutospacing="1" w:line="240" w:lineRule="auto"/>
        <w:jc w:val="center"/>
        <w:rPr>
          <w:rFonts w:asciiTheme="majorBidi" w:eastAsia="Calibri" w:hAnsiTheme="majorBidi" w:cstheme="majorBidi"/>
          <w:b/>
          <w:bCs/>
          <w:kern w:val="0"/>
          <w:sz w:val="32"/>
          <w:szCs w:val="32"/>
          <w14:ligatures w14:val="none"/>
        </w:rPr>
      </w:pPr>
      <w:r>
        <w:rPr>
          <w:rFonts w:asciiTheme="majorBidi" w:eastAsia="Calibri" w:hAnsiTheme="majorBidi" w:cstheme="majorBidi"/>
          <w:b/>
          <w:bCs/>
          <w:kern w:val="0"/>
          <w:sz w:val="32"/>
          <w:szCs w:val="32"/>
          <w14:ligatures w14:val="none"/>
        </w:rPr>
        <w:t>06/12/2024</w:t>
      </w:r>
    </w:p>
    <w:p w14:paraId="6F25E1DB" w14:textId="77777777" w:rsidR="004C6C6B" w:rsidRDefault="004C6C6B" w:rsidP="003C2019">
      <w:pPr>
        <w:pStyle w:val="NormalWeb"/>
        <w:spacing w:before="0" w:beforeAutospacing="0" w:after="0" w:afterAutospacing="0"/>
        <w:rPr>
          <w:rStyle w:val="Strong"/>
          <w:rFonts w:eastAsiaTheme="majorEastAsia"/>
          <w:color w:val="0E101A"/>
        </w:rPr>
      </w:pPr>
    </w:p>
    <w:p w14:paraId="1C4463D9" w14:textId="77777777" w:rsidR="004C6C6B" w:rsidRDefault="004C6C6B" w:rsidP="003C2019">
      <w:pPr>
        <w:pStyle w:val="NormalWeb"/>
        <w:spacing w:before="0" w:beforeAutospacing="0" w:after="0" w:afterAutospacing="0"/>
        <w:rPr>
          <w:rStyle w:val="Strong"/>
          <w:rFonts w:eastAsiaTheme="majorEastAsia"/>
          <w:color w:val="0E101A"/>
        </w:rPr>
      </w:pPr>
    </w:p>
    <w:p w14:paraId="05BEF80A" w14:textId="11B52B2F" w:rsidR="003C2019" w:rsidRPr="0047363D" w:rsidRDefault="003C2019" w:rsidP="0047363D">
      <w:pPr>
        <w:pStyle w:val="NormalWeb"/>
        <w:spacing w:before="0" w:beforeAutospacing="0" w:after="0" w:afterAutospacing="0" w:line="360" w:lineRule="auto"/>
        <w:rPr>
          <w:color w:val="0E101A"/>
          <w:sz w:val="28"/>
          <w:szCs w:val="28"/>
        </w:rPr>
      </w:pPr>
      <w:r w:rsidRPr="0047363D">
        <w:rPr>
          <w:rStyle w:val="Strong"/>
          <w:rFonts w:eastAsiaTheme="majorEastAsia"/>
          <w:color w:val="0E101A"/>
          <w:sz w:val="28"/>
          <w:szCs w:val="28"/>
        </w:rPr>
        <w:t>Introduction</w:t>
      </w:r>
    </w:p>
    <w:p w14:paraId="0A3E4199"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 xml:space="preserve">This reflection evaluates a micro-teaching session on the past tenses delivered to intermediate ESOL learners. The session aimed to improve students' understanding of these tenses through structured explanations and interactive activities. Using Graham Gibbs' Reflective Cycle (1988), the feedback from peers and the tutor was analysed to identify strengths, such as engaging activities, and areas for development, such as resource accessibility and accommodating neurodivergent learners. </w:t>
      </w:r>
    </w:p>
    <w:p w14:paraId="11673345"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rStyle w:val="Strong"/>
          <w:rFonts w:eastAsiaTheme="majorEastAsia"/>
          <w:color w:val="0E101A"/>
          <w:sz w:val="28"/>
          <w:szCs w:val="28"/>
        </w:rPr>
        <w:t>Description</w:t>
      </w:r>
    </w:p>
    <w:p w14:paraId="3F26A9BF"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 xml:space="preserve">The micro-teaching session focused on the effective use of past tenses, including the past simple, past continuous, and past perfect. The 30-minute lesson was planned to achieve specific learning outcomes, enabling students to </w:t>
      </w:r>
      <w:r w:rsidRPr="0047363D">
        <w:rPr>
          <w:color w:val="0E101A"/>
          <w:sz w:val="28"/>
          <w:szCs w:val="28"/>
        </w:rPr>
        <w:lastRenderedPageBreak/>
        <w:t>identify, understand, and correctly use past tenses. PowerPoint slides, handouts, and a whiteboard were utilised to facilitate learning.</w:t>
      </w:r>
    </w:p>
    <w:p w14:paraId="494AC965"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PowerPoint was chosen as a primary teaching tool due to its widespread adoption in educational settings. However, it needs to be thoughtfully integrated to maximise its potential. This ensures that students and teachers can benefit fully from the lesson while addressing challenges like accessibility issues and the risk of becoming too reliant on visual aids (Reedy, 2008).</w:t>
      </w:r>
    </w:p>
    <w:p w14:paraId="551D0CB2"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 xml:space="preserve">The session began with a brief icebreaker, during which participants discussed their weekend plans in pairs, encouraging engagement and confidence in using English. </w:t>
      </w:r>
    </w:p>
    <w:p w14:paraId="567CDCCF"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 xml:space="preserve">The lesson included a 7-minute explanation of past tense structures supported by visuals and real-life examples. This latter was followed by engaging activities: collaborative pair work to identify tenses in given sentences and a self-assessment activity using a marking sheet. According to Fry, </w:t>
      </w:r>
      <w:proofErr w:type="spellStart"/>
      <w:r w:rsidRPr="0047363D">
        <w:rPr>
          <w:color w:val="0E101A"/>
          <w:sz w:val="28"/>
          <w:szCs w:val="28"/>
        </w:rPr>
        <w:t>Ketteridge</w:t>
      </w:r>
      <w:proofErr w:type="spellEnd"/>
      <w:r w:rsidRPr="0047363D">
        <w:rPr>
          <w:color w:val="0E101A"/>
          <w:sz w:val="28"/>
          <w:szCs w:val="28"/>
        </w:rPr>
        <w:t>, and Marshall (2014), such interactive practices encourage deeper engagement and help students develop essential academic and social skills that support their overall learning experience.</w:t>
      </w:r>
    </w:p>
    <w:p w14:paraId="0F2FCA5E"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rStyle w:val="Strong"/>
          <w:rFonts w:eastAsiaTheme="majorEastAsia"/>
          <w:color w:val="0E101A"/>
          <w:sz w:val="28"/>
          <w:szCs w:val="28"/>
        </w:rPr>
        <w:t>Feelings</w:t>
      </w:r>
    </w:p>
    <w:p w14:paraId="37733178"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While preparing for the session, I felt confident but apprehensive about managing the time effectively. However, during the lesson, my initial nerves quickly eased as I observed participants, especially Neil, engaging actively with the material at the beginning of the lesson. His positive participation and responses to questions significantly boosted both confidence for the rest of the class.</w:t>
      </w:r>
    </w:p>
    <w:p w14:paraId="593DA0B5"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Despite this, I encountered some minor challenges, such as the quality of the markers I used and the difficulty reading some text on the whiteboard from the back of the room, which led to slight frustration.</w:t>
      </w:r>
    </w:p>
    <w:p w14:paraId="2C4B30F9"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 xml:space="preserve">After receiving feedback, I felt both reassured and motivated. My peers and tutor highlighted numerous strengths, such as my enthusiasm, clarity of </w:t>
      </w:r>
      <w:r w:rsidRPr="0047363D">
        <w:rPr>
          <w:color w:val="0E101A"/>
          <w:sz w:val="28"/>
          <w:szCs w:val="28"/>
        </w:rPr>
        <w:lastRenderedPageBreak/>
        <w:t>instruction, and ability to create an inclusive environment. However, their constructive criticism, especially regarding resource accessibility, visual aids, and background music, prompted reflection on areas for improvement, aligning with the principle that all digital learning resources must ensure accessibility and inclusiveness for all learners (Rocha Lourenço et al., 2022).</w:t>
      </w:r>
    </w:p>
    <w:p w14:paraId="5BA2858A"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rStyle w:val="Strong"/>
          <w:rFonts w:eastAsiaTheme="majorEastAsia"/>
          <w:color w:val="0E101A"/>
          <w:sz w:val="28"/>
          <w:szCs w:val="28"/>
        </w:rPr>
        <w:t>Evaluation</w:t>
      </w:r>
    </w:p>
    <w:p w14:paraId="04E9EB1C"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The evaluation of the micro-teaching session revealed several strengths and areas for development. A key success was the well-structured and engaging lesson plan, as noted by my observer, who praised its alignment with intended learning outcomes. Students like Gareth shared this view, who reported that the lesson objectives were clear and memorable even days after the session. Additionally, Catherine highlighted effective questioning and the integration of real-world examples, which made the material more relatable and engaging. This latter is supported by research recognising that teaching with authentic materials is effective. Authentic materials facilitate knowledge transfer by creating realistic and engaging learning contexts (</w:t>
      </w:r>
      <w:proofErr w:type="spellStart"/>
      <w:r w:rsidRPr="0047363D">
        <w:rPr>
          <w:color w:val="0E101A"/>
          <w:sz w:val="28"/>
          <w:szCs w:val="28"/>
        </w:rPr>
        <w:t>Mestari</w:t>
      </w:r>
      <w:proofErr w:type="spellEnd"/>
      <w:r w:rsidRPr="0047363D">
        <w:rPr>
          <w:color w:val="0E101A"/>
          <w:sz w:val="28"/>
          <w:szCs w:val="28"/>
        </w:rPr>
        <w:t xml:space="preserve"> and Malabar, 2017).</w:t>
      </w:r>
    </w:p>
    <w:p w14:paraId="1CED3AD6"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The session also encouraged collaboration, as Amanda appreciated the pair work that helped learners feel supported and less vulnerable during activities. Similarly, Matthew commended the interactive nature of the session and the reinforcement of learning through various activities, which significantly enhanced retention.</w:t>
      </w:r>
    </w:p>
    <w:p w14:paraId="53F6D6EB"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Although there were successes, some areas for improvement were highlighted. My observer and Amanda noted accessibility concerns, including the clarity of whiteboard text and the use of light text on dark backgrounds in slides, which might make understanding difficult. These comments highlight the need to enhance resource accessibility, an important part of inclusive teaching practices. Support for neurodivergent learners emerged as another area requiring attention, with Amanda questioning the adaptability of my lessons for students with conditions like dyslexia or ADHD.</w:t>
      </w:r>
    </w:p>
    <w:p w14:paraId="3F9FD189"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lastRenderedPageBreak/>
        <w:t xml:space="preserve">This focus is increasingly relevant as a growing number of neurodivergent learners enter higher education, necessitating examining and implementing learning models that effectively meet their needs (Friedman and Nash-Luckenbach, 2024). Lastly, my observer noted that while background music might create a welcoming atmosphere for some, it could be distracting for neurodivergent learners. </w:t>
      </w:r>
    </w:p>
    <w:p w14:paraId="71363847"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rStyle w:val="Strong"/>
          <w:rFonts w:eastAsiaTheme="majorEastAsia"/>
          <w:color w:val="0E101A"/>
          <w:sz w:val="28"/>
          <w:szCs w:val="28"/>
        </w:rPr>
        <w:t>Analysis</w:t>
      </w:r>
    </w:p>
    <w:p w14:paraId="4819EEE2"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Several factors contributed to the strengths and areas for development in my session.</w:t>
      </w:r>
    </w:p>
    <w:p w14:paraId="25EE2DF1"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 xml:space="preserve">The effective questioning and use of authentic materials and real-world examples align with </w:t>
      </w:r>
      <w:proofErr w:type="spellStart"/>
      <w:r w:rsidRPr="0047363D">
        <w:rPr>
          <w:color w:val="0E101A"/>
          <w:sz w:val="28"/>
          <w:szCs w:val="28"/>
        </w:rPr>
        <w:t>Mestari</w:t>
      </w:r>
      <w:proofErr w:type="spellEnd"/>
      <w:r w:rsidRPr="0047363D">
        <w:rPr>
          <w:color w:val="0E101A"/>
          <w:sz w:val="28"/>
          <w:szCs w:val="28"/>
        </w:rPr>
        <w:t xml:space="preserve"> and Malabar (2017) and Vygotsky's Zone of Proximal Development (1978), emphasising the importance of scaffolding to help learners bridge the gap between current and potential knowledge. I facilitated deeper comprehension and application by connecting grammar points to everyday situations.</w:t>
      </w:r>
    </w:p>
    <w:p w14:paraId="3D654839"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The well-structured lesson plan complies with the Professional Standards for Further Education Teachers and Work-Based Learning Practitioners in Wales (2017), emphasising inclusivity and accessibility in planning.</w:t>
      </w:r>
    </w:p>
    <w:p w14:paraId="71908C18"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Conversely, resource accessibility issues highlight the importance of inclusive teaching practices. Using light text on dark backgrounds and unclear whiteboard text may have unintentionally hindered some learners. This latter underscores the need to adopt Universal Design for Learning (UDL) principles, which emphasise creating accessible materials for all learners, regardless of their abilities or needs.</w:t>
      </w:r>
    </w:p>
    <w:p w14:paraId="515B694E"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Educators worldwide have applied UDL to enhance classroom learning effectiveness and inclusivity, ensuring all students can engage and succeed regardless of their needs (Qu and Cross, 2024).</w:t>
      </w:r>
    </w:p>
    <w:p w14:paraId="3AE3C774"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 xml:space="preserve">Support for neurodivergent learners is another area requiring attention. Amanda's query about accommodating learners with ADHD or dyslexia </w:t>
      </w:r>
      <w:r w:rsidRPr="0047363D">
        <w:rPr>
          <w:color w:val="0E101A"/>
          <w:sz w:val="28"/>
          <w:szCs w:val="28"/>
        </w:rPr>
        <w:lastRenderedPageBreak/>
        <w:t>underscores the importance of proactive differentiation strategies, such as simplifying instructions, using visual cues, and providing alternative formats for materials.</w:t>
      </w:r>
    </w:p>
    <w:p w14:paraId="4F67791E"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 xml:space="preserve">Finally, while background music can create a welcoming environment, it may also disrupt focus for some learners. To maintain a conducive learning environment, it is essential to ensure that all music and other potential sources of distraction are turned off. </w:t>
      </w:r>
    </w:p>
    <w:p w14:paraId="4F9E54C8"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rStyle w:val="Strong"/>
          <w:rFonts w:eastAsiaTheme="majorEastAsia"/>
          <w:color w:val="0E101A"/>
          <w:sz w:val="28"/>
          <w:szCs w:val="28"/>
        </w:rPr>
        <w:t>Conclusion</w:t>
      </w:r>
    </w:p>
    <w:p w14:paraId="0827512E"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In this reflection, I assessed my micro-teaching session, which was structured and interactive, fostering learner participation and a positive atmosphere. However, improvements are needed in resource accessibility, supporting neurodivergent learners, and managing background music. Using Gibbs' Reflective Cycle, I identified steps to enhance my teaching practice, focusing on inclusivity and effectiveness. This reflection has strengthened my commitment to professional development and improving teaching standards, highlighting my ability to create an engaging learning environment, as evidenced by peer feedback.</w:t>
      </w:r>
    </w:p>
    <w:p w14:paraId="676200FD" w14:textId="77777777" w:rsidR="003C2019" w:rsidRPr="0047363D" w:rsidRDefault="003C2019" w:rsidP="0047363D">
      <w:pPr>
        <w:pStyle w:val="NormalWeb"/>
        <w:spacing w:before="0" w:beforeAutospacing="0" w:after="0" w:afterAutospacing="0" w:line="360" w:lineRule="auto"/>
        <w:rPr>
          <w:color w:val="0E101A"/>
          <w:sz w:val="28"/>
          <w:szCs w:val="28"/>
        </w:rPr>
      </w:pPr>
      <w:r w:rsidRPr="0047363D">
        <w:rPr>
          <w:rStyle w:val="Strong"/>
          <w:rFonts w:eastAsiaTheme="majorEastAsia"/>
          <w:color w:val="0E101A"/>
          <w:sz w:val="28"/>
          <w:szCs w:val="28"/>
        </w:rPr>
        <w:t>Action Plan</w:t>
      </w:r>
    </w:p>
    <w:p w14:paraId="35CCDB5A" w14:textId="77777777" w:rsidR="003C2019" w:rsidRDefault="003C2019" w:rsidP="0047363D">
      <w:pPr>
        <w:pStyle w:val="NormalWeb"/>
        <w:spacing w:before="0" w:beforeAutospacing="0" w:after="0" w:afterAutospacing="0" w:line="360" w:lineRule="auto"/>
        <w:rPr>
          <w:color w:val="0E101A"/>
          <w:sz w:val="28"/>
          <w:szCs w:val="28"/>
        </w:rPr>
      </w:pPr>
      <w:r w:rsidRPr="0047363D">
        <w:rPr>
          <w:color w:val="0E101A"/>
          <w:sz w:val="28"/>
          <w:szCs w:val="28"/>
        </w:rPr>
        <w:t>I have attached the detailed action plan for my future teaching sessions; please see the appendices for further details.</w:t>
      </w:r>
    </w:p>
    <w:p w14:paraId="31C63F32" w14:textId="77777777" w:rsidR="001A38D7" w:rsidRDefault="001A38D7" w:rsidP="0047363D">
      <w:pPr>
        <w:pStyle w:val="NormalWeb"/>
        <w:spacing w:before="0" w:beforeAutospacing="0" w:after="0" w:afterAutospacing="0" w:line="360" w:lineRule="auto"/>
        <w:rPr>
          <w:color w:val="0E101A"/>
          <w:sz w:val="28"/>
          <w:szCs w:val="28"/>
        </w:rPr>
      </w:pPr>
    </w:p>
    <w:p w14:paraId="67A5D2CD" w14:textId="749C8DF6" w:rsidR="001A38D7" w:rsidRPr="009B4CE8" w:rsidRDefault="001A38D7" w:rsidP="0047363D">
      <w:pPr>
        <w:pStyle w:val="NormalWeb"/>
        <w:spacing w:before="0" w:beforeAutospacing="0" w:after="0" w:afterAutospacing="0" w:line="360" w:lineRule="auto"/>
        <w:rPr>
          <w:b/>
          <w:bCs/>
          <w:color w:val="0E101A"/>
          <w:sz w:val="28"/>
          <w:szCs w:val="28"/>
        </w:rPr>
      </w:pPr>
      <w:r w:rsidRPr="009B4CE8">
        <w:rPr>
          <w:b/>
          <w:bCs/>
          <w:color w:val="0E101A"/>
          <w:sz w:val="28"/>
          <w:szCs w:val="28"/>
        </w:rPr>
        <w:t xml:space="preserve">References: </w:t>
      </w:r>
    </w:p>
    <w:p w14:paraId="0BE8279C" w14:textId="77777777" w:rsidR="00C56DF0" w:rsidRPr="00AA5285" w:rsidRDefault="00C56DF0" w:rsidP="00C56DF0">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AA5285">
        <w:rPr>
          <w:rFonts w:asciiTheme="majorBidi" w:eastAsia="Times New Roman" w:hAnsiTheme="majorBidi" w:cstheme="majorBidi"/>
          <w:color w:val="3A3A3A"/>
          <w:kern w:val="0"/>
          <w:sz w:val="28"/>
          <w:szCs w:val="28"/>
          <w:shd w:val="clear" w:color="auto" w:fill="FFFFFF"/>
          <w:lang w:eastAsia="en-GB"/>
          <w14:ligatures w14:val="none"/>
        </w:rPr>
        <w:t>Friedman, Z.L. and Nash-Luckenbach, D. (2024) ‘Has the time come for Heutagogy? Supporting neurodivergent learners in higher education’, </w:t>
      </w:r>
      <w:r w:rsidRPr="00AA5285">
        <w:rPr>
          <w:rFonts w:asciiTheme="majorBidi" w:eastAsia="Times New Roman" w:hAnsiTheme="majorBidi" w:cstheme="majorBidi"/>
          <w:i/>
          <w:iCs/>
          <w:color w:val="3A3A3A"/>
          <w:kern w:val="0"/>
          <w:sz w:val="28"/>
          <w:szCs w:val="28"/>
          <w:shd w:val="clear" w:color="auto" w:fill="FFFFFF"/>
          <w:lang w:eastAsia="en-GB"/>
          <w14:ligatures w14:val="none"/>
        </w:rPr>
        <w:t>Higher education</w:t>
      </w:r>
      <w:r w:rsidRPr="00AA5285">
        <w:rPr>
          <w:rFonts w:asciiTheme="majorBidi" w:eastAsia="Times New Roman" w:hAnsiTheme="majorBidi" w:cstheme="majorBidi"/>
          <w:color w:val="3A3A3A"/>
          <w:kern w:val="0"/>
          <w:sz w:val="28"/>
          <w:szCs w:val="28"/>
          <w:shd w:val="clear" w:color="auto" w:fill="FFFFFF"/>
          <w:lang w:eastAsia="en-GB"/>
          <w14:ligatures w14:val="none"/>
        </w:rPr>
        <w:t>, 87(6), pp. 1905–1920. Available at: https://doi.org/10.1007/s10734-023-01097-7.</w:t>
      </w:r>
      <w:r w:rsidRPr="00AA5285">
        <w:rPr>
          <w:rFonts w:asciiTheme="majorBidi" w:eastAsia="Times New Roman" w:hAnsiTheme="majorBidi" w:cstheme="majorBidi"/>
          <w:kern w:val="0"/>
          <w:sz w:val="28"/>
          <w:szCs w:val="28"/>
          <w:lang w:eastAsia="en-GB"/>
          <w14:ligatures w14:val="none"/>
        </w:rPr>
        <w:t xml:space="preserve"> </w:t>
      </w:r>
    </w:p>
    <w:p w14:paraId="7C86019B" w14:textId="77777777" w:rsidR="00C56DF0" w:rsidRPr="006D6B05" w:rsidRDefault="00C56DF0" w:rsidP="00C56DF0">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6D6B05">
        <w:rPr>
          <w:rFonts w:asciiTheme="majorBidi" w:eastAsia="Times New Roman" w:hAnsiTheme="majorBidi" w:cstheme="majorBidi"/>
          <w:color w:val="3A3A3A"/>
          <w:kern w:val="0"/>
          <w:sz w:val="28"/>
          <w:szCs w:val="28"/>
          <w:shd w:val="clear" w:color="auto" w:fill="FFFFFF"/>
          <w:lang w:eastAsia="en-GB"/>
          <w14:ligatures w14:val="none"/>
        </w:rPr>
        <w:t xml:space="preserve">Fry, H., </w:t>
      </w:r>
      <w:proofErr w:type="spellStart"/>
      <w:r w:rsidRPr="006D6B05">
        <w:rPr>
          <w:rFonts w:asciiTheme="majorBidi" w:eastAsia="Times New Roman" w:hAnsiTheme="majorBidi" w:cstheme="majorBidi"/>
          <w:color w:val="3A3A3A"/>
          <w:kern w:val="0"/>
          <w:sz w:val="28"/>
          <w:szCs w:val="28"/>
          <w:shd w:val="clear" w:color="auto" w:fill="FFFFFF"/>
          <w:lang w:eastAsia="en-GB"/>
          <w14:ligatures w14:val="none"/>
        </w:rPr>
        <w:t>Ketteridge</w:t>
      </w:r>
      <w:proofErr w:type="spellEnd"/>
      <w:r w:rsidRPr="006D6B05">
        <w:rPr>
          <w:rFonts w:asciiTheme="majorBidi" w:eastAsia="Times New Roman" w:hAnsiTheme="majorBidi" w:cstheme="majorBidi"/>
          <w:color w:val="3A3A3A"/>
          <w:kern w:val="0"/>
          <w:sz w:val="28"/>
          <w:szCs w:val="28"/>
          <w:shd w:val="clear" w:color="auto" w:fill="FFFFFF"/>
          <w:lang w:eastAsia="en-GB"/>
          <w14:ligatures w14:val="none"/>
        </w:rPr>
        <w:t>, S. and Marshall, S. (eds) (2014) </w:t>
      </w:r>
      <w:r w:rsidRPr="006D6B05">
        <w:rPr>
          <w:rFonts w:asciiTheme="majorBidi" w:eastAsia="Times New Roman" w:hAnsiTheme="majorBidi" w:cstheme="majorBidi"/>
          <w:i/>
          <w:iCs/>
          <w:color w:val="3A3A3A"/>
          <w:kern w:val="0"/>
          <w:sz w:val="28"/>
          <w:szCs w:val="28"/>
          <w:shd w:val="clear" w:color="auto" w:fill="FFFFFF"/>
          <w:lang w:eastAsia="en-GB"/>
          <w14:ligatures w14:val="none"/>
        </w:rPr>
        <w:t>A handbook for teaching and learning in higher education : enhancing academic practice</w:t>
      </w:r>
      <w:r w:rsidRPr="006D6B05">
        <w:rPr>
          <w:rFonts w:asciiTheme="majorBidi" w:eastAsia="Times New Roman" w:hAnsiTheme="majorBidi" w:cstheme="majorBidi"/>
          <w:color w:val="3A3A3A"/>
          <w:kern w:val="0"/>
          <w:sz w:val="28"/>
          <w:szCs w:val="28"/>
          <w:shd w:val="clear" w:color="auto" w:fill="FFFFFF"/>
          <w:lang w:eastAsia="en-GB"/>
          <w14:ligatures w14:val="none"/>
        </w:rPr>
        <w:t>. 4th ed. London: Routledge.</w:t>
      </w:r>
      <w:r w:rsidRPr="006D6B05">
        <w:rPr>
          <w:rFonts w:asciiTheme="majorBidi" w:eastAsia="Times New Roman" w:hAnsiTheme="majorBidi" w:cstheme="majorBidi"/>
          <w:kern w:val="0"/>
          <w:sz w:val="28"/>
          <w:szCs w:val="28"/>
          <w:lang w:eastAsia="en-GB"/>
          <w14:ligatures w14:val="none"/>
        </w:rPr>
        <w:t xml:space="preserve"> </w:t>
      </w:r>
    </w:p>
    <w:p w14:paraId="007233CA" w14:textId="057C50AC" w:rsidR="00A966AA" w:rsidRPr="009B4CE8" w:rsidRDefault="00E770E8" w:rsidP="00A966AA">
      <w:pPr>
        <w:pStyle w:val="pf0"/>
        <w:rPr>
          <w:rStyle w:val="cf01"/>
          <w:rFonts w:asciiTheme="majorBidi" w:eastAsiaTheme="majorEastAsia" w:hAnsiTheme="majorBidi" w:cstheme="majorBidi"/>
          <w:sz w:val="28"/>
          <w:szCs w:val="28"/>
        </w:rPr>
      </w:pPr>
      <w:r w:rsidRPr="009B4CE8">
        <w:rPr>
          <w:rStyle w:val="cf01"/>
          <w:rFonts w:asciiTheme="majorBidi" w:eastAsiaTheme="majorEastAsia" w:hAnsiTheme="majorBidi" w:cstheme="majorBidi"/>
          <w:sz w:val="28"/>
          <w:szCs w:val="28"/>
        </w:rPr>
        <w:lastRenderedPageBreak/>
        <w:t xml:space="preserve">Gibbs, G. (1988) </w:t>
      </w:r>
      <w:r w:rsidRPr="009B4CE8">
        <w:rPr>
          <w:rStyle w:val="cf11"/>
          <w:rFonts w:asciiTheme="majorBidi" w:eastAsiaTheme="majorEastAsia" w:hAnsiTheme="majorBidi" w:cstheme="majorBidi"/>
          <w:sz w:val="28"/>
          <w:szCs w:val="28"/>
        </w:rPr>
        <w:t>Learning by Doing: A Guide to Teaching and Learning Methods</w:t>
      </w:r>
      <w:r w:rsidRPr="009B4CE8">
        <w:rPr>
          <w:rStyle w:val="cf01"/>
          <w:rFonts w:asciiTheme="majorBidi" w:eastAsiaTheme="majorEastAsia" w:hAnsiTheme="majorBidi" w:cstheme="majorBidi"/>
          <w:sz w:val="28"/>
          <w:szCs w:val="28"/>
        </w:rPr>
        <w:t>. Oxford: Oxford Brookes University, Further Education Unit</w:t>
      </w:r>
      <w:r w:rsidR="008427A4">
        <w:rPr>
          <w:rStyle w:val="cf01"/>
          <w:rFonts w:asciiTheme="majorBidi" w:eastAsiaTheme="majorEastAsia" w:hAnsiTheme="majorBidi" w:cstheme="majorBidi"/>
          <w:sz w:val="28"/>
          <w:szCs w:val="28"/>
        </w:rPr>
        <w:t>.</w:t>
      </w:r>
      <w:r w:rsidRPr="009B4CE8">
        <w:rPr>
          <w:rStyle w:val="cf01"/>
          <w:rFonts w:asciiTheme="majorBidi" w:eastAsiaTheme="majorEastAsia" w:hAnsiTheme="majorBidi" w:cstheme="majorBidi"/>
          <w:sz w:val="28"/>
          <w:szCs w:val="28"/>
        </w:rPr>
        <w:t xml:space="preserve"> </w:t>
      </w:r>
    </w:p>
    <w:p w14:paraId="29FE8619" w14:textId="09724949" w:rsidR="00A966AA" w:rsidRPr="009B4CE8" w:rsidRDefault="00A966AA" w:rsidP="00A966AA">
      <w:pPr>
        <w:pStyle w:val="pf0"/>
        <w:rPr>
          <w:rFonts w:asciiTheme="majorBidi" w:hAnsiTheme="majorBidi" w:cstheme="majorBidi"/>
          <w:sz w:val="28"/>
          <w:szCs w:val="28"/>
        </w:rPr>
      </w:pPr>
      <w:r w:rsidRPr="009B4CE8">
        <w:rPr>
          <w:rStyle w:val="cf01"/>
          <w:rFonts w:asciiTheme="majorBidi" w:eastAsiaTheme="majorEastAsia" w:hAnsiTheme="majorBidi" w:cstheme="majorBidi"/>
          <w:sz w:val="28"/>
          <w:szCs w:val="28"/>
        </w:rPr>
        <w:t xml:space="preserve">Professional standards for further education teachers and work-based learning practitioners in Wales. (2017). Welsh Government. Available at: </w:t>
      </w:r>
      <w:hyperlink r:id="rId8" w:history="1">
        <w:r w:rsidRPr="009B4CE8">
          <w:rPr>
            <w:rStyle w:val="cf01"/>
            <w:rFonts w:asciiTheme="majorBidi" w:eastAsiaTheme="majorEastAsia" w:hAnsiTheme="majorBidi" w:cstheme="majorBidi"/>
            <w:color w:val="0000FF"/>
            <w:sz w:val="28"/>
            <w:szCs w:val="28"/>
            <w:u w:val="single"/>
          </w:rPr>
          <w:t>https://hwb.gov.wales/api/storage/460a740a-7bf1-4c7b-b4ae-348ae380879b/professional-standards-further-education-teachers-work-based-learning-practitioners-wales.pdf</w:t>
        </w:r>
      </w:hyperlink>
      <w:r w:rsidRPr="009B4CE8">
        <w:rPr>
          <w:rStyle w:val="cf01"/>
          <w:rFonts w:asciiTheme="majorBidi" w:eastAsiaTheme="majorEastAsia" w:hAnsiTheme="majorBidi" w:cstheme="majorBidi"/>
          <w:sz w:val="28"/>
          <w:szCs w:val="28"/>
        </w:rPr>
        <w:t xml:space="preserve"> (Accessed: 1 December 2024). </w:t>
      </w:r>
    </w:p>
    <w:p w14:paraId="3C3A36DF" w14:textId="77777777" w:rsidR="000A3EB9" w:rsidRPr="009D66CE" w:rsidRDefault="000A3EB9" w:rsidP="000A3EB9">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9D66CE">
        <w:rPr>
          <w:rFonts w:asciiTheme="majorBidi" w:eastAsia="Times New Roman" w:hAnsiTheme="majorBidi" w:cstheme="majorBidi"/>
          <w:color w:val="3A3A3A"/>
          <w:kern w:val="0"/>
          <w:sz w:val="28"/>
          <w:szCs w:val="28"/>
          <w:shd w:val="clear" w:color="auto" w:fill="FFFFFF"/>
          <w:lang w:eastAsia="en-GB"/>
          <w14:ligatures w14:val="none"/>
        </w:rPr>
        <w:t>Qu, X. and Cross, B. (2024) ‘UDL for inclusive higher education—What makes group work effective for diverse international students in UK?’, </w:t>
      </w:r>
      <w:r w:rsidRPr="009D66CE">
        <w:rPr>
          <w:rFonts w:asciiTheme="majorBidi" w:eastAsia="Times New Roman" w:hAnsiTheme="majorBidi" w:cstheme="majorBidi"/>
          <w:i/>
          <w:iCs/>
          <w:color w:val="3A3A3A"/>
          <w:kern w:val="0"/>
          <w:sz w:val="28"/>
          <w:szCs w:val="28"/>
          <w:shd w:val="clear" w:color="auto" w:fill="FFFFFF"/>
          <w:lang w:eastAsia="en-GB"/>
          <w14:ligatures w14:val="none"/>
        </w:rPr>
        <w:t>International journal of educational research</w:t>
      </w:r>
      <w:r w:rsidRPr="009D66CE">
        <w:rPr>
          <w:rFonts w:asciiTheme="majorBidi" w:eastAsia="Times New Roman" w:hAnsiTheme="majorBidi" w:cstheme="majorBidi"/>
          <w:color w:val="3A3A3A"/>
          <w:kern w:val="0"/>
          <w:sz w:val="28"/>
          <w:szCs w:val="28"/>
          <w:shd w:val="clear" w:color="auto" w:fill="FFFFFF"/>
          <w:lang w:eastAsia="en-GB"/>
          <w14:ligatures w14:val="none"/>
        </w:rPr>
        <w:t>, 123, pp. 102277-. Available at: https://doi.org/10.1016/j.ijer.2023.102277.</w:t>
      </w:r>
      <w:r w:rsidRPr="009D66CE">
        <w:rPr>
          <w:rFonts w:asciiTheme="majorBidi" w:eastAsia="Times New Roman" w:hAnsiTheme="majorBidi" w:cstheme="majorBidi"/>
          <w:kern w:val="0"/>
          <w:sz w:val="28"/>
          <w:szCs w:val="28"/>
          <w:lang w:eastAsia="en-GB"/>
          <w14:ligatures w14:val="none"/>
        </w:rPr>
        <w:t xml:space="preserve"> </w:t>
      </w:r>
    </w:p>
    <w:p w14:paraId="06A37873" w14:textId="246B3B89" w:rsidR="00E770E8" w:rsidRPr="009B4CE8" w:rsidRDefault="00E770E8" w:rsidP="00E770E8">
      <w:pPr>
        <w:pStyle w:val="pf0"/>
        <w:rPr>
          <w:rFonts w:asciiTheme="majorBidi" w:hAnsiTheme="majorBidi" w:cstheme="majorBidi"/>
          <w:sz w:val="28"/>
          <w:szCs w:val="28"/>
        </w:rPr>
      </w:pPr>
    </w:p>
    <w:p w14:paraId="7D4300F9" w14:textId="2FAA5E7E" w:rsidR="001C0A7F" w:rsidRPr="009B4CE8" w:rsidRDefault="0083278B">
      <w:pPr>
        <w:rPr>
          <w:rFonts w:asciiTheme="majorBidi" w:hAnsiTheme="majorBidi" w:cstheme="majorBidi"/>
          <w:color w:val="3A3A3A"/>
          <w:sz w:val="28"/>
          <w:szCs w:val="28"/>
          <w:shd w:val="clear" w:color="auto" w:fill="FFFFFF"/>
        </w:rPr>
      </w:pPr>
      <w:r w:rsidRPr="009B4CE8">
        <w:rPr>
          <w:rFonts w:asciiTheme="majorBidi" w:hAnsiTheme="majorBidi" w:cstheme="majorBidi"/>
          <w:color w:val="3A3A3A"/>
          <w:sz w:val="28"/>
          <w:szCs w:val="28"/>
          <w:shd w:val="clear" w:color="auto" w:fill="FFFFFF"/>
        </w:rPr>
        <w:t>Reedy, G.B. (2008) ‘PowerPoint, interactive whiteboards, and the visual culture of technology in schools’, </w:t>
      </w:r>
      <w:r w:rsidRPr="009B4CE8">
        <w:rPr>
          <w:rFonts w:asciiTheme="majorBidi" w:hAnsiTheme="majorBidi" w:cstheme="majorBidi"/>
          <w:i/>
          <w:iCs/>
          <w:color w:val="3A3A3A"/>
          <w:sz w:val="28"/>
          <w:szCs w:val="28"/>
          <w:shd w:val="clear" w:color="auto" w:fill="FFFFFF"/>
        </w:rPr>
        <w:t>Technology, pedagogy and education</w:t>
      </w:r>
      <w:r w:rsidRPr="009B4CE8">
        <w:rPr>
          <w:rFonts w:asciiTheme="majorBidi" w:hAnsiTheme="majorBidi" w:cstheme="majorBidi"/>
          <w:color w:val="3A3A3A"/>
          <w:sz w:val="28"/>
          <w:szCs w:val="28"/>
          <w:shd w:val="clear" w:color="auto" w:fill="FFFFFF"/>
        </w:rPr>
        <w:t xml:space="preserve">, 17(2), pp. 143–162. Available at: </w:t>
      </w:r>
      <w:hyperlink r:id="rId9" w:history="1">
        <w:r w:rsidR="006D6B05" w:rsidRPr="009B4CE8">
          <w:rPr>
            <w:rStyle w:val="Hyperlink"/>
            <w:rFonts w:asciiTheme="majorBidi" w:hAnsiTheme="majorBidi" w:cstheme="majorBidi"/>
            <w:sz w:val="28"/>
            <w:szCs w:val="28"/>
            <w:shd w:val="clear" w:color="auto" w:fill="FFFFFF"/>
          </w:rPr>
          <w:t>https://doi.org/10.1080/14759390802098623</w:t>
        </w:r>
      </w:hyperlink>
      <w:r w:rsidRPr="009B4CE8">
        <w:rPr>
          <w:rFonts w:asciiTheme="majorBidi" w:hAnsiTheme="majorBidi" w:cstheme="majorBidi"/>
          <w:color w:val="3A3A3A"/>
          <w:sz w:val="28"/>
          <w:szCs w:val="28"/>
          <w:shd w:val="clear" w:color="auto" w:fill="FFFFFF"/>
        </w:rPr>
        <w:t>.</w:t>
      </w:r>
    </w:p>
    <w:p w14:paraId="0DBA4A05" w14:textId="77777777" w:rsidR="00403DC7" w:rsidRPr="00403DC7" w:rsidRDefault="00403DC7" w:rsidP="00403DC7">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403DC7">
        <w:rPr>
          <w:rFonts w:asciiTheme="majorBidi" w:eastAsia="Times New Roman" w:hAnsiTheme="majorBidi" w:cstheme="majorBidi"/>
          <w:color w:val="3A3A3A"/>
          <w:kern w:val="0"/>
          <w:sz w:val="28"/>
          <w:szCs w:val="28"/>
          <w:shd w:val="clear" w:color="auto" w:fill="FFFFFF"/>
          <w:lang w:eastAsia="en-GB"/>
          <w14:ligatures w14:val="none"/>
        </w:rPr>
        <w:t>Rocha Lourenço, F.T. </w:t>
      </w:r>
      <w:r w:rsidRPr="00403DC7">
        <w:rPr>
          <w:rFonts w:asciiTheme="majorBidi" w:eastAsia="Times New Roman" w:hAnsiTheme="majorBidi" w:cstheme="majorBidi"/>
          <w:i/>
          <w:iCs/>
          <w:color w:val="3A3A3A"/>
          <w:kern w:val="0"/>
          <w:sz w:val="28"/>
          <w:szCs w:val="28"/>
          <w:shd w:val="clear" w:color="auto" w:fill="FFFFFF"/>
          <w:lang w:eastAsia="en-GB"/>
          <w14:ligatures w14:val="none"/>
        </w:rPr>
        <w:t>et al.</w:t>
      </w:r>
      <w:r w:rsidRPr="00403DC7">
        <w:rPr>
          <w:rFonts w:asciiTheme="majorBidi" w:eastAsia="Times New Roman" w:hAnsiTheme="majorBidi" w:cstheme="majorBidi"/>
          <w:color w:val="3A3A3A"/>
          <w:kern w:val="0"/>
          <w:sz w:val="28"/>
          <w:szCs w:val="28"/>
          <w:shd w:val="clear" w:color="auto" w:fill="FFFFFF"/>
          <w:lang w:eastAsia="en-GB"/>
          <w14:ligatures w14:val="none"/>
        </w:rPr>
        <w:t> (2022) ‘The accessibility of Digital Learning Resources: an analysis of audiovisual resources’, in </w:t>
      </w:r>
      <w:r w:rsidRPr="00403DC7">
        <w:rPr>
          <w:rFonts w:asciiTheme="majorBidi" w:eastAsia="Times New Roman" w:hAnsiTheme="majorBidi" w:cstheme="majorBidi"/>
          <w:i/>
          <w:iCs/>
          <w:color w:val="3A3A3A"/>
          <w:kern w:val="0"/>
          <w:sz w:val="28"/>
          <w:szCs w:val="28"/>
          <w:shd w:val="clear" w:color="auto" w:fill="FFFFFF"/>
          <w:lang w:eastAsia="en-GB"/>
          <w14:ligatures w14:val="none"/>
        </w:rPr>
        <w:t>Proceedings of the 10th International Conference on Software Development and Technologies for Enhancing Accessibility and Fighting Info-exclusion</w:t>
      </w:r>
      <w:r w:rsidRPr="00403DC7">
        <w:rPr>
          <w:rFonts w:asciiTheme="majorBidi" w:eastAsia="Times New Roman" w:hAnsiTheme="majorBidi" w:cstheme="majorBidi"/>
          <w:color w:val="3A3A3A"/>
          <w:kern w:val="0"/>
          <w:sz w:val="28"/>
          <w:szCs w:val="28"/>
          <w:shd w:val="clear" w:color="auto" w:fill="FFFFFF"/>
          <w:lang w:eastAsia="en-GB"/>
          <w14:ligatures w14:val="none"/>
        </w:rPr>
        <w:t>. New York, NY, USA: ACM, pp. 135–140. Available at: https://doi.org/10.1145/3563137.3563144.</w:t>
      </w:r>
      <w:r w:rsidRPr="00403DC7">
        <w:rPr>
          <w:rFonts w:asciiTheme="majorBidi" w:eastAsia="Times New Roman" w:hAnsiTheme="majorBidi" w:cstheme="majorBidi"/>
          <w:kern w:val="0"/>
          <w:sz w:val="28"/>
          <w:szCs w:val="28"/>
          <w:lang w:eastAsia="en-GB"/>
          <w14:ligatures w14:val="none"/>
        </w:rPr>
        <w:t xml:space="preserve"> </w:t>
      </w:r>
    </w:p>
    <w:p w14:paraId="40601F7E" w14:textId="77777777" w:rsidR="00501AA6" w:rsidRPr="00501AA6" w:rsidRDefault="00501AA6" w:rsidP="00501AA6">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r w:rsidRPr="00501AA6">
        <w:rPr>
          <w:rFonts w:asciiTheme="majorBidi" w:eastAsia="Times New Roman" w:hAnsiTheme="majorBidi" w:cstheme="majorBidi"/>
          <w:color w:val="3A3A3A"/>
          <w:kern w:val="0"/>
          <w:sz w:val="28"/>
          <w:szCs w:val="28"/>
          <w:shd w:val="clear" w:color="auto" w:fill="FFFFFF"/>
          <w:lang w:eastAsia="en-GB"/>
          <w14:ligatures w14:val="none"/>
        </w:rPr>
        <w:t xml:space="preserve">Sri </w:t>
      </w:r>
      <w:proofErr w:type="spellStart"/>
      <w:r w:rsidRPr="00501AA6">
        <w:rPr>
          <w:rFonts w:asciiTheme="majorBidi" w:eastAsia="Times New Roman" w:hAnsiTheme="majorBidi" w:cstheme="majorBidi"/>
          <w:color w:val="3A3A3A"/>
          <w:kern w:val="0"/>
          <w:sz w:val="28"/>
          <w:szCs w:val="28"/>
          <w:shd w:val="clear" w:color="auto" w:fill="FFFFFF"/>
          <w:lang w:eastAsia="en-GB"/>
          <w14:ligatures w14:val="none"/>
        </w:rPr>
        <w:t>Agriyanti</w:t>
      </w:r>
      <w:proofErr w:type="spellEnd"/>
      <w:r w:rsidRPr="00501AA6">
        <w:rPr>
          <w:rFonts w:asciiTheme="majorBidi" w:eastAsia="Times New Roman" w:hAnsiTheme="majorBidi" w:cstheme="majorBidi"/>
          <w:color w:val="3A3A3A"/>
          <w:kern w:val="0"/>
          <w:sz w:val="28"/>
          <w:szCs w:val="28"/>
          <w:shd w:val="clear" w:color="auto" w:fill="FFFFFF"/>
          <w:lang w:eastAsia="en-GB"/>
          <w14:ligatures w14:val="none"/>
        </w:rPr>
        <w:t xml:space="preserve"> </w:t>
      </w:r>
      <w:proofErr w:type="spellStart"/>
      <w:r w:rsidRPr="00501AA6">
        <w:rPr>
          <w:rFonts w:asciiTheme="majorBidi" w:eastAsia="Times New Roman" w:hAnsiTheme="majorBidi" w:cstheme="majorBidi"/>
          <w:color w:val="3A3A3A"/>
          <w:kern w:val="0"/>
          <w:sz w:val="28"/>
          <w:szCs w:val="28"/>
          <w:shd w:val="clear" w:color="auto" w:fill="FFFFFF"/>
          <w:lang w:eastAsia="en-GB"/>
          <w14:ligatures w14:val="none"/>
        </w:rPr>
        <w:t>Mestari</w:t>
      </w:r>
      <w:proofErr w:type="spellEnd"/>
      <w:r w:rsidRPr="00501AA6">
        <w:rPr>
          <w:rFonts w:asciiTheme="majorBidi" w:eastAsia="Times New Roman" w:hAnsiTheme="majorBidi" w:cstheme="majorBidi"/>
          <w:color w:val="3A3A3A"/>
          <w:kern w:val="0"/>
          <w:sz w:val="28"/>
          <w:szCs w:val="28"/>
          <w:shd w:val="clear" w:color="auto" w:fill="FFFFFF"/>
          <w:lang w:eastAsia="en-GB"/>
          <w14:ligatures w14:val="none"/>
        </w:rPr>
        <w:t xml:space="preserve"> and </w:t>
      </w:r>
      <w:proofErr w:type="spellStart"/>
      <w:r w:rsidRPr="00501AA6">
        <w:rPr>
          <w:rFonts w:asciiTheme="majorBidi" w:eastAsia="Times New Roman" w:hAnsiTheme="majorBidi" w:cstheme="majorBidi"/>
          <w:color w:val="3A3A3A"/>
          <w:kern w:val="0"/>
          <w:sz w:val="28"/>
          <w:szCs w:val="28"/>
          <w:shd w:val="clear" w:color="auto" w:fill="FFFFFF"/>
          <w:lang w:eastAsia="en-GB"/>
          <w14:ligatures w14:val="none"/>
        </w:rPr>
        <w:t>Fahria</w:t>
      </w:r>
      <w:proofErr w:type="spellEnd"/>
      <w:r w:rsidRPr="00501AA6">
        <w:rPr>
          <w:rFonts w:asciiTheme="majorBidi" w:eastAsia="Times New Roman" w:hAnsiTheme="majorBidi" w:cstheme="majorBidi"/>
          <w:color w:val="3A3A3A"/>
          <w:kern w:val="0"/>
          <w:sz w:val="28"/>
          <w:szCs w:val="28"/>
          <w:shd w:val="clear" w:color="auto" w:fill="FFFFFF"/>
          <w:lang w:eastAsia="en-GB"/>
          <w14:ligatures w14:val="none"/>
        </w:rPr>
        <w:t xml:space="preserve"> Malabar (2017) ‘The Use of Authentic Materials in Teaching Grammar for EFL Students (Teachers Perspective)’, </w:t>
      </w:r>
      <w:r w:rsidRPr="00501AA6">
        <w:rPr>
          <w:rFonts w:asciiTheme="majorBidi" w:eastAsia="Times New Roman" w:hAnsiTheme="majorBidi" w:cstheme="majorBidi"/>
          <w:i/>
          <w:iCs/>
          <w:color w:val="3A3A3A"/>
          <w:kern w:val="0"/>
          <w:sz w:val="28"/>
          <w:szCs w:val="28"/>
          <w:shd w:val="clear" w:color="auto" w:fill="FFFFFF"/>
          <w:lang w:eastAsia="en-GB"/>
          <w14:ligatures w14:val="none"/>
        </w:rPr>
        <w:t>LLT journal (Online)</w:t>
      </w:r>
      <w:r w:rsidRPr="00501AA6">
        <w:rPr>
          <w:rFonts w:asciiTheme="majorBidi" w:eastAsia="Times New Roman" w:hAnsiTheme="majorBidi" w:cstheme="majorBidi"/>
          <w:color w:val="3A3A3A"/>
          <w:kern w:val="0"/>
          <w:sz w:val="28"/>
          <w:szCs w:val="28"/>
          <w:shd w:val="clear" w:color="auto" w:fill="FFFFFF"/>
          <w:lang w:eastAsia="en-GB"/>
          <w14:ligatures w14:val="none"/>
        </w:rPr>
        <w:t>, 19(2), pp. 125–131. Available at: https://doi.org/10.24071/llt.v19i2.306.</w:t>
      </w:r>
      <w:r w:rsidRPr="00501AA6">
        <w:rPr>
          <w:rFonts w:asciiTheme="majorBidi" w:eastAsia="Times New Roman" w:hAnsiTheme="majorBidi" w:cstheme="majorBidi"/>
          <w:kern w:val="0"/>
          <w:sz w:val="28"/>
          <w:szCs w:val="28"/>
          <w:lang w:eastAsia="en-GB"/>
          <w14:ligatures w14:val="none"/>
        </w:rPr>
        <w:t xml:space="preserve"> </w:t>
      </w:r>
    </w:p>
    <w:p w14:paraId="63343776" w14:textId="77777777" w:rsidR="005967B3" w:rsidRPr="005967B3" w:rsidRDefault="005967B3" w:rsidP="005967B3">
      <w:pPr>
        <w:spacing w:before="100" w:beforeAutospacing="1" w:after="100" w:afterAutospacing="1" w:line="240" w:lineRule="auto"/>
        <w:rPr>
          <w:rFonts w:asciiTheme="majorBidi" w:eastAsia="Times New Roman" w:hAnsiTheme="majorBidi" w:cstheme="majorBidi"/>
          <w:kern w:val="0"/>
          <w:sz w:val="28"/>
          <w:szCs w:val="28"/>
          <w:lang w:eastAsia="en-GB"/>
          <w14:ligatures w14:val="none"/>
        </w:rPr>
      </w:pPr>
      <w:proofErr w:type="spellStart"/>
      <w:r w:rsidRPr="005967B3">
        <w:rPr>
          <w:rFonts w:asciiTheme="majorBidi" w:eastAsia="Times New Roman" w:hAnsiTheme="majorBidi" w:cstheme="majorBidi"/>
          <w:color w:val="3A3A3A"/>
          <w:kern w:val="0"/>
          <w:sz w:val="28"/>
          <w:szCs w:val="28"/>
          <w:shd w:val="clear" w:color="auto" w:fill="FFFFFF"/>
          <w:lang w:eastAsia="en-GB"/>
          <w14:ligatures w14:val="none"/>
        </w:rPr>
        <w:t>Vygotskii</w:t>
      </w:r>
      <w:proofErr w:type="spellEnd"/>
      <w:r w:rsidRPr="005967B3">
        <w:rPr>
          <w:rFonts w:asciiTheme="majorBidi" w:eastAsia="Times New Roman" w:hAnsiTheme="majorBidi" w:cstheme="majorBidi"/>
          <w:color w:val="3A3A3A"/>
          <w:kern w:val="0"/>
          <w:sz w:val="28"/>
          <w:szCs w:val="28"/>
          <w:shd w:val="clear" w:color="auto" w:fill="FFFFFF"/>
          <w:lang w:eastAsia="en-GB"/>
          <w14:ligatures w14:val="none"/>
        </w:rPr>
        <w:t>̆, L.S. (Lev S. and Cole, M. (1978) </w:t>
      </w:r>
      <w:r w:rsidRPr="005967B3">
        <w:rPr>
          <w:rFonts w:asciiTheme="majorBidi" w:eastAsia="Times New Roman" w:hAnsiTheme="majorBidi" w:cstheme="majorBidi"/>
          <w:i/>
          <w:iCs/>
          <w:color w:val="3A3A3A"/>
          <w:kern w:val="0"/>
          <w:sz w:val="28"/>
          <w:szCs w:val="28"/>
          <w:shd w:val="clear" w:color="auto" w:fill="FFFFFF"/>
          <w:lang w:eastAsia="en-GB"/>
          <w14:ligatures w14:val="none"/>
        </w:rPr>
        <w:t>Mind in society : the development of higher psychological processes</w:t>
      </w:r>
      <w:r w:rsidRPr="005967B3">
        <w:rPr>
          <w:rFonts w:asciiTheme="majorBidi" w:eastAsia="Times New Roman" w:hAnsiTheme="majorBidi" w:cstheme="majorBidi"/>
          <w:color w:val="3A3A3A"/>
          <w:kern w:val="0"/>
          <w:sz w:val="28"/>
          <w:szCs w:val="28"/>
          <w:shd w:val="clear" w:color="auto" w:fill="FFFFFF"/>
          <w:lang w:eastAsia="en-GB"/>
          <w14:ligatures w14:val="none"/>
        </w:rPr>
        <w:t>. Cambridge, Mass: Harvard University Press.</w:t>
      </w:r>
      <w:r w:rsidRPr="005967B3">
        <w:rPr>
          <w:rFonts w:asciiTheme="majorBidi" w:eastAsia="Times New Roman" w:hAnsiTheme="majorBidi" w:cstheme="majorBidi"/>
          <w:kern w:val="0"/>
          <w:sz w:val="28"/>
          <w:szCs w:val="28"/>
          <w:lang w:eastAsia="en-GB"/>
          <w14:ligatures w14:val="none"/>
        </w:rPr>
        <w:t xml:space="preserve"> </w:t>
      </w:r>
    </w:p>
    <w:p w14:paraId="1B9AB199" w14:textId="77777777" w:rsidR="006D6B05" w:rsidRDefault="006D6B05"/>
    <w:sectPr w:rsidR="006D6B0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62230E" w14:textId="77777777" w:rsidR="007B700B" w:rsidRDefault="007B700B" w:rsidP="007B700B">
      <w:pPr>
        <w:spacing w:after="0" w:line="240" w:lineRule="auto"/>
      </w:pPr>
      <w:r>
        <w:separator/>
      </w:r>
    </w:p>
  </w:endnote>
  <w:endnote w:type="continuationSeparator" w:id="0">
    <w:p w14:paraId="0F6A5DDC" w14:textId="77777777" w:rsidR="007B700B" w:rsidRDefault="007B700B" w:rsidP="007B7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791421"/>
      <w:docPartObj>
        <w:docPartGallery w:val="Page Numbers (Bottom of Page)"/>
        <w:docPartUnique/>
      </w:docPartObj>
    </w:sdtPr>
    <w:sdtEndPr>
      <w:rPr>
        <w:noProof/>
      </w:rPr>
    </w:sdtEndPr>
    <w:sdtContent>
      <w:p w14:paraId="1081A300" w14:textId="1976BB9B" w:rsidR="00136DD4" w:rsidRDefault="00136D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9AD9C4" w14:textId="77777777" w:rsidR="007B700B" w:rsidRDefault="007B7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0125D4" w14:textId="77777777" w:rsidR="007B700B" w:rsidRDefault="007B700B" w:rsidP="007B700B">
      <w:pPr>
        <w:spacing w:after="0" w:line="240" w:lineRule="auto"/>
      </w:pPr>
      <w:r>
        <w:separator/>
      </w:r>
    </w:p>
  </w:footnote>
  <w:footnote w:type="continuationSeparator" w:id="0">
    <w:p w14:paraId="572A6EF8" w14:textId="77777777" w:rsidR="007B700B" w:rsidRDefault="007B700B" w:rsidP="007B70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9C0"/>
    <w:rsid w:val="000A3EB9"/>
    <w:rsid w:val="000F2A2A"/>
    <w:rsid w:val="00136DD4"/>
    <w:rsid w:val="001A38D7"/>
    <w:rsid w:val="003C2019"/>
    <w:rsid w:val="00403DC7"/>
    <w:rsid w:val="0047363D"/>
    <w:rsid w:val="004C6C6B"/>
    <w:rsid w:val="00501AA6"/>
    <w:rsid w:val="005967B3"/>
    <w:rsid w:val="006D6B05"/>
    <w:rsid w:val="007B700B"/>
    <w:rsid w:val="0083278B"/>
    <w:rsid w:val="0083533A"/>
    <w:rsid w:val="008427A4"/>
    <w:rsid w:val="008A49C0"/>
    <w:rsid w:val="00943FB3"/>
    <w:rsid w:val="009B4CE8"/>
    <w:rsid w:val="009D66CE"/>
    <w:rsid w:val="00A23C65"/>
    <w:rsid w:val="00A966AA"/>
    <w:rsid w:val="00AA5285"/>
    <w:rsid w:val="00AB0B39"/>
    <w:rsid w:val="00C56DF0"/>
    <w:rsid w:val="00C91552"/>
    <w:rsid w:val="00D56495"/>
    <w:rsid w:val="00D877D6"/>
    <w:rsid w:val="00E60B98"/>
    <w:rsid w:val="00E770E8"/>
    <w:rsid w:val="00F524C8"/>
    <w:rsid w:val="00F663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CB1F9"/>
  <w15:chartTrackingRefBased/>
  <w15:docId w15:val="{0111CFD0-5E58-4FFA-8AA0-D5FB15684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9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A49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49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49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49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49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9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9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9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9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A49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49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49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49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4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9C0"/>
    <w:rPr>
      <w:rFonts w:eastAsiaTheme="majorEastAsia" w:cstheme="majorBidi"/>
      <w:color w:val="272727" w:themeColor="text1" w:themeTint="D8"/>
    </w:rPr>
  </w:style>
  <w:style w:type="paragraph" w:styleId="Title">
    <w:name w:val="Title"/>
    <w:basedOn w:val="Normal"/>
    <w:next w:val="Normal"/>
    <w:link w:val="TitleChar"/>
    <w:uiPriority w:val="10"/>
    <w:qFormat/>
    <w:rsid w:val="008A49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9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9C0"/>
    <w:pPr>
      <w:spacing w:before="160"/>
      <w:jc w:val="center"/>
    </w:pPr>
    <w:rPr>
      <w:i/>
      <w:iCs/>
      <w:color w:val="404040" w:themeColor="text1" w:themeTint="BF"/>
    </w:rPr>
  </w:style>
  <w:style w:type="character" w:customStyle="1" w:styleId="QuoteChar">
    <w:name w:val="Quote Char"/>
    <w:basedOn w:val="DefaultParagraphFont"/>
    <w:link w:val="Quote"/>
    <w:uiPriority w:val="29"/>
    <w:rsid w:val="008A49C0"/>
    <w:rPr>
      <w:i/>
      <w:iCs/>
      <w:color w:val="404040" w:themeColor="text1" w:themeTint="BF"/>
    </w:rPr>
  </w:style>
  <w:style w:type="paragraph" w:styleId="ListParagraph">
    <w:name w:val="List Paragraph"/>
    <w:basedOn w:val="Normal"/>
    <w:uiPriority w:val="34"/>
    <w:qFormat/>
    <w:rsid w:val="008A49C0"/>
    <w:pPr>
      <w:ind w:left="720"/>
      <w:contextualSpacing/>
    </w:pPr>
  </w:style>
  <w:style w:type="character" w:styleId="IntenseEmphasis">
    <w:name w:val="Intense Emphasis"/>
    <w:basedOn w:val="DefaultParagraphFont"/>
    <w:uiPriority w:val="21"/>
    <w:qFormat/>
    <w:rsid w:val="008A49C0"/>
    <w:rPr>
      <w:i/>
      <w:iCs/>
      <w:color w:val="2F5496" w:themeColor="accent1" w:themeShade="BF"/>
    </w:rPr>
  </w:style>
  <w:style w:type="paragraph" w:styleId="IntenseQuote">
    <w:name w:val="Intense Quote"/>
    <w:basedOn w:val="Normal"/>
    <w:next w:val="Normal"/>
    <w:link w:val="IntenseQuoteChar"/>
    <w:uiPriority w:val="30"/>
    <w:qFormat/>
    <w:rsid w:val="008A49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49C0"/>
    <w:rPr>
      <w:i/>
      <w:iCs/>
      <w:color w:val="2F5496" w:themeColor="accent1" w:themeShade="BF"/>
    </w:rPr>
  </w:style>
  <w:style w:type="character" w:styleId="IntenseReference">
    <w:name w:val="Intense Reference"/>
    <w:basedOn w:val="DefaultParagraphFont"/>
    <w:uiPriority w:val="32"/>
    <w:qFormat/>
    <w:rsid w:val="008A49C0"/>
    <w:rPr>
      <w:b/>
      <w:bCs/>
      <w:smallCaps/>
      <w:color w:val="2F5496" w:themeColor="accent1" w:themeShade="BF"/>
      <w:spacing w:val="5"/>
    </w:rPr>
  </w:style>
  <w:style w:type="paragraph" w:styleId="NormalWeb">
    <w:name w:val="Normal (Web)"/>
    <w:basedOn w:val="Normal"/>
    <w:uiPriority w:val="99"/>
    <w:semiHidden/>
    <w:unhideWhenUsed/>
    <w:rsid w:val="003C20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C2019"/>
    <w:rPr>
      <w:b/>
      <w:bCs/>
    </w:rPr>
  </w:style>
  <w:style w:type="paragraph" w:styleId="Header">
    <w:name w:val="header"/>
    <w:basedOn w:val="Normal"/>
    <w:link w:val="HeaderChar"/>
    <w:uiPriority w:val="99"/>
    <w:unhideWhenUsed/>
    <w:rsid w:val="007B70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00B"/>
  </w:style>
  <w:style w:type="paragraph" w:styleId="Footer">
    <w:name w:val="footer"/>
    <w:basedOn w:val="Normal"/>
    <w:link w:val="FooterChar"/>
    <w:uiPriority w:val="99"/>
    <w:unhideWhenUsed/>
    <w:rsid w:val="007B70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00B"/>
  </w:style>
  <w:style w:type="paragraph" w:customStyle="1" w:styleId="pf0">
    <w:name w:val="pf0"/>
    <w:basedOn w:val="Normal"/>
    <w:rsid w:val="00E770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E770E8"/>
    <w:rPr>
      <w:rFonts w:ascii="Segoe UI" w:hAnsi="Segoe UI" w:cs="Segoe UI" w:hint="default"/>
      <w:sz w:val="18"/>
      <w:szCs w:val="18"/>
    </w:rPr>
  </w:style>
  <w:style w:type="character" w:customStyle="1" w:styleId="cf11">
    <w:name w:val="cf11"/>
    <w:basedOn w:val="DefaultParagraphFont"/>
    <w:rsid w:val="00E770E8"/>
    <w:rPr>
      <w:rFonts w:ascii="Segoe UI" w:hAnsi="Segoe UI" w:cs="Segoe UI" w:hint="default"/>
      <w:i/>
      <w:iCs/>
      <w:sz w:val="18"/>
      <w:szCs w:val="18"/>
    </w:rPr>
  </w:style>
  <w:style w:type="character" w:styleId="Hyperlink">
    <w:name w:val="Hyperlink"/>
    <w:basedOn w:val="DefaultParagraphFont"/>
    <w:uiPriority w:val="99"/>
    <w:unhideWhenUsed/>
    <w:rsid w:val="006D6B05"/>
    <w:rPr>
      <w:color w:val="0563C1" w:themeColor="hyperlink"/>
      <w:u w:val="single"/>
    </w:rPr>
  </w:style>
  <w:style w:type="character" w:styleId="UnresolvedMention">
    <w:name w:val="Unresolved Mention"/>
    <w:basedOn w:val="DefaultParagraphFont"/>
    <w:uiPriority w:val="99"/>
    <w:semiHidden/>
    <w:unhideWhenUsed/>
    <w:rsid w:val="006D6B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923122">
      <w:bodyDiv w:val="1"/>
      <w:marLeft w:val="0"/>
      <w:marRight w:val="0"/>
      <w:marTop w:val="0"/>
      <w:marBottom w:val="0"/>
      <w:divBdr>
        <w:top w:val="none" w:sz="0" w:space="0" w:color="auto"/>
        <w:left w:val="none" w:sz="0" w:space="0" w:color="auto"/>
        <w:bottom w:val="none" w:sz="0" w:space="0" w:color="auto"/>
        <w:right w:val="none" w:sz="0" w:space="0" w:color="auto"/>
      </w:divBdr>
    </w:div>
    <w:div w:id="61216740">
      <w:bodyDiv w:val="1"/>
      <w:marLeft w:val="0"/>
      <w:marRight w:val="0"/>
      <w:marTop w:val="0"/>
      <w:marBottom w:val="0"/>
      <w:divBdr>
        <w:top w:val="none" w:sz="0" w:space="0" w:color="auto"/>
        <w:left w:val="none" w:sz="0" w:space="0" w:color="auto"/>
        <w:bottom w:val="none" w:sz="0" w:space="0" w:color="auto"/>
        <w:right w:val="none" w:sz="0" w:space="0" w:color="auto"/>
      </w:divBdr>
    </w:div>
    <w:div w:id="206574836">
      <w:bodyDiv w:val="1"/>
      <w:marLeft w:val="0"/>
      <w:marRight w:val="0"/>
      <w:marTop w:val="0"/>
      <w:marBottom w:val="0"/>
      <w:divBdr>
        <w:top w:val="none" w:sz="0" w:space="0" w:color="auto"/>
        <w:left w:val="none" w:sz="0" w:space="0" w:color="auto"/>
        <w:bottom w:val="none" w:sz="0" w:space="0" w:color="auto"/>
        <w:right w:val="none" w:sz="0" w:space="0" w:color="auto"/>
      </w:divBdr>
    </w:div>
    <w:div w:id="262156592">
      <w:bodyDiv w:val="1"/>
      <w:marLeft w:val="0"/>
      <w:marRight w:val="0"/>
      <w:marTop w:val="0"/>
      <w:marBottom w:val="0"/>
      <w:divBdr>
        <w:top w:val="none" w:sz="0" w:space="0" w:color="auto"/>
        <w:left w:val="none" w:sz="0" w:space="0" w:color="auto"/>
        <w:bottom w:val="none" w:sz="0" w:space="0" w:color="auto"/>
        <w:right w:val="none" w:sz="0" w:space="0" w:color="auto"/>
      </w:divBdr>
    </w:div>
    <w:div w:id="480578525">
      <w:bodyDiv w:val="1"/>
      <w:marLeft w:val="0"/>
      <w:marRight w:val="0"/>
      <w:marTop w:val="0"/>
      <w:marBottom w:val="0"/>
      <w:divBdr>
        <w:top w:val="none" w:sz="0" w:space="0" w:color="auto"/>
        <w:left w:val="none" w:sz="0" w:space="0" w:color="auto"/>
        <w:bottom w:val="none" w:sz="0" w:space="0" w:color="auto"/>
        <w:right w:val="none" w:sz="0" w:space="0" w:color="auto"/>
      </w:divBdr>
    </w:div>
    <w:div w:id="1056860658">
      <w:bodyDiv w:val="1"/>
      <w:marLeft w:val="0"/>
      <w:marRight w:val="0"/>
      <w:marTop w:val="0"/>
      <w:marBottom w:val="0"/>
      <w:divBdr>
        <w:top w:val="none" w:sz="0" w:space="0" w:color="auto"/>
        <w:left w:val="none" w:sz="0" w:space="0" w:color="auto"/>
        <w:bottom w:val="none" w:sz="0" w:space="0" w:color="auto"/>
        <w:right w:val="none" w:sz="0" w:space="0" w:color="auto"/>
      </w:divBdr>
    </w:div>
    <w:div w:id="1173106929">
      <w:bodyDiv w:val="1"/>
      <w:marLeft w:val="0"/>
      <w:marRight w:val="0"/>
      <w:marTop w:val="0"/>
      <w:marBottom w:val="0"/>
      <w:divBdr>
        <w:top w:val="none" w:sz="0" w:space="0" w:color="auto"/>
        <w:left w:val="none" w:sz="0" w:space="0" w:color="auto"/>
        <w:bottom w:val="none" w:sz="0" w:space="0" w:color="auto"/>
        <w:right w:val="none" w:sz="0" w:space="0" w:color="auto"/>
      </w:divBdr>
    </w:div>
    <w:div w:id="1349675182">
      <w:bodyDiv w:val="1"/>
      <w:marLeft w:val="0"/>
      <w:marRight w:val="0"/>
      <w:marTop w:val="0"/>
      <w:marBottom w:val="0"/>
      <w:divBdr>
        <w:top w:val="none" w:sz="0" w:space="0" w:color="auto"/>
        <w:left w:val="none" w:sz="0" w:space="0" w:color="auto"/>
        <w:bottom w:val="none" w:sz="0" w:space="0" w:color="auto"/>
        <w:right w:val="none" w:sz="0" w:space="0" w:color="auto"/>
      </w:divBdr>
    </w:div>
    <w:div w:id="1635017699">
      <w:bodyDiv w:val="1"/>
      <w:marLeft w:val="0"/>
      <w:marRight w:val="0"/>
      <w:marTop w:val="0"/>
      <w:marBottom w:val="0"/>
      <w:divBdr>
        <w:top w:val="none" w:sz="0" w:space="0" w:color="auto"/>
        <w:left w:val="none" w:sz="0" w:space="0" w:color="auto"/>
        <w:bottom w:val="none" w:sz="0" w:space="0" w:color="auto"/>
        <w:right w:val="none" w:sz="0" w:space="0" w:color="auto"/>
      </w:divBdr>
    </w:div>
    <w:div w:id="208922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460a740a-7bf1-4c7b-b4ae-348ae380879b/professional-standards-further-education-teachers-work-based-learning-practitioners-wales.pdf"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80/147593908020986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1396</Words>
  <Characters>8893</Characters>
  <Application>Microsoft Office Word</Application>
  <DocSecurity>0</DocSecurity>
  <Lines>181</Lines>
  <Paragraphs>56</Paragraphs>
  <ScaleCrop>false</ScaleCrop>
  <Company/>
  <LinksUpToDate>false</LinksUpToDate>
  <CharactersWithSpaces>10233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cp:lastModifiedBy>
  <cp:revision>2</cp:revision>
  <dcterms:created xsi:type="dcterms:W3CDTF">2024-12-06T01:47:00Z</dcterms:created>
  <dcterms:modified xsi:type="dcterms:W3CDTF">2024-12-06T01:47:00Z</dcterms:modified>
</cp:coreProperties>
</file>