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DDCC34" w14:textId="6BE68975" w:rsidR="00603C52" w:rsidRDefault="00603C52" w:rsidP="005B29AF">
      <w:pPr>
        <w:pStyle w:val="NormalWeb"/>
        <w:rPr>
          <w:sz w:val="28"/>
          <w:szCs w:val="28"/>
        </w:rPr>
      </w:pPr>
      <w:r>
        <w:rPr>
          <w:sz w:val="28"/>
          <w:szCs w:val="28"/>
        </w:rPr>
        <w:t>Mavis Frimpomaa</w:t>
      </w:r>
    </w:p>
    <w:p w14:paraId="63330FBF" w14:textId="5E22E5E1" w:rsidR="00603C52" w:rsidRDefault="00603C52" w:rsidP="005B29AF">
      <w:pPr>
        <w:pStyle w:val="NormalWeb"/>
        <w:rPr>
          <w:sz w:val="28"/>
          <w:szCs w:val="28"/>
        </w:rPr>
      </w:pPr>
      <w:r>
        <w:rPr>
          <w:sz w:val="28"/>
          <w:szCs w:val="28"/>
        </w:rPr>
        <w:t>Student ID:2439611</w:t>
      </w:r>
    </w:p>
    <w:p w14:paraId="6ECAB9C0" w14:textId="23EEA6D5" w:rsidR="00603C52" w:rsidRDefault="00603C52" w:rsidP="005B29AF">
      <w:pPr>
        <w:pStyle w:val="NormalWeb"/>
        <w:rPr>
          <w:rFonts w:ascii="Arial" w:hAnsi="Arial" w:cs="Arial"/>
          <w:bCs/>
          <w:sz w:val="22"/>
          <w:szCs w:val="22"/>
        </w:rPr>
      </w:pPr>
      <w:r>
        <w:rPr>
          <w:sz w:val="28"/>
          <w:szCs w:val="28"/>
        </w:rPr>
        <w:t>Module:</w:t>
      </w:r>
      <w:r w:rsidRPr="00603C52">
        <w:rPr>
          <w:rFonts w:ascii="Arial" w:hAnsi="Arial" w:cs="Arial"/>
          <w:b/>
          <w:sz w:val="22"/>
          <w:szCs w:val="22"/>
        </w:rPr>
        <w:t xml:space="preserve"> </w:t>
      </w:r>
      <w:r w:rsidRPr="00603C52">
        <w:rPr>
          <w:rFonts w:ascii="Arial" w:hAnsi="Arial" w:cs="Arial"/>
          <w:bCs/>
          <w:sz w:val="22"/>
          <w:szCs w:val="22"/>
        </w:rPr>
        <w:t>Digital Skills and Research Methods</w:t>
      </w:r>
      <w:r>
        <w:rPr>
          <w:bCs/>
          <w:sz w:val="28"/>
          <w:szCs w:val="28"/>
        </w:rPr>
        <w:t>.</w:t>
      </w:r>
      <w:r w:rsidRPr="00603C52">
        <w:rPr>
          <w:bCs/>
          <w:sz w:val="28"/>
          <w:szCs w:val="28"/>
        </w:rPr>
        <w:t xml:space="preserve"> </w:t>
      </w:r>
      <w:r w:rsidRPr="00603C52">
        <w:rPr>
          <w:rFonts w:ascii="Arial" w:hAnsi="Arial" w:cs="Arial"/>
          <w:bCs/>
          <w:sz w:val="22"/>
          <w:szCs w:val="22"/>
        </w:rPr>
        <w:t>LCHS4007</w:t>
      </w:r>
    </w:p>
    <w:p w14:paraId="117BCF56" w14:textId="1EA6D692" w:rsidR="00603C52" w:rsidRDefault="00603C52" w:rsidP="005B29AF">
      <w:pPr>
        <w:pStyle w:val="NormalWeb"/>
        <w:rPr>
          <w:bCs/>
          <w:sz w:val="28"/>
          <w:szCs w:val="28"/>
        </w:rPr>
      </w:pPr>
      <w:r>
        <w:rPr>
          <w:bCs/>
          <w:sz w:val="28"/>
          <w:szCs w:val="28"/>
        </w:rPr>
        <w:t xml:space="preserve">Lecturer: Hajra </w:t>
      </w:r>
      <w:proofErr w:type="spellStart"/>
      <w:r>
        <w:rPr>
          <w:bCs/>
          <w:sz w:val="28"/>
          <w:szCs w:val="28"/>
        </w:rPr>
        <w:t>Mustasim</w:t>
      </w:r>
      <w:proofErr w:type="spellEnd"/>
    </w:p>
    <w:p w14:paraId="00E93504" w14:textId="6D497A36" w:rsidR="00603C52" w:rsidRDefault="00603C52" w:rsidP="005B29AF">
      <w:pPr>
        <w:pStyle w:val="NormalWeb"/>
        <w:rPr>
          <w:bCs/>
          <w:sz w:val="28"/>
          <w:szCs w:val="28"/>
        </w:rPr>
      </w:pPr>
      <w:r>
        <w:rPr>
          <w:bCs/>
          <w:sz w:val="28"/>
          <w:szCs w:val="28"/>
        </w:rPr>
        <w:t>Component 2- Research Report</w:t>
      </w:r>
    </w:p>
    <w:p w14:paraId="70116CE1" w14:textId="77777777" w:rsidR="00603C52" w:rsidRDefault="00603C52" w:rsidP="005B29AF">
      <w:pPr>
        <w:pStyle w:val="NormalWeb"/>
        <w:rPr>
          <w:bCs/>
          <w:sz w:val="28"/>
          <w:szCs w:val="28"/>
        </w:rPr>
      </w:pPr>
    </w:p>
    <w:p w14:paraId="5786C443" w14:textId="77777777" w:rsidR="00603C52" w:rsidRDefault="00603C52" w:rsidP="005B29AF">
      <w:pPr>
        <w:pStyle w:val="NormalWeb"/>
        <w:rPr>
          <w:bCs/>
          <w:sz w:val="28"/>
          <w:szCs w:val="28"/>
        </w:rPr>
      </w:pPr>
    </w:p>
    <w:p w14:paraId="502FDB4C" w14:textId="1FF3F8C7" w:rsidR="00603C52" w:rsidRDefault="00603C52" w:rsidP="005B29AF">
      <w:pPr>
        <w:pStyle w:val="NormalWeb"/>
        <w:rPr>
          <w:bCs/>
          <w:sz w:val="28"/>
          <w:szCs w:val="28"/>
        </w:rPr>
      </w:pPr>
      <w:r w:rsidRPr="00603C52">
        <w:rPr>
          <w:bCs/>
          <w:sz w:val="28"/>
          <w:szCs w:val="28"/>
        </w:rPr>
        <w:t>The purpose of this research is to examine the growing issue of long NHS waiting times and their impact on patient outcomes and wider health and social care services. NHS waiting lists have reached record levels in recent years, raising concerns about delayed treatment, worsening health conditions, and increasing pressure on social care. This research aims to explore both the scale of the problem and the lived experiences of individuals affected by prolonged waits. The scope of the study includes analysing national waiting time data, reviewing current evidence from key health policy organisations, and considering the broader implications for health inequalities, service capacity, and patient wellbeing. By combining quantitative and qualitative insights, the research seeks to develop a comprehensive understanding of the causes, consequences, and potential solutions to this critical issue.</w:t>
      </w:r>
    </w:p>
    <w:p w14:paraId="713BF06F" w14:textId="77777777" w:rsidR="00603C52" w:rsidRPr="00603C52" w:rsidRDefault="00603C52" w:rsidP="005B29AF">
      <w:pPr>
        <w:pStyle w:val="NormalWeb"/>
        <w:rPr>
          <w:bCs/>
          <w:sz w:val="28"/>
          <w:szCs w:val="28"/>
        </w:rPr>
      </w:pPr>
    </w:p>
    <w:p w14:paraId="19DC4FFF" w14:textId="77777777" w:rsidR="00603C52" w:rsidRDefault="00603C52" w:rsidP="005B29AF">
      <w:pPr>
        <w:pStyle w:val="NormalWeb"/>
        <w:rPr>
          <w:sz w:val="28"/>
          <w:szCs w:val="28"/>
        </w:rPr>
      </w:pPr>
    </w:p>
    <w:p w14:paraId="6F967ED8" w14:textId="77777777" w:rsidR="00603C52" w:rsidRDefault="00603C52" w:rsidP="005B29AF">
      <w:pPr>
        <w:pStyle w:val="NormalWeb"/>
        <w:rPr>
          <w:sz w:val="28"/>
          <w:szCs w:val="28"/>
        </w:rPr>
      </w:pPr>
    </w:p>
    <w:p w14:paraId="23DD9340" w14:textId="77777777" w:rsidR="00603C52" w:rsidRDefault="00603C52" w:rsidP="005B29AF">
      <w:pPr>
        <w:pStyle w:val="NormalWeb"/>
        <w:rPr>
          <w:sz w:val="28"/>
          <w:szCs w:val="28"/>
        </w:rPr>
      </w:pPr>
    </w:p>
    <w:p w14:paraId="2E2A0DD2" w14:textId="77777777" w:rsidR="00603C52" w:rsidRDefault="00603C52" w:rsidP="005B29AF">
      <w:pPr>
        <w:pStyle w:val="NormalWeb"/>
        <w:rPr>
          <w:sz w:val="28"/>
          <w:szCs w:val="28"/>
        </w:rPr>
      </w:pPr>
    </w:p>
    <w:p w14:paraId="0831CDFD" w14:textId="77777777" w:rsidR="00603C52" w:rsidRDefault="00603C52" w:rsidP="005B29AF">
      <w:pPr>
        <w:pStyle w:val="NormalWeb"/>
        <w:rPr>
          <w:sz w:val="28"/>
          <w:szCs w:val="28"/>
        </w:rPr>
      </w:pPr>
    </w:p>
    <w:p w14:paraId="261A4752" w14:textId="77777777" w:rsidR="00603C52" w:rsidRDefault="00603C52" w:rsidP="005B29AF">
      <w:pPr>
        <w:pStyle w:val="NormalWeb"/>
        <w:rPr>
          <w:sz w:val="28"/>
          <w:szCs w:val="28"/>
        </w:rPr>
      </w:pPr>
    </w:p>
    <w:p w14:paraId="74FED0C4" w14:textId="77777777" w:rsidR="00603C52" w:rsidRDefault="00603C52" w:rsidP="005B29AF">
      <w:pPr>
        <w:pStyle w:val="NormalWeb"/>
        <w:rPr>
          <w:sz w:val="28"/>
          <w:szCs w:val="28"/>
        </w:rPr>
      </w:pPr>
    </w:p>
    <w:p w14:paraId="08B800F2" w14:textId="77777777" w:rsidR="00603C52" w:rsidRDefault="00603C52" w:rsidP="005B29AF">
      <w:pPr>
        <w:pStyle w:val="NormalWeb"/>
        <w:rPr>
          <w:sz w:val="28"/>
          <w:szCs w:val="28"/>
        </w:rPr>
      </w:pPr>
    </w:p>
    <w:p w14:paraId="79164494" w14:textId="6D9BAFE6" w:rsidR="005B29AF" w:rsidRDefault="005B29AF" w:rsidP="005B29AF">
      <w:pPr>
        <w:pStyle w:val="NormalWeb"/>
      </w:pPr>
      <w:r w:rsidRPr="005B29AF">
        <w:rPr>
          <w:sz w:val="28"/>
          <w:szCs w:val="28"/>
        </w:rPr>
        <w:lastRenderedPageBreak/>
        <w:t xml:space="preserve">A major current issue in the UK health and social care sector that requires investigation is the </w:t>
      </w:r>
      <w:r w:rsidRPr="005B29AF">
        <w:rPr>
          <w:rStyle w:val="Strong"/>
          <w:rFonts w:eastAsiaTheme="majorEastAsia"/>
          <w:b w:val="0"/>
          <w:bCs w:val="0"/>
          <w:sz w:val="28"/>
          <w:szCs w:val="28"/>
        </w:rPr>
        <w:t>impact of long NHS waiting times on patient health, service accessibility, and social care demand</w:t>
      </w:r>
      <w:r w:rsidRPr="005B29AF">
        <w:rPr>
          <w:sz w:val="28"/>
          <w:szCs w:val="28"/>
        </w:rPr>
        <w:t xml:space="preserve">. NHS waiting lists have reached </w:t>
      </w:r>
      <w:r w:rsidRPr="005B29AF">
        <w:rPr>
          <w:rStyle w:val="Strong"/>
          <w:rFonts w:eastAsiaTheme="majorEastAsia"/>
          <w:b w:val="0"/>
          <w:bCs w:val="0"/>
          <w:sz w:val="28"/>
          <w:szCs w:val="28"/>
        </w:rPr>
        <w:t>record levels</w:t>
      </w:r>
      <w:r w:rsidRPr="005B29AF">
        <w:rPr>
          <w:sz w:val="28"/>
          <w:szCs w:val="28"/>
        </w:rPr>
        <w:t>, with millions of people waiting for elective (non</w:t>
      </w:r>
      <w:r w:rsidRPr="005B29AF">
        <w:rPr>
          <w:sz w:val="28"/>
          <w:szCs w:val="28"/>
        </w:rPr>
        <w:noBreakHyphen/>
        <w:t>urgent) treatment, diagnostics, and specialist appointments. These delays can lead to deterioration in health, increased disability, avoidable complications, and greater pressure on both primary care and social care services</w:t>
      </w:r>
      <w:r>
        <w:t xml:space="preserve"> (NHS).</w:t>
      </w:r>
    </w:p>
    <w:p w14:paraId="3958FA89" w14:textId="2D669483" w:rsidR="005B29AF" w:rsidRPr="005B29AF" w:rsidRDefault="005B29AF" w:rsidP="005B29AF">
      <w:pPr>
        <w:pStyle w:val="NormalWeb"/>
        <w:rPr>
          <w:sz w:val="28"/>
          <w:szCs w:val="28"/>
        </w:rPr>
      </w:pPr>
      <w:r w:rsidRPr="005B29AF">
        <w:rPr>
          <w:sz w:val="28"/>
          <w:szCs w:val="28"/>
        </w:rPr>
        <w:t>The NHS waiting list in England reached 7.7 million people in September 2023, the highest on record.</w:t>
      </w:r>
      <w:r w:rsidRPr="005B29AF">
        <w:rPr>
          <w:sz w:val="28"/>
          <w:szCs w:val="28"/>
        </w:rPr>
        <w:t xml:space="preserve"> </w:t>
      </w:r>
      <w:r w:rsidRPr="005B29AF">
        <w:rPr>
          <w:sz w:val="28"/>
          <w:szCs w:val="28"/>
        </w:rPr>
        <w:t>As of October 2025, 7.40 million cases were on the elective waiting list, with only 62% of patients seen within 18 weeks—far below the NHS constitutional standard of 92%</w:t>
      </w:r>
      <w:r>
        <w:rPr>
          <w:sz w:val="28"/>
          <w:szCs w:val="28"/>
        </w:rPr>
        <w:t xml:space="preserve"> (the house of common library).</w:t>
      </w:r>
    </w:p>
    <w:p w14:paraId="393021BF" w14:textId="45F399F8" w:rsidR="005B29AF" w:rsidRDefault="005B29AF" w:rsidP="005B29AF">
      <w:pPr>
        <w:pStyle w:val="NormalWeb"/>
        <w:rPr>
          <w:sz w:val="28"/>
          <w:szCs w:val="28"/>
        </w:rPr>
      </w:pPr>
      <w:r w:rsidRPr="005B29AF">
        <w:rPr>
          <w:sz w:val="28"/>
          <w:szCs w:val="28"/>
        </w:rPr>
        <w:t>Long waits contribute to patient harm, increased healthcare demand, worklessness, and widening inequalities, particularly affecting people in deprived areas.</w:t>
      </w:r>
      <w:r w:rsidRPr="005B29AF">
        <w:rPr>
          <w:sz w:val="28"/>
          <w:szCs w:val="28"/>
        </w:rPr>
        <w:t xml:space="preserve"> </w:t>
      </w:r>
      <w:r w:rsidRPr="005B29AF">
        <w:rPr>
          <w:sz w:val="28"/>
          <w:szCs w:val="28"/>
        </w:rPr>
        <w:t>Workforce shortages, high demand, and the long‑term effects of COVID‑19 continue to exacerbate delays</w:t>
      </w:r>
      <w:r>
        <w:rPr>
          <w:sz w:val="28"/>
          <w:szCs w:val="28"/>
        </w:rPr>
        <w:t xml:space="preserve"> (the house of common library).</w:t>
      </w:r>
    </w:p>
    <w:p w14:paraId="5484940A" w14:textId="77777777" w:rsidR="005B29AF" w:rsidRPr="005B29AF" w:rsidRDefault="005B29AF" w:rsidP="005B29AF">
      <w:pPr>
        <w:pStyle w:val="NormalWeb"/>
        <w:rPr>
          <w:sz w:val="28"/>
          <w:szCs w:val="28"/>
        </w:rPr>
      </w:pPr>
      <w:r w:rsidRPr="005B29AF">
        <w:rPr>
          <w:sz w:val="28"/>
          <w:szCs w:val="28"/>
        </w:rPr>
        <w:t>The King’s Fund (2024) reports that long waits are associated with worsening health, increased disability, and greater pressure on emergency and social care services.</w:t>
      </w:r>
    </w:p>
    <w:p w14:paraId="7D301A8C" w14:textId="77777777" w:rsidR="005B29AF" w:rsidRPr="005B29AF" w:rsidRDefault="005B29AF" w:rsidP="005B29AF">
      <w:pPr>
        <w:pStyle w:val="NormalWeb"/>
        <w:rPr>
          <w:sz w:val="28"/>
          <w:szCs w:val="28"/>
        </w:rPr>
      </w:pPr>
      <w:r w:rsidRPr="005B29AF">
        <w:rPr>
          <w:sz w:val="28"/>
          <w:szCs w:val="28"/>
        </w:rPr>
        <w:t>These delays have significant consequences. Patients may experience deterioration in physical and mental health while waiting for treatment, leading to avoidable complications and increased long‑term care needs. The Health Foundation (2024) highlights that long waits disproportionately affect people with long‑term conditions, older adults, and those living in deprived areas, contributing to widening health inequalities. Workforce shortages, rising demand, and the long‑term effects of COVID‑19 continue to exacerbate the backlog (Nuffield Trust, 2024).</w:t>
      </w:r>
    </w:p>
    <w:p w14:paraId="1561ABFB" w14:textId="0CEDFF28" w:rsidR="005B29AF" w:rsidRPr="002904A8" w:rsidRDefault="005B29AF" w:rsidP="005B29AF">
      <w:pPr>
        <w:pStyle w:val="NormalWeb"/>
        <w:rPr>
          <w:sz w:val="28"/>
          <w:szCs w:val="28"/>
        </w:rPr>
      </w:pPr>
      <w:r w:rsidRPr="005B29AF">
        <w:rPr>
          <w:sz w:val="28"/>
          <w:szCs w:val="28"/>
        </w:rPr>
        <w:t>Given the scale and complexity of the issue, further investigation is needed to</w:t>
      </w:r>
      <w:r w:rsidR="002904A8">
        <w:rPr>
          <w:sz w:val="28"/>
          <w:szCs w:val="28"/>
        </w:rPr>
        <w:t xml:space="preserve"> </w:t>
      </w:r>
      <w:r w:rsidR="002904A8" w:rsidRPr="002904A8">
        <w:rPr>
          <w:sz w:val="28"/>
          <w:szCs w:val="28"/>
        </w:rPr>
        <w:t>understand the root causes of persistent waiting times, the impact on patients and carers, and the effectiveness of current strategies aimed at reducing backlogs. This makes NHS waiting times a critical area for research within health and social care.</w:t>
      </w:r>
    </w:p>
    <w:p w14:paraId="6CF48FF9" w14:textId="1BCC9DB1" w:rsidR="00CE00B0" w:rsidRDefault="002904A8">
      <w:pPr>
        <w:rPr>
          <w:sz w:val="28"/>
          <w:szCs w:val="28"/>
        </w:rPr>
      </w:pPr>
      <w:r w:rsidRPr="002904A8">
        <w:rPr>
          <w:sz w:val="28"/>
          <w:szCs w:val="28"/>
        </w:rPr>
        <w:t>Research into NHS waiting times is essential because the scale of the current backlog represents one of the most significant challenges facing the UK health and social care system.</w:t>
      </w:r>
      <w:r>
        <w:rPr>
          <w:sz w:val="28"/>
          <w:szCs w:val="28"/>
        </w:rPr>
        <w:t xml:space="preserve"> </w:t>
      </w:r>
      <w:r w:rsidRPr="002904A8">
        <w:rPr>
          <w:sz w:val="28"/>
          <w:szCs w:val="28"/>
        </w:rPr>
        <w:t>Investigating this issue is therefore crucial to understanding how delays contribute to avoidable harm and widening health inequalities.</w:t>
      </w:r>
    </w:p>
    <w:p w14:paraId="4EF395C5" w14:textId="27C0B600" w:rsidR="003D4E2D" w:rsidRDefault="003D4E2D">
      <w:pPr>
        <w:rPr>
          <w:sz w:val="28"/>
          <w:szCs w:val="28"/>
        </w:rPr>
      </w:pPr>
      <w:r>
        <w:rPr>
          <w:sz w:val="28"/>
          <w:szCs w:val="28"/>
        </w:rPr>
        <w:lastRenderedPageBreak/>
        <w:t>N</w:t>
      </w:r>
      <w:r w:rsidRPr="003D4E2D">
        <w:rPr>
          <w:sz w:val="28"/>
          <w:szCs w:val="28"/>
        </w:rPr>
        <w:t>HS England – Referral to Treatment (RTT) Waiting Times Statistics</w:t>
      </w:r>
      <w:r>
        <w:rPr>
          <w:sz w:val="28"/>
          <w:szCs w:val="28"/>
        </w:rPr>
        <w:t>:</w:t>
      </w:r>
    </w:p>
    <w:p w14:paraId="08696444" w14:textId="53C5ABC0" w:rsidR="003D4E2D" w:rsidRDefault="003D4E2D" w:rsidP="003D4E2D">
      <w:pPr>
        <w:pStyle w:val="NormalWeb"/>
        <w:rPr>
          <w:sz w:val="28"/>
          <w:szCs w:val="28"/>
        </w:rPr>
      </w:pPr>
      <w:r w:rsidRPr="003D4E2D">
        <w:rPr>
          <w:sz w:val="28"/>
          <w:szCs w:val="28"/>
        </w:rPr>
        <w:t xml:space="preserve">This is the </w:t>
      </w:r>
      <w:r w:rsidRPr="003D4E2D">
        <w:rPr>
          <w:rStyle w:val="Emphasis"/>
          <w:rFonts w:eastAsiaTheme="majorEastAsia"/>
          <w:sz w:val="28"/>
          <w:szCs w:val="28"/>
        </w:rPr>
        <w:t>primary</w:t>
      </w:r>
      <w:r w:rsidRPr="003D4E2D">
        <w:rPr>
          <w:sz w:val="28"/>
          <w:szCs w:val="28"/>
        </w:rPr>
        <w:t xml:space="preserve"> and most authoritative source of data on NHS waiting lists. It provides monthly national statistics on how many people are waiting for elective (non</w:t>
      </w:r>
      <w:r w:rsidRPr="003D4E2D">
        <w:rPr>
          <w:sz w:val="28"/>
          <w:szCs w:val="28"/>
        </w:rPr>
        <w:noBreakHyphen/>
        <w:t>urgent) treatment, how long they have been waiting, and whether NHS targets are being met</w:t>
      </w:r>
      <w:r>
        <w:rPr>
          <w:sz w:val="28"/>
          <w:szCs w:val="28"/>
        </w:rPr>
        <w:t>.</w:t>
      </w:r>
    </w:p>
    <w:p w14:paraId="5DBADFEE" w14:textId="77777777" w:rsidR="003D4E2D" w:rsidRDefault="003D4E2D" w:rsidP="003D4E2D">
      <w:pPr>
        <w:pStyle w:val="NormalWeb"/>
        <w:rPr>
          <w:sz w:val="28"/>
          <w:szCs w:val="28"/>
        </w:rPr>
      </w:pPr>
      <w:r w:rsidRPr="003D4E2D">
        <w:rPr>
          <w:sz w:val="28"/>
          <w:szCs w:val="28"/>
        </w:rPr>
        <w:t>The King’s Fund – “Understanding NHS Waiting Lists”</w:t>
      </w:r>
    </w:p>
    <w:p w14:paraId="149109D7" w14:textId="49BFCA26" w:rsidR="003D4E2D" w:rsidRDefault="003D4E2D" w:rsidP="003D4E2D">
      <w:pPr>
        <w:pStyle w:val="NormalWeb"/>
        <w:rPr>
          <w:sz w:val="28"/>
          <w:szCs w:val="28"/>
        </w:rPr>
      </w:pPr>
      <w:r w:rsidRPr="003D4E2D">
        <w:rPr>
          <w:sz w:val="28"/>
          <w:szCs w:val="28"/>
        </w:rPr>
        <w:br/>
        <w:t xml:space="preserve">The King’s Fund is a highly respected independent health policy think tank. Their analysis helps you understand </w:t>
      </w:r>
      <w:r w:rsidRPr="003D4E2D">
        <w:rPr>
          <w:rStyle w:val="Emphasis"/>
          <w:rFonts w:eastAsiaTheme="majorEastAsia"/>
          <w:sz w:val="28"/>
          <w:szCs w:val="28"/>
        </w:rPr>
        <w:t>why</w:t>
      </w:r>
      <w:r w:rsidRPr="003D4E2D">
        <w:rPr>
          <w:sz w:val="28"/>
          <w:szCs w:val="28"/>
        </w:rPr>
        <w:t xml:space="preserve"> waiting lists are so high and what this means for patients and services. They translate complex data into accessible insights, which strengthens your ability to critically analyse the issue.</w:t>
      </w:r>
    </w:p>
    <w:p w14:paraId="38AEA75C" w14:textId="77777777" w:rsidR="003D4E2D" w:rsidRDefault="003D4E2D" w:rsidP="003D4E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4E2D">
        <w:rPr>
          <w:rFonts w:ascii="Times New Roman" w:eastAsia="Times New Roman" w:hAnsi="Times New Roman" w:cs="Times New Roman"/>
          <w:b/>
          <w:bCs/>
          <w:kern w:val="0"/>
          <w:lang w:eastAsia="en-GB"/>
          <w14:ligatures w14:val="none"/>
        </w:rPr>
        <w:t>The Health Foundation – NHS Performance and Waiting Times Analysis</w:t>
      </w:r>
    </w:p>
    <w:p w14:paraId="613CDD94" w14:textId="7C3FDA82" w:rsidR="003D4E2D" w:rsidRDefault="003D4E2D" w:rsidP="003D4E2D">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3D4E2D">
        <w:rPr>
          <w:rFonts w:ascii="Times New Roman" w:eastAsia="Times New Roman" w:hAnsi="Times New Roman" w:cs="Times New Roman"/>
          <w:kern w:val="0"/>
          <w:lang w:eastAsia="en-GB"/>
          <w14:ligatures w14:val="none"/>
        </w:rPr>
        <w:br/>
      </w:r>
      <w:r w:rsidRPr="003D4E2D">
        <w:rPr>
          <w:rFonts w:ascii="Times New Roman" w:eastAsia="Times New Roman" w:hAnsi="Times New Roman" w:cs="Times New Roman"/>
          <w:kern w:val="0"/>
          <w:sz w:val="28"/>
          <w:szCs w:val="28"/>
          <w:lang w:eastAsia="en-GB"/>
          <w14:ligatures w14:val="none"/>
        </w:rPr>
        <w:t>The Health Foundation provides detailed research on how waiting times affect health outcomes, inequalities, and service demand. Their work is especially useful for linking NHS delays to wider social care pressures and population health — which strengthens your justification for resear</w:t>
      </w:r>
      <w:r w:rsidRPr="003D4E2D">
        <w:rPr>
          <w:rFonts w:ascii="Times New Roman" w:eastAsia="Times New Roman" w:hAnsi="Times New Roman" w:cs="Times New Roman"/>
          <w:kern w:val="0"/>
          <w:sz w:val="28"/>
          <w:szCs w:val="28"/>
          <w:lang w:eastAsia="en-GB"/>
          <w14:ligatures w14:val="none"/>
        </w:rPr>
        <w:t>ch.</w:t>
      </w:r>
    </w:p>
    <w:p w14:paraId="300D0FAF" w14:textId="77777777" w:rsidR="005E466B" w:rsidRDefault="005E466B" w:rsidP="005E466B">
      <w:pPr>
        <w:pStyle w:val="NormalWeb"/>
      </w:pPr>
      <w:r>
        <w:rPr>
          <w:rStyle w:val="Strong"/>
          <w:rFonts w:eastAsiaTheme="majorEastAsia"/>
        </w:rPr>
        <w:t>Quantitative Research</w:t>
      </w:r>
    </w:p>
    <w:p w14:paraId="588B1431" w14:textId="7992C4D9" w:rsidR="005E466B" w:rsidRPr="005E466B" w:rsidRDefault="005E466B" w:rsidP="005E466B">
      <w:pPr>
        <w:pStyle w:val="NormalWeb"/>
      </w:pPr>
      <w:r w:rsidRPr="005E466B">
        <w:rPr>
          <w:sz w:val="28"/>
          <w:szCs w:val="28"/>
        </w:rPr>
        <w:t xml:space="preserve">Quantitative research focuses on the </w:t>
      </w:r>
      <w:r w:rsidRPr="005E466B">
        <w:rPr>
          <w:rStyle w:val="Strong"/>
          <w:rFonts w:eastAsiaTheme="majorEastAsia"/>
          <w:sz w:val="28"/>
          <w:szCs w:val="28"/>
        </w:rPr>
        <w:t>collection and analysis of numerical data</w:t>
      </w:r>
      <w:r w:rsidRPr="005E466B">
        <w:rPr>
          <w:sz w:val="28"/>
          <w:szCs w:val="28"/>
        </w:rPr>
        <w:t xml:space="preserve">. It aims to measure variables, identify patterns, and test relationships using statistical techniques. </w:t>
      </w:r>
      <w:r w:rsidRPr="005E466B">
        <w:rPr>
          <w:b/>
          <w:bCs/>
          <w:sz w:val="28"/>
          <w:szCs w:val="28"/>
        </w:rPr>
        <w:t>Key characteristics</w:t>
      </w:r>
      <w:r>
        <w:rPr>
          <w:b/>
          <w:bCs/>
          <w:sz w:val="28"/>
          <w:szCs w:val="28"/>
        </w:rPr>
        <w:t>:</w:t>
      </w:r>
    </w:p>
    <w:p w14:paraId="6A928BD1" w14:textId="77777777" w:rsidR="005E466B" w:rsidRPr="005E466B" w:rsidRDefault="005E466B" w:rsidP="005E466B">
      <w:pPr>
        <w:numPr>
          <w:ilvl w:val="0"/>
          <w:numId w:val="3"/>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t>Uses structured tools such as surveys, questionnaires, and experiments</w:t>
      </w:r>
    </w:p>
    <w:p w14:paraId="130ABFF9" w14:textId="77777777" w:rsidR="005E466B" w:rsidRPr="005E466B" w:rsidRDefault="005E466B" w:rsidP="005E466B">
      <w:pPr>
        <w:numPr>
          <w:ilvl w:val="0"/>
          <w:numId w:val="3"/>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t>Produces numerical data (e.g., percentages, frequencies, correlations)</w:t>
      </w:r>
    </w:p>
    <w:p w14:paraId="1E736E47" w14:textId="77777777" w:rsidR="005E466B" w:rsidRPr="005E466B" w:rsidRDefault="005E466B" w:rsidP="005E466B">
      <w:pPr>
        <w:numPr>
          <w:ilvl w:val="0"/>
          <w:numId w:val="3"/>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t>Emphasises objectivity, reliability, and replicability</w:t>
      </w:r>
    </w:p>
    <w:p w14:paraId="4D5A63D2" w14:textId="77777777" w:rsidR="005E466B" w:rsidRDefault="005E466B" w:rsidP="005E466B">
      <w:pPr>
        <w:numPr>
          <w:ilvl w:val="0"/>
          <w:numId w:val="3"/>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t>Often involves large sample sizes</w:t>
      </w:r>
    </w:p>
    <w:p w14:paraId="43E1D3EB" w14:textId="77777777" w:rsidR="005E466B" w:rsidRPr="005E466B" w:rsidRDefault="005E466B" w:rsidP="005E466B">
      <w:pPr>
        <w:spacing w:before="100" w:beforeAutospacing="1" w:after="100" w:afterAutospacing="1" w:line="240" w:lineRule="auto"/>
        <w:rPr>
          <w:rFonts w:ascii="Times New Roman" w:eastAsia="Times New Roman" w:hAnsi="Times New Roman" w:cs="Times New Roman"/>
          <w:kern w:val="0"/>
          <w:lang w:eastAsia="en-GB"/>
          <w14:ligatures w14:val="none"/>
        </w:rPr>
      </w:pPr>
      <w:r w:rsidRPr="005E466B">
        <w:rPr>
          <w:rFonts w:ascii="Times New Roman" w:eastAsia="Times New Roman" w:hAnsi="Times New Roman" w:cs="Times New Roman"/>
          <w:b/>
          <w:bCs/>
          <w:kern w:val="0"/>
          <w:lang w:eastAsia="en-GB"/>
          <w14:ligatures w14:val="none"/>
        </w:rPr>
        <w:t>Qualitative Research</w:t>
      </w:r>
    </w:p>
    <w:p w14:paraId="498BC6F9" w14:textId="77777777" w:rsidR="005E466B" w:rsidRPr="005E466B" w:rsidRDefault="005E466B" w:rsidP="005E466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t xml:space="preserve">Qualitative research explores </w:t>
      </w:r>
      <w:r w:rsidRPr="005E466B">
        <w:rPr>
          <w:rFonts w:ascii="Times New Roman" w:eastAsia="Times New Roman" w:hAnsi="Times New Roman" w:cs="Times New Roman"/>
          <w:b/>
          <w:bCs/>
          <w:kern w:val="0"/>
          <w:sz w:val="28"/>
          <w:szCs w:val="28"/>
          <w:lang w:eastAsia="en-GB"/>
          <w14:ligatures w14:val="none"/>
        </w:rPr>
        <w:t>non</w:t>
      </w:r>
      <w:r w:rsidRPr="005E466B">
        <w:rPr>
          <w:rFonts w:ascii="Times New Roman" w:eastAsia="Times New Roman" w:hAnsi="Times New Roman" w:cs="Times New Roman"/>
          <w:b/>
          <w:bCs/>
          <w:kern w:val="0"/>
          <w:sz w:val="28"/>
          <w:szCs w:val="28"/>
          <w:lang w:eastAsia="en-GB"/>
          <w14:ligatures w14:val="none"/>
        </w:rPr>
        <w:noBreakHyphen/>
        <w:t>numerical data</w:t>
      </w:r>
      <w:r w:rsidRPr="005E466B">
        <w:rPr>
          <w:rFonts w:ascii="Times New Roman" w:eastAsia="Times New Roman" w:hAnsi="Times New Roman" w:cs="Times New Roman"/>
          <w:kern w:val="0"/>
          <w:sz w:val="28"/>
          <w:szCs w:val="28"/>
          <w:lang w:eastAsia="en-GB"/>
          <w14:ligatures w14:val="none"/>
        </w:rPr>
        <w:t xml:space="preserve">, focusing on people’s experiences, meanings, and perspectives. It aims to understand </w:t>
      </w:r>
      <w:r w:rsidRPr="005E466B">
        <w:rPr>
          <w:rFonts w:ascii="Times New Roman" w:eastAsia="Times New Roman" w:hAnsi="Times New Roman" w:cs="Times New Roman"/>
          <w:i/>
          <w:iCs/>
          <w:kern w:val="0"/>
          <w:sz w:val="28"/>
          <w:szCs w:val="28"/>
          <w:lang w:eastAsia="en-GB"/>
          <w14:ligatures w14:val="none"/>
        </w:rPr>
        <w:t>how</w:t>
      </w:r>
      <w:r w:rsidRPr="005E466B">
        <w:rPr>
          <w:rFonts w:ascii="Times New Roman" w:eastAsia="Times New Roman" w:hAnsi="Times New Roman" w:cs="Times New Roman"/>
          <w:kern w:val="0"/>
          <w:sz w:val="28"/>
          <w:szCs w:val="28"/>
          <w:lang w:eastAsia="en-GB"/>
          <w14:ligatures w14:val="none"/>
        </w:rPr>
        <w:t xml:space="preserve"> and </w:t>
      </w:r>
      <w:r w:rsidRPr="005E466B">
        <w:rPr>
          <w:rFonts w:ascii="Times New Roman" w:eastAsia="Times New Roman" w:hAnsi="Times New Roman" w:cs="Times New Roman"/>
          <w:i/>
          <w:iCs/>
          <w:kern w:val="0"/>
          <w:sz w:val="28"/>
          <w:szCs w:val="28"/>
          <w:lang w:eastAsia="en-GB"/>
          <w14:ligatures w14:val="none"/>
        </w:rPr>
        <w:t>why</w:t>
      </w:r>
      <w:r w:rsidRPr="005E466B">
        <w:rPr>
          <w:rFonts w:ascii="Times New Roman" w:eastAsia="Times New Roman" w:hAnsi="Times New Roman" w:cs="Times New Roman"/>
          <w:kern w:val="0"/>
          <w:sz w:val="28"/>
          <w:szCs w:val="28"/>
          <w:lang w:eastAsia="en-GB"/>
          <w14:ligatures w14:val="none"/>
        </w:rPr>
        <w:t xml:space="preserve"> certain phenomena occur, rather than measuring them.</w:t>
      </w:r>
    </w:p>
    <w:p w14:paraId="125D07D1" w14:textId="588FF277" w:rsidR="005E466B" w:rsidRPr="005E466B" w:rsidRDefault="005E466B" w:rsidP="005E466B">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b/>
          <w:bCs/>
          <w:kern w:val="0"/>
          <w:sz w:val="28"/>
          <w:szCs w:val="28"/>
          <w:lang w:eastAsia="en-GB"/>
          <w14:ligatures w14:val="none"/>
        </w:rPr>
        <w:t>Key characteristics</w:t>
      </w:r>
      <w:r>
        <w:rPr>
          <w:rFonts w:ascii="Times New Roman" w:eastAsia="Times New Roman" w:hAnsi="Times New Roman" w:cs="Times New Roman"/>
          <w:b/>
          <w:bCs/>
          <w:kern w:val="0"/>
          <w:sz w:val="28"/>
          <w:szCs w:val="28"/>
          <w:lang w:eastAsia="en-GB"/>
          <w14:ligatures w14:val="none"/>
        </w:rPr>
        <w:t>:</w:t>
      </w:r>
    </w:p>
    <w:p w14:paraId="160189BC" w14:textId="77777777" w:rsidR="005E466B" w:rsidRPr="005E466B" w:rsidRDefault="005E466B" w:rsidP="005E466B">
      <w:pPr>
        <w:numPr>
          <w:ilvl w:val="0"/>
          <w:numId w:val="4"/>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t>Uses interviews, focus groups, observations, and open</w:t>
      </w:r>
      <w:r w:rsidRPr="005E466B">
        <w:rPr>
          <w:rFonts w:ascii="Times New Roman" w:eastAsia="Times New Roman" w:hAnsi="Times New Roman" w:cs="Times New Roman"/>
          <w:kern w:val="0"/>
          <w:sz w:val="28"/>
          <w:szCs w:val="28"/>
          <w:lang w:eastAsia="en-GB"/>
          <w14:ligatures w14:val="none"/>
        </w:rPr>
        <w:noBreakHyphen/>
        <w:t>ended questions</w:t>
      </w:r>
    </w:p>
    <w:p w14:paraId="540DBC99" w14:textId="77777777" w:rsidR="005E466B" w:rsidRPr="005E466B" w:rsidRDefault="005E466B" w:rsidP="005E466B">
      <w:pPr>
        <w:numPr>
          <w:ilvl w:val="0"/>
          <w:numId w:val="4"/>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t>Produces rich, descriptive data (e.g., narratives, themes, quotes)</w:t>
      </w:r>
    </w:p>
    <w:p w14:paraId="2E09287A" w14:textId="77777777" w:rsidR="005E466B" w:rsidRPr="005E466B" w:rsidRDefault="005E466B" w:rsidP="005E466B">
      <w:pPr>
        <w:numPr>
          <w:ilvl w:val="0"/>
          <w:numId w:val="4"/>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t>Emphasises depth, context, and lived experience</w:t>
      </w:r>
    </w:p>
    <w:p w14:paraId="3062A391" w14:textId="20882F5F" w:rsidR="005E466B" w:rsidRDefault="005E466B" w:rsidP="005E466B">
      <w:pPr>
        <w:numPr>
          <w:ilvl w:val="0"/>
          <w:numId w:val="4"/>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5E466B">
        <w:rPr>
          <w:rFonts w:ascii="Times New Roman" w:eastAsia="Times New Roman" w:hAnsi="Times New Roman" w:cs="Times New Roman"/>
          <w:kern w:val="0"/>
          <w:sz w:val="28"/>
          <w:szCs w:val="28"/>
          <w:lang w:eastAsia="en-GB"/>
          <w14:ligatures w14:val="none"/>
        </w:rPr>
        <w:lastRenderedPageBreak/>
        <w:t>Often involves smaller, targeted samples</w:t>
      </w:r>
      <w:r w:rsidR="00E149DE">
        <w:rPr>
          <w:rFonts w:ascii="Times New Roman" w:eastAsia="Times New Roman" w:hAnsi="Times New Roman" w:cs="Times New Roman"/>
          <w:kern w:val="0"/>
          <w:sz w:val="28"/>
          <w:szCs w:val="28"/>
          <w:lang w:eastAsia="en-GB"/>
          <w14:ligatures w14:val="none"/>
        </w:rPr>
        <w:t>.</w:t>
      </w:r>
    </w:p>
    <w:p w14:paraId="753ED1B1" w14:textId="77777777" w:rsidR="00E149DE" w:rsidRDefault="00E149DE" w:rsidP="00E149DE">
      <w:pPr>
        <w:pStyle w:val="NormalWeb"/>
        <w:rPr>
          <w:sz w:val="28"/>
          <w:szCs w:val="28"/>
        </w:rPr>
      </w:pPr>
      <w:r w:rsidRPr="00E149DE">
        <w:rPr>
          <w:sz w:val="28"/>
          <w:szCs w:val="28"/>
        </w:rPr>
        <w:t xml:space="preserve">For this research, a </w:t>
      </w:r>
      <w:r w:rsidRPr="00E149DE">
        <w:rPr>
          <w:rStyle w:val="Strong"/>
          <w:rFonts w:eastAsiaTheme="majorEastAsia"/>
          <w:sz w:val="28"/>
          <w:szCs w:val="28"/>
        </w:rPr>
        <w:t>mixed</w:t>
      </w:r>
      <w:r w:rsidRPr="00E149DE">
        <w:rPr>
          <w:rStyle w:val="Strong"/>
          <w:rFonts w:eastAsiaTheme="majorEastAsia"/>
          <w:sz w:val="28"/>
          <w:szCs w:val="28"/>
        </w:rPr>
        <w:noBreakHyphen/>
        <w:t>methods approach</w:t>
      </w:r>
      <w:r w:rsidRPr="00E149DE">
        <w:rPr>
          <w:sz w:val="28"/>
          <w:szCs w:val="28"/>
        </w:rPr>
        <w:t xml:space="preserve"> will be adopted. This combines both </w:t>
      </w:r>
      <w:r w:rsidRPr="00E149DE">
        <w:rPr>
          <w:rStyle w:val="Strong"/>
          <w:rFonts w:eastAsiaTheme="majorEastAsia"/>
          <w:sz w:val="28"/>
          <w:szCs w:val="28"/>
        </w:rPr>
        <w:t>quantitative</w:t>
      </w:r>
      <w:r w:rsidRPr="00E149DE">
        <w:rPr>
          <w:sz w:val="28"/>
          <w:szCs w:val="28"/>
        </w:rPr>
        <w:t xml:space="preserve"> and </w:t>
      </w:r>
      <w:r w:rsidRPr="00E149DE">
        <w:rPr>
          <w:rStyle w:val="Strong"/>
          <w:rFonts w:eastAsiaTheme="majorEastAsia"/>
          <w:sz w:val="28"/>
          <w:szCs w:val="28"/>
        </w:rPr>
        <w:t>qualitative</w:t>
      </w:r>
      <w:r w:rsidRPr="00E149DE">
        <w:rPr>
          <w:sz w:val="28"/>
          <w:szCs w:val="28"/>
        </w:rPr>
        <w:t xml:space="preserve"> methods to provide a more comprehensive understanding of NHS waiting times and their impact on patients and services.</w:t>
      </w:r>
    </w:p>
    <w:p w14:paraId="2CD25955" w14:textId="2AFCB7A1" w:rsidR="00E149DE" w:rsidRDefault="00E149DE" w:rsidP="00E149DE">
      <w:pPr>
        <w:pStyle w:val="NormalWeb"/>
        <w:rPr>
          <w:sz w:val="28"/>
          <w:szCs w:val="28"/>
        </w:rPr>
      </w:pPr>
      <w:r w:rsidRPr="00E149DE">
        <w:rPr>
          <w:sz w:val="28"/>
          <w:szCs w:val="28"/>
        </w:rPr>
        <w:t>Quantitative methods are essential because NHS waiting times are primarily measured through large</w:t>
      </w:r>
      <w:r w:rsidRPr="00E149DE">
        <w:rPr>
          <w:sz w:val="28"/>
          <w:szCs w:val="28"/>
        </w:rPr>
        <w:noBreakHyphen/>
        <w:t>scale numerical datasets, such as the NHS England Referral to Treatment (RTT) statistics.</w:t>
      </w:r>
      <w:r>
        <w:rPr>
          <w:sz w:val="28"/>
          <w:szCs w:val="28"/>
        </w:rPr>
        <w:t xml:space="preserve"> </w:t>
      </w:r>
      <w:r w:rsidRPr="00E149DE">
        <w:rPr>
          <w:sz w:val="28"/>
          <w:szCs w:val="28"/>
        </w:rPr>
        <w:t xml:space="preserve">Using quantitative data allows the research to identify the </w:t>
      </w:r>
      <w:r w:rsidRPr="00E149DE">
        <w:rPr>
          <w:rStyle w:val="Strong"/>
          <w:rFonts w:eastAsiaTheme="majorEastAsia"/>
          <w:b w:val="0"/>
          <w:bCs w:val="0"/>
          <w:sz w:val="28"/>
          <w:szCs w:val="28"/>
        </w:rPr>
        <w:t>scale of the problem</w:t>
      </w:r>
      <w:r w:rsidRPr="00E149DE">
        <w:rPr>
          <w:sz w:val="28"/>
          <w:szCs w:val="28"/>
        </w:rPr>
        <w:t>, measure changes, and compare waiting times across regions or services. This aligns with the need to understand the systemic nature of the backlog (NHS England, 2023; King’s Fund, 2024).</w:t>
      </w:r>
      <w:r>
        <w:rPr>
          <w:sz w:val="28"/>
          <w:szCs w:val="28"/>
        </w:rPr>
        <w:t xml:space="preserve"> </w:t>
      </w:r>
    </w:p>
    <w:p w14:paraId="4C6AFFE4" w14:textId="2DB4B981" w:rsidR="00E149DE" w:rsidRDefault="00E149DE" w:rsidP="00E149DE">
      <w:pPr>
        <w:pStyle w:val="NormalWeb"/>
        <w:rPr>
          <w:sz w:val="28"/>
          <w:szCs w:val="28"/>
        </w:rPr>
      </w:pPr>
      <w:r w:rsidRPr="00E149DE">
        <w:rPr>
          <w:sz w:val="28"/>
          <w:szCs w:val="28"/>
        </w:rPr>
        <w:t>However, quantitative data alone cannot capture the lived experience of patients affected by long waits. Qualitative methods—such as interviews, focus groups, or thematic analysis of patient narratives</w:t>
      </w:r>
      <w:r>
        <w:rPr>
          <w:sz w:val="28"/>
          <w:szCs w:val="28"/>
        </w:rPr>
        <w:t>.</w:t>
      </w:r>
    </w:p>
    <w:p w14:paraId="72DED652" w14:textId="77777777" w:rsidR="00E149DE" w:rsidRPr="00E149DE" w:rsidRDefault="00E149DE" w:rsidP="00E149DE">
      <w:pPr>
        <w:spacing w:after="0" w:line="240" w:lineRule="auto"/>
        <w:ind w:left="720"/>
        <w:rPr>
          <w:rFonts w:ascii="Times New Roman" w:eastAsia="Times New Roman" w:hAnsi="Times New Roman" w:cs="Times New Roman"/>
          <w:kern w:val="0"/>
          <w:sz w:val="28"/>
          <w:szCs w:val="28"/>
          <w:lang w:eastAsia="en-GB"/>
          <w14:ligatures w14:val="none"/>
        </w:rPr>
      </w:pPr>
      <w:proofErr w:type="gramStart"/>
      <w:r w:rsidRPr="00E149DE">
        <w:rPr>
          <w:rFonts w:ascii="Times New Roman" w:eastAsia="Times New Roman" w:hAnsi="Symbol" w:cs="Times New Roman"/>
          <w:b/>
          <w:bCs/>
          <w:kern w:val="0"/>
          <w:lang w:eastAsia="en-GB"/>
          <w14:ligatures w14:val="none"/>
        </w:rPr>
        <w:t></w:t>
      </w:r>
      <w:r w:rsidRPr="00E149DE">
        <w:rPr>
          <w:rFonts w:ascii="Times New Roman" w:eastAsia="Times New Roman" w:hAnsi="Times New Roman" w:cs="Times New Roman"/>
          <w:b/>
          <w:bCs/>
          <w:kern w:val="0"/>
          <w:lang w:eastAsia="en-GB"/>
          <w14:ligatures w14:val="none"/>
        </w:rPr>
        <w:t xml:space="preserve">  </w:t>
      </w:r>
      <w:r w:rsidRPr="00E149DE">
        <w:rPr>
          <w:rFonts w:ascii="Times New Roman" w:eastAsia="Times New Roman" w:hAnsi="Times New Roman" w:cs="Times New Roman"/>
          <w:b/>
          <w:bCs/>
          <w:kern w:val="0"/>
          <w:sz w:val="28"/>
          <w:szCs w:val="28"/>
          <w:lang w:eastAsia="en-GB"/>
          <w14:ligatures w14:val="none"/>
        </w:rPr>
        <w:t>Quantitative</w:t>
      </w:r>
      <w:proofErr w:type="gramEnd"/>
      <w:r w:rsidRPr="00E149DE">
        <w:rPr>
          <w:rFonts w:ascii="Times New Roman" w:eastAsia="Times New Roman" w:hAnsi="Times New Roman" w:cs="Times New Roman"/>
          <w:b/>
          <w:bCs/>
          <w:kern w:val="0"/>
          <w:sz w:val="28"/>
          <w:szCs w:val="28"/>
          <w:lang w:eastAsia="en-GB"/>
          <w14:ligatures w14:val="none"/>
        </w:rPr>
        <w:t xml:space="preserve"> data</w:t>
      </w:r>
      <w:r w:rsidRPr="00E149DE">
        <w:rPr>
          <w:rFonts w:ascii="Times New Roman" w:eastAsia="Times New Roman" w:hAnsi="Times New Roman" w:cs="Times New Roman"/>
          <w:kern w:val="0"/>
          <w:sz w:val="28"/>
          <w:szCs w:val="28"/>
          <w:lang w:eastAsia="en-GB"/>
          <w14:ligatures w14:val="none"/>
        </w:rPr>
        <w:t xml:space="preserve"> shows </w:t>
      </w:r>
      <w:r w:rsidRPr="00E149DE">
        <w:rPr>
          <w:rFonts w:ascii="Times New Roman" w:eastAsia="Times New Roman" w:hAnsi="Times New Roman" w:cs="Times New Roman"/>
          <w:i/>
          <w:iCs/>
          <w:kern w:val="0"/>
          <w:sz w:val="28"/>
          <w:szCs w:val="28"/>
          <w:lang w:eastAsia="en-GB"/>
          <w14:ligatures w14:val="none"/>
        </w:rPr>
        <w:t>what</w:t>
      </w:r>
      <w:r w:rsidRPr="00E149DE">
        <w:rPr>
          <w:rFonts w:ascii="Times New Roman" w:eastAsia="Times New Roman" w:hAnsi="Times New Roman" w:cs="Times New Roman"/>
          <w:kern w:val="0"/>
          <w:sz w:val="28"/>
          <w:szCs w:val="28"/>
          <w:lang w:eastAsia="en-GB"/>
          <w14:ligatures w14:val="none"/>
        </w:rPr>
        <w:t xml:space="preserve"> is happening (scale, trends, patterns).</w:t>
      </w:r>
    </w:p>
    <w:p w14:paraId="69D10D4F" w14:textId="77777777" w:rsidR="00E149DE" w:rsidRPr="00E149DE" w:rsidRDefault="00E149DE" w:rsidP="00E149DE">
      <w:pPr>
        <w:numPr>
          <w:ilvl w:val="0"/>
          <w:numId w:val="5"/>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E149DE">
        <w:rPr>
          <w:rFonts w:ascii="Times New Roman" w:eastAsia="Times New Roman" w:hAnsi="Times New Roman" w:cs="Times New Roman"/>
          <w:b/>
          <w:bCs/>
          <w:kern w:val="0"/>
          <w:sz w:val="28"/>
          <w:szCs w:val="28"/>
          <w:lang w:eastAsia="en-GB"/>
          <w14:ligatures w14:val="none"/>
        </w:rPr>
        <w:t>Qualitative data</w:t>
      </w:r>
      <w:r w:rsidRPr="00E149DE">
        <w:rPr>
          <w:rFonts w:ascii="Times New Roman" w:eastAsia="Times New Roman" w:hAnsi="Times New Roman" w:cs="Times New Roman"/>
          <w:kern w:val="0"/>
          <w:sz w:val="28"/>
          <w:szCs w:val="28"/>
          <w:lang w:eastAsia="en-GB"/>
          <w14:ligatures w14:val="none"/>
        </w:rPr>
        <w:t xml:space="preserve"> explains </w:t>
      </w:r>
      <w:r w:rsidRPr="00E149DE">
        <w:rPr>
          <w:rFonts w:ascii="Times New Roman" w:eastAsia="Times New Roman" w:hAnsi="Times New Roman" w:cs="Times New Roman"/>
          <w:i/>
          <w:iCs/>
          <w:kern w:val="0"/>
          <w:sz w:val="28"/>
          <w:szCs w:val="28"/>
          <w:lang w:eastAsia="en-GB"/>
          <w14:ligatures w14:val="none"/>
        </w:rPr>
        <w:t>why</w:t>
      </w:r>
      <w:r w:rsidRPr="00E149DE">
        <w:rPr>
          <w:rFonts w:ascii="Times New Roman" w:eastAsia="Times New Roman" w:hAnsi="Times New Roman" w:cs="Times New Roman"/>
          <w:kern w:val="0"/>
          <w:sz w:val="28"/>
          <w:szCs w:val="28"/>
          <w:lang w:eastAsia="en-GB"/>
          <w14:ligatures w14:val="none"/>
        </w:rPr>
        <w:t xml:space="preserve"> it matters (experiences, consequences, inequalities).</w:t>
      </w:r>
    </w:p>
    <w:p w14:paraId="13F883EA" w14:textId="77777777" w:rsidR="00E149DE" w:rsidRPr="00E149DE" w:rsidRDefault="00E149DE" w:rsidP="00E149DE">
      <w:pPr>
        <w:numPr>
          <w:ilvl w:val="0"/>
          <w:numId w:val="5"/>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E149DE">
        <w:rPr>
          <w:rFonts w:ascii="Times New Roman" w:eastAsia="Times New Roman" w:hAnsi="Times New Roman" w:cs="Times New Roman"/>
          <w:kern w:val="0"/>
          <w:sz w:val="28"/>
          <w:szCs w:val="28"/>
          <w:lang w:eastAsia="en-GB"/>
          <w14:ligatures w14:val="none"/>
        </w:rPr>
        <w:t>Combining both strengthens validity and provides a richer, more holistic understanding.</w:t>
      </w:r>
    </w:p>
    <w:p w14:paraId="3FE97748" w14:textId="77777777" w:rsidR="00E149DE" w:rsidRPr="00E149DE" w:rsidRDefault="00E149DE" w:rsidP="00E149DE">
      <w:pPr>
        <w:numPr>
          <w:ilvl w:val="0"/>
          <w:numId w:val="5"/>
        </w:num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E149DE">
        <w:rPr>
          <w:rFonts w:ascii="Times New Roman" w:eastAsia="Times New Roman" w:hAnsi="Times New Roman" w:cs="Times New Roman"/>
          <w:kern w:val="0"/>
          <w:sz w:val="28"/>
          <w:szCs w:val="28"/>
          <w:lang w:eastAsia="en-GB"/>
          <w14:ligatures w14:val="none"/>
        </w:rPr>
        <w:t>It aligns with the complexity of the issue, which spans clinical, social, and emotional dimensions.</w:t>
      </w:r>
    </w:p>
    <w:p w14:paraId="7A91E5BC" w14:textId="77777777" w:rsidR="00E149DE" w:rsidRPr="00E149DE" w:rsidRDefault="00E149DE" w:rsidP="00E149DE">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E149DE">
        <w:rPr>
          <w:rFonts w:ascii="Times New Roman" w:eastAsia="Times New Roman" w:hAnsi="Times New Roman" w:cs="Times New Roman"/>
          <w:kern w:val="0"/>
          <w:sz w:val="28"/>
          <w:szCs w:val="28"/>
          <w:lang w:eastAsia="en-GB"/>
          <w14:ligatures w14:val="none"/>
        </w:rPr>
        <w:t>Given that NHS waiting times affect both service performance and individual wellbeing, a mixed</w:t>
      </w:r>
      <w:r w:rsidRPr="00E149DE">
        <w:rPr>
          <w:rFonts w:ascii="Times New Roman" w:eastAsia="Times New Roman" w:hAnsi="Times New Roman" w:cs="Times New Roman"/>
          <w:kern w:val="0"/>
          <w:sz w:val="28"/>
          <w:szCs w:val="28"/>
          <w:lang w:eastAsia="en-GB"/>
          <w14:ligatures w14:val="none"/>
        </w:rPr>
        <w:noBreakHyphen/>
        <w:t>methods design ensures the research captures both the structural and human aspects of the problem.</w:t>
      </w:r>
    </w:p>
    <w:p w14:paraId="11551704" w14:textId="038D82AB" w:rsidR="00E149DE" w:rsidRDefault="00603C52" w:rsidP="00E149DE">
      <w:pPr>
        <w:pStyle w:val="NormalWeb"/>
        <w:rPr>
          <w:sz w:val="28"/>
          <w:szCs w:val="28"/>
        </w:rPr>
      </w:pPr>
      <w:r>
        <w:rPr>
          <w:sz w:val="28"/>
          <w:szCs w:val="28"/>
        </w:rPr>
        <w:t>Conclusion:</w:t>
      </w:r>
    </w:p>
    <w:p w14:paraId="4A8BDD77" w14:textId="77777777" w:rsidR="00603C52" w:rsidRPr="00603C52" w:rsidRDefault="00603C52" w:rsidP="00603C52">
      <w:pPr>
        <w:pStyle w:val="NormalWeb"/>
        <w:rPr>
          <w:sz w:val="28"/>
          <w:szCs w:val="28"/>
        </w:rPr>
      </w:pPr>
      <w:r w:rsidRPr="00603C52">
        <w:rPr>
          <w:sz w:val="28"/>
          <w:szCs w:val="28"/>
        </w:rPr>
        <w:t xml:space="preserve">The research highlights that </w:t>
      </w:r>
      <w:r w:rsidRPr="00603C52">
        <w:rPr>
          <w:rStyle w:val="Strong"/>
          <w:rFonts w:eastAsiaTheme="majorEastAsia"/>
          <w:sz w:val="28"/>
          <w:szCs w:val="28"/>
        </w:rPr>
        <w:t>long NHS waiting times</w:t>
      </w:r>
      <w:r w:rsidRPr="00603C52">
        <w:rPr>
          <w:sz w:val="28"/>
          <w:szCs w:val="28"/>
        </w:rPr>
        <w:t xml:space="preserve"> represent a significant and growing challenge within the UK health and social care system. National data shows that waiting lists have reached record levels, with millions of people experiencing delays in accessing essential treatment (NHS England, 2023). Evidence from independent organisations such as the King’s Fund (2024) and the Health Foundation (2024) demonstrates that these delays contribute to worsening physical and mental health, increased disability, and widening health inequalities—particularly for older adults, people with long</w:t>
      </w:r>
      <w:r w:rsidRPr="00603C52">
        <w:rPr>
          <w:sz w:val="28"/>
          <w:szCs w:val="28"/>
        </w:rPr>
        <w:noBreakHyphen/>
        <w:t>term conditions, and those living in deprived areas. The findings also show that prolonged waits place additional pressure on social care services, as individuals often require more support while their health deteriorates. Given the complexity of the issue, a mixed</w:t>
      </w:r>
      <w:r w:rsidRPr="00603C52">
        <w:rPr>
          <w:sz w:val="28"/>
          <w:szCs w:val="28"/>
        </w:rPr>
        <w:noBreakHyphen/>
        <w:t xml:space="preserve">methods approach is justified, as it allows for the combination of </w:t>
      </w:r>
      <w:r w:rsidRPr="00603C52">
        <w:rPr>
          <w:sz w:val="28"/>
          <w:szCs w:val="28"/>
        </w:rPr>
        <w:lastRenderedPageBreak/>
        <w:t>robust quantitative data with rich qualitative insights into patient experiences. Overall, the findings emphasise the urgent need for further investigation to understand the causes, consequences, and potential solutions to NHS waiting times.</w:t>
      </w:r>
    </w:p>
    <w:p w14:paraId="68D8DF5D" w14:textId="77777777" w:rsidR="00603C52" w:rsidRPr="00E149DE" w:rsidRDefault="00603C52" w:rsidP="00E149DE">
      <w:pPr>
        <w:pStyle w:val="NormalWeb"/>
        <w:rPr>
          <w:sz w:val="28"/>
          <w:szCs w:val="28"/>
        </w:rPr>
      </w:pPr>
    </w:p>
    <w:p w14:paraId="4FB2EE13" w14:textId="1CB9CCA0" w:rsidR="00E149DE" w:rsidRPr="00E149DE" w:rsidRDefault="00E149DE" w:rsidP="00E149DE">
      <w:pPr>
        <w:pStyle w:val="NormalWeb"/>
        <w:rPr>
          <w:sz w:val="28"/>
          <w:szCs w:val="28"/>
        </w:rPr>
      </w:pPr>
    </w:p>
    <w:p w14:paraId="1D684F4E" w14:textId="77777777" w:rsidR="00E149DE" w:rsidRPr="005E466B" w:rsidRDefault="00E149DE" w:rsidP="00E149DE">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78953049" w14:textId="77777777" w:rsidR="005E466B" w:rsidRPr="005E466B" w:rsidRDefault="005E466B" w:rsidP="005E466B">
      <w:pPr>
        <w:spacing w:before="100" w:beforeAutospacing="1" w:after="100" w:afterAutospacing="1" w:line="240" w:lineRule="auto"/>
        <w:ind w:left="360"/>
        <w:rPr>
          <w:rFonts w:ascii="Times New Roman" w:eastAsia="Times New Roman" w:hAnsi="Times New Roman" w:cs="Times New Roman"/>
          <w:kern w:val="0"/>
          <w:sz w:val="28"/>
          <w:szCs w:val="28"/>
          <w:lang w:eastAsia="en-GB"/>
          <w14:ligatures w14:val="none"/>
        </w:rPr>
      </w:pPr>
    </w:p>
    <w:p w14:paraId="001F7CFA" w14:textId="1FB45AD0" w:rsidR="005E466B" w:rsidRPr="005E466B" w:rsidRDefault="005E466B" w:rsidP="005E466B">
      <w:pPr>
        <w:pStyle w:val="NormalWeb"/>
        <w:rPr>
          <w:sz w:val="28"/>
          <w:szCs w:val="28"/>
        </w:rPr>
      </w:pPr>
    </w:p>
    <w:p w14:paraId="0A4F0FEF" w14:textId="77777777" w:rsidR="005E466B" w:rsidRPr="003D4E2D" w:rsidRDefault="005E466B" w:rsidP="003D4E2D">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p>
    <w:p w14:paraId="063C16E9"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AE0A48B"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4261FDB"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A3FACB8"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8E149E0"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621ABB0"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62ADA0B"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44D0E29"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6D8D625"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A8CA3A3"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F6171B9"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019FA37"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4C873FD4" w14:textId="77777777" w:rsidR="003D4E2D" w:rsidRDefault="003D4E2D"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940B98A" w14:textId="77777777" w:rsidR="00603C52" w:rsidRDefault="00603C52"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31E20460" w14:textId="77777777" w:rsidR="00603C52" w:rsidRDefault="00603C52"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7F4AA896" w14:textId="77777777" w:rsidR="00603C52" w:rsidRDefault="00603C52" w:rsidP="003D4E2D">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9A3B813" w14:textId="46CE9C30" w:rsidR="003D4E2D" w:rsidRPr="003D4E2D" w:rsidRDefault="003D4E2D" w:rsidP="003D4E2D">
      <w:pPr>
        <w:spacing w:before="100" w:beforeAutospacing="1" w:after="100" w:afterAutospacing="1" w:line="240" w:lineRule="auto"/>
        <w:rPr>
          <w:rFonts w:ascii="Times New Roman" w:eastAsia="Times New Roman" w:hAnsi="Times New Roman" w:cs="Times New Roman"/>
          <w:kern w:val="0"/>
          <w:lang w:eastAsia="en-GB"/>
          <w14:ligatures w14:val="none"/>
        </w:rPr>
      </w:pPr>
      <w:r w:rsidRPr="003D4E2D">
        <w:rPr>
          <w:rFonts w:ascii="Times New Roman" w:eastAsia="Times New Roman" w:hAnsi="Times New Roman" w:cs="Times New Roman"/>
          <w:b/>
          <w:bCs/>
          <w:kern w:val="0"/>
          <w:lang w:eastAsia="en-GB"/>
          <w14:ligatures w14:val="none"/>
        </w:rPr>
        <w:lastRenderedPageBreak/>
        <w:t>Reference:</w:t>
      </w:r>
      <w:r w:rsidRPr="003D4E2D">
        <w:rPr>
          <w:rFonts w:ascii="Times New Roman" w:eastAsia="Times New Roman" w:hAnsi="Times New Roman" w:cs="Times New Roman"/>
          <w:kern w:val="0"/>
          <w:lang w:eastAsia="en-GB"/>
          <w14:ligatures w14:val="none"/>
        </w:rPr>
        <w:br/>
        <w:t xml:space="preserve">Health Foundation (2024) </w:t>
      </w:r>
      <w:r w:rsidRPr="003D4E2D">
        <w:rPr>
          <w:rFonts w:ascii="Times New Roman" w:eastAsia="Times New Roman" w:hAnsi="Times New Roman" w:cs="Times New Roman"/>
          <w:i/>
          <w:iCs/>
          <w:kern w:val="0"/>
          <w:lang w:eastAsia="en-GB"/>
          <w14:ligatures w14:val="none"/>
        </w:rPr>
        <w:t>NHS performance and waiting times: analysis and trends</w:t>
      </w:r>
      <w:r w:rsidRPr="003D4E2D">
        <w:rPr>
          <w:rFonts w:ascii="Times New Roman" w:eastAsia="Times New Roman" w:hAnsi="Times New Roman" w:cs="Times New Roman"/>
          <w:kern w:val="0"/>
          <w:lang w:eastAsia="en-GB"/>
          <w14:ligatures w14:val="none"/>
        </w:rPr>
        <w:t>. London: The Health Foundation.</w:t>
      </w:r>
    </w:p>
    <w:p w14:paraId="21D1426F" w14:textId="77777777" w:rsidR="003D4E2D" w:rsidRPr="003D4E2D" w:rsidRDefault="003D4E2D" w:rsidP="003D4E2D">
      <w:pPr>
        <w:pStyle w:val="NormalWeb"/>
        <w:rPr>
          <w:sz w:val="28"/>
          <w:szCs w:val="28"/>
        </w:rPr>
      </w:pPr>
    </w:p>
    <w:p w14:paraId="742B778C" w14:textId="77777777" w:rsidR="003D4E2D" w:rsidRPr="003D4E2D" w:rsidRDefault="003D4E2D" w:rsidP="003D4E2D">
      <w:pPr>
        <w:pStyle w:val="NormalWeb"/>
        <w:rPr>
          <w:sz w:val="28"/>
          <w:szCs w:val="28"/>
        </w:rPr>
      </w:pPr>
    </w:p>
    <w:p w14:paraId="1951179B" w14:textId="77777777" w:rsidR="003D4E2D" w:rsidRPr="002904A8" w:rsidRDefault="003D4E2D">
      <w:pPr>
        <w:rPr>
          <w:sz w:val="28"/>
          <w:szCs w:val="28"/>
        </w:rPr>
      </w:pPr>
    </w:p>
    <w:sectPr w:rsidR="003D4E2D" w:rsidRPr="002904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7F666B"/>
    <w:multiLevelType w:val="multilevel"/>
    <w:tmpl w:val="A3628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2351C8"/>
    <w:multiLevelType w:val="multilevel"/>
    <w:tmpl w:val="71D46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8B6932"/>
    <w:multiLevelType w:val="multilevel"/>
    <w:tmpl w:val="CD4ED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D353D89"/>
    <w:multiLevelType w:val="multilevel"/>
    <w:tmpl w:val="F94A1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7A5424"/>
    <w:multiLevelType w:val="multilevel"/>
    <w:tmpl w:val="82F0B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38470715">
    <w:abstractNumId w:val="2"/>
  </w:num>
  <w:num w:numId="2" w16cid:durableId="1054934629">
    <w:abstractNumId w:val="1"/>
  </w:num>
  <w:num w:numId="3" w16cid:durableId="1232698733">
    <w:abstractNumId w:val="4"/>
  </w:num>
  <w:num w:numId="4" w16cid:durableId="1500583253">
    <w:abstractNumId w:val="0"/>
  </w:num>
  <w:num w:numId="5" w16cid:durableId="19287310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9AF"/>
    <w:rsid w:val="002904A8"/>
    <w:rsid w:val="003D4E2D"/>
    <w:rsid w:val="003F73C7"/>
    <w:rsid w:val="005B29AF"/>
    <w:rsid w:val="005E466B"/>
    <w:rsid w:val="00603C52"/>
    <w:rsid w:val="00645D77"/>
    <w:rsid w:val="00BE7406"/>
    <w:rsid w:val="00CE00B0"/>
    <w:rsid w:val="00E14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9D2E1"/>
  <w15:chartTrackingRefBased/>
  <w15:docId w15:val="{26E800A4-C709-41BF-9536-D788C0B15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29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29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29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29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29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29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29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29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29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29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29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29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29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29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29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29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29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29AF"/>
    <w:rPr>
      <w:rFonts w:eastAsiaTheme="majorEastAsia" w:cstheme="majorBidi"/>
      <w:color w:val="272727" w:themeColor="text1" w:themeTint="D8"/>
    </w:rPr>
  </w:style>
  <w:style w:type="paragraph" w:styleId="Title">
    <w:name w:val="Title"/>
    <w:basedOn w:val="Normal"/>
    <w:next w:val="Normal"/>
    <w:link w:val="TitleChar"/>
    <w:uiPriority w:val="10"/>
    <w:qFormat/>
    <w:rsid w:val="005B29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29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29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29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29AF"/>
    <w:pPr>
      <w:spacing w:before="160"/>
      <w:jc w:val="center"/>
    </w:pPr>
    <w:rPr>
      <w:i/>
      <w:iCs/>
      <w:color w:val="404040" w:themeColor="text1" w:themeTint="BF"/>
    </w:rPr>
  </w:style>
  <w:style w:type="character" w:customStyle="1" w:styleId="QuoteChar">
    <w:name w:val="Quote Char"/>
    <w:basedOn w:val="DefaultParagraphFont"/>
    <w:link w:val="Quote"/>
    <w:uiPriority w:val="29"/>
    <w:rsid w:val="005B29AF"/>
    <w:rPr>
      <w:i/>
      <w:iCs/>
      <w:color w:val="404040" w:themeColor="text1" w:themeTint="BF"/>
    </w:rPr>
  </w:style>
  <w:style w:type="paragraph" w:styleId="ListParagraph">
    <w:name w:val="List Paragraph"/>
    <w:basedOn w:val="Normal"/>
    <w:uiPriority w:val="34"/>
    <w:qFormat/>
    <w:rsid w:val="005B29AF"/>
    <w:pPr>
      <w:ind w:left="720"/>
      <w:contextualSpacing/>
    </w:pPr>
  </w:style>
  <w:style w:type="character" w:styleId="IntenseEmphasis">
    <w:name w:val="Intense Emphasis"/>
    <w:basedOn w:val="DefaultParagraphFont"/>
    <w:uiPriority w:val="21"/>
    <w:qFormat/>
    <w:rsid w:val="005B29AF"/>
    <w:rPr>
      <w:i/>
      <w:iCs/>
      <w:color w:val="0F4761" w:themeColor="accent1" w:themeShade="BF"/>
    </w:rPr>
  </w:style>
  <w:style w:type="paragraph" w:styleId="IntenseQuote">
    <w:name w:val="Intense Quote"/>
    <w:basedOn w:val="Normal"/>
    <w:next w:val="Normal"/>
    <w:link w:val="IntenseQuoteChar"/>
    <w:uiPriority w:val="30"/>
    <w:qFormat/>
    <w:rsid w:val="005B29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29AF"/>
    <w:rPr>
      <w:i/>
      <w:iCs/>
      <w:color w:val="0F4761" w:themeColor="accent1" w:themeShade="BF"/>
    </w:rPr>
  </w:style>
  <w:style w:type="character" w:styleId="IntenseReference">
    <w:name w:val="Intense Reference"/>
    <w:basedOn w:val="DefaultParagraphFont"/>
    <w:uiPriority w:val="32"/>
    <w:qFormat/>
    <w:rsid w:val="005B29AF"/>
    <w:rPr>
      <w:b/>
      <w:bCs/>
      <w:smallCaps/>
      <w:color w:val="0F4761" w:themeColor="accent1" w:themeShade="BF"/>
      <w:spacing w:val="5"/>
    </w:rPr>
  </w:style>
  <w:style w:type="paragraph" w:styleId="NormalWeb">
    <w:name w:val="Normal (Web)"/>
    <w:basedOn w:val="Normal"/>
    <w:uiPriority w:val="99"/>
    <w:semiHidden/>
    <w:unhideWhenUsed/>
    <w:rsid w:val="005B29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B29AF"/>
    <w:rPr>
      <w:b/>
      <w:bCs/>
    </w:rPr>
  </w:style>
  <w:style w:type="character" w:styleId="Emphasis">
    <w:name w:val="Emphasis"/>
    <w:basedOn w:val="DefaultParagraphFont"/>
    <w:uiPriority w:val="20"/>
    <w:qFormat/>
    <w:rsid w:val="003D4E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C423926-D26D-4847-A01F-40A808B72C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5AF4D1-2D24-4509-BDC8-31FB92929E86}">
  <ds:schemaRefs>
    <ds:schemaRef ds:uri="http://schemas.microsoft.com/sharepoint/v3/contenttype/forms"/>
  </ds:schemaRefs>
</ds:datastoreItem>
</file>

<file path=customXml/itemProps3.xml><?xml version="1.0" encoding="utf-8"?>
<ds:datastoreItem xmlns:ds="http://schemas.openxmlformats.org/officeDocument/2006/customXml" ds:itemID="{11F1315F-2750-4719-A809-E03CA4C54C7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6</Pages>
  <Words>1209</Words>
  <Characters>7064</Characters>
  <Application>Microsoft Office Word</Application>
  <DocSecurity>0</DocSecurity>
  <Lines>415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Mavis Frimpomaa (2439611)</dc:creator>
  <cp:keywords/>
  <dc:description/>
  <cp:lastModifiedBy>Mavis Frimpomaa (2439611)</cp:lastModifiedBy>
  <cp:revision>1</cp:revision>
  <dcterms:created xsi:type="dcterms:W3CDTF">2026-04-01T11:07:00Z</dcterms:created>
  <dcterms:modified xsi:type="dcterms:W3CDTF">2026-04-01T12:19:00Z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