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16C698" w14:textId="01AFACA9" w:rsidR="001D2A8F" w:rsidRPr="00AE3D06" w:rsidRDefault="001D2A8F" w:rsidP="001D2A8F">
      <w:pPr>
        <w:rPr>
          <w:rFonts w:asciiTheme="majorHAnsi" w:eastAsia="Times New Roman" w:hAnsiTheme="majorHAnsi" w:cstheme="majorHAnsi"/>
          <w:sz w:val="24"/>
          <w:szCs w:val="24"/>
        </w:rPr>
      </w:pPr>
      <w:r w:rsidRPr="00AE3D06">
        <w:rPr>
          <w:rFonts w:asciiTheme="majorHAnsi" w:eastAsia="Times New Roman" w:hAnsiTheme="majorHAnsi" w:cstheme="majorHAnsi"/>
          <w:color w:val="0070C0"/>
          <w:sz w:val="24"/>
          <w:szCs w:val="24"/>
        </w:rPr>
        <w:t xml:space="preserve">Q1. Explain two key wellbeing theories and how they can be applied </w:t>
      </w:r>
      <w:r w:rsidR="00736169" w:rsidRPr="00AE3D06">
        <w:rPr>
          <w:rFonts w:asciiTheme="majorHAnsi" w:eastAsia="Times New Roman" w:hAnsiTheme="majorHAnsi" w:cstheme="majorHAnsi"/>
          <w:color w:val="0070C0"/>
          <w:sz w:val="24"/>
          <w:szCs w:val="24"/>
        </w:rPr>
        <w:t xml:space="preserve">to current issues in the workplace </w:t>
      </w:r>
      <w:r w:rsidRPr="00AE3D06">
        <w:rPr>
          <w:rFonts w:asciiTheme="majorHAnsi" w:eastAsia="Times New Roman" w:hAnsiTheme="majorHAnsi" w:cstheme="majorHAnsi"/>
          <w:color w:val="0070C0"/>
          <w:sz w:val="24"/>
          <w:szCs w:val="24"/>
        </w:rPr>
        <w:t>(AC 1.1)</w:t>
      </w:r>
      <w:r w:rsidRPr="00AE3D06">
        <w:rPr>
          <w:rFonts w:asciiTheme="majorHAnsi" w:eastAsia="Times New Roman" w:hAnsiTheme="majorHAnsi" w:cstheme="majorHAnsi"/>
          <w:sz w:val="24"/>
          <w:szCs w:val="24"/>
        </w:rPr>
        <w:br/>
      </w:r>
    </w:p>
    <w:p w14:paraId="2D1B84E1" w14:textId="77777777" w:rsidR="007974A2" w:rsidRPr="00AE3D06" w:rsidRDefault="007974A2"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 xml:space="preserve">Two key theories that explain wellbeing at work are the Job Demands–Resources (JD-R) model and Self-Determination Theory (SDT). These theories are particularly relevant in high-pressure organisations such as Insurasave, as they explain how job design and management practices influence stress, motivation, and overall employee wellbeing. </w:t>
      </w:r>
    </w:p>
    <w:p w14:paraId="19550AF4" w14:textId="77777777" w:rsidR="007974A2" w:rsidRPr="00AE3D06" w:rsidRDefault="007974A2" w:rsidP="001D2A8F">
      <w:pPr>
        <w:rPr>
          <w:rFonts w:asciiTheme="majorHAnsi" w:eastAsia="Times New Roman" w:hAnsiTheme="majorHAnsi" w:cstheme="majorHAnsi"/>
          <w:sz w:val="24"/>
          <w:szCs w:val="24"/>
        </w:rPr>
      </w:pPr>
    </w:p>
    <w:p w14:paraId="6E443DEC" w14:textId="77777777" w:rsidR="007974A2" w:rsidRPr="00AE3D06" w:rsidRDefault="007974A2"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 xml:space="preserve">The JD-R model, developed by Bakker and Demerouti (2017), organisational psychologists who researched the interaction between job characteristics, burnout, and engagement across multiple industries, identifies that roles contain job demands, such as workload, time pressure, and emotional labour, and job resources, including managerial support, autonomy, and opportunities for development. Excessive demands increase strain and burnout, whereas job resources reduce stress and actively promote engagement. </w:t>
      </w:r>
    </w:p>
    <w:p w14:paraId="1E089B26" w14:textId="77777777" w:rsidR="007974A2" w:rsidRPr="00AE3D06" w:rsidRDefault="007974A2" w:rsidP="001D2A8F">
      <w:pPr>
        <w:rPr>
          <w:rFonts w:asciiTheme="majorHAnsi" w:eastAsia="Times New Roman" w:hAnsiTheme="majorHAnsi" w:cstheme="majorHAnsi"/>
          <w:sz w:val="24"/>
          <w:szCs w:val="24"/>
        </w:rPr>
      </w:pPr>
    </w:p>
    <w:p w14:paraId="41620F67" w14:textId="77777777" w:rsidR="007974A2" w:rsidRPr="00AE3D06" w:rsidRDefault="007974A2"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This is supported by the CIPD Health and Wellbeing at Work Report (2023), which collected survey data from UK workplaces and found that stress-related absence remains a major cause of long-term absence. The CIPD Health and Wellbeing at Work Survey (2025) further reported that absence has risen to over seven days per employee per year, with stress and anxiety being primary drivers, highlighting the impact of job demands on employee health.</w:t>
      </w:r>
      <w:r w:rsidRPr="00AE3D06">
        <w:rPr>
          <w:rFonts w:asciiTheme="majorHAnsi" w:eastAsia="Times New Roman" w:hAnsiTheme="majorHAnsi" w:cstheme="majorHAnsi"/>
          <w:sz w:val="24"/>
          <w:szCs w:val="24"/>
        </w:rPr>
        <w:br/>
      </w:r>
    </w:p>
    <w:p w14:paraId="1540CAC3" w14:textId="77777777" w:rsidR="007974A2" w:rsidRPr="00AE3D06" w:rsidRDefault="007974A2"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At Insurasave, high call volumes, performance monitoring, and emotionally demanding customer interactions represent significant job demands. Applying the JD-R model critically, reducing demands alone may be insufficient if resources are not strengthened. Interventions such as coaching, workload redistribution, and wellbeing-focused management practices can simultaneously mitigate burnout and improve engagement, demonstrating that wellbeing is both a health and performance issue.</w:t>
      </w:r>
      <w:r w:rsidRPr="00AE3D06">
        <w:rPr>
          <w:rFonts w:asciiTheme="majorHAnsi" w:eastAsia="Times New Roman" w:hAnsiTheme="majorHAnsi" w:cstheme="majorHAnsi"/>
          <w:sz w:val="24"/>
          <w:szCs w:val="24"/>
        </w:rPr>
        <w:br/>
      </w:r>
    </w:p>
    <w:p w14:paraId="6D36ECC7" w14:textId="77777777" w:rsidR="007974A2" w:rsidRPr="00AE3D06" w:rsidRDefault="007974A2"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 xml:space="preserve">Self-Determination Theory, developed by Deci and Ryan (2000), psychologists who researched intrinsic motivation and psychological wellbeing, proposes that individuals experience optimal wellbeing when three psychological needs are fulfilled: autonomy, competence, and relatedness. At Insurasave, these needs may be restricted because strict scripts reduce autonomy, limited development affects competence, and high-pressure environments can weaken relationships between colleagues. </w:t>
      </w:r>
    </w:p>
    <w:p w14:paraId="31AED87E" w14:textId="77777777" w:rsidR="007974A2" w:rsidRPr="00AE3D06" w:rsidRDefault="007974A2" w:rsidP="001D2A8F">
      <w:pPr>
        <w:rPr>
          <w:rFonts w:asciiTheme="majorHAnsi" w:eastAsia="Times New Roman" w:hAnsiTheme="majorHAnsi" w:cstheme="majorHAnsi"/>
          <w:sz w:val="24"/>
          <w:szCs w:val="24"/>
        </w:rPr>
      </w:pPr>
    </w:p>
    <w:p w14:paraId="6A9D262C" w14:textId="77777777" w:rsidR="007974A2" w:rsidRPr="00AE3D06" w:rsidRDefault="007974A2"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Applying SDT, autonomy can be improved through flexible approaches to customer interactions, competence enhanced through continuous skills development and feedback, and relatedness strengthened through supportive team cultures and effective line management.</w:t>
      </w:r>
      <w:r w:rsidRPr="00AE3D06">
        <w:rPr>
          <w:rFonts w:asciiTheme="majorHAnsi" w:eastAsia="Times New Roman" w:hAnsiTheme="majorHAnsi" w:cstheme="majorHAnsi"/>
          <w:sz w:val="24"/>
          <w:szCs w:val="24"/>
        </w:rPr>
        <w:br/>
      </w:r>
    </w:p>
    <w:p w14:paraId="73A5055C" w14:textId="1BB42FDE" w:rsidR="001D2A8F" w:rsidRPr="00AE3D06" w:rsidRDefault="007974A2"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Critically, SDT focuses on individual psychological needs, while JD-R focuses on organisational systems, but combining both provides a powerful framework. The World Health Organization (2022), which analysed workplace mental health interventions across multiple countries, found that organisations that combine supportive management practices with employee empowerment achieve better wellbeing and productivity outcomes, reinforcing the importance of addressing both structural and psychological factors.</w:t>
      </w:r>
      <w:r w:rsidRPr="00AE3D06">
        <w:rPr>
          <w:rFonts w:asciiTheme="majorHAnsi" w:eastAsia="Times New Roman" w:hAnsiTheme="majorHAnsi" w:cstheme="majorHAnsi"/>
          <w:sz w:val="24"/>
          <w:szCs w:val="24"/>
        </w:rPr>
        <w:br/>
      </w:r>
      <w:r w:rsidR="001D2A8F" w:rsidRPr="00AE3D06">
        <w:rPr>
          <w:rFonts w:asciiTheme="majorHAnsi" w:eastAsia="Times New Roman" w:hAnsiTheme="majorHAnsi" w:cstheme="majorHAnsi"/>
          <w:sz w:val="24"/>
          <w:szCs w:val="24"/>
        </w:rPr>
        <w:br/>
      </w:r>
      <w:r w:rsidR="001D2A8F" w:rsidRPr="00AE3D06">
        <w:rPr>
          <w:rFonts w:asciiTheme="majorHAnsi" w:eastAsia="Times New Roman" w:hAnsiTheme="majorHAnsi" w:cstheme="majorHAnsi"/>
          <w:color w:val="0070C0"/>
          <w:sz w:val="24"/>
          <w:szCs w:val="24"/>
        </w:rPr>
        <w:lastRenderedPageBreak/>
        <w:t>Q2. Discuss</w:t>
      </w:r>
      <w:r w:rsidR="00736169" w:rsidRPr="00AE3D06">
        <w:rPr>
          <w:rFonts w:asciiTheme="majorHAnsi" w:eastAsia="Times New Roman" w:hAnsiTheme="majorHAnsi" w:cstheme="majorHAnsi"/>
          <w:color w:val="0070C0"/>
          <w:sz w:val="24"/>
          <w:szCs w:val="24"/>
        </w:rPr>
        <w:t xml:space="preserve"> with examples,</w:t>
      </w:r>
      <w:r w:rsidR="001D2A8F" w:rsidRPr="00AE3D06">
        <w:rPr>
          <w:rFonts w:asciiTheme="majorHAnsi" w:eastAsia="Times New Roman" w:hAnsiTheme="majorHAnsi" w:cstheme="majorHAnsi"/>
          <w:color w:val="0070C0"/>
          <w:sz w:val="24"/>
          <w:szCs w:val="24"/>
        </w:rPr>
        <w:t xml:space="preserve"> how wellbeing can be managed to support organisational goals (AC 1.2)</w:t>
      </w:r>
      <w:r w:rsidR="001D2A8F" w:rsidRPr="00AE3D06">
        <w:rPr>
          <w:rFonts w:asciiTheme="majorHAnsi" w:eastAsia="Times New Roman" w:hAnsiTheme="majorHAnsi" w:cstheme="majorHAnsi"/>
          <w:sz w:val="24"/>
          <w:szCs w:val="24"/>
        </w:rPr>
        <w:br/>
      </w:r>
    </w:p>
    <w:p w14:paraId="4188A96B" w14:textId="77777777" w:rsidR="0024468C"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 xml:space="preserve">Wellbeing is a critical driver of organisational performance, particularly in service-based organisations such as Insurasave, where employee behaviour directly impacts customer outcomes. </w:t>
      </w:r>
    </w:p>
    <w:p w14:paraId="2E9A1EE9" w14:textId="77777777" w:rsidR="0024468C" w:rsidRPr="00AE3D06" w:rsidRDefault="0024468C" w:rsidP="001D2A8F">
      <w:pPr>
        <w:rPr>
          <w:rFonts w:asciiTheme="majorHAnsi" w:eastAsia="Times New Roman" w:hAnsiTheme="majorHAnsi" w:cstheme="majorHAnsi"/>
          <w:sz w:val="24"/>
          <w:szCs w:val="24"/>
        </w:rPr>
      </w:pPr>
    </w:p>
    <w:p w14:paraId="5260383D" w14:textId="77777777" w:rsidR="0024468C"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Managing wellbeing effectively supports organisational goals such as productivity, engagement, and retention. The CIPD Workplace Wellbeing Factsheet (2023), which reviewed research and professional practice in UK organisations, defines wellbeing as a combination of physical, mental, and social health, emphasising proactive and preventative approaches rather than reactive interventions. This is particularly relevant in Insurasave, where sustained emotional and performance pressures in call-handling roles make employees vulnerable to stress and absenteeism.</w:t>
      </w:r>
      <w:r w:rsidRPr="00AE3D06">
        <w:rPr>
          <w:rFonts w:asciiTheme="majorHAnsi" w:eastAsia="Times New Roman" w:hAnsiTheme="majorHAnsi" w:cstheme="majorHAnsi"/>
          <w:sz w:val="24"/>
          <w:szCs w:val="24"/>
        </w:rPr>
        <w:br/>
      </w:r>
    </w:p>
    <w:p w14:paraId="33EFD7B1" w14:textId="77777777" w:rsidR="0024468C"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 xml:space="preserve">Critically, unmanaged wellbeing risks reduced service capacity, increased workload for remaining staff, and a negative cycle of stress and reduced performance. David Guest (2017), professor of organisational psychology who analysed large-scale employee survey data on wellbeing and engagement across multiple sectors, found that organisations with integrated wellbeing strategies experience higher employee commitment, job satisfaction, and performance, demonstrating that wellbeing is a strategic business asset rather than a discretionary benefit. </w:t>
      </w:r>
    </w:p>
    <w:p w14:paraId="10A57D08" w14:textId="77777777" w:rsidR="0024468C" w:rsidRPr="00AE3D06" w:rsidRDefault="0024468C" w:rsidP="001D2A8F">
      <w:pPr>
        <w:rPr>
          <w:rFonts w:asciiTheme="majorHAnsi" w:eastAsia="Times New Roman" w:hAnsiTheme="majorHAnsi" w:cstheme="majorHAnsi"/>
          <w:sz w:val="24"/>
          <w:szCs w:val="24"/>
        </w:rPr>
      </w:pPr>
    </w:p>
    <w:p w14:paraId="03615ECF" w14:textId="649D40E0" w:rsidR="0024468C"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Deloitte (202</w:t>
      </w:r>
      <w:r w:rsidR="00E90ADA">
        <w:rPr>
          <w:rFonts w:asciiTheme="majorHAnsi" w:eastAsia="Times New Roman" w:hAnsiTheme="majorHAnsi" w:cstheme="majorHAnsi"/>
          <w:sz w:val="24"/>
          <w:szCs w:val="24"/>
        </w:rPr>
        <w:t>4</w:t>
      </w:r>
      <w:r w:rsidRPr="00AE3D06">
        <w:rPr>
          <w:rFonts w:asciiTheme="majorHAnsi" w:eastAsia="Times New Roman" w:hAnsiTheme="majorHAnsi" w:cstheme="majorHAnsi"/>
          <w:sz w:val="24"/>
          <w:szCs w:val="24"/>
        </w:rPr>
        <w:t>), a global consultancy that analysed the economic impact of workplace mental health initiatives, reported a return of up to £5 for every £1 invested, providing a strong business case for wellbeing investment.</w:t>
      </w:r>
      <w:r w:rsidRPr="00AE3D06">
        <w:rPr>
          <w:rFonts w:asciiTheme="majorHAnsi" w:eastAsia="Times New Roman" w:hAnsiTheme="majorHAnsi" w:cstheme="majorHAnsi"/>
          <w:sz w:val="24"/>
          <w:szCs w:val="24"/>
        </w:rPr>
        <w:br/>
      </w:r>
    </w:p>
    <w:p w14:paraId="24175A2D" w14:textId="77777777" w:rsidR="0024468C"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 xml:space="preserve">Effective wellbeing management at Insurasave requires combining preventative measures, such as realistic workload allocation, manager training, and regular employee feedback, with supportive measures including access to mental health support and wellbeing-focused policies. </w:t>
      </w:r>
    </w:p>
    <w:p w14:paraId="100ECD34" w14:textId="77777777" w:rsidR="0024468C" w:rsidRPr="00AE3D06" w:rsidRDefault="0024468C" w:rsidP="001D2A8F">
      <w:pPr>
        <w:rPr>
          <w:rFonts w:asciiTheme="majorHAnsi" w:eastAsia="Times New Roman" w:hAnsiTheme="majorHAnsi" w:cstheme="majorHAnsi"/>
          <w:sz w:val="24"/>
          <w:szCs w:val="24"/>
        </w:rPr>
      </w:pPr>
    </w:p>
    <w:p w14:paraId="08FE301E" w14:textId="2EEB32F6" w:rsidR="001D2A8F"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Critically, wellbeing initiatives may fail if organisational pressures remain unchanged. High performance targets without addressing workload and management practices risk initiatives being perceived as superficial. Sustainable wellbeing management therefore requires alignment between organisational goals and employee needs to deliver both health and performance outcomes.</w:t>
      </w:r>
      <w:r w:rsidRPr="00AE3D06">
        <w:rPr>
          <w:rFonts w:asciiTheme="majorHAnsi" w:eastAsia="Times New Roman" w:hAnsiTheme="majorHAnsi" w:cstheme="majorHAnsi"/>
          <w:sz w:val="24"/>
          <w:szCs w:val="24"/>
        </w:rPr>
        <w:br/>
      </w:r>
      <w:r w:rsidR="001D2A8F" w:rsidRPr="00AE3D06">
        <w:rPr>
          <w:rFonts w:asciiTheme="majorHAnsi" w:eastAsia="Times New Roman" w:hAnsiTheme="majorHAnsi" w:cstheme="majorHAnsi"/>
          <w:sz w:val="24"/>
          <w:szCs w:val="24"/>
        </w:rPr>
        <w:br/>
      </w:r>
      <w:r w:rsidR="001D2A8F" w:rsidRPr="00AE3D06">
        <w:rPr>
          <w:rFonts w:asciiTheme="majorHAnsi" w:eastAsia="Times New Roman" w:hAnsiTheme="majorHAnsi" w:cstheme="majorHAnsi"/>
          <w:color w:val="0070C0"/>
          <w:sz w:val="24"/>
          <w:szCs w:val="24"/>
        </w:rPr>
        <w:t>Q3. Assess the benefits of adopting wellbeing practices</w:t>
      </w:r>
      <w:r w:rsidR="00843063" w:rsidRPr="00AE3D06">
        <w:rPr>
          <w:rFonts w:asciiTheme="majorHAnsi" w:eastAsia="Times New Roman" w:hAnsiTheme="majorHAnsi" w:cstheme="majorHAnsi"/>
          <w:color w:val="0070C0"/>
          <w:sz w:val="24"/>
          <w:szCs w:val="24"/>
        </w:rPr>
        <w:t xml:space="preserve"> in organisations</w:t>
      </w:r>
      <w:r w:rsidR="001D2A8F" w:rsidRPr="00AE3D06">
        <w:rPr>
          <w:rFonts w:asciiTheme="majorHAnsi" w:eastAsia="Times New Roman" w:hAnsiTheme="majorHAnsi" w:cstheme="majorHAnsi"/>
          <w:color w:val="0070C0"/>
          <w:sz w:val="24"/>
          <w:szCs w:val="24"/>
        </w:rPr>
        <w:t xml:space="preserve"> (AC 1.3)</w:t>
      </w:r>
      <w:r w:rsidR="001D2A8F" w:rsidRPr="00AE3D06">
        <w:rPr>
          <w:rFonts w:asciiTheme="majorHAnsi" w:eastAsia="Times New Roman" w:hAnsiTheme="majorHAnsi" w:cstheme="majorHAnsi"/>
          <w:sz w:val="24"/>
          <w:szCs w:val="24"/>
        </w:rPr>
        <w:br/>
      </w:r>
    </w:p>
    <w:p w14:paraId="6B25E5F9" w14:textId="77777777" w:rsidR="0024468C"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 xml:space="preserve">Adopting wellbeing practices provides measurable benefits for organisations such as Insurasave, including improved performance, reduced costs, and enhanced employee experience. The CIPD (2023), based on a survey of UK workplaces regarding wellbeing strategies and outcomes, found that organisations with active wellbeing programmes report higher engagement and lower absence rates, which in Insurasave would translate into improved productivity and service consistency. </w:t>
      </w:r>
    </w:p>
    <w:p w14:paraId="65C3B451" w14:textId="77777777" w:rsidR="0024468C" w:rsidRPr="00AE3D06" w:rsidRDefault="0024468C" w:rsidP="001D2A8F">
      <w:pPr>
        <w:rPr>
          <w:rFonts w:asciiTheme="majorHAnsi" w:eastAsia="Times New Roman" w:hAnsiTheme="majorHAnsi" w:cstheme="majorHAnsi"/>
          <w:sz w:val="24"/>
          <w:szCs w:val="24"/>
        </w:rPr>
      </w:pPr>
    </w:p>
    <w:p w14:paraId="3F718A22" w14:textId="77777777" w:rsidR="0024468C"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lastRenderedPageBreak/>
        <w:t>Reducing stress-related absence, a major contributor to long-term absenteeism, supports operational stability.</w:t>
      </w:r>
      <w:r w:rsidRPr="00AE3D06">
        <w:rPr>
          <w:rFonts w:asciiTheme="majorHAnsi" w:eastAsia="Times New Roman" w:hAnsiTheme="majorHAnsi" w:cstheme="majorHAnsi"/>
          <w:sz w:val="24"/>
          <w:szCs w:val="24"/>
        </w:rPr>
        <w:br/>
      </w:r>
    </w:p>
    <w:p w14:paraId="31D78122" w14:textId="77777777" w:rsidR="0024468C"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 xml:space="preserve">Wellbeing practices also enhance engagement and performance. Guest (2017), analysing employee survey data across multiple sectors, found that wellbeing-focused HR practices improve employee commitment. </w:t>
      </w:r>
    </w:p>
    <w:p w14:paraId="120860BE" w14:textId="77777777" w:rsidR="0024468C" w:rsidRPr="00AE3D06" w:rsidRDefault="0024468C" w:rsidP="001D2A8F">
      <w:pPr>
        <w:rPr>
          <w:rFonts w:asciiTheme="majorHAnsi" w:eastAsia="Times New Roman" w:hAnsiTheme="majorHAnsi" w:cstheme="majorHAnsi"/>
          <w:sz w:val="24"/>
          <w:szCs w:val="24"/>
        </w:rPr>
      </w:pPr>
    </w:p>
    <w:p w14:paraId="0F12E507" w14:textId="0429ED9C" w:rsidR="0024468C"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Similarly, Gallup (202</w:t>
      </w:r>
      <w:r w:rsidR="006F1BB3">
        <w:rPr>
          <w:rFonts w:asciiTheme="majorHAnsi" w:eastAsia="Times New Roman" w:hAnsiTheme="majorHAnsi" w:cstheme="majorHAnsi"/>
          <w:sz w:val="24"/>
          <w:szCs w:val="24"/>
        </w:rPr>
        <w:t>6)</w:t>
      </w:r>
      <w:r w:rsidRPr="00AE3D06">
        <w:rPr>
          <w:rFonts w:asciiTheme="majorHAnsi" w:eastAsia="Times New Roman" w:hAnsiTheme="majorHAnsi" w:cstheme="majorHAnsi"/>
          <w:sz w:val="24"/>
          <w:szCs w:val="24"/>
        </w:rPr>
        <w:t xml:space="preserve">, which analysed global workforce engagement data, reported that organisations with highly engaged employees achieve higher productivity, better customer outcomes, and lower turnover. </w:t>
      </w:r>
    </w:p>
    <w:p w14:paraId="1C118E66" w14:textId="77777777" w:rsidR="0024468C" w:rsidRPr="00AE3D06" w:rsidRDefault="0024468C" w:rsidP="001D2A8F">
      <w:pPr>
        <w:rPr>
          <w:rFonts w:asciiTheme="majorHAnsi" w:eastAsia="Times New Roman" w:hAnsiTheme="majorHAnsi" w:cstheme="majorHAnsi"/>
          <w:sz w:val="24"/>
          <w:szCs w:val="24"/>
        </w:rPr>
      </w:pPr>
    </w:p>
    <w:p w14:paraId="0E7A4FC3" w14:textId="77777777" w:rsidR="0024468C" w:rsidRPr="00AE3D06" w:rsidRDefault="0024468C" w:rsidP="001D2A8F">
      <w:pPr>
        <w:rPr>
          <w:rFonts w:asciiTheme="majorHAnsi" w:eastAsia="Times New Roman" w:hAnsiTheme="majorHAnsi" w:cstheme="majorHAnsi"/>
          <w:sz w:val="24"/>
          <w:szCs w:val="24"/>
        </w:rPr>
      </w:pPr>
      <w:r w:rsidRPr="00AE3D06">
        <w:rPr>
          <w:rFonts w:asciiTheme="majorHAnsi" w:eastAsia="Times New Roman" w:hAnsiTheme="majorHAnsi" w:cstheme="majorHAnsi"/>
          <w:sz w:val="24"/>
          <w:szCs w:val="24"/>
        </w:rPr>
        <w:t>Wellbeing practices also support retention, as the CIPD (2025), based on UK workforce surveys, highlighted a strong link between poor wellbeing and staff turnover, particularly among early-career employees. Reducing turnover at Insurasave would lower recruitment and training costs and improve organisational stability.</w:t>
      </w:r>
      <w:r w:rsidRPr="00AE3D06">
        <w:rPr>
          <w:rFonts w:asciiTheme="majorHAnsi" w:eastAsia="Times New Roman" w:hAnsiTheme="majorHAnsi" w:cstheme="majorHAnsi"/>
          <w:sz w:val="24"/>
          <w:szCs w:val="24"/>
        </w:rPr>
        <w:br/>
      </w:r>
    </w:p>
    <w:p w14:paraId="183A0848" w14:textId="1AEF0A71" w:rsidR="001112A7" w:rsidRDefault="0024468C" w:rsidP="001D2A8F">
      <w:pPr>
        <w:rPr>
          <w:rFonts w:asciiTheme="majorHAnsi" w:eastAsia="Times New Roman" w:hAnsiTheme="majorHAnsi" w:cstheme="majorHAnsi"/>
          <w:color w:val="0070C0"/>
          <w:sz w:val="24"/>
          <w:szCs w:val="24"/>
        </w:rPr>
      </w:pPr>
      <w:r w:rsidRPr="00AE3D06">
        <w:rPr>
          <w:rFonts w:asciiTheme="majorHAnsi" w:eastAsia="Times New Roman" w:hAnsiTheme="majorHAnsi" w:cstheme="majorHAnsi"/>
          <w:sz w:val="24"/>
          <w:szCs w:val="24"/>
        </w:rPr>
        <w:t xml:space="preserve">Critically, the benefits of wellbeing practices are contingent upon a holistic approach. Deloitte (2023), which researched wellbeing </w:t>
      </w:r>
      <w:r w:rsidR="00161799">
        <w:rPr>
          <w:rFonts w:asciiTheme="majorHAnsi" w:eastAsia="Times New Roman" w:hAnsiTheme="majorHAnsi" w:cstheme="majorHAnsi"/>
          <w:sz w:val="24"/>
          <w:szCs w:val="24"/>
        </w:rPr>
        <w:t xml:space="preserve">in the workplace </w:t>
      </w:r>
      <w:r w:rsidRPr="00AE3D06">
        <w:rPr>
          <w:rFonts w:asciiTheme="majorHAnsi" w:eastAsia="Times New Roman" w:hAnsiTheme="majorHAnsi" w:cstheme="majorHAnsi"/>
          <w:sz w:val="24"/>
          <w:szCs w:val="24"/>
        </w:rPr>
        <w:t>effectiveness in multiple industries, found that superficial initiatives without addressing workload and management behaviour show limited long-term impact. This underscores the need to embed wellbeing into organisational systems and align interventions with broader strategic objectives.</w:t>
      </w:r>
      <w:r w:rsidRPr="00AE3D06">
        <w:rPr>
          <w:rFonts w:asciiTheme="majorHAnsi" w:eastAsia="Times New Roman" w:hAnsiTheme="majorHAnsi" w:cstheme="majorHAnsi"/>
          <w:sz w:val="24"/>
          <w:szCs w:val="24"/>
        </w:rPr>
        <w:br/>
      </w:r>
      <w:r w:rsidR="001D2A8F" w:rsidRPr="00AE3D06">
        <w:rPr>
          <w:rFonts w:asciiTheme="majorHAnsi" w:eastAsia="Times New Roman" w:hAnsiTheme="majorHAnsi" w:cstheme="majorHAnsi"/>
          <w:sz w:val="24"/>
          <w:szCs w:val="24"/>
        </w:rPr>
        <w:br/>
      </w:r>
      <w:r w:rsidR="001D2A8F" w:rsidRPr="00702C03">
        <w:rPr>
          <w:rFonts w:asciiTheme="majorHAnsi" w:eastAsia="Times New Roman" w:hAnsiTheme="majorHAnsi" w:cstheme="majorHAnsi"/>
          <w:color w:val="0070C0"/>
          <w:sz w:val="24"/>
          <w:szCs w:val="24"/>
        </w:rPr>
        <w:t xml:space="preserve">Q4. Evaluate </w:t>
      </w:r>
      <w:r w:rsidR="00843063" w:rsidRPr="00702C03">
        <w:rPr>
          <w:rFonts w:asciiTheme="majorHAnsi" w:eastAsia="Times New Roman" w:hAnsiTheme="majorHAnsi" w:cstheme="majorHAnsi"/>
          <w:color w:val="0070C0"/>
          <w:sz w:val="24"/>
          <w:szCs w:val="24"/>
        </w:rPr>
        <w:t xml:space="preserve">the contributions made by </w:t>
      </w:r>
      <w:r w:rsidR="001D2A8F" w:rsidRPr="00702C03">
        <w:rPr>
          <w:rFonts w:asciiTheme="majorHAnsi" w:eastAsia="Times New Roman" w:hAnsiTheme="majorHAnsi" w:cstheme="majorHAnsi"/>
          <w:color w:val="0070C0"/>
          <w:sz w:val="24"/>
          <w:szCs w:val="24"/>
        </w:rPr>
        <w:t>stakeholder</w:t>
      </w:r>
      <w:r w:rsidR="00FE761A">
        <w:rPr>
          <w:rFonts w:asciiTheme="majorHAnsi" w:eastAsia="Times New Roman" w:hAnsiTheme="majorHAnsi" w:cstheme="majorHAnsi"/>
          <w:color w:val="0070C0"/>
          <w:sz w:val="24"/>
          <w:szCs w:val="24"/>
        </w:rPr>
        <w:t xml:space="preserve">s </w:t>
      </w:r>
      <w:r w:rsidR="00843063" w:rsidRPr="00702C03">
        <w:rPr>
          <w:rFonts w:asciiTheme="majorHAnsi" w:eastAsia="Times New Roman" w:hAnsiTheme="majorHAnsi" w:cstheme="majorHAnsi"/>
          <w:color w:val="0070C0"/>
          <w:sz w:val="24"/>
          <w:szCs w:val="24"/>
        </w:rPr>
        <w:t>to improving wellbeing at work.</w:t>
      </w:r>
      <w:r w:rsidR="001D2A8F" w:rsidRPr="00702C03">
        <w:rPr>
          <w:rFonts w:asciiTheme="majorHAnsi" w:eastAsia="Times New Roman" w:hAnsiTheme="majorHAnsi" w:cstheme="majorHAnsi"/>
          <w:color w:val="0070C0"/>
          <w:sz w:val="24"/>
          <w:szCs w:val="24"/>
        </w:rPr>
        <w:t xml:space="preserve"> (AC 2.1)</w:t>
      </w:r>
    </w:p>
    <w:p w14:paraId="620437FC" w14:textId="77777777" w:rsidR="008B1AFF" w:rsidRDefault="008B1AFF" w:rsidP="001D2A8F">
      <w:pPr>
        <w:rPr>
          <w:rFonts w:asciiTheme="majorHAnsi" w:eastAsia="Times New Roman" w:hAnsiTheme="majorHAnsi" w:cstheme="majorHAnsi"/>
          <w:color w:val="0070C0"/>
          <w:sz w:val="24"/>
          <w:szCs w:val="24"/>
        </w:rPr>
      </w:pPr>
    </w:p>
    <w:p w14:paraId="0E7DFB16" w14:textId="6053AD11" w:rsidR="00702C03" w:rsidRDefault="008B1AFF" w:rsidP="008B1AFF">
      <w:pPr>
        <w:rPr>
          <w:rFonts w:asciiTheme="majorHAnsi" w:eastAsia="Times New Roman" w:hAnsiTheme="majorHAnsi" w:cstheme="majorHAnsi"/>
          <w:sz w:val="24"/>
          <w:szCs w:val="24"/>
        </w:rPr>
      </w:pPr>
      <w:r w:rsidRPr="008B1AFF">
        <w:rPr>
          <w:rFonts w:asciiTheme="majorHAnsi" w:eastAsia="Times New Roman" w:hAnsiTheme="majorHAnsi" w:cstheme="majorHAnsi"/>
          <w:sz w:val="24"/>
          <w:szCs w:val="24"/>
        </w:rPr>
        <w:t xml:space="preserve">Improving wellbeing at </w:t>
      </w:r>
      <w:proofErr w:type="spellStart"/>
      <w:r w:rsidRPr="008B1AFF">
        <w:rPr>
          <w:rFonts w:asciiTheme="majorHAnsi" w:eastAsia="Times New Roman" w:hAnsiTheme="majorHAnsi" w:cstheme="majorHAnsi"/>
          <w:sz w:val="24"/>
          <w:szCs w:val="24"/>
        </w:rPr>
        <w:t>Insurasave</w:t>
      </w:r>
      <w:proofErr w:type="spellEnd"/>
      <w:r w:rsidRPr="008B1AFF">
        <w:rPr>
          <w:rFonts w:asciiTheme="majorHAnsi" w:eastAsia="Times New Roman" w:hAnsiTheme="majorHAnsi" w:cstheme="majorHAnsi"/>
          <w:sz w:val="24"/>
          <w:szCs w:val="24"/>
        </w:rPr>
        <w:t xml:space="preserve"> requires coordinated effort across multiple stakeholders, each influencing employee experience in different but interconnected ways.</w:t>
      </w:r>
    </w:p>
    <w:p w14:paraId="12A106EE" w14:textId="59E6F18A" w:rsidR="008B1AFF" w:rsidRPr="008B1AFF" w:rsidRDefault="008B1AFF" w:rsidP="008B1AFF">
      <w:pPr>
        <w:rPr>
          <w:rFonts w:asciiTheme="majorHAnsi" w:eastAsia="Times New Roman" w:hAnsiTheme="majorHAnsi" w:cstheme="majorHAnsi"/>
          <w:sz w:val="24"/>
          <w:szCs w:val="24"/>
        </w:rPr>
      </w:pPr>
      <w:r w:rsidRPr="008B1AFF">
        <w:rPr>
          <w:rFonts w:asciiTheme="majorHAnsi" w:eastAsia="Times New Roman" w:hAnsiTheme="majorHAnsi" w:cstheme="majorHAnsi"/>
          <w:sz w:val="24"/>
          <w:szCs w:val="24"/>
        </w:rPr>
        <w:t>People professionals play a central role by designing policies that promote healthy working environments, such as flexible working, mental health support and fair people management practices. The CIPD stresses that wellbeing must be embedded into organisational culture rather than delivered through isolated initiatives (CIPD, 2025). CIPD research also highlights that poor management style is a major cause of stress</w:t>
      </w:r>
      <w:r w:rsidRPr="008B1AFF">
        <w:rPr>
          <w:rFonts w:asciiTheme="majorHAnsi" w:eastAsia="Times New Roman" w:hAnsiTheme="majorHAnsi" w:cstheme="majorHAnsi"/>
          <w:sz w:val="24"/>
          <w:szCs w:val="24"/>
        </w:rPr>
        <w:noBreakHyphen/>
        <w:t>related absence, while well</w:t>
      </w:r>
      <w:r w:rsidRPr="008B1AFF">
        <w:rPr>
          <w:rFonts w:asciiTheme="majorHAnsi" w:eastAsia="Times New Roman" w:hAnsiTheme="majorHAnsi" w:cstheme="majorHAnsi"/>
          <w:sz w:val="24"/>
          <w:szCs w:val="24"/>
        </w:rPr>
        <w:noBreakHyphen/>
        <w:t xml:space="preserve">designed wellbeing strategies improve engagement, productivity and retention (CIPD, 2025). HR professionals further contribute </w:t>
      </w:r>
      <w:r w:rsidR="002E1140">
        <w:rPr>
          <w:rFonts w:asciiTheme="majorHAnsi" w:eastAsia="Times New Roman" w:hAnsiTheme="majorHAnsi" w:cstheme="majorHAnsi"/>
          <w:sz w:val="24"/>
          <w:szCs w:val="24"/>
        </w:rPr>
        <w:t xml:space="preserve">to wellbeing </w:t>
      </w:r>
      <w:r w:rsidR="00B83022">
        <w:rPr>
          <w:rFonts w:asciiTheme="majorHAnsi" w:eastAsia="Times New Roman" w:hAnsiTheme="majorHAnsi" w:cstheme="majorHAnsi"/>
          <w:sz w:val="24"/>
          <w:szCs w:val="24"/>
        </w:rPr>
        <w:t>by promoting</w:t>
      </w:r>
      <w:r w:rsidRPr="008B1AFF">
        <w:rPr>
          <w:rFonts w:asciiTheme="majorHAnsi" w:eastAsia="Times New Roman" w:hAnsiTheme="majorHAnsi" w:cstheme="majorHAnsi"/>
          <w:sz w:val="24"/>
          <w:szCs w:val="24"/>
        </w:rPr>
        <w:t xml:space="preserve"> Employee Assistance Programmes (EAPs), wellbeing communication and inclusive leadership practices</w:t>
      </w:r>
      <w:r w:rsidR="00B83022">
        <w:rPr>
          <w:rFonts w:asciiTheme="majorHAnsi" w:eastAsia="Times New Roman" w:hAnsiTheme="majorHAnsi" w:cstheme="majorHAnsi"/>
          <w:sz w:val="24"/>
          <w:szCs w:val="24"/>
        </w:rPr>
        <w:t xml:space="preserve">. </w:t>
      </w:r>
    </w:p>
    <w:p w14:paraId="6679BF2E" w14:textId="77777777" w:rsidR="00E13355" w:rsidRDefault="00E13355" w:rsidP="008B1AFF">
      <w:pPr>
        <w:rPr>
          <w:rFonts w:asciiTheme="majorHAnsi" w:eastAsia="Times New Roman" w:hAnsiTheme="majorHAnsi" w:cstheme="majorHAnsi"/>
          <w:sz w:val="24"/>
          <w:szCs w:val="24"/>
        </w:rPr>
      </w:pPr>
    </w:p>
    <w:p w14:paraId="46939D52" w14:textId="373096D2" w:rsidR="008B1AFF" w:rsidRDefault="008B1AFF" w:rsidP="008B1AFF">
      <w:pPr>
        <w:rPr>
          <w:rFonts w:asciiTheme="majorHAnsi" w:eastAsia="Times New Roman" w:hAnsiTheme="majorHAnsi" w:cstheme="majorHAnsi"/>
          <w:sz w:val="24"/>
          <w:szCs w:val="24"/>
        </w:rPr>
      </w:pPr>
      <w:r w:rsidRPr="008B1AFF">
        <w:rPr>
          <w:rFonts w:asciiTheme="majorHAnsi" w:eastAsia="Times New Roman" w:hAnsiTheme="majorHAnsi" w:cstheme="majorHAnsi"/>
          <w:sz w:val="24"/>
          <w:szCs w:val="24"/>
        </w:rPr>
        <w:t>However, the impact of people professionals can be limited when wellbeing is treated as a short</w:t>
      </w:r>
      <w:r w:rsidRPr="008B1AFF">
        <w:rPr>
          <w:rFonts w:asciiTheme="majorHAnsi" w:eastAsia="Times New Roman" w:hAnsiTheme="majorHAnsi" w:cstheme="majorHAnsi"/>
          <w:sz w:val="24"/>
          <w:szCs w:val="24"/>
        </w:rPr>
        <w:noBreakHyphen/>
        <w:t xml:space="preserve">term initiative rather than a cultural priority. </w:t>
      </w:r>
      <w:r w:rsidR="00A7428D" w:rsidRPr="008B1AFF">
        <w:rPr>
          <w:rFonts w:asciiTheme="majorHAnsi" w:eastAsia="Times New Roman" w:hAnsiTheme="majorHAnsi" w:cstheme="majorHAnsi"/>
          <w:sz w:val="24"/>
          <w:szCs w:val="24"/>
        </w:rPr>
        <w:t>Budget constraints</w:t>
      </w:r>
      <w:r w:rsidR="00A7428D">
        <w:rPr>
          <w:rFonts w:asciiTheme="majorHAnsi" w:eastAsia="Times New Roman" w:hAnsiTheme="majorHAnsi" w:cstheme="majorHAnsi"/>
          <w:sz w:val="24"/>
          <w:szCs w:val="24"/>
        </w:rPr>
        <w:t xml:space="preserve"> </w:t>
      </w:r>
      <w:r w:rsidR="004E7C6A" w:rsidRPr="008B1AFF">
        <w:rPr>
          <w:rFonts w:asciiTheme="majorHAnsi" w:eastAsia="Times New Roman" w:hAnsiTheme="majorHAnsi" w:cstheme="majorHAnsi"/>
          <w:sz w:val="24"/>
          <w:szCs w:val="24"/>
        </w:rPr>
        <w:t>limit</w:t>
      </w:r>
      <w:r w:rsidR="004E7C6A">
        <w:rPr>
          <w:rFonts w:asciiTheme="majorHAnsi" w:eastAsia="Times New Roman" w:hAnsiTheme="majorHAnsi" w:cstheme="majorHAnsi"/>
          <w:sz w:val="24"/>
          <w:szCs w:val="24"/>
        </w:rPr>
        <w:t xml:space="preserve"> </w:t>
      </w:r>
      <w:r w:rsidRPr="008B1AFF">
        <w:rPr>
          <w:rFonts w:asciiTheme="majorHAnsi" w:eastAsia="Times New Roman" w:hAnsiTheme="majorHAnsi" w:cstheme="majorHAnsi"/>
          <w:sz w:val="24"/>
          <w:szCs w:val="24"/>
        </w:rPr>
        <w:t>managerial buy</w:t>
      </w:r>
      <w:r w:rsidRPr="008B1AFF">
        <w:rPr>
          <w:rFonts w:asciiTheme="majorHAnsi" w:eastAsia="Times New Roman" w:hAnsiTheme="majorHAnsi" w:cstheme="majorHAnsi"/>
          <w:sz w:val="24"/>
          <w:szCs w:val="24"/>
        </w:rPr>
        <w:noBreakHyphen/>
      </w:r>
      <w:r w:rsidR="004E7C6A" w:rsidRPr="008B1AFF">
        <w:rPr>
          <w:rFonts w:asciiTheme="majorHAnsi" w:eastAsia="Times New Roman" w:hAnsiTheme="majorHAnsi" w:cstheme="majorHAnsi"/>
          <w:sz w:val="24"/>
          <w:szCs w:val="24"/>
        </w:rPr>
        <w:t>in,</w:t>
      </w:r>
      <w:r w:rsidRPr="008B1AFF">
        <w:rPr>
          <w:rFonts w:asciiTheme="majorHAnsi" w:eastAsia="Times New Roman" w:hAnsiTheme="majorHAnsi" w:cstheme="majorHAnsi"/>
          <w:sz w:val="24"/>
          <w:szCs w:val="24"/>
        </w:rPr>
        <w:t xml:space="preserve"> and heavy workloads </w:t>
      </w:r>
      <w:r w:rsidR="00A7428D">
        <w:rPr>
          <w:rFonts w:asciiTheme="majorHAnsi" w:eastAsia="Times New Roman" w:hAnsiTheme="majorHAnsi" w:cstheme="majorHAnsi"/>
          <w:sz w:val="24"/>
          <w:szCs w:val="24"/>
        </w:rPr>
        <w:t xml:space="preserve">can also </w:t>
      </w:r>
      <w:r w:rsidRPr="008B1AFF">
        <w:rPr>
          <w:rFonts w:asciiTheme="majorHAnsi" w:eastAsia="Times New Roman" w:hAnsiTheme="majorHAnsi" w:cstheme="majorHAnsi"/>
          <w:sz w:val="24"/>
          <w:szCs w:val="24"/>
        </w:rPr>
        <w:t>restrict implementation. Additionally, employees may distrust HR if wellbeing policies appear to prioritise organisational outcomes over genuine employee support (CIPD, 2025).</w:t>
      </w:r>
    </w:p>
    <w:p w14:paraId="0AE894A9" w14:textId="77777777" w:rsidR="00A7428D" w:rsidRPr="008B1AFF" w:rsidRDefault="00A7428D" w:rsidP="008B1AFF">
      <w:pPr>
        <w:rPr>
          <w:rFonts w:asciiTheme="majorHAnsi" w:eastAsia="Times New Roman" w:hAnsiTheme="majorHAnsi" w:cstheme="majorHAnsi"/>
          <w:sz w:val="24"/>
          <w:szCs w:val="24"/>
        </w:rPr>
      </w:pPr>
    </w:p>
    <w:p w14:paraId="280729DC" w14:textId="77777777" w:rsidR="008B1AFF" w:rsidRPr="008B1AFF" w:rsidRDefault="008B1AFF" w:rsidP="008B1AFF">
      <w:pPr>
        <w:rPr>
          <w:rFonts w:asciiTheme="majorHAnsi" w:eastAsia="Times New Roman" w:hAnsiTheme="majorHAnsi" w:cstheme="majorHAnsi"/>
          <w:sz w:val="24"/>
          <w:szCs w:val="24"/>
        </w:rPr>
      </w:pPr>
      <w:r w:rsidRPr="008B1AFF">
        <w:rPr>
          <w:rFonts w:asciiTheme="majorHAnsi" w:eastAsia="Times New Roman" w:hAnsiTheme="majorHAnsi" w:cstheme="majorHAnsi"/>
          <w:sz w:val="24"/>
          <w:szCs w:val="24"/>
        </w:rPr>
        <w:t xml:space="preserve">Leadership and management also play a critical role in shaping wellbeing. Line managers have the most direct influence, as they manage workloads, provide feedback and support employees daily. The CIPD (2020) found that manager behaviour is one of the strongest predictors of employee wellbeing, with empathetic and inclusive leadership improving trust, engagement and psychological safety. Senior leaders influence wellbeing by setting </w:t>
      </w:r>
      <w:r w:rsidRPr="008B1AFF">
        <w:rPr>
          <w:rFonts w:asciiTheme="majorHAnsi" w:eastAsia="Times New Roman" w:hAnsiTheme="majorHAnsi" w:cstheme="majorHAnsi"/>
          <w:sz w:val="24"/>
          <w:szCs w:val="24"/>
        </w:rPr>
        <w:lastRenderedPageBreak/>
        <w:t>expectations, modelling healthy behaviours and creating a culture that values work–life balance.</w:t>
      </w:r>
    </w:p>
    <w:p w14:paraId="6AB4650A" w14:textId="77777777" w:rsidR="00E13355" w:rsidRDefault="00E13355" w:rsidP="008B1AFF">
      <w:pPr>
        <w:rPr>
          <w:rFonts w:asciiTheme="majorHAnsi" w:eastAsia="Times New Roman" w:hAnsiTheme="majorHAnsi" w:cstheme="majorHAnsi"/>
          <w:sz w:val="24"/>
          <w:szCs w:val="24"/>
        </w:rPr>
      </w:pPr>
    </w:p>
    <w:p w14:paraId="3C7FDD54" w14:textId="77777777" w:rsidR="00E13355" w:rsidRDefault="008B1AFF" w:rsidP="008B1AFF">
      <w:pPr>
        <w:rPr>
          <w:rFonts w:asciiTheme="majorHAnsi" w:eastAsia="Times New Roman" w:hAnsiTheme="majorHAnsi" w:cstheme="majorHAnsi"/>
          <w:sz w:val="24"/>
          <w:szCs w:val="24"/>
        </w:rPr>
      </w:pPr>
      <w:r w:rsidRPr="008B1AFF">
        <w:rPr>
          <w:rFonts w:asciiTheme="majorHAnsi" w:eastAsia="Times New Roman" w:hAnsiTheme="majorHAnsi" w:cstheme="majorHAnsi"/>
          <w:sz w:val="24"/>
          <w:szCs w:val="24"/>
        </w:rPr>
        <w:t xml:space="preserve">Despite these strengths, poor leadership can significantly undermine wellbeing. Managers who lack training, prioritise performance over people or fail to recognise signs of stress can contribute to conflict, burnout and increased absence. </w:t>
      </w:r>
    </w:p>
    <w:p w14:paraId="03718AA4" w14:textId="77777777" w:rsidR="00E13355" w:rsidRDefault="00E13355" w:rsidP="008B1AFF">
      <w:pPr>
        <w:rPr>
          <w:rFonts w:asciiTheme="majorHAnsi" w:eastAsia="Times New Roman" w:hAnsiTheme="majorHAnsi" w:cstheme="majorHAnsi"/>
          <w:sz w:val="24"/>
          <w:szCs w:val="24"/>
        </w:rPr>
      </w:pPr>
    </w:p>
    <w:p w14:paraId="35DD92F2" w14:textId="105AB8D5" w:rsidR="008B1AFF" w:rsidRPr="008B1AFF" w:rsidRDefault="008B1AFF" w:rsidP="008B1AFF">
      <w:pPr>
        <w:rPr>
          <w:rFonts w:asciiTheme="majorHAnsi" w:eastAsia="Times New Roman" w:hAnsiTheme="majorHAnsi" w:cstheme="majorHAnsi"/>
          <w:sz w:val="24"/>
          <w:szCs w:val="24"/>
        </w:rPr>
      </w:pPr>
      <w:r w:rsidRPr="008B1AFF">
        <w:rPr>
          <w:rFonts w:asciiTheme="majorHAnsi" w:eastAsia="Times New Roman" w:hAnsiTheme="majorHAnsi" w:cstheme="majorHAnsi"/>
          <w:sz w:val="24"/>
          <w:szCs w:val="24"/>
        </w:rPr>
        <w:t>CIPD evidence shows that inconsistent leadership capability remains a major barrier to sustainable wellbeing outcomes (CIPD, 2020).</w:t>
      </w:r>
    </w:p>
    <w:p w14:paraId="026A2A11" w14:textId="77777777" w:rsidR="00D672E2" w:rsidRDefault="00D672E2" w:rsidP="008B1AFF">
      <w:pPr>
        <w:rPr>
          <w:rFonts w:asciiTheme="majorHAnsi" w:eastAsia="Times New Roman" w:hAnsiTheme="majorHAnsi" w:cstheme="majorHAnsi"/>
          <w:sz w:val="24"/>
          <w:szCs w:val="24"/>
        </w:rPr>
      </w:pPr>
    </w:p>
    <w:p w14:paraId="105B2655" w14:textId="569031FD" w:rsidR="008B1AFF" w:rsidRPr="008B1AFF" w:rsidRDefault="008B1AFF" w:rsidP="008B1AFF">
      <w:pPr>
        <w:rPr>
          <w:rFonts w:asciiTheme="majorHAnsi" w:eastAsia="Times New Roman" w:hAnsiTheme="majorHAnsi" w:cstheme="majorHAnsi"/>
          <w:sz w:val="24"/>
          <w:szCs w:val="24"/>
        </w:rPr>
      </w:pPr>
      <w:r w:rsidRPr="008B1AFF">
        <w:rPr>
          <w:rFonts w:asciiTheme="majorHAnsi" w:eastAsia="Times New Roman" w:hAnsiTheme="majorHAnsi" w:cstheme="majorHAnsi"/>
          <w:sz w:val="24"/>
          <w:szCs w:val="24"/>
        </w:rPr>
        <w:t xml:space="preserve">External partners </w:t>
      </w:r>
      <w:r w:rsidR="004E7C6A">
        <w:rPr>
          <w:rFonts w:asciiTheme="majorHAnsi" w:eastAsia="Times New Roman" w:hAnsiTheme="majorHAnsi" w:cstheme="majorHAnsi"/>
          <w:sz w:val="24"/>
          <w:szCs w:val="24"/>
        </w:rPr>
        <w:t xml:space="preserve">who </w:t>
      </w:r>
      <w:r w:rsidRPr="008B1AFF">
        <w:rPr>
          <w:rFonts w:asciiTheme="majorHAnsi" w:eastAsia="Times New Roman" w:hAnsiTheme="majorHAnsi" w:cstheme="majorHAnsi"/>
          <w:sz w:val="24"/>
          <w:szCs w:val="24"/>
        </w:rPr>
        <w:t>also contribute meaningfully to wellbeing</w:t>
      </w:r>
      <w:r w:rsidR="004E7C6A">
        <w:rPr>
          <w:rFonts w:asciiTheme="majorHAnsi" w:eastAsia="Times New Roman" w:hAnsiTheme="majorHAnsi" w:cstheme="majorHAnsi"/>
          <w:sz w:val="24"/>
          <w:szCs w:val="24"/>
        </w:rPr>
        <w:t xml:space="preserve">, </w:t>
      </w:r>
      <w:r w:rsidR="007006A3">
        <w:rPr>
          <w:rFonts w:asciiTheme="majorHAnsi" w:eastAsia="Times New Roman" w:hAnsiTheme="majorHAnsi" w:cstheme="majorHAnsi"/>
          <w:sz w:val="24"/>
          <w:szCs w:val="24"/>
        </w:rPr>
        <w:t>include</w:t>
      </w:r>
      <w:r w:rsidRPr="008B1AFF">
        <w:rPr>
          <w:rFonts w:asciiTheme="majorHAnsi" w:eastAsia="Times New Roman" w:hAnsiTheme="majorHAnsi" w:cstheme="majorHAnsi"/>
          <w:sz w:val="24"/>
          <w:szCs w:val="24"/>
        </w:rPr>
        <w:t xml:space="preserve"> Occupational health providers </w:t>
      </w:r>
      <w:r w:rsidR="004E7C6A">
        <w:rPr>
          <w:rFonts w:asciiTheme="majorHAnsi" w:eastAsia="Times New Roman" w:hAnsiTheme="majorHAnsi" w:cstheme="majorHAnsi"/>
          <w:sz w:val="24"/>
          <w:szCs w:val="24"/>
        </w:rPr>
        <w:t xml:space="preserve">that </w:t>
      </w:r>
      <w:r w:rsidRPr="008B1AFF">
        <w:rPr>
          <w:rFonts w:asciiTheme="majorHAnsi" w:eastAsia="Times New Roman" w:hAnsiTheme="majorHAnsi" w:cstheme="majorHAnsi"/>
          <w:sz w:val="24"/>
          <w:szCs w:val="24"/>
        </w:rPr>
        <w:t>offer specialist assessments, early</w:t>
      </w:r>
      <w:r w:rsidRPr="008B1AFF">
        <w:rPr>
          <w:rFonts w:asciiTheme="majorHAnsi" w:eastAsia="Times New Roman" w:hAnsiTheme="majorHAnsi" w:cstheme="majorHAnsi"/>
          <w:sz w:val="24"/>
          <w:szCs w:val="24"/>
        </w:rPr>
        <w:noBreakHyphen/>
        <w:t>intervention support and guidance on complex health issues. ACAS (2022) emphasises the importance of fair treatment, clear communication and supportive management, reinforcing the value of external expertise in shaping organisational standards. These partners enhance internal capability by providing impartial advice and evidence</w:t>
      </w:r>
      <w:r w:rsidRPr="008B1AFF">
        <w:rPr>
          <w:rFonts w:asciiTheme="majorHAnsi" w:eastAsia="Times New Roman" w:hAnsiTheme="majorHAnsi" w:cstheme="majorHAnsi"/>
          <w:sz w:val="24"/>
          <w:szCs w:val="24"/>
        </w:rPr>
        <w:noBreakHyphen/>
        <w:t>based interventions.</w:t>
      </w:r>
    </w:p>
    <w:p w14:paraId="52591974" w14:textId="77777777" w:rsidR="00FE761A" w:rsidRDefault="00FE761A" w:rsidP="008B1AFF">
      <w:pPr>
        <w:rPr>
          <w:rFonts w:asciiTheme="majorHAnsi" w:eastAsia="Times New Roman" w:hAnsiTheme="majorHAnsi" w:cstheme="majorHAnsi"/>
          <w:sz w:val="24"/>
          <w:szCs w:val="24"/>
        </w:rPr>
      </w:pPr>
    </w:p>
    <w:p w14:paraId="13DA4B3F" w14:textId="2237D0FC" w:rsidR="008B1AFF" w:rsidRPr="008B1AFF" w:rsidRDefault="008B1AFF" w:rsidP="008B1AFF">
      <w:pPr>
        <w:rPr>
          <w:rFonts w:asciiTheme="majorHAnsi" w:eastAsia="Times New Roman" w:hAnsiTheme="majorHAnsi" w:cstheme="majorHAnsi"/>
          <w:sz w:val="24"/>
          <w:szCs w:val="24"/>
        </w:rPr>
      </w:pPr>
      <w:r w:rsidRPr="008B1AFF">
        <w:rPr>
          <w:rFonts w:asciiTheme="majorHAnsi" w:eastAsia="Times New Roman" w:hAnsiTheme="majorHAnsi" w:cstheme="majorHAnsi"/>
          <w:sz w:val="24"/>
          <w:szCs w:val="24"/>
        </w:rPr>
        <w:t>However, reliance on external support can be limited by cost, availability and inconsistent follow</w:t>
      </w:r>
      <w:r w:rsidRPr="008B1AFF">
        <w:rPr>
          <w:rFonts w:asciiTheme="majorHAnsi" w:eastAsia="Times New Roman" w:hAnsiTheme="majorHAnsi" w:cstheme="majorHAnsi"/>
          <w:sz w:val="24"/>
          <w:szCs w:val="24"/>
        </w:rPr>
        <w:noBreakHyphen/>
        <w:t>through by managers. CIPD research indicates that wellbeing outcomes are most effective when external input is combined with strong internal leadership commitment (CIPD, 2025).</w:t>
      </w:r>
    </w:p>
    <w:p w14:paraId="0D369F6F" w14:textId="2560AF02" w:rsidR="00351452" w:rsidRDefault="00351452" w:rsidP="001D2A8F">
      <w:pPr>
        <w:rPr>
          <w:rFonts w:asciiTheme="majorHAnsi" w:eastAsia="Times New Roman" w:hAnsiTheme="majorHAnsi" w:cstheme="majorHAnsi"/>
          <w:color w:val="0070C0"/>
          <w:sz w:val="24"/>
          <w:szCs w:val="24"/>
        </w:rPr>
      </w:pPr>
    </w:p>
    <w:p w14:paraId="38E459EE" w14:textId="77777777" w:rsidR="00AD536B" w:rsidRPr="00AD536B" w:rsidRDefault="00AD536B" w:rsidP="00AD536B">
      <w:pPr>
        <w:rPr>
          <w:rFonts w:asciiTheme="majorHAnsi" w:eastAsia="Times New Roman" w:hAnsiTheme="majorHAnsi" w:cstheme="majorHAnsi"/>
          <w:strike/>
          <w:color w:val="EE0000"/>
          <w:sz w:val="24"/>
          <w:szCs w:val="24"/>
        </w:rPr>
      </w:pPr>
      <w:r w:rsidRPr="00AD536B">
        <w:rPr>
          <w:rFonts w:asciiTheme="majorHAnsi" w:eastAsia="Times New Roman" w:hAnsiTheme="majorHAnsi" w:cstheme="majorHAnsi"/>
          <w:strike/>
          <w:color w:val="EE0000"/>
          <w:sz w:val="24"/>
          <w:szCs w:val="24"/>
        </w:rPr>
        <w:t xml:space="preserve">Improving wellbeing in </w:t>
      </w:r>
      <w:proofErr w:type="spellStart"/>
      <w:r w:rsidRPr="00AD536B">
        <w:rPr>
          <w:rFonts w:asciiTheme="majorHAnsi" w:eastAsia="Times New Roman" w:hAnsiTheme="majorHAnsi" w:cstheme="majorHAnsi"/>
          <w:strike/>
          <w:color w:val="EE0000"/>
          <w:sz w:val="24"/>
          <w:szCs w:val="24"/>
        </w:rPr>
        <w:t>Insurasave</w:t>
      </w:r>
      <w:proofErr w:type="spellEnd"/>
      <w:r w:rsidRPr="00AD536B">
        <w:rPr>
          <w:rFonts w:asciiTheme="majorHAnsi" w:eastAsia="Times New Roman" w:hAnsiTheme="majorHAnsi" w:cstheme="majorHAnsi"/>
          <w:strike/>
          <w:color w:val="EE0000"/>
          <w:sz w:val="24"/>
          <w:szCs w:val="24"/>
        </w:rPr>
        <w:t xml:space="preserve"> requires collaboration among multiple stakeholders, each contributing differently based on their role and influence. </w:t>
      </w:r>
    </w:p>
    <w:p w14:paraId="2B5ACFA3" w14:textId="77777777" w:rsidR="00AD536B" w:rsidRPr="00AD536B" w:rsidRDefault="00AD536B" w:rsidP="00AD536B">
      <w:pPr>
        <w:rPr>
          <w:rFonts w:asciiTheme="majorHAnsi" w:eastAsia="Times New Roman" w:hAnsiTheme="majorHAnsi" w:cstheme="majorHAnsi"/>
          <w:strike/>
          <w:color w:val="EE0000"/>
          <w:sz w:val="24"/>
          <w:szCs w:val="24"/>
        </w:rPr>
      </w:pPr>
    </w:p>
    <w:p w14:paraId="55DC6154" w14:textId="77777777" w:rsidR="00AD536B" w:rsidRPr="00AD536B" w:rsidRDefault="00AD536B" w:rsidP="00AD536B">
      <w:pPr>
        <w:rPr>
          <w:rFonts w:asciiTheme="majorHAnsi" w:eastAsia="Times New Roman" w:hAnsiTheme="majorHAnsi" w:cstheme="majorHAnsi"/>
          <w:strike/>
          <w:color w:val="EE0000"/>
          <w:sz w:val="24"/>
          <w:szCs w:val="24"/>
        </w:rPr>
      </w:pPr>
      <w:r w:rsidRPr="00AD536B">
        <w:rPr>
          <w:rFonts w:asciiTheme="majorHAnsi" w:eastAsia="Times New Roman" w:hAnsiTheme="majorHAnsi" w:cstheme="majorHAnsi"/>
          <w:strike/>
          <w:color w:val="EE0000"/>
          <w:sz w:val="24"/>
          <w:szCs w:val="24"/>
        </w:rPr>
        <w:t xml:space="preserve">Senior leaders play a strategic role in shaping organisational culture, priorities, and resource allocation. The CIPD (2023), analysing UK organisations’ wellbeing strategies, highlights leadership commitment as essential for embedding wellbeing into organisational culture. </w:t>
      </w:r>
    </w:p>
    <w:p w14:paraId="028EA770" w14:textId="77777777" w:rsidR="00AD536B" w:rsidRPr="00AD536B" w:rsidRDefault="00AD536B" w:rsidP="00AD536B">
      <w:pPr>
        <w:rPr>
          <w:rFonts w:asciiTheme="majorHAnsi" w:eastAsia="Times New Roman" w:hAnsiTheme="majorHAnsi" w:cstheme="majorHAnsi"/>
          <w:strike/>
          <w:color w:val="EE0000"/>
          <w:sz w:val="24"/>
          <w:szCs w:val="24"/>
        </w:rPr>
      </w:pPr>
    </w:p>
    <w:p w14:paraId="35BA37F3" w14:textId="77777777" w:rsidR="00AD536B" w:rsidRPr="00AD536B" w:rsidRDefault="00AD536B" w:rsidP="00AD536B">
      <w:pPr>
        <w:rPr>
          <w:rFonts w:asciiTheme="majorHAnsi" w:eastAsia="Times New Roman" w:hAnsiTheme="majorHAnsi" w:cstheme="majorHAnsi"/>
          <w:strike/>
          <w:color w:val="EE0000"/>
          <w:sz w:val="24"/>
          <w:szCs w:val="24"/>
        </w:rPr>
      </w:pPr>
      <w:r w:rsidRPr="00AD536B">
        <w:rPr>
          <w:rFonts w:asciiTheme="majorHAnsi" w:eastAsia="Times New Roman" w:hAnsiTheme="majorHAnsi" w:cstheme="majorHAnsi"/>
          <w:strike/>
          <w:color w:val="EE0000"/>
          <w:sz w:val="24"/>
          <w:szCs w:val="24"/>
        </w:rPr>
        <w:t xml:space="preserve">HR or People professionals contribute by designing evidence-based wellbeing strategies informed by absence and engagement data. Their influence is indirect, relying </w:t>
      </w:r>
      <w:proofErr w:type="gramStart"/>
      <w:r w:rsidRPr="00AD536B">
        <w:rPr>
          <w:rFonts w:asciiTheme="majorHAnsi" w:eastAsia="Times New Roman" w:hAnsiTheme="majorHAnsi" w:cstheme="majorHAnsi"/>
          <w:strike/>
          <w:color w:val="EE0000"/>
          <w:sz w:val="24"/>
          <w:szCs w:val="24"/>
        </w:rPr>
        <w:t>on line</w:t>
      </w:r>
      <w:proofErr w:type="gramEnd"/>
      <w:r w:rsidRPr="00AD536B">
        <w:rPr>
          <w:rFonts w:asciiTheme="majorHAnsi" w:eastAsia="Times New Roman" w:hAnsiTheme="majorHAnsi" w:cstheme="majorHAnsi"/>
          <w:strike/>
          <w:color w:val="EE0000"/>
          <w:sz w:val="24"/>
          <w:szCs w:val="24"/>
        </w:rPr>
        <w:t xml:space="preserve"> managers for effective implementation. </w:t>
      </w:r>
    </w:p>
    <w:p w14:paraId="44012AF7" w14:textId="77777777" w:rsidR="00AD536B" w:rsidRPr="00AD536B" w:rsidRDefault="00AD536B" w:rsidP="00AD536B">
      <w:pPr>
        <w:rPr>
          <w:rFonts w:asciiTheme="majorHAnsi" w:eastAsia="Times New Roman" w:hAnsiTheme="majorHAnsi" w:cstheme="majorHAnsi"/>
          <w:strike/>
          <w:color w:val="EE0000"/>
          <w:sz w:val="24"/>
          <w:szCs w:val="24"/>
        </w:rPr>
      </w:pPr>
    </w:p>
    <w:p w14:paraId="7BDA0D5C" w14:textId="77777777" w:rsidR="00AD536B" w:rsidRPr="00AD536B" w:rsidRDefault="00AD536B" w:rsidP="00AD536B">
      <w:pPr>
        <w:rPr>
          <w:rFonts w:asciiTheme="majorHAnsi" w:eastAsia="Times New Roman" w:hAnsiTheme="majorHAnsi" w:cstheme="majorHAnsi"/>
          <w:strike/>
          <w:color w:val="EE0000"/>
          <w:sz w:val="24"/>
          <w:szCs w:val="24"/>
        </w:rPr>
      </w:pPr>
      <w:r w:rsidRPr="00AD536B">
        <w:rPr>
          <w:rFonts w:asciiTheme="majorHAnsi" w:eastAsia="Times New Roman" w:hAnsiTheme="majorHAnsi" w:cstheme="majorHAnsi"/>
          <w:strike/>
          <w:color w:val="EE0000"/>
          <w:sz w:val="24"/>
          <w:szCs w:val="24"/>
        </w:rPr>
        <w:t xml:space="preserve">Line managers have the most direct impact on employee wellbeing, as they manage workloads, provide feedback, and support staff day to day. The CIPD (2020), based on workplace wellbeing research, found that manager behaviour is one of the strongest predictors of employee wellbeing. </w:t>
      </w:r>
    </w:p>
    <w:p w14:paraId="773F7522" w14:textId="77777777" w:rsidR="00AD536B" w:rsidRPr="00AD536B" w:rsidRDefault="00AD536B" w:rsidP="00AD536B">
      <w:pPr>
        <w:rPr>
          <w:rFonts w:asciiTheme="majorHAnsi" w:eastAsia="Times New Roman" w:hAnsiTheme="majorHAnsi" w:cstheme="majorHAnsi"/>
          <w:strike/>
          <w:color w:val="EE0000"/>
          <w:sz w:val="24"/>
          <w:szCs w:val="24"/>
        </w:rPr>
      </w:pPr>
    </w:p>
    <w:p w14:paraId="587D9D26" w14:textId="77777777" w:rsidR="00AD536B" w:rsidRPr="00AD536B" w:rsidRDefault="00AD536B" w:rsidP="00AD536B">
      <w:pPr>
        <w:rPr>
          <w:rFonts w:asciiTheme="majorHAnsi" w:eastAsia="Times New Roman" w:hAnsiTheme="majorHAnsi" w:cstheme="majorHAnsi"/>
          <w:strike/>
          <w:color w:val="EE0000"/>
          <w:sz w:val="24"/>
          <w:szCs w:val="24"/>
        </w:rPr>
      </w:pPr>
      <w:r w:rsidRPr="00AD536B">
        <w:rPr>
          <w:rFonts w:asciiTheme="majorHAnsi" w:eastAsia="Times New Roman" w:hAnsiTheme="majorHAnsi" w:cstheme="majorHAnsi"/>
          <w:strike/>
          <w:color w:val="EE0000"/>
          <w:sz w:val="24"/>
          <w:szCs w:val="24"/>
        </w:rPr>
        <w:t xml:space="preserve">Employees also contribute by engaging with initiatives and providing feedback to ensure relevance and effectiveness. </w:t>
      </w:r>
    </w:p>
    <w:p w14:paraId="6602A820" w14:textId="77777777" w:rsidR="00AD536B" w:rsidRPr="00AD536B" w:rsidRDefault="00AD536B" w:rsidP="00AD536B">
      <w:pPr>
        <w:rPr>
          <w:rFonts w:asciiTheme="majorHAnsi" w:eastAsia="Times New Roman" w:hAnsiTheme="majorHAnsi" w:cstheme="majorHAnsi"/>
          <w:strike/>
          <w:color w:val="EE0000"/>
          <w:sz w:val="24"/>
          <w:szCs w:val="24"/>
        </w:rPr>
      </w:pPr>
    </w:p>
    <w:p w14:paraId="0EF8ADFE" w14:textId="77777777" w:rsidR="00AD536B" w:rsidRPr="00AD536B" w:rsidRDefault="00AD536B" w:rsidP="00AD536B">
      <w:pPr>
        <w:rPr>
          <w:rFonts w:asciiTheme="majorHAnsi" w:eastAsia="Times New Roman" w:hAnsiTheme="majorHAnsi" w:cstheme="majorHAnsi"/>
          <w:strike/>
          <w:color w:val="EE0000"/>
          <w:sz w:val="24"/>
          <w:szCs w:val="24"/>
        </w:rPr>
      </w:pPr>
      <w:r w:rsidRPr="00AD536B">
        <w:rPr>
          <w:rFonts w:asciiTheme="majorHAnsi" w:eastAsia="Times New Roman" w:hAnsiTheme="majorHAnsi" w:cstheme="majorHAnsi"/>
          <w:strike/>
          <w:color w:val="EE0000"/>
          <w:sz w:val="24"/>
          <w:szCs w:val="24"/>
        </w:rPr>
        <w:t xml:space="preserve">External stakeholders, such as occupational health providers, deliver specialist support, and ACAS (2022), analysing UK workplace practices, highlights the importance of fair treatment and supportive management. </w:t>
      </w:r>
    </w:p>
    <w:p w14:paraId="75379EFE" w14:textId="77777777" w:rsidR="00AD536B" w:rsidRPr="00AD536B" w:rsidRDefault="00AD536B" w:rsidP="00AD536B">
      <w:pPr>
        <w:rPr>
          <w:rFonts w:asciiTheme="majorHAnsi" w:eastAsia="Times New Roman" w:hAnsiTheme="majorHAnsi" w:cstheme="majorHAnsi"/>
          <w:strike/>
          <w:color w:val="EE0000"/>
          <w:sz w:val="24"/>
          <w:szCs w:val="24"/>
        </w:rPr>
      </w:pPr>
    </w:p>
    <w:p w14:paraId="7C525986" w14:textId="77777777" w:rsidR="00AD536B" w:rsidRDefault="00AD536B" w:rsidP="00AD536B">
      <w:pPr>
        <w:rPr>
          <w:rFonts w:asciiTheme="majorHAnsi" w:eastAsia="Times New Roman" w:hAnsiTheme="majorHAnsi" w:cstheme="majorHAnsi"/>
          <w:sz w:val="24"/>
          <w:szCs w:val="24"/>
        </w:rPr>
      </w:pPr>
      <w:r w:rsidRPr="00AD536B">
        <w:rPr>
          <w:rFonts w:asciiTheme="majorHAnsi" w:eastAsia="Times New Roman" w:hAnsiTheme="majorHAnsi" w:cstheme="majorHAnsi"/>
          <w:strike/>
          <w:color w:val="EE0000"/>
          <w:sz w:val="24"/>
          <w:szCs w:val="24"/>
        </w:rPr>
        <w:t xml:space="preserve">Critically, senior leaders and line managers exert the greatest influence on wellbeing due to their control over culture and working conditions, making collaboration essential for </w:t>
      </w:r>
      <w:r w:rsidRPr="00AD536B">
        <w:rPr>
          <w:rFonts w:asciiTheme="majorHAnsi" w:eastAsia="Times New Roman" w:hAnsiTheme="majorHAnsi" w:cstheme="majorHAnsi"/>
          <w:strike/>
          <w:color w:val="EE0000"/>
          <w:sz w:val="24"/>
          <w:szCs w:val="24"/>
        </w:rPr>
        <w:lastRenderedPageBreak/>
        <w:t>sustainable outcomes.</w:t>
      </w:r>
      <w:r w:rsidRPr="00AD536B">
        <w:rPr>
          <w:rFonts w:asciiTheme="majorHAnsi" w:eastAsia="Times New Roman" w:hAnsiTheme="majorHAnsi" w:cstheme="majorHAnsi"/>
          <w:sz w:val="24"/>
          <w:szCs w:val="24"/>
        </w:rPr>
        <w:br/>
      </w:r>
    </w:p>
    <w:p w14:paraId="72926D88" w14:textId="77777777" w:rsidR="00AE6F41" w:rsidRDefault="00185E6D" w:rsidP="00AE6F41">
      <w:pPr>
        <w:rPr>
          <w:rFonts w:asciiTheme="majorHAnsi" w:eastAsia="Times New Roman" w:hAnsiTheme="majorHAnsi" w:cstheme="majorHAnsi"/>
        </w:rPr>
      </w:pPr>
      <w:r w:rsidRPr="00AE3D06">
        <w:rPr>
          <w:rFonts w:asciiTheme="majorHAnsi" w:eastAsia="Times New Roman" w:hAnsiTheme="majorHAnsi" w:cstheme="majorHAnsi"/>
          <w:color w:val="0070C0"/>
          <w:sz w:val="24"/>
          <w:szCs w:val="24"/>
        </w:rPr>
        <w:t xml:space="preserve">5. Discuss how wellbeing interacts with other </w:t>
      </w:r>
      <w:r w:rsidR="00843063" w:rsidRPr="00AE3D06">
        <w:rPr>
          <w:rFonts w:asciiTheme="majorHAnsi" w:eastAsia="Times New Roman" w:hAnsiTheme="majorHAnsi" w:cstheme="majorHAnsi"/>
          <w:color w:val="0070C0"/>
          <w:sz w:val="24"/>
          <w:szCs w:val="24"/>
        </w:rPr>
        <w:t>areas of people management practice</w:t>
      </w:r>
      <w:r w:rsidRPr="00AE3D06">
        <w:rPr>
          <w:rFonts w:asciiTheme="majorHAnsi" w:eastAsia="Times New Roman" w:hAnsiTheme="majorHAnsi" w:cstheme="majorHAnsi"/>
          <w:color w:val="0070C0"/>
          <w:sz w:val="24"/>
          <w:szCs w:val="24"/>
        </w:rPr>
        <w:t xml:space="preserve"> (AC 2.2)</w:t>
      </w:r>
      <w:r w:rsidRPr="00AE3D06">
        <w:rPr>
          <w:rFonts w:asciiTheme="majorHAnsi" w:eastAsia="Times New Roman" w:hAnsiTheme="majorHAnsi" w:cstheme="majorHAnsi"/>
          <w:sz w:val="24"/>
          <w:szCs w:val="24"/>
        </w:rPr>
        <w:br/>
      </w:r>
    </w:p>
    <w:p w14:paraId="6BC5A08A" w14:textId="77777777" w:rsidR="0033410B" w:rsidRDefault="00AE6F41" w:rsidP="00AE6F41">
      <w:pPr>
        <w:rPr>
          <w:rFonts w:asciiTheme="majorHAnsi" w:eastAsia="Times New Roman" w:hAnsiTheme="majorHAnsi" w:cstheme="majorHAnsi"/>
        </w:rPr>
      </w:pPr>
      <w:r w:rsidRPr="00AE6F41">
        <w:rPr>
          <w:rFonts w:asciiTheme="majorHAnsi" w:eastAsia="Times New Roman" w:hAnsiTheme="majorHAnsi" w:cstheme="majorHAnsi"/>
        </w:rPr>
        <w:t xml:space="preserve">Wellbeing is deeply interconnected with multiple areas of people management practice, and its effectiveness depends on how well these practices operate together. </w:t>
      </w:r>
    </w:p>
    <w:p w14:paraId="57D70B8F" w14:textId="77777777" w:rsidR="0033410B" w:rsidRDefault="0033410B" w:rsidP="00AE6F41">
      <w:pPr>
        <w:rPr>
          <w:rFonts w:asciiTheme="majorHAnsi" w:eastAsia="Times New Roman" w:hAnsiTheme="majorHAnsi" w:cstheme="majorHAnsi"/>
        </w:rPr>
      </w:pPr>
    </w:p>
    <w:p w14:paraId="1ABEB9E7" w14:textId="17ACB637" w:rsidR="00AE6F41" w:rsidRPr="00AE6F41" w:rsidRDefault="00AE6F41" w:rsidP="00AE6F41">
      <w:pPr>
        <w:rPr>
          <w:rFonts w:asciiTheme="majorHAnsi" w:eastAsia="Times New Roman" w:hAnsiTheme="majorHAnsi" w:cstheme="majorHAnsi"/>
        </w:rPr>
      </w:pPr>
      <w:r w:rsidRPr="00AE6F41">
        <w:rPr>
          <w:rFonts w:asciiTheme="majorHAnsi" w:eastAsia="Times New Roman" w:hAnsiTheme="majorHAnsi" w:cstheme="majorHAnsi"/>
        </w:rPr>
        <w:t xml:space="preserve">At </w:t>
      </w:r>
      <w:proofErr w:type="spellStart"/>
      <w:r w:rsidRPr="00AE6F41">
        <w:rPr>
          <w:rFonts w:asciiTheme="majorHAnsi" w:eastAsia="Times New Roman" w:hAnsiTheme="majorHAnsi" w:cstheme="majorHAnsi"/>
        </w:rPr>
        <w:t>Insurasave</w:t>
      </w:r>
      <w:proofErr w:type="spellEnd"/>
      <w:r w:rsidRPr="00AE6F41">
        <w:rPr>
          <w:rFonts w:asciiTheme="majorHAnsi" w:eastAsia="Times New Roman" w:hAnsiTheme="majorHAnsi" w:cstheme="majorHAnsi"/>
        </w:rPr>
        <w:t>, wellbeing interacts most significantly with job design, health and safety, reward, engagement, and learning and development. A holistic approach is essential because weaknesses in one area can undermine progress in others.</w:t>
      </w:r>
    </w:p>
    <w:p w14:paraId="409671B5" w14:textId="77777777" w:rsidR="0038681D" w:rsidRDefault="0038681D" w:rsidP="00AE6F41">
      <w:pPr>
        <w:rPr>
          <w:rFonts w:asciiTheme="majorHAnsi" w:eastAsia="Times New Roman" w:hAnsiTheme="majorHAnsi" w:cstheme="majorHAnsi"/>
          <w:b/>
          <w:bCs/>
          <w:sz w:val="24"/>
          <w:szCs w:val="24"/>
        </w:rPr>
      </w:pPr>
    </w:p>
    <w:p w14:paraId="21EEA5CA" w14:textId="7737AC9D" w:rsidR="00AE6F41" w:rsidRPr="00AE6F41" w:rsidRDefault="00AE6F41" w:rsidP="00AE6F41">
      <w:pPr>
        <w:rPr>
          <w:rFonts w:asciiTheme="majorHAnsi" w:eastAsia="Times New Roman" w:hAnsiTheme="majorHAnsi" w:cstheme="majorHAnsi"/>
          <w:sz w:val="24"/>
          <w:szCs w:val="24"/>
        </w:rPr>
      </w:pPr>
      <w:r w:rsidRPr="00AE6F41">
        <w:rPr>
          <w:rFonts w:asciiTheme="majorHAnsi" w:eastAsia="Times New Roman" w:hAnsiTheme="majorHAnsi" w:cstheme="majorHAnsi"/>
          <w:sz w:val="24"/>
          <w:szCs w:val="24"/>
        </w:rPr>
        <w:t xml:space="preserve">Job design has the strongest influence on wellbeing. Bakker and Demerouti’s (2017) Job Demands–Resources model shows that high job demands increase stress, while job resources such as autonomy and support enhance wellbeing. At </w:t>
      </w:r>
      <w:proofErr w:type="spellStart"/>
      <w:r w:rsidRPr="00AE6F41">
        <w:rPr>
          <w:rFonts w:asciiTheme="majorHAnsi" w:eastAsia="Times New Roman" w:hAnsiTheme="majorHAnsi" w:cstheme="majorHAnsi"/>
          <w:sz w:val="24"/>
          <w:szCs w:val="24"/>
        </w:rPr>
        <w:t>Insurasave</w:t>
      </w:r>
      <w:proofErr w:type="spellEnd"/>
      <w:r w:rsidRPr="00AE6F41">
        <w:rPr>
          <w:rFonts w:asciiTheme="majorHAnsi" w:eastAsia="Times New Roman" w:hAnsiTheme="majorHAnsi" w:cstheme="majorHAnsi"/>
          <w:sz w:val="24"/>
          <w:szCs w:val="24"/>
        </w:rPr>
        <w:t>, high call volumes and strict performance targets reflect poor job design, contributing to stress, reduced productivity and higher absence. CIPD (202</w:t>
      </w:r>
      <w:r w:rsidR="00807976">
        <w:rPr>
          <w:rFonts w:asciiTheme="majorHAnsi" w:eastAsia="Times New Roman" w:hAnsiTheme="majorHAnsi" w:cstheme="majorHAnsi"/>
          <w:sz w:val="24"/>
          <w:szCs w:val="24"/>
        </w:rPr>
        <w:t>5</w:t>
      </w:r>
      <w:r w:rsidRPr="00AE6F41">
        <w:rPr>
          <w:rFonts w:asciiTheme="majorHAnsi" w:eastAsia="Times New Roman" w:hAnsiTheme="majorHAnsi" w:cstheme="majorHAnsi"/>
          <w:sz w:val="24"/>
          <w:szCs w:val="24"/>
        </w:rPr>
        <w:t>) evidence similarly highlights that poorly designed roles are a major cause of burnout and turnover.</w:t>
      </w:r>
    </w:p>
    <w:p w14:paraId="008A961F" w14:textId="77777777" w:rsidR="00E67D30" w:rsidRDefault="00E67D30" w:rsidP="00AE6F41">
      <w:pPr>
        <w:rPr>
          <w:rFonts w:asciiTheme="majorHAnsi" w:eastAsia="Times New Roman" w:hAnsiTheme="majorHAnsi" w:cstheme="majorHAnsi"/>
          <w:b/>
          <w:bCs/>
          <w:sz w:val="24"/>
          <w:szCs w:val="24"/>
        </w:rPr>
      </w:pPr>
    </w:p>
    <w:p w14:paraId="5B5B0C2D" w14:textId="7B6CE871" w:rsidR="00AE6F41" w:rsidRPr="00AE6F41" w:rsidRDefault="00AE6F41" w:rsidP="00AE6F41">
      <w:pPr>
        <w:rPr>
          <w:rFonts w:asciiTheme="majorHAnsi" w:eastAsia="Times New Roman" w:hAnsiTheme="majorHAnsi" w:cstheme="majorHAnsi"/>
          <w:sz w:val="24"/>
          <w:szCs w:val="24"/>
        </w:rPr>
      </w:pPr>
      <w:r w:rsidRPr="00AE6F41">
        <w:rPr>
          <w:rFonts w:asciiTheme="majorHAnsi" w:eastAsia="Times New Roman" w:hAnsiTheme="majorHAnsi" w:cstheme="majorHAnsi"/>
          <w:sz w:val="24"/>
          <w:szCs w:val="24"/>
        </w:rPr>
        <w:t xml:space="preserve">Health and safety </w:t>
      </w:r>
      <w:r w:rsidR="00C93748" w:rsidRPr="00AE6F41">
        <w:rPr>
          <w:rFonts w:asciiTheme="majorHAnsi" w:eastAsia="Times New Roman" w:hAnsiTheme="majorHAnsi" w:cstheme="majorHAnsi"/>
          <w:sz w:val="24"/>
          <w:szCs w:val="24"/>
        </w:rPr>
        <w:t xml:space="preserve">are </w:t>
      </w:r>
      <w:r w:rsidR="00C93748">
        <w:rPr>
          <w:rFonts w:asciiTheme="majorHAnsi" w:eastAsia="Times New Roman" w:hAnsiTheme="majorHAnsi" w:cstheme="majorHAnsi"/>
          <w:sz w:val="24"/>
          <w:szCs w:val="24"/>
        </w:rPr>
        <w:t>also</w:t>
      </w:r>
      <w:r w:rsidR="00A618FF">
        <w:rPr>
          <w:rFonts w:asciiTheme="majorHAnsi" w:eastAsia="Times New Roman" w:hAnsiTheme="majorHAnsi" w:cstheme="majorHAnsi"/>
          <w:sz w:val="24"/>
          <w:szCs w:val="24"/>
        </w:rPr>
        <w:t xml:space="preserve"> </w:t>
      </w:r>
      <w:r w:rsidRPr="00AE6F41">
        <w:rPr>
          <w:rFonts w:asciiTheme="majorHAnsi" w:eastAsia="Times New Roman" w:hAnsiTheme="majorHAnsi" w:cstheme="majorHAnsi"/>
          <w:sz w:val="24"/>
          <w:szCs w:val="24"/>
        </w:rPr>
        <w:t>closely linked to wellbeing. The Health and Safety Executive (202</w:t>
      </w:r>
      <w:r w:rsidR="00EF139C">
        <w:rPr>
          <w:rFonts w:asciiTheme="majorHAnsi" w:eastAsia="Times New Roman" w:hAnsiTheme="majorHAnsi" w:cstheme="majorHAnsi"/>
          <w:sz w:val="24"/>
          <w:szCs w:val="24"/>
        </w:rPr>
        <w:t>5</w:t>
      </w:r>
      <w:r w:rsidRPr="00AE6F41">
        <w:rPr>
          <w:rFonts w:asciiTheme="majorHAnsi" w:eastAsia="Times New Roman" w:hAnsiTheme="majorHAnsi" w:cstheme="majorHAnsi"/>
          <w:sz w:val="24"/>
          <w:szCs w:val="24"/>
        </w:rPr>
        <w:t xml:space="preserve">) </w:t>
      </w:r>
      <w:r w:rsidR="00C93748" w:rsidRPr="00AE6F41">
        <w:rPr>
          <w:rFonts w:asciiTheme="majorHAnsi" w:eastAsia="Times New Roman" w:hAnsiTheme="majorHAnsi" w:cstheme="majorHAnsi"/>
          <w:sz w:val="24"/>
          <w:szCs w:val="24"/>
        </w:rPr>
        <w:t>identify</w:t>
      </w:r>
      <w:r w:rsidRPr="00AE6F41">
        <w:rPr>
          <w:rFonts w:asciiTheme="majorHAnsi" w:eastAsia="Times New Roman" w:hAnsiTheme="majorHAnsi" w:cstheme="majorHAnsi"/>
          <w:sz w:val="24"/>
          <w:szCs w:val="24"/>
        </w:rPr>
        <w:t xml:space="preserve"> stress as a workplace hazard that increases the risk of errors, accidents and absenteeism. Psychological safety is now recognised as equally important as physical safety, meaning wellbeing must be integrated into risk assessments, workload monitoring and supportive management practices.</w:t>
      </w:r>
    </w:p>
    <w:p w14:paraId="5BFE2097" w14:textId="77777777" w:rsidR="00F339BD" w:rsidRDefault="00F339BD" w:rsidP="00AE6F41">
      <w:pPr>
        <w:rPr>
          <w:rFonts w:asciiTheme="majorHAnsi" w:eastAsia="Times New Roman" w:hAnsiTheme="majorHAnsi" w:cstheme="majorHAnsi"/>
          <w:b/>
          <w:bCs/>
          <w:sz w:val="24"/>
          <w:szCs w:val="24"/>
        </w:rPr>
      </w:pPr>
    </w:p>
    <w:p w14:paraId="4EEEF35D" w14:textId="63F16EC3" w:rsidR="00AE6F41" w:rsidRPr="00AE6F41" w:rsidRDefault="00AE6F41" w:rsidP="00AE6F41">
      <w:pPr>
        <w:rPr>
          <w:rFonts w:asciiTheme="majorHAnsi" w:eastAsia="Times New Roman" w:hAnsiTheme="majorHAnsi" w:cstheme="majorHAnsi"/>
          <w:sz w:val="24"/>
          <w:szCs w:val="24"/>
        </w:rPr>
      </w:pPr>
      <w:r w:rsidRPr="00AE6F41">
        <w:rPr>
          <w:rFonts w:asciiTheme="majorHAnsi" w:eastAsia="Times New Roman" w:hAnsiTheme="majorHAnsi" w:cstheme="majorHAnsi"/>
          <w:sz w:val="24"/>
          <w:szCs w:val="24"/>
        </w:rPr>
        <w:t>Reward practices also shape wellbeing. The CIPD Reward Factsheet (202</w:t>
      </w:r>
      <w:r w:rsidR="00F40691">
        <w:rPr>
          <w:rFonts w:asciiTheme="majorHAnsi" w:eastAsia="Times New Roman" w:hAnsiTheme="majorHAnsi" w:cstheme="majorHAnsi"/>
          <w:sz w:val="24"/>
          <w:szCs w:val="24"/>
        </w:rPr>
        <w:t>5</w:t>
      </w:r>
      <w:r w:rsidRPr="00AE6F41">
        <w:rPr>
          <w:rFonts w:asciiTheme="majorHAnsi" w:eastAsia="Times New Roman" w:hAnsiTheme="majorHAnsi" w:cstheme="majorHAnsi"/>
          <w:sz w:val="24"/>
          <w:szCs w:val="24"/>
        </w:rPr>
        <w:t>) notes that fair and transparent pay reduces financial stress and supports overall wellbeing. However, reward cannot compensate for poor job design or excessive workload. Over</w:t>
      </w:r>
      <w:r w:rsidRPr="00AE6F41">
        <w:rPr>
          <w:rFonts w:asciiTheme="majorHAnsi" w:eastAsia="Times New Roman" w:hAnsiTheme="majorHAnsi" w:cstheme="majorHAnsi"/>
          <w:sz w:val="24"/>
          <w:szCs w:val="24"/>
        </w:rPr>
        <w:noBreakHyphen/>
        <w:t xml:space="preserve">reliance on financial incentives may even </w:t>
      </w:r>
      <w:r w:rsidR="004C4F11">
        <w:rPr>
          <w:rFonts w:asciiTheme="majorHAnsi" w:eastAsia="Times New Roman" w:hAnsiTheme="majorHAnsi" w:cstheme="majorHAnsi"/>
          <w:sz w:val="24"/>
          <w:szCs w:val="24"/>
        </w:rPr>
        <w:t xml:space="preserve">increase </w:t>
      </w:r>
      <w:proofErr w:type="gramStart"/>
      <w:r w:rsidR="004C4F11">
        <w:rPr>
          <w:rFonts w:asciiTheme="majorHAnsi" w:eastAsia="Times New Roman" w:hAnsiTheme="majorHAnsi" w:cstheme="majorHAnsi"/>
          <w:sz w:val="24"/>
          <w:szCs w:val="24"/>
        </w:rPr>
        <w:t xml:space="preserve">stress </w:t>
      </w:r>
      <w:r w:rsidRPr="00AE6F41">
        <w:rPr>
          <w:rFonts w:asciiTheme="majorHAnsi" w:eastAsia="Times New Roman" w:hAnsiTheme="majorHAnsi" w:cstheme="majorHAnsi"/>
          <w:sz w:val="24"/>
          <w:szCs w:val="24"/>
        </w:rPr>
        <w:t xml:space="preserve"> if</w:t>
      </w:r>
      <w:proofErr w:type="gramEnd"/>
      <w:r w:rsidRPr="00AE6F41">
        <w:rPr>
          <w:rFonts w:asciiTheme="majorHAnsi" w:eastAsia="Times New Roman" w:hAnsiTheme="majorHAnsi" w:cstheme="majorHAnsi"/>
          <w:sz w:val="24"/>
          <w:szCs w:val="24"/>
        </w:rPr>
        <w:t xml:space="preserve"> employees feel pressured to meet demanding performance targets.</w:t>
      </w:r>
    </w:p>
    <w:p w14:paraId="36532E7C" w14:textId="77777777" w:rsidR="002263D7" w:rsidRDefault="002263D7" w:rsidP="00AE6F41">
      <w:pPr>
        <w:rPr>
          <w:rFonts w:asciiTheme="majorHAnsi" w:eastAsia="Times New Roman" w:hAnsiTheme="majorHAnsi" w:cstheme="majorHAnsi"/>
          <w:b/>
          <w:bCs/>
          <w:sz w:val="24"/>
          <w:szCs w:val="24"/>
        </w:rPr>
      </w:pPr>
    </w:p>
    <w:p w14:paraId="1B70AC33" w14:textId="77777777" w:rsidR="00B847E0" w:rsidRDefault="00AE6F41" w:rsidP="00AE6F41">
      <w:pPr>
        <w:rPr>
          <w:rFonts w:asciiTheme="majorHAnsi" w:eastAsia="Times New Roman" w:hAnsiTheme="majorHAnsi" w:cstheme="majorHAnsi"/>
          <w:sz w:val="24"/>
          <w:szCs w:val="24"/>
        </w:rPr>
      </w:pPr>
      <w:r w:rsidRPr="00AE6F41">
        <w:rPr>
          <w:rFonts w:asciiTheme="majorHAnsi" w:eastAsia="Times New Roman" w:hAnsiTheme="majorHAnsi" w:cstheme="majorHAnsi"/>
          <w:sz w:val="24"/>
          <w:szCs w:val="24"/>
        </w:rPr>
        <w:t xml:space="preserve">Engagement is strongly interdependent with wellbeing. Guest (2017) found that low wellbeing reduces engagement, leading to lower productivity and higher turnover intentions. </w:t>
      </w:r>
    </w:p>
    <w:p w14:paraId="05C012DB" w14:textId="77777777" w:rsidR="00B847E0" w:rsidRDefault="00B847E0" w:rsidP="00AE6F41">
      <w:pPr>
        <w:rPr>
          <w:rFonts w:asciiTheme="majorHAnsi" w:eastAsia="Times New Roman" w:hAnsiTheme="majorHAnsi" w:cstheme="majorHAnsi"/>
          <w:sz w:val="24"/>
          <w:szCs w:val="24"/>
        </w:rPr>
      </w:pPr>
    </w:p>
    <w:p w14:paraId="3FFB0888" w14:textId="4C8AD953" w:rsidR="00AE6F41" w:rsidRPr="00AE6F41" w:rsidRDefault="00AE6F41" w:rsidP="00AE6F41">
      <w:pPr>
        <w:rPr>
          <w:rFonts w:asciiTheme="majorHAnsi" w:eastAsia="Times New Roman" w:hAnsiTheme="majorHAnsi" w:cstheme="majorHAnsi"/>
          <w:sz w:val="24"/>
          <w:szCs w:val="24"/>
        </w:rPr>
      </w:pPr>
      <w:r w:rsidRPr="00AE6F41">
        <w:rPr>
          <w:rFonts w:asciiTheme="majorHAnsi" w:eastAsia="Times New Roman" w:hAnsiTheme="majorHAnsi" w:cstheme="majorHAnsi"/>
          <w:sz w:val="24"/>
          <w:szCs w:val="24"/>
        </w:rPr>
        <w:t xml:space="preserve">At </w:t>
      </w:r>
      <w:proofErr w:type="spellStart"/>
      <w:r w:rsidRPr="00AE6F41">
        <w:rPr>
          <w:rFonts w:asciiTheme="majorHAnsi" w:eastAsia="Times New Roman" w:hAnsiTheme="majorHAnsi" w:cstheme="majorHAnsi"/>
          <w:sz w:val="24"/>
          <w:szCs w:val="24"/>
        </w:rPr>
        <w:t>Insurasave</w:t>
      </w:r>
      <w:proofErr w:type="spellEnd"/>
      <w:r w:rsidRPr="00AE6F41">
        <w:rPr>
          <w:rFonts w:asciiTheme="majorHAnsi" w:eastAsia="Times New Roman" w:hAnsiTheme="majorHAnsi" w:cstheme="majorHAnsi"/>
          <w:sz w:val="24"/>
          <w:szCs w:val="24"/>
        </w:rPr>
        <w:t>, employees experiencing stress from high call demands may disengage, reducing service quality and increasing customer complaints. Conversely, when wellbeing is supported, engagement rises, strengthening organisational performance.</w:t>
      </w:r>
    </w:p>
    <w:p w14:paraId="0E1EAB9E" w14:textId="77777777" w:rsidR="008A3F56" w:rsidRDefault="008A3F56" w:rsidP="00AE6F41">
      <w:pPr>
        <w:rPr>
          <w:rFonts w:asciiTheme="majorHAnsi" w:eastAsia="Times New Roman" w:hAnsiTheme="majorHAnsi" w:cstheme="majorHAnsi"/>
          <w:b/>
          <w:bCs/>
          <w:sz w:val="24"/>
          <w:szCs w:val="24"/>
        </w:rPr>
      </w:pPr>
    </w:p>
    <w:p w14:paraId="1C8329C4" w14:textId="4767B048" w:rsidR="00AE6F41" w:rsidRPr="00AE6F41" w:rsidRDefault="00AE6F41" w:rsidP="00AE6F41">
      <w:pPr>
        <w:rPr>
          <w:rFonts w:asciiTheme="majorHAnsi" w:eastAsia="Times New Roman" w:hAnsiTheme="majorHAnsi" w:cstheme="majorHAnsi"/>
          <w:sz w:val="24"/>
          <w:szCs w:val="24"/>
        </w:rPr>
      </w:pPr>
      <w:r w:rsidRPr="00AE6F41">
        <w:rPr>
          <w:rFonts w:asciiTheme="majorHAnsi" w:eastAsia="Times New Roman" w:hAnsiTheme="majorHAnsi" w:cstheme="majorHAnsi"/>
          <w:b/>
          <w:bCs/>
          <w:sz w:val="24"/>
          <w:szCs w:val="24"/>
        </w:rPr>
        <w:t>L</w:t>
      </w:r>
      <w:r w:rsidRPr="00AE6F41">
        <w:rPr>
          <w:rFonts w:asciiTheme="majorHAnsi" w:eastAsia="Times New Roman" w:hAnsiTheme="majorHAnsi" w:cstheme="majorHAnsi"/>
          <w:sz w:val="24"/>
          <w:szCs w:val="24"/>
        </w:rPr>
        <w:t>earning and development (L&amp;D) also interacts with wellbeing. The CIPD Learning and Development</w:t>
      </w:r>
      <w:r w:rsidR="002B6352">
        <w:rPr>
          <w:rFonts w:asciiTheme="majorHAnsi" w:eastAsia="Times New Roman" w:hAnsiTheme="majorHAnsi" w:cstheme="majorHAnsi"/>
          <w:sz w:val="24"/>
          <w:szCs w:val="24"/>
        </w:rPr>
        <w:t xml:space="preserve"> Policy</w:t>
      </w:r>
      <w:r w:rsidRPr="00AE6F41">
        <w:rPr>
          <w:rFonts w:asciiTheme="majorHAnsi" w:eastAsia="Times New Roman" w:hAnsiTheme="majorHAnsi" w:cstheme="majorHAnsi"/>
          <w:sz w:val="24"/>
          <w:szCs w:val="24"/>
        </w:rPr>
        <w:t xml:space="preserve"> Factsheet (202</w:t>
      </w:r>
      <w:r w:rsidR="002B6352">
        <w:rPr>
          <w:rFonts w:asciiTheme="majorHAnsi" w:eastAsia="Times New Roman" w:hAnsiTheme="majorHAnsi" w:cstheme="majorHAnsi"/>
          <w:sz w:val="24"/>
          <w:szCs w:val="24"/>
        </w:rPr>
        <w:t>5</w:t>
      </w:r>
      <w:r w:rsidRPr="00AE6F41">
        <w:rPr>
          <w:rFonts w:asciiTheme="majorHAnsi" w:eastAsia="Times New Roman" w:hAnsiTheme="majorHAnsi" w:cstheme="majorHAnsi"/>
          <w:sz w:val="24"/>
          <w:szCs w:val="24"/>
        </w:rPr>
        <w:t>) highlights that development opportunities enhance competence, confidence and career satisfaction. However, employees experiencing poor wellbeing may struggle to engage in training, particularly if workloads prevent them from taking time away from frontline duties.</w:t>
      </w:r>
    </w:p>
    <w:p w14:paraId="2F17E49C" w14:textId="77777777" w:rsidR="008A3F56" w:rsidRDefault="008A3F56" w:rsidP="00AE6F41">
      <w:pPr>
        <w:rPr>
          <w:rFonts w:asciiTheme="majorHAnsi" w:eastAsia="Times New Roman" w:hAnsiTheme="majorHAnsi" w:cstheme="majorHAnsi"/>
          <w:sz w:val="24"/>
          <w:szCs w:val="24"/>
        </w:rPr>
      </w:pPr>
    </w:p>
    <w:p w14:paraId="6EE60E4E" w14:textId="05B55428" w:rsidR="00AE6F41" w:rsidRPr="00AE6F41" w:rsidRDefault="00AE6F41" w:rsidP="00AE6F41">
      <w:pPr>
        <w:rPr>
          <w:rFonts w:asciiTheme="majorHAnsi" w:eastAsia="Times New Roman" w:hAnsiTheme="majorHAnsi" w:cstheme="majorHAnsi"/>
          <w:sz w:val="24"/>
          <w:szCs w:val="24"/>
        </w:rPr>
      </w:pPr>
      <w:r w:rsidRPr="00AE6F41">
        <w:rPr>
          <w:rFonts w:asciiTheme="majorHAnsi" w:eastAsia="Times New Roman" w:hAnsiTheme="majorHAnsi" w:cstheme="majorHAnsi"/>
          <w:sz w:val="24"/>
          <w:szCs w:val="24"/>
        </w:rPr>
        <w:t>A holistic approach to wellbeing ensures these practices reinforce each other. CIPD (202</w:t>
      </w:r>
      <w:r w:rsidR="00136CA9">
        <w:rPr>
          <w:rFonts w:asciiTheme="majorHAnsi" w:eastAsia="Times New Roman" w:hAnsiTheme="majorHAnsi" w:cstheme="majorHAnsi"/>
          <w:sz w:val="24"/>
          <w:szCs w:val="24"/>
        </w:rPr>
        <w:t>5</w:t>
      </w:r>
      <w:r w:rsidRPr="00AE6F41">
        <w:rPr>
          <w:rFonts w:asciiTheme="majorHAnsi" w:eastAsia="Times New Roman" w:hAnsiTheme="majorHAnsi" w:cstheme="majorHAnsi"/>
          <w:sz w:val="24"/>
          <w:szCs w:val="24"/>
        </w:rPr>
        <w:t>) emphasises that wellbeing is most effective when embedded across all people practices rather than delivered through isolated initiatives. When job design, reward, L&amp;D, engagement and health and safety align, organisations benefit from higher productivity, reduced absence, stronger retention and a more positive workplace culture.</w:t>
      </w:r>
    </w:p>
    <w:p w14:paraId="0ABFB8D4" w14:textId="77777777" w:rsidR="00AE6F41" w:rsidRPr="00AE6F41" w:rsidRDefault="00AE6F41" w:rsidP="00AE6F41">
      <w:pPr>
        <w:rPr>
          <w:rFonts w:asciiTheme="majorHAnsi" w:eastAsia="Times New Roman" w:hAnsiTheme="majorHAnsi" w:cstheme="majorHAnsi"/>
          <w:sz w:val="24"/>
          <w:szCs w:val="24"/>
        </w:rPr>
      </w:pPr>
      <w:r w:rsidRPr="00AE6F41">
        <w:rPr>
          <w:rFonts w:asciiTheme="majorHAnsi" w:eastAsia="Times New Roman" w:hAnsiTheme="majorHAnsi" w:cstheme="majorHAnsi"/>
          <w:sz w:val="24"/>
          <w:szCs w:val="24"/>
        </w:rPr>
        <w:lastRenderedPageBreak/>
        <w:t>Critically, job design forms the foundation for all other practices, but only a holistic approach creates sustainable wellbeing outcomes.</w:t>
      </w:r>
    </w:p>
    <w:p w14:paraId="4364AF89" w14:textId="78226578" w:rsidR="00185E6D" w:rsidRPr="00AE3D06" w:rsidRDefault="00185E6D" w:rsidP="00185E6D">
      <w:pPr>
        <w:rPr>
          <w:rFonts w:asciiTheme="majorHAnsi" w:eastAsia="Times New Roman" w:hAnsiTheme="majorHAnsi" w:cstheme="majorHAnsi"/>
          <w:sz w:val="24"/>
          <w:szCs w:val="24"/>
        </w:rPr>
      </w:pPr>
    </w:p>
    <w:p w14:paraId="357EF4E2" w14:textId="77777777" w:rsidR="00732B83" w:rsidRPr="00AE6F41" w:rsidRDefault="00732B83" w:rsidP="00185E6D">
      <w:pPr>
        <w:rPr>
          <w:rFonts w:asciiTheme="majorHAnsi" w:eastAsia="Times New Roman" w:hAnsiTheme="majorHAnsi" w:cstheme="majorHAnsi"/>
          <w:strike/>
          <w:color w:val="EE0000"/>
          <w:sz w:val="24"/>
          <w:szCs w:val="24"/>
        </w:rPr>
      </w:pPr>
      <w:r w:rsidRPr="00AE6F41">
        <w:rPr>
          <w:rFonts w:asciiTheme="majorHAnsi" w:eastAsia="Times New Roman" w:hAnsiTheme="majorHAnsi" w:cstheme="majorHAnsi"/>
          <w:strike/>
          <w:color w:val="EE0000"/>
          <w:sz w:val="24"/>
          <w:szCs w:val="24"/>
        </w:rPr>
        <w:t>Wellbeing interacts with multiple people management practices, including job design, health and safety, reward, engagement, and learning and development.</w:t>
      </w:r>
    </w:p>
    <w:p w14:paraId="2F9B2FF1" w14:textId="77777777" w:rsidR="00732B83" w:rsidRPr="00AE6F41" w:rsidRDefault="00732B83" w:rsidP="00185E6D">
      <w:pPr>
        <w:rPr>
          <w:rFonts w:asciiTheme="majorHAnsi" w:eastAsia="Times New Roman" w:hAnsiTheme="majorHAnsi" w:cstheme="majorHAnsi"/>
          <w:strike/>
          <w:color w:val="EE0000"/>
          <w:sz w:val="24"/>
          <w:szCs w:val="24"/>
        </w:rPr>
      </w:pPr>
    </w:p>
    <w:p w14:paraId="05ED6784" w14:textId="77777777" w:rsidR="00732B83" w:rsidRPr="00AE6F41" w:rsidRDefault="00732B83" w:rsidP="00185E6D">
      <w:pPr>
        <w:rPr>
          <w:rFonts w:asciiTheme="majorHAnsi" w:eastAsia="Times New Roman" w:hAnsiTheme="majorHAnsi" w:cstheme="majorHAnsi"/>
          <w:strike/>
          <w:color w:val="EE0000"/>
          <w:sz w:val="24"/>
          <w:szCs w:val="24"/>
        </w:rPr>
      </w:pPr>
      <w:r w:rsidRPr="00AE6F41">
        <w:rPr>
          <w:rFonts w:asciiTheme="majorHAnsi" w:eastAsia="Times New Roman" w:hAnsiTheme="majorHAnsi" w:cstheme="majorHAnsi"/>
          <w:strike/>
          <w:color w:val="EE0000"/>
          <w:sz w:val="24"/>
          <w:szCs w:val="24"/>
        </w:rPr>
        <w:t xml:space="preserve">Job design has the greatest impact, as Bakker and Demerouti (2017), through large-scale survey research, found that high job demands increase stress while job resources reduce it. At Insurasave, high call volumes and strict performance targets exemplify poor job design, negatively affecting productivity and increasing absence. </w:t>
      </w:r>
    </w:p>
    <w:p w14:paraId="0C32ABEE" w14:textId="77777777" w:rsidR="00732B83" w:rsidRPr="00AE6F41" w:rsidRDefault="00732B83" w:rsidP="00185E6D">
      <w:pPr>
        <w:rPr>
          <w:rFonts w:asciiTheme="majorHAnsi" w:eastAsia="Times New Roman" w:hAnsiTheme="majorHAnsi" w:cstheme="majorHAnsi"/>
          <w:strike/>
          <w:color w:val="EE0000"/>
          <w:sz w:val="24"/>
          <w:szCs w:val="24"/>
        </w:rPr>
      </w:pPr>
    </w:p>
    <w:p w14:paraId="3D9A3233" w14:textId="77777777" w:rsidR="00732B83" w:rsidRPr="00AE6F41" w:rsidRDefault="00732B83" w:rsidP="00185E6D">
      <w:pPr>
        <w:rPr>
          <w:rFonts w:asciiTheme="majorHAnsi" w:eastAsia="Times New Roman" w:hAnsiTheme="majorHAnsi" w:cstheme="majorHAnsi"/>
          <w:strike/>
          <w:color w:val="EE0000"/>
          <w:sz w:val="24"/>
          <w:szCs w:val="24"/>
        </w:rPr>
      </w:pPr>
      <w:r w:rsidRPr="00AE6F41">
        <w:rPr>
          <w:rFonts w:asciiTheme="majorHAnsi" w:eastAsia="Times New Roman" w:hAnsiTheme="majorHAnsi" w:cstheme="majorHAnsi"/>
          <w:strike/>
          <w:color w:val="EE0000"/>
          <w:sz w:val="24"/>
          <w:szCs w:val="24"/>
        </w:rPr>
        <w:t xml:space="preserve">Health and safety </w:t>
      </w:r>
      <w:proofErr w:type="gramStart"/>
      <w:r w:rsidRPr="00AE6F41">
        <w:rPr>
          <w:rFonts w:asciiTheme="majorHAnsi" w:eastAsia="Times New Roman" w:hAnsiTheme="majorHAnsi" w:cstheme="majorHAnsi"/>
          <w:strike/>
          <w:color w:val="EE0000"/>
          <w:sz w:val="24"/>
          <w:szCs w:val="24"/>
        </w:rPr>
        <w:t>is</w:t>
      </w:r>
      <w:proofErr w:type="gramEnd"/>
      <w:r w:rsidRPr="00AE6F41">
        <w:rPr>
          <w:rFonts w:asciiTheme="majorHAnsi" w:eastAsia="Times New Roman" w:hAnsiTheme="majorHAnsi" w:cstheme="majorHAnsi"/>
          <w:strike/>
          <w:color w:val="EE0000"/>
          <w:sz w:val="24"/>
          <w:szCs w:val="24"/>
        </w:rPr>
        <w:t xml:space="preserve"> closely linked, with the Health and Safety Executive (2023), analysing UK workplace incidents, identifying stress as a hazard that increases the risk of errors and absenteeism. </w:t>
      </w:r>
    </w:p>
    <w:p w14:paraId="006122A2" w14:textId="77777777" w:rsidR="00732B83" w:rsidRPr="00AE6F41" w:rsidRDefault="00732B83" w:rsidP="00185E6D">
      <w:pPr>
        <w:rPr>
          <w:rFonts w:asciiTheme="majorHAnsi" w:eastAsia="Times New Roman" w:hAnsiTheme="majorHAnsi" w:cstheme="majorHAnsi"/>
          <w:strike/>
          <w:color w:val="EE0000"/>
          <w:sz w:val="24"/>
          <w:szCs w:val="24"/>
        </w:rPr>
      </w:pPr>
    </w:p>
    <w:p w14:paraId="552FEA1E" w14:textId="77777777" w:rsidR="00732B83" w:rsidRPr="00AE6F41" w:rsidRDefault="00732B83" w:rsidP="00185E6D">
      <w:pPr>
        <w:rPr>
          <w:rFonts w:asciiTheme="majorHAnsi" w:eastAsia="Times New Roman" w:hAnsiTheme="majorHAnsi" w:cstheme="majorHAnsi"/>
          <w:strike/>
          <w:color w:val="EE0000"/>
          <w:sz w:val="24"/>
          <w:szCs w:val="24"/>
        </w:rPr>
      </w:pPr>
      <w:r w:rsidRPr="00AE6F41">
        <w:rPr>
          <w:rFonts w:asciiTheme="majorHAnsi" w:eastAsia="Times New Roman" w:hAnsiTheme="majorHAnsi" w:cstheme="majorHAnsi"/>
          <w:strike/>
          <w:color w:val="EE0000"/>
          <w:sz w:val="24"/>
          <w:szCs w:val="24"/>
        </w:rPr>
        <w:t xml:space="preserve">Reward practices influence wellbeing, as the CIPD Reward Factsheet (2023) indicates that fair and transparent pay reduces financial stress, though it cannot compensate for poor job design. </w:t>
      </w:r>
    </w:p>
    <w:p w14:paraId="5F9B6BA7" w14:textId="77777777" w:rsidR="00732B83" w:rsidRPr="00AE6F41" w:rsidRDefault="00732B83" w:rsidP="00185E6D">
      <w:pPr>
        <w:rPr>
          <w:rFonts w:asciiTheme="majorHAnsi" w:eastAsia="Times New Roman" w:hAnsiTheme="majorHAnsi" w:cstheme="majorHAnsi"/>
          <w:strike/>
          <w:color w:val="EE0000"/>
          <w:sz w:val="24"/>
          <w:szCs w:val="24"/>
        </w:rPr>
      </w:pPr>
    </w:p>
    <w:p w14:paraId="3E420C34" w14:textId="77777777" w:rsidR="00732B83" w:rsidRPr="00AE6F41" w:rsidRDefault="00732B83" w:rsidP="00185E6D">
      <w:pPr>
        <w:rPr>
          <w:rFonts w:asciiTheme="majorHAnsi" w:eastAsia="Times New Roman" w:hAnsiTheme="majorHAnsi" w:cstheme="majorHAnsi"/>
          <w:strike/>
          <w:color w:val="EE0000"/>
          <w:sz w:val="24"/>
          <w:szCs w:val="24"/>
        </w:rPr>
      </w:pPr>
      <w:r w:rsidRPr="00AE6F41">
        <w:rPr>
          <w:rFonts w:asciiTheme="majorHAnsi" w:eastAsia="Times New Roman" w:hAnsiTheme="majorHAnsi" w:cstheme="majorHAnsi"/>
          <w:strike/>
          <w:color w:val="EE0000"/>
          <w:sz w:val="24"/>
          <w:szCs w:val="24"/>
        </w:rPr>
        <w:t xml:space="preserve">Engagement is interdependent with wellbeing, with Guest (2017) finding that low wellbeing reduces engagement, leading to decreased productivity. </w:t>
      </w:r>
    </w:p>
    <w:p w14:paraId="1CAC011B" w14:textId="77777777" w:rsidR="00732B83" w:rsidRPr="00AE6F41" w:rsidRDefault="00732B83" w:rsidP="00185E6D">
      <w:pPr>
        <w:rPr>
          <w:rFonts w:asciiTheme="majorHAnsi" w:eastAsia="Times New Roman" w:hAnsiTheme="majorHAnsi" w:cstheme="majorHAnsi"/>
          <w:strike/>
          <w:color w:val="EE0000"/>
          <w:sz w:val="24"/>
          <w:szCs w:val="24"/>
        </w:rPr>
      </w:pPr>
    </w:p>
    <w:p w14:paraId="2D05DA89" w14:textId="77777777" w:rsidR="00732B83" w:rsidRPr="00AE6F41" w:rsidRDefault="00732B83" w:rsidP="00185E6D">
      <w:pPr>
        <w:rPr>
          <w:rFonts w:asciiTheme="majorHAnsi" w:eastAsia="Times New Roman" w:hAnsiTheme="majorHAnsi" w:cstheme="majorHAnsi"/>
          <w:strike/>
          <w:color w:val="EE0000"/>
          <w:sz w:val="24"/>
          <w:szCs w:val="24"/>
        </w:rPr>
      </w:pPr>
      <w:r w:rsidRPr="00AE6F41">
        <w:rPr>
          <w:rFonts w:asciiTheme="majorHAnsi" w:eastAsia="Times New Roman" w:hAnsiTheme="majorHAnsi" w:cstheme="majorHAnsi"/>
          <w:strike/>
          <w:color w:val="EE0000"/>
          <w:sz w:val="24"/>
          <w:szCs w:val="24"/>
        </w:rPr>
        <w:t xml:space="preserve">Learning and development also interacts with wellbeing, as the CIPD Learning and Development Factsheet (2023), reviewing UK organisational practice, found that development opportunities enhance competence and confidence, though employees experiencing poor wellbeing may struggle to engage. </w:t>
      </w:r>
    </w:p>
    <w:p w14:paraId="3A406FD9" w14:textId="77777777" w:rsidR="00732B83" w:rsidRPr="00AE6F41" w:rsidRDefault="00732B83" w:rsidP="00185E6D">
      <w:pPr>
        <w:rPr>
          <w:rFonts w:asciiTheme="majorHAnsi" w:eastAsia="Times New Roman" w:hAnsiTheme="majorHAnsi" w:cstheme="majorHAnsi"/>
          <w:strike/>
          <w:color w:val="EE0000"/>
          <w:sz w:val="24"/>
          <w:szCs w:val="24"/>
        </w:rPr>
      </w:pPr>
    </w:p>
    <w:p w14:paraId="2AA42943" w14:textId="77777777" w:rsidR="009E2A2B" w:rsidRDefault="00732B83" w:rsidP="00185E6D">
      <w:pPr>
        <w:rPr>
          <w:rFonts w:asciiTheme="majorHAnsi" w:eastAsia="Times New Roman" w:hAnsiTheme="majorHAnsi" w:cstheme="majorHAnsi"/>
          <w:color w:val="0070C0"/>
          <w:sz w:val="24"/>
          <w:szCs w:val="24"/>
        </w:rPr>
      </w:pPr>
      <w:r w:rsidRPr="00AE6F41">
        <w:rPr>
          <w:rFonts w:asciiTheme="majorHAnsi" w:eastAsia="Times New Roman" w:hAnsiTheme="majorHAnsi" w:cstheme="majorHAnsi"/>
          <w:strike/>
          <w:color w:val="EE0000"/>
          <w:sz w:val="24"/>
          <w:szCs w:val="24"/>
        </w:rPr>
        <w:t>Critically, job design has the most direct impact on daily employee experience and therefore shapes the outcomes of all other people practices.</w:t>
      </w:r>
      <w:r w:rsidRPr="00AE6F41">
        <w:rPr>
          <w:rFonts w:asciiTheme="majorHAnsi" w:eastAsia="Times New Roman" w:hAnsiTheme="majorHAnsi" w:cstheme="majorHAnsi"/>
          <w:strike/>
          <w:color w:val="EE0000"/>
          <w:sz w:val="24"/>
          <w:szCs w:val="24"/>
        </w:rPr>
        <w:br/>
      </w:r>
      <w:r w:rsidR="00185E6D" w:rsidRPr="00AE6F41">
        <w:rPr>
          <w:rFonts w:asciiTheme="majorHAnsi" w:eastAsia="Times New Roman" w:hAnsiTheme="majorHAnsi" w:cstheme="majorHAnsi"/>
          <w:strike/>
          <w:color w:val="EE0000"/>
          <w:sz w:val="24"/>
          <w:szCs w:val="24"/>
        </w:rPr>
        <w:br/>
      </w:r>
      <w:r w:rsidR="00185E6D" w:rsidRPr="00AE3D06">
        <w:rPr>
          <w:rFonts w:asciiTheme="majorHAnsi" w:eastAsia="Times New Roman" w:hAnsiTheme="majorHAnsi" w:cstheme="majorHAnsi"/>
          <w:color w:val="0070C0"/>
          <w:sz w:val="24"/>
          <w:szCs w:val="24"/>
        </w:rPr>
        <w:t>6. Analyse how organisational context shapes wellbeing (AC 2.3)</w:t>
      </w:r>
    </w:p>
    <w:p w14:paraId="198E7C1B" w14:textId="77777777" w:rsidR="009E2A2B" w:rsidRDefault="009E2A2B" w:rsidP="00185E6D">
      <w:pPr>
        <w:rPr>
          <w:rFonts w:asciiTheme="majorHAnsi" w:eastAsia="Times New Roman" w:hAnsiTheme="majorHAnsi" w:cstheme="majorHAnsi"/>
          <w:color w:val="0070C0"/>
          <w:sz w:val="24"/>
          <w:szCs w:val="24"/>
        </w:rPr>
      </w:pPr>
    </w:p>
    <w:p w14:paraId="6BF5F1A2" w14:textId="77777777" w:rsidR="00227F71" w:rsidRDefault="009E2A2B" w:rsidP="009E2A2B">
      <w:pPr>
        <w:rPr>
          <w:rFonts w:asciiTheme="majorHAnsi" w:eastAsia="Times New Roman" w:hAnsiTheme="majorHAnsi" w:cstheme="majorHAnsi"/>
          <w:sz w:val="24"/>
          <w:szCs w:val="24"/>
        </w:rPr>
      </w:pPr>
      <w:r w:rsidRPr="009E2A2B">
        <w:rPr>
          <w:rFonts w:asciiTheme="majorHAnsi" w:eastAsia="Times New Roman" w:hAnsiTheme="majorHAnsi" w:cstheme="majorHAnsi"/>
          <w:sz w:val="24"/>
          <w:szCs w:val="24"/>
        </w:rPr>
        <w:t xml:space="preserve">Organisational context plays a critical role in shaping employee wellbeing because the demands, resources and culture of each organisation influence how employees experience work. </w:t>
      </w:r>
    </w:p>
    <w:p w14:paraId="21E69FFB" w14:textId="77777777" w:rsidR="00227F71" w:rsidRDefault="00227F71" w:rsidP="009E2A2B">
      <w:pPr>
        <w:rPr>
          <w:rFonts w:asciiTheme="majorHAnsi" w:eastAsia="Times New Roman" w:hAnsiTheme="majorHAnsi" w:cstheme="majorHAnsi"/>
          <w:sz w:val="24"/>
          <w:szCs w:val="24"/>
        </w:rPr>
      </w:pPr>
    </w:p>
    <w:p w14:paraId="1E021F54" w14:textId="5543B795" w:rsidR="009E2A2B" w:rsidRPr="009E2A2B" w:rsidRDefault="009E2A2B" w:rsidP="009E2A2B">
      <w:pPr>
        <w:rPr>
          <w:rFonts w:asciiTheme="majorHAnsi" w:eastAsia="Times New Roman" w:hAnsiTheme="majorHAnsi" w:cstheme="majorHAnsi"/>
          <w:sz w:val="24"/>
          <w:szCs w:val="24"/>
        </w:rPr>
      </w:pPr>
      <w:r w:rsidRPr="009E2A2B">
        <w:rPr>
          <w:rFonts w:asciiTheme="majorHAnsi" w:eastAsia="Times New Roman" w:hAnsiTheme="majorHAnsi" w:cstheme="majorHAnsi"/>
          <w:sz w:val="24"/>
          <w:szCs w:val="24"/>
        </w:rPr>
        <w:t xml:space="preserve">At </w:t>
      </w:r>
      <w:proofErr w:type="spellStart"/>
      <w:r w:rsidRPr="009E2A2B">
        <w:rPr>
          <w:rFonts w:asciiTheme="majorHAnsi" w:eastAsia="Times New Roman" w:hAnsiTheme="majorHAnsi" w:cstheme="majorHAnsi"/>
          <w:sz w:val="24"/>
          <w:szCs w:val="24"/>
        </w:rPr>
        <w:t>Insurasave</w:t>
      </w:r>
      <w:proofErr w:type="spellEnd"/>
      <w:r w:rsidRPr="009E2A2B">
        <w:rPr>
          <w:rFonts w:asciiTheme="majorHAnsi" w:eastAsia="Times New Roman" w:hAnsiTheme="majorHAnsi" w:cstheme="majorHAnsi"/>
          <w:sz w:val="24"/>
          <w:szCs w:val="24"/>
        </w:rPr>
        <w:t>, factors such as workload, leadership capability and individual differences strongly affect wellbeing outcomes, but these influences cannot be understood in isolation. A one</w:t>
      </w:r>
      <w:r w:rsidRPr="009E2A2B">
        <w:rPr>
          <w:rFonts w:asciiTheme="majorHAnsi" w:eastAsia="Times New Roman" w:hAnsiTheme="majorHAnsi" w:cstheme="majorHAnsi"/>
          <w:sz w:val="24"/>
          <w:szCs w:val="24"/>
        </w:rPr>
        <w:noBreakHyphen/>
        <w:t>size</w:t>
      </w:r>
      <w:r w:rsidRPr="009E2A2B">
        <w:rPr>
          <w:rFonts w:asciiTheme="majorHAnsi" w:eastAsia="Times New Roman" w:hAnsiTheme="majorHAnsi" w:cstheme="majorHAnsi"/>
          <w:sz w:val="24"/>
          <w:szCs w:val="24"/>
        </w:rPr>
        <w:noBreakHyphen/>
        <w:t>fits</w:t>
      </w:r>
      <w:r w:rsidRPr="009E2A2B">
        <w:rPr>
          <w:rFonts w:asciiTheme="majorHAnsi" w:eastAsia="Times New Roman" w:hAnsiTheme="majorHAnsi" w:cstheme="majorHAnsi"/>
          <w:sz w:val="24"/>
          <w:szCs w:val="24"/>
        </w:rPr>
        <w:noBreakHyphen/>
        <w:t>all wellbeing strategy is rarely effective; instead, wellbeing must be tailored to the organisation’s size, sector, workforce composition and operational pressures.</w:t>
      </w:r>
    </w:p>
    <w:p w14:paraId="76B4ACB6" w14:textId="77777777" w:rsidR="00227F71" w:rsidRDefault="00227F71" w:rsidP="009E2A2B">
      <w:pPr>
        <w:rPr>
          <w:rFonts w:asciiTheme="majorHAnsi" w:eastAsia="Times New Roman" w:hAnsiTheme="majorHAnsi" w:cstheme="majorHAnsi"/>
          <w:sz w:val="24"/>
          <w:szCs w:val="24"/>
        </w:rPr>
      </w:pPr>
    </w:p>
    <w:p w14:paraId="646CBD33" w14:textId="77777777" w:rsidR="00DA2A4A" w:rsidRDefault="009E2A2B" w:rsidP="009E2A2B">
      <w:pPr>
        <w:rPr>
          <w:rFonts w:asciiTheme="majorHAnsi" w:eastAsia="Times New Roman" w:hAnsiTheme="majorHAnsi" w:cstheme="majorHAnsi"/>
          <w:sz w:val="24"/>
          <w:szCs w:val="24"/>
        </w:rPr>
      </w:pPr>
      <w:r w:rsidRPr="009E2A2B">
        <w:rPr>
          <w:rFonts w:asciiTheme="majorHAnsi" w:eastAsia="Times New Roman" w:hAnsiTheme="majorHAnsi" w:cstheme="majorHAnsi"/>
          <w:sz w:val="24"/>
          <w:szCs w:val="24"/>
        </w:rPr>
        <w:t>Workload is a major contextual factor. The CIPD (2023), drawing on UK workforce survey data, identifies high</w:t>
      </w:r>
      <w:r w:rsidRPr="009E2A2B">
        <w:rPr>
          <w:rFonts w:asciiTheme="majorHAnsi" w:eastAsia="Times New Roman" w:hAnsiTheme="majorHAnsi" w:cstheme="majorHAnsi"/>
          <w:sz w:val="24"/>
          <w:szCs w:val="24"/>
        </w:rPr>
        <w:noBreakHyphen/>
        <w:t xml:space="preserve">pressure environments as a key driver of stress and burnout. </w:t>
      </w:r>
    </w:p>
    <w:p w14:paraId="247FA0E7" w14:textId="77777777" w:rsidR="00DA2A4A" w:rsidRDefault="00DA2A4A" w:rsidP="009E2A2B">
      <w:pPr>
        <w:rPr>
          <w:rFonts w:asciiTheme="majorHAnsi" w:eastAsia="Times New Roman" w:hAnsiTheme="majorHAnsi" w:cstheme="majorHAnsi"/>
          <w:sz w:val="24"/>
          <w:szCs w:val="24"/>
        </w:rPr>
      </w:pPr>
    </w:p>
    <w:p w14:paraId="45A95EB4" w14:textId="77777777" w:rsidR="00DA2A4A" w:rsidRDefault="009E2A2B" w:rsidP="009E2A2B">
      <w:pPr>
        <w:rPr>
          <w:rFonts w:asciiTheme="majorHAnsi" w:eastAsia="Times New Roman" w:hAnsiTheme="majorHAnsi" w:cstheme="majorHAnsi"/>
          <w:sz w:val="24"/>
          <w:szCs w:val="24"/>
        </w:rPr>
      </w:pPr>
      <w:r w:rsidRPr="009E2A2B">
        <w:rPr>
          <w:rFonts w:asciiTheme="majorHAnsi" w:eastAsia="Times New Roman" w:hAnsiTheme="majorHAnsi" w:cstheme="majorHAnsi"/>
          <w:sz w:val="24"/>
          <w:szCs w:val="24"/>
        </w:rPr>
        <w:t xml:space="preserve">At </w:t>
      </w:r>
      <w:proofErr w:type="spellStart"/>
      <w:r w:rsidRPr="009E2A2B">
        <w:rPr>
          <w:rFonts w:asciiTheme="majorHAnsi" w:eastAsia="Times New Roman" w:hAnsiTheme="majorHAnsi" w:cstheme="majorHAnsi"/>
          <w:sz w:val="24"/>
          <w:szCs w:val="24"/>
        </w:rPr>
        <w:t>Insurasave</w:t>
      </w:r>
      <w:proofErr w:type="spellEnd"/>
      <w:r w:rsidRPr="009E2A2B">
        <w:rPr>
          <w:rFonts w:asciiTheme="majorHAnsi" w:eastAsia="Times New Roman" w:hAnsiTheme="majorHAnsi" w:cstheme="majorHAnsi"/>
          <w:sz w:val="24"/>
          <w:szCs w:val="24"/>
        </w:rPr>
        <w:t xml:space="preserve">, high call volumes and strict performance targets create sustained job demands that elevate burnout risk. </w:t>
      </w:r>
    </w:p>
    <w:p w14:paraId="416550EA" w14:textId="77777777" w:rsidR="00DA2A4A" w:rsidRDefault="00DA2A4A" w:rsidP="009E2A2B">
      <w:pPr>
        <w:rPr>
          <w:rFonts w:asciiTheme="majorHAnsi" w:eastAsia="Times New Roman" w:hAnsiTheme="majorHAnsi" w:cstheme="majorHAnsi"/>
          <w:sz w:val="24"/>
          <w:szCs w:val="24"/>
        </w:rPr>
      </w:pPr>
    </w:p>
    <w:p w14:paraId="52789A67" w14:textId="236D6AEF" w:rsidR="009E2A2B" w:rsidRPr="009E2A2B" w:rsidRDefault="009E2A2B" w:rsidP="009E2A2B">
      <w:pPr>
        <w:rPr>
          <w:rFonts w:asciiTheme="majorHAnsi" w:eastAsia="Times New Roman" w:hAnsiTheme="majorHAnsi" w:cstheme="majorHAnsi"/>
          <w:sz w:val="24"/>
          <w:szCs w:val="24"/>
        </w:rPr>
      </w:pPr>
      <w:r w:rsidRPr="009E2A2B">
        <w:rPr>
          <w:rFonts w:asciiTheme="majorHAnsi" w:eastAsia="Times New Roman" w:hAnsiTheme="majorHAnsi" w:cstheme="majorHAnsi"/>
          <w:sz w:val="24"/>
          <w:szCs w:val="24"/>
        </w:rPr>
        <w:lastRenderedPageBreak/>
        <w:t>Bakker and Demerouti (2017) similarly found that high job demands increase exhaustion, particularly when job resource</w:t>
      </w:r>
      <w:r w:rsidR="00E1203F">
        <w:rPr>
          <w:rFonts w:asciiTheme="majorHAnsi" w:eastAsia="Times New Roman" w:hAnsiTheme="majorHAnsi" w:cstheme="majorHAnsi"/>
          <w:sz w:val="24"/>
          <w:szCs w:val="24"/>
        </w:rPr>
        <w:t xml:space="preserve">s, </w:t>
      </w:r>
      <w:r w:rsidRPr="009E2A2B">
        <w:rPr>
          <w:rFonts w:asciiTheme="majorHAnsi" w:eastAsia="Times New Roman" w:hAnsiTheme="majorHAnsi" w:cstheme="majorHAnsi"/>
          <w:sz w:val="24"/>
          <w:szCs w:val="24"/>
        </w:rPr>
        <w:t>such as autonomy or suppor</w:t>
      </w:r>
      <w:r w:rsidR="00E1203F">
        <w:rPr>
          <w:rFonts w:asciiTheme="majorHAnsi" w:eastAsia="Times New Roman" w:hAnsiTheme="majorHAnsi" w:cstheme="majorHAnsi"/>
          <w:sz w:val="24"/>
          <w:szCs w:val="24"/>
        </w:rPr>
        <w:t xml:space="preserve">t </w:t>
      </w:r>
      <w:r w:rsidRPr="009E2A2B">
        <w:rPr>
          <w:rFonts w:asciiTheme="majorHAnsi" w:eastAsia="Times New Roman" w:hAnsiTheme="majorHAnsi" w:cstheme="majorHAnsi"/>
          <w:sz w:val="24"/>
          <w:szCs w:val="24"/>
        </w:rPr>
        <w:t>are limited. In a fast</w:t>
      </w:r>
      <w:r w:rsidRPr="009E2A2B">
        <w:rPr>
          <w:rFonts w:asciiTheme="majorHAnsi" w:eastAsia="Times New Roman" w:hAnsiTheme="majorHAnsi" w:cstheme="majorHAnsi"/>
          <w:sz w:val="24"/>
          <w:szCs w:val="24"/>
        </w:rPr>
        <w:noBreakHyphen/>
        <w:t xml:space="preserve">paced customer service environment like </w:t>
      </w:r>
      <w:proofErr w:type="spellStart"/>
      <w:r w:rsidRPr="009E2A2B">
        <w:rPr>
          <w:rFonts w:asciiTheme="majorHAnsi" w:eastAsia="Times New Roman" w:hAnsiTheme="majorHAnsi" w:cstheme="majorHAnsi"/>
          <w:sz w:val="24"/>
          <w:szCs w:val="24"/>
        </w:rPr>
        <w:t>Insurasave</w:t>
      </w:r>
      <w:proofErr w:type="spellEnd"/>
      <w:r w:rsidRPr="009E2A2B">
        <w:rPr>
          <w:rFonts w:asciiTheme="majorHAnsi" w:eastAsia="Times New Roman" w:hAnsiTheme="majorHAnsi" w:cstheme="majorHAnsi"/>
          <w:sz w:val="24"/>
          <w:szCs w:val="24"/>
        </w:rPr>
        <w:t>, wellbeing strategies must therefore prioritise workload management, realistic targets and adequate staffing levels.</w:t>
      </w:r>
    </w:p>
    <w:p w14:paraId="5E498055" w14:textId="77777777" w:rsidR="00E1203F" w:rsidRDefault="00E1203F" w:rsidP="009E2A2B">
      <w:pPr>
        <w:rPr>
          <w:rFonts w:asciiTheme="majorHAnsi" w:eastAsia="Times New Roman" w:hAnsiTheme="majorHAnsi" w:cstheme="majorHAnsi"/>
          <w:b/>
          <w:bCs/>
          <w:sz w:val="24"/>
          <w:szCs w:val="24"/>
        </w:rPr>
      </w:pPr>
    </w:p>
    <w:p w14:paraId="77C846CB" w14:textId="3E86A096" w:rsidR="009E2A2B" w:rsidRPr="009E2A2B" w:rsidRDefault="009E2A2B" w:rsidP="009E2A2B">
      <w:pPr>
        <w:rPr>
          <w:rFonts w:asciiTheme="majorHAnsi" w:eastAsia="Times New Roman" w:hAnsiTheme="majorHAnsi" w:cstheme="majorHAnsi"/>
          <w:sz w:val="24"/>
          <w:szCs w:val="24"/>
        </w:rPr>
      </w:pPr>
      <w:r w:rsidRPr="009E2A2B">
        <w:rPr>
          <w:rFonts w:asciiTheme="majorHAnsi" w:eastAsia="Times New Roman" w:hAnsiTheme="majorHAnsi" w:cstheme="majorHAnsi"/>
          <w:sz w:val="24"/>
          <w:szCs w:val="24"/>
        </w:rPr>
        <w:t>Leadership and management capability also shape wellbeing.</w:t>
      </w:r>
      <w:r w:rsidR="00481F9C">
        <w:rPr>
          <w:rFonts w:asciiTheme="majorHAnsi" w:eastAsia="Times New Roman" w:hAnsiTheme="majorHAnsi" w:cstheme="majorHAnsi"/>
          <w:sz w:val="24"/>
          <w:szCs w:val="24"/>
        </w:rPr>
        <w:t xml:space="preserve"> </w:t>
      </w:r>
      <w:r w:rsidR="00481F9C" w:rsidRPr="00990E41">
        <w:rPr>
          <w:rFonts w:asciiTheme="majorHAnsi" w:eastAsia="Times New Roman" w:hAnsiTheme="majorHAnsi" w:cstheme="majorHAnsi"/>
          <w:sz w:val="24"/>
          <w:szCs w:val="24"/>
        </w:rPr>
        <w:t>Nielsen,</w:t>
      </w:r>
      <w:r w:rsidR="00481F9C">
        <w:rPr>
          <w:rFonts w:asciiTheme="majorHAnsi" w:eastAsia="Times New Roman" w:hAnsiTheme="majorHAnsi" w:cstheme="majorHAnsi"/>
          <w:sz w:val="24"/>
          <w:szCs w:val="24"/>
        </w:rPr>
        <w:t xml:space="preserve"> </w:t>
      </w:r>
      <w:r w:rsidR="00481F9C" w:rsidRPr="00990E41">
        <w:rPr>
          <w:rFonts w:asciiTheme="majorHAnsi" w:eastAsia="Times New Roman" w:hAnsiTheme="majorHAnsi" w:cstheme="majorHAnsi"/>
          <w:sz w:val="24"/>
          <w:szCs w:val="24"/>
        </w:rPr>
        <w:t xml:space="preserve">Randall, Yarker, </w:t>
      </w:r>
      <w:r w:rsidR="00481F9C">
        <w:rPr>
          <w:rFonts w:asciiTheme="majorHAnsi" w:eastAsia="Times New Roman" w:hAnsiTheme="majorHAnsi" w:cstheme="majorHAnsi"/>
          <w:sz w:val="24"/>
          <w:szCs w:val="24"/>
        </w:rPr>
        <w:t xml:space="preserve">and </w:t>
      </w:r>
      <w:r w:rsidR="00481F9C" w:rsidRPr="00990E41">
        <w:rPr>
          <w:rFonts w:asciiTheme="majorHAnsi" w:eastAsia="Times New Roman" w:hAnsiTheme="majorHAnsi" w:cstheme="majorHAnsi"/>
          <w:sz w:val="24"/>
          <w:szCs w:val="24"/>
        </w:rPr>
        <w:t>Brenner</w:t>
      </w:r>
      <w:r w:rsidR="00481F9C">
        <w:rPr>
          <w:rFonts w:asciiTheme="majorHAnsi" w:eastAsia="Times New Roman" w:hAnsiTheme="majorHAnsi" w:cstheme="majorHAnsi"/>
          <w:sz w:val="24"/>
          <w:szCs w:val="24"/>
        </w:rPr>
        <w:t xml:space="preserve"> (2008) </w:t>
      </w:r>
      <w:r w:rsidRPr="009E2A2B">
        <w:rPr>
          <w:rFonts w:asciiTheme="majorHAnsi" w:eastAsia="Times New Roman" w:hAnsiTheme="majorHAnsi" w:cstheme="majorHAnsi"/>
          <w:sz w:val="24"/>
          <w:szCs w:val="24"/>
        </w:rPr>
        <w:t xml:space="preserve">found that supportive leadership significantly improves wellbeing by reducing stress and enhancing psychological safety. At </w:t>
      </w:r>
      <w:proofErr w:type="spellStart"/>
      <w:r w:rsidRPr="009E2A2B">
        <w:rPr>
          <w:rFonts w:asciiTheme="majorHAnsi" w:eastAsia="Times New Roman" w:hAnsiTheme="majorHAnsi" w:cstheme="majorHAnsi"/>
          <w:sz w:val="24"/>
          <w:szCs w:val="24"/>
        </w:rPr>
        <w:t>Insurasave</w:t>
      </w:r>
      <w:proofErr w:type="spellEnd"/>
      <w:r w:rsidRPr="009E2A2B">
        <w:rPr>
          <w:rFonts w:asciiTheme="majorHAnsi" w:eastAsia="Times New Roman" w:hAnsiTheme="majorHAnsi" w:cstheme="majorHAnsi"/>
          <w:sz w:val="24"/>
          <w:szCs w:val="24"/>
        </w:rPr>
        <w:t>, managers who provide flexibility, guidance and recognition help buffer the effects of high job demands, whereas inconsistent or unsupportive leadership exacerbates stress. Leadership expectations differ across organisational contexts; for example, smaller organisations may rely on informal support, while larger ones require structured leadership development programmes.</w:t>
      </w:r>
    </w:p>
    <w:p w14:paraId="0C6311B5" w14:textId="77777777" w:rsidR="00E1203F" w:rsidRDefault="00E1203F" w:rsidP="009E2A2B">
      <w:pPr>
        <w:rPr>
          <w:rFonts w:asciiTheme="majorHAnsi" w:eastAsia="Times New Roman" w:hAnsiTheme="majorHAnsi" w:cstheme="majorHAnsi"/>
          <w:b/>
          <w:bCs/>
          <w:sz w:val="24"/>
          <w:szCs w:val="24"/>
        </w:rPr>
      </w:pPr>
    </w:p>
    <w:p w14:paraId="5950D0BB" w14:textId="0DBE22CE" w:rsidR="009E2A2B" w:rsidRPr="009E2A2B" w:rsidRDefault="009E2A2B" w:rsidP="009E2A2B">
      <w:pPr>
        <w:rPr>
          <w:rFonts w:asciiTheme="majorHAnsi" w:eastAsia="Times New Roman" w:hAnsiTheme="majorHAnsi" w:cstheme="majorHAnsi"/>
          <w:sz w:val="24"/>
          <w:szCs w:val="24"/>
        </w:rPr>
      </w:pPr>
      <w:r w:rsidRPr="009E2A2B">
        <w:rPr>
          <w:rFonts w:asciiTheme="majorHAnsi" w:eastAsia="Times New Roman" w:hAnsiTheme="majorHAnsi" w:cstheme="majorHAnsi"/>
          <w:sz w:val="24"/>
          <w:szCs w:val="24"/>
        </w:rPr>
        <w:t>Individual differences further influence how employees experience wellbeing. Furnham (20</w:t>
      </w:r>
      <w:r w:rsidR="00276244">
        <w:rPr>
          <w:rFonts w:asciiTheme="majorHAnsi" w:eastAsia="Times New Roman" w:hAnsiTheme="majorHAnsi" w:cstheme="majorHAnsi"/>
          <w:sz w:val="24"/>
          <w:szCs w:val="24"/>
        </w:rPr>
        <w:t>12</w:t>
      </w:r>
      <w:r w:rsidRPr="009E2A2B">
        <w:rPr>
          <w:rFonts w:asciiTheme="majorHAnsi" w:eastAsia="Times New Roman" w:hAnsiTheme="majorHAnsi" w:cstheme="majorHAnsi"/>
          <w:sz w:val="24"/>
          <w:szCs w:val="24"/>
        </w:rPr>
        <w:t>) found that personality traits and coping styles affect how people respond to stress. This means wellbeing strategies must consider workforce diversity, including age, experience, neurodiversity and personal circumstances. For example, younger employees may value career development and mentoring, while older employees may prioritise work–life balance or health support.</w:t>
      </w:r>
    </w:p>
    <w:p w14:paraId="6E57278D" w14:textId="77777777" w:rsidR="00E1203F" w:rsidRDefault="00E1203F" w:rsidP="009E2A2B">
      <w:pPr>
        <w:rPr>
          <w:rFonts w:asciiTheme="majorHAnsi" w:eastAsia="Times New Roman" w:hAnsiTheme="majorHAnsi" w:cstheme="majorHAnsi"/>
          <w:sz w:val="24"/>
          <w:szCs w:val="24"/>
        </w:rPr>
      </w:pPr>
    </w:p>
    <w:p w14:paraId="0C6480DC" w14:textId="4D7E4739" w:rsidR="009E2A2B" w:rsidRPr="009E2A2B" w:rsidRDefault="009E2A2B" w:rsidP="009E2A2B">
      <w:pPr>
        <w:rPr>
          <w:rFonts w:asciiTheme="majorHAnsi" w:eastAsia="Times New Roman" w:hAnsiTheme="majorHAnsi" w:cstheme="majorHAnsi"/>
          <w:sz w:val="24"/>
          <w:szCs w:val="24"/>
        </w:rPr>
      </w:pPr>
      <w:r w:rsidRPr="009E2A2B">
        <w:rPr>
          <w:rFonts w:asciiTheme="majorHAnsi" w:eastAsia="Times New Roman" w:hAnsiTheme="majorHAnsi" w:cstheme="majorHAnsi"/>
          <w:sz w:val="24"/>
          <w:szCs w:val="24"/>
        </w:rPr>
        <w:t>Crucially, organisational context also includes sector and workforce composition. In a customer</w:t>
      </w:r>
      <w:r w:rsidRPr="009E2A2B">
        <w:rPr>
          <w:rFonts w:asciiTheme="majorHAnsi" w:eastAsia="Times New Roman" w:hAnsiTheme="majorHAnsi" w:cstheme="majorHAnsi"/>
          <w:sz w:val="24"/>
          <w:szCs w:val="24"/>
        </w:rPr>
        <w:noBreakHyphen/>
        <w:t>facing</w:t>
      </w:r>
      <w:r w:rsidR="00914F57">
        <w:rPr>
          <w:rFonts w:asciiTheme="majorHAnsi" w:eastAsia="Times New Roman" w:hAnsiTheme="majorHAnsi" w:cstheme="majorHAnsi"/>
          <w:sz w:val="24"/>
          <w:szCs w:val="24"/>
        </w:rPr>
        <w:t xml:space="preserve"> company such as </w:t>
      </w:r>
      <w:proofErr w:type="spellStart"/>
      <w:r w:rsidR="00914F57">
        <w:rPr>
          <w:rFonts w:asciiTheme="majorHAnsi" w:eastAsia="Times New Roman" w:hAnsiTheme="majorHAnsi" w:cstheme="majorHAnsi"/>
          <w:sz w:val="24"/>
          <w:szCs w:val="24"/>
        </w:rPr>
        <w:t>Insurasave</w:t>
      </w:r>
      <w:proofErr w:type="spellEnd"/>
      <w:r w:rsidRPr="009E2A2B">
        <w:rPr>
          <w:rFonts w:asciiTheme="majorHAnsi" w:eastAsia="Times New Roman" w:hAnsiTheme="majorHAnsi" w:cstheme="majorHAnsi"/>
          <w:sz w:val="24"/>
          <w:szCs w:val="24"/>
        </w:rPr>
        <w:t xml:space="preserve">, emotional labour, customer conflict and performance monitoring are common stressors. Wellbeing strategies must therefore address emotional resilience, supportive supervision and recovery time. In contrast, </w:t>
      </w:r>
      <w:proofErr w:type="gramStart"/>
      <w:r w:rsidRPr="009E2A2B">
        <w:rPr>
          <w:rFonts w:asciiTheme="majorHAnsi" w:eastAsia="Times New Roman" w:hAnsiTheme="majorHAnsi" w:cstheme="majorHAnsi"/>
          <w:sz w:val="24"/>
          <w:szCs w:val="24"/>
        </w:rPr>
        <w:t>a  project</w:t>
      </w:r>
      <w:proofErr w:type="gramEnd"/>
      <w:r w:rsidRPr="009E2A2B">
        <w:rPr>
          <w:rFonts w:asciiTheme="majorHAnsi" w:eastAsia="Times New Roman" w:hAnsiTheme="majorHAnsi" w:cstheme="majorHAnsi"/>
          <w:sz w:val="24"/>
          <w:szCs w:val="24"/>
        </w:rPr>
        <w:noBreakHyphen/>
        <w:t>based organisation</w:t>
      </w:r>
      <w:r w:rsidR="00F723BC">
        <w:rPr>
          <w:rFonts w:asciiTheme="majorHAnsi" w:eastAsia="Times New Roman" w:hAnsiTheme="majorHAnsi" w:cstheme="majorHAnsi"/>
          <w:sz w:val="24"/>
          <w:szCs w:val="24"/>
        </w:rPr>
        <w:t>s</w:t>
      </w:r>
      <w:r w:rsidRPr="009E2A2B">
        <w:rPr>
          <w:rFonts w:asciiTheme="majorHAnsi" w:eastAsia="Times New Roman" w:hAnsiTheme="majorHAnsi" w:cstheme="majorHAnsi"/>
          <w:sz w:val="24"/>
          <w:szCs w:val="24"/>
        </w:rPr>
        <w:t xml:space="preserve"> m</w:t>
      </w:r>
      <w:r w:rsidR="00F723BC">
        <w:rPr>
          <w:rFonts w:asciiTheme="majorHAnsi" w:eastAsia="Times New Roman" w:hAnsiTheme="majorHAnsi" w:cstheme="majorHAnsi"/>
          <w:sz w:val="24"/>
          <w:szCs w:val="24"/>
        </w:rPr>
        <w:t>ay</w:t>
      </w:r>
      <w:r w:rsidRPr="009E2A2B">
        <w:rPr>
          <w:rFonts w:asciiTheme="majorHAnsi" w:eastAsia="Times New Roman" w:hAnsiTheme="majorHAnsi" w:cstheme="majorHAnsi"/>
          <w:sz w:val="24"/>
          <w:szCs w:val="24"/>
        </w:rPr>
        <w:t xml:space="preserve"> focus more on autonomy, collaboration and flexible working.</w:t>
      </w:r>
    </w:p>
    <w:p w14:paraId="5D1D25A2" w14:textId="77777777" w:rsidR="00F723BC" w:rsidRDefault="00F723BC" w:rsidP="009E2A2B">
      <w:pPr>
        <w:rPr>
          <w:rFonts w:asciiTheme="majorHAnsi" w:eastAsia="Times New Roman" w:hAnsiTheme="majorHAnsi" w:cstheme="majorHAnsi"/>
          <w:sz w:val="24"/>
          <w:szCs w:val="24"/>
        </w:rPr>
      </w:pPr>
    </w:p>
    <w:p w14:paraId="06B0331E" w14:textId="5AFA6DDD" w:rsidR="009E2A2B" w:rsidRPr="009E2A2B" w:rsidRDefault="009E2A2B" w:rsidP="009E2A2B">
      <w:pPr>
        <w:rPr>
          <w:rFonts w:asciiTheme="majorHAnsi" w:eastAsia="Times New Roman" w:hAnsiTheme="majorHAnsi" w:cstheme="majorHAnsi"/>
          <w:sz w:val="24"/>
          <w:szCs w:val="24"/>
        </w:rPr>
      </w:pPr>
      <w:r w:rsidRPr="009E2A2B">
        <w:rPr>
          <w:rFonts w:asciiTheme="majorHAnsi" w:eastAsia="Times New Roman" w:hAnsiTheme="majorHAnsi" w:cstheme="majorHAnsi"/>
          <w:sz w:val="24"/>
          <w:szCs w:val="24"/>
        </w:rPr>
        <w:t>A holistic, context</w:t>
      </w:r>
      <w:r w:rsidRPr="009E2A2B">
        <w:rPr>
          <w:rFonts w:asciiTheme="majorHAnsi" w:eastAsia="Times New Roman" w:hAnsiTheme="majorHAnsi" w:cstheme="majorHAnsi"/>
          <w:sz w:val="24"/>
          <w:szCs w:val="24"/>
        </w:rPr>
        <w:noBreakHyphen/>
        <w:t>specific approach is therefore essential. CIPD guidance consistently emphasises that wellbeing must be integrated across job design, leadership, reward, health and safety, and organisational culture rather than delivered through generic initiatives. Tailoring wellbeing to organisational realitie</w:t>
      </w:r>
      <w:r w:rsidR="00B61EAA">
        <w:rPr>
          <w:rFonts w:asciiTheme="majorHAnsi" w:eastAsia="Times New Roman" w:hAnsiTheme="majorHAnsi" w:cstheme="majorHAnsi"/>
          <w:sz w:val="24"/>
          <w:szCs w:val="24"/>
        </w:rPr>
        <w:t xml:space="preserve">s </w:t>
      </w:r>
      <w:r w:rsidRPr="009E2A2B">
        <w:rPr>
          <w:rFonts w:asciiTheme="majorHAnsi" w:eastAsia="Times New Roman" w:hAnsiTheme="majorHAnsi" w:cstheme="majorHAnsi"/>
          <w:sz w:val="24"/>
          <w:szCs w:val="24"/>
        </w:rPr>
        <w:t>such as workload patterns, workforce needs and leadership capability</w:t>
      </w:r>
      <w:r w:rsidR="00B61EAA">
        <w:rPr>
          <w:rFonts w:asciiTheme="majorHAnsi" w:eastAsia="Times New Roman" w:hAnsiTheme="majorHAnsi" w:cstheme="majorHAnsi"/>
          <w:sz w:val="24"/>
          <w:szCs w:val="24"/>
        </w:rPr>
        <w:t xml:space="preserve"> </w:t>
      </w:r>
      <w:r w:rsidRPr="009E2A2B">
        <w:rPr>
          <w:rFonts w:asciiTheme="majorHAnsi" w:eastAsia="Times New Roman" w:hAnsiTheme="majorHAnsi" w:cstheme="majorHAnsi"/>
          <w:sz w:val="24"/>
          <w:szCs w:val="24"/>
        </w:rPr>
        <w:t>ensures interventions are relevant, credible and sustainable</w:t>
      </w:r>
      <w:r>
        <w:rPr>
          <w:rFonts w:asciiTheme="majorHAnsi" w:eastAsia="Times New Roman" w:hAnsiTheme="majorHAnsi" w:cstheme="majorHAnsi"/>
          <w:sz w:val="24"/>
          <w:szCs w:val="24"/>
        </w:rPr>
        <w:t>.</w:t>
      </w:r>
    </w:p>
    <w:p w14:paraId="161172B7" w14:textId="0E104EAE" w:rsidR="00876FD3" w:rsidRPr="009E2A2B" w:rsidRDefault="00185E6D" w:rsidP="00843063">
      <w:pPr>
        <w:rPr>
          <w:rFonts w:asciiTheme="majorHAnsi" w:eastAsia="Times New Roman" w:hAnsiTheme="majorHAnsi" w:cstheme="majorHAnsi"/>
          <w:strike/>
          <w:color w:val="EE0000"/>
          <w:sz w:val="24"/>
          <w:szCs w:val="24"/>
        </w:rPr>
      </w:pPr>
      <w:r w:rsidRPr="00AE3D06">
        <w:rPr>
          <w:rFonts w:asciiTheme="majorHAnsi" w:eastAsia="Times New Roman" w:hAnsiTheme="majorHAnsi" w:cstheme="majorHAnsi"/>
          <w:sz w:val="24"/>
          <w:szCs w:val="24"/>
        </w:rPr>
        <w:br/>
      </w:r>
      <w:r w:rsidR="00876FD3" w:rsidRPr="009E2A2B">
        <w:rPr>
          <w:rFonts w:asciiTheme="majorHAnsi" w:eastAsia="Times New Roman" w:hAnsiTheme="majorHAnsi" w:cstheme="majorHAnsi"/>
          <w:strike/>
          <w:color w:val="EE0000"/>
          <w:sz w:val="24"/>
          <w:szCs w:val="24"/>
        </w:rPr>
        <w:t xml:space="preserve">Organisational context shapes employee wellbeing through factors such as workload, leadership, and individual differences. </w:t>
      </w:r>
    </w:p>
    <w:p w14:paraId="32C21094" w14:textId="77777777" w:rsidR="00876FD3" w:rsidRPr="009E2A2B" w:rsidRDefault="00876FD3" w:rsidP="00843063">
      <w:pPr>
        <w:rPr>
          <w:rFonts w:asciiTheme="majorHAnsi" w:eastAsia="Times New Roman" w:hAnsiTheme="majorHAnsi" w:cstheme="majorHAnsi"/>
          <w:strike/>
          <w:color w:val="EE0000"/>
          <w:sz w:val="24"/>
          <w:szCs w:val="24"/>
        </w:rPr>
      </w:pPr>
    </w:p>
    <w:p w14:paraId="390AD302" w14:textId="77777777" w:rsidR="00876FD3" w:rsidRPr="009E2A2B" w:rsidRDefault="00876FD3" w:rsidP="00843063">
      <w:pPr>
        <w:rPr>
          <w:rFonts w:asciiTheme="majorHAnsi" w:eastAsia="Times New Roman" w:hAnsiTheme="majorHAnsi" w:cstheme="majorHAnsi"/>
          <w:strike/>
          <w:color w:val="EE0000"/>
          <w:sz w:val="24"/>
          <w:szCs w:val="24"/>
        </w:rPr>
      </w:pPr>
      <w:r w:rsidRPr="009E2A2B">
        <w:rPr>
          <w:rFonts w:asciiTheme="majorHAnsi" w:eastAsia="Times New Roman" w:hAnsiTheme="majorHAnsi" w:cstheme="majorHAnsi"/>
          <w:strike/>
          <w:color w:val="EE0000"/>
          <w:sz w:val="24"/>
          <w:szCs w:val="24"/>
        </w:rPr>
        <w:t xml:space="preserve">Workload is a key factor; the CIPD (2023), based on UK workforce survey data, identified high-pressure environments as increasing stress, with </w:t>
      </w:r>
      <w:proofErr w:type="spellStart"/>
      <w:r w:rsidRPr="009E2A2B">
        <w:rPr>
          <w:rFonts w:asciiTheme="majorHAnsi" w:eastAsia="Times New Roman" w:hAnsiTheme="majorHAnsi" w:cstheme="majorHAnsi"/>
          <w:strike/>
          <w:color w:val="EE0000"/>
          <w:sz w:val="24"/>
          <w:szCs w:val="24"/>
        </w:rPr>
        <w:t>Insurasave’s</w:t>
      </w:r>
      <w:proofErr w:type="spellEnd"/>
      <w:r w:rsidRPr="009E2A2B">
        <w:rPr>
          <w:rFonts w:asciiTheme="majorHAnsi" w:eastAsia="Times New Roman" w:hAnsiTheme="majorHAnsi" w:cstheme="majorHAnsi"/>
          <w:strike/>
          <w:color w:val="EE0000"/>
          <w:sz w:val="24"/>
          <w:szCs w:val="24"/>
        </w:rPr>
        <w:t xml:space="preserve"> performance targets and call volumes creating high demands that elevate burnout risk. </w:t>
      </w:r>
    </w:p>
    <w:p w14:paraId="16B466C6" w14:textId="77777777" w:rsidR="00876FD3" w:rsidRPr="009E2A2B" w:rsidRDefault="00876FD3" w:rsidP="00843063">
      <w:pPr>
        <w:rPr>
          <w:rFonts w:asciiTheme="majorHAnsi" w:eastAsia="Times New Roman" w:hAnsiTheme="majorHAnsi" w:cstheme="majorHAnsi"/>
          <w:strike/>
          <w:color w:val="EE0000"/>
          <w:sz w:val="24"/>
          <w:szCs w:val="24"/>
        </w:rPr>
      </w:pPr>
    </w:p>
    <w:p w14:paraId="6189F512" w14:textId="77777777" w:rsidR="00876FD3" w:rsidRPr="009E2A2B" w:rsidRDefault="00876FD3" w:rsidP="00843063">
      <w:pPr>
        <w:rPr>
          <w:rFonts w:asciiTheme="majorHAnsi" w:eastAsia="Times New Roman" w:hAnsiTheme="majorHAnsi" w:cstheme="majorHAnsi"/>
          <w:strike/>
          <w:color w:val="EE0000"/>
          <w:sz w:val="24"/>
          <w:szCs w:val="24"/>
        </w:rPr>
      </w:pPr>
      <w:r w:rsidRPr="009E2A2B">
        <w:rPr>
          <w:rFonts w:asciiTheme="majorHAnsi" w:eastAsia="Times New Roman" w:hAnsiTheme="majorHAnsi" w:cstheme="majorHAnsi"/>
          <w:strike/>
          <w:color w:val="EE0000"/>
          <w:sz w:val="24"/>
          <w:szCs w:val="24"/>
        </w:rPr>
        <w:t xml:space="preserve">Bakker and Demerouti (2017) also found that high job demands increase burnout, especially when resources are limited. </w:t>
      </w:r>
    </w:p>
    <w:p w14:paraId="7BCF3079" w14:textId="77777777" w:rsidR="00876FD3" w:rsidRPr="009E2A2B" w:rsidRDefault="00876FD3" w:rsidP="00843063">
      <w:pPr>
        <w:rPr>
          <w:rFonts w:asciiTheme="majorHAnsi" w:eastAsia="Times New Roman" w:hAnsiTheme="majorHAnsi" w:cstheme="majorHAnsi"/>
          <w:strike/>
          <w:color w:val="EE0000"/>
          <w:sz w:val="24"/>
          <w:szCs w:val="24"/>
        </w:rPr>
      </w:pPr>
    </w:p>
    <w:p w14:paraId="0DFB9E22" w14:textId="77777777" w:rsidR="00876FD3" w:rsidRPr="009E2A2B" w:rsidRDefault="00876FD3" w:rsidP="00843063">
      <w:pPr>
        <w:rPr>
          <w:rFonts w:asciiTheme="majorHAnsi" w:eastAsia="Times New Roman" w:hAnsiTheme="majorHAnsi" w:cstheme="majorHAnsi"/>
          <w:strike/>
          <w:color w:val="EE0000"/>
          <w:sz w:val="24"/>
          <w:szCs w:val="24"/>
        </w:rPr>
      </w:pPr>
      <w:r w:rsidRPr="009E2A2B">
        <w:rPr>
          <w:rFonts w:asciiTheme="majorHAnsi" w:eastAsia="Times New Roman" w:hAnsiTheme="majorHAnsi" w:cstheme="majorHAnsi"/>
          <w:strike/>
          <w:color w:val="EE0000"/>
          <w:sz w:val="24"/>
          <w:szCs w:val="24"/>
        </w:rPr>
        <w:t xml:space="preserve">Leadership is another factor, with Nielsen, Randall, and Christensen (2017), organisational psychologists who researched supportive leadership in workplace stress interventions, finding that supportive managers significantly improve wellbeing. At Insurasave, managers who provide guidance and flexibility reduce stress, while poor leadership exacerbates it. </w:t>
      </w:r>
    </w:p>
    <w:p w14:paraId="33091A10" w14:textId="77777777" w:rsidR="00876FD3" w:rsidRPr="009E2A2B" w:rsidRDefault="00876FD3" w:rsidP="00843063">
      <w:pPr>
        <w:rPr>
          <w:rFonts w:asciiTheme="majorHAnsi" w:eastAsia="Times New Roman" w:hAnsiTheme="majorHAnsi" w:cstheme="majorHAnsi"/>
          <w:strike/>
          <w:color w:val="EE0000"/>
          <w:sz w:val="24"/>
          <w:szCs w:val="24"/>
        </w:rPr>
      </w:pPr>
    </w:p>
    <w:p w14:paraId="60EBA1A9" w14:textId="77777777" w:rsidR="00876FD3" w:rsidRPr="009E2A2B" w:rsidRDefault="00876FD3" w:rsidP="00843063">
      <w:pPr>
        <w:rPr>
          <w:rFonts w:asciiTheme="majorHAnsi" w:eastAsia="Times New Roman" w:hAnsiTheme="majorHAnsi" w:cstheme="majorHAnsi"/>
          <w:strike/>
          <w:color w:val="EE0000"/>
          <w:sz w:val="24"/>
          <w:szCs w:val="24"/>
        </w:rPr>
      </w:pPr>
      <w:r w:rsidRPr="009E2A2B">
        <w:rPr>
          <w:rFonts w:asciiTheme="majorHAnsi" w:eastAsia="Times New Roman" w:hAnsiTheme="majorHAnsi" w:cstheme="majorHAnsi"/>
          <w:strike/>
          <w:color w:val="EE0000"/>
          <w:sz w:val="24"/>
          <w:szCs w:val="24"/>
        </w:rPr>
        <w:lastRenderedPageBreak/>
        <w:t xml:space="preserve">Individual differences also matter; Furnham (2005), a psychologist researching personality and workplace behaviour, found that people respond differently to stress depending on personality and coping strategies. </w:t>
      </w:r>
    </w:p>
    <w:p w14:paraId="53776F53" w14:textId="77777777" w:rsidR="00876FD3" w:rsidRPr="009E2A2B" w:rsidRDefault="00876FD3" w:rsidP="00843063">
      <w:pPr>
        <w:rPr>
          <w:rFonts w:asciiTheme="majorHAnsi" w:eastAsia="Times New Roman" w:hAnsiTheme="majorHAnsi" w:cstheme="majorHAnsi"/>
          <w:strike/>
          <w:color w:val="EE0000"/>
          <w:sz w:val="24"/>
          <w:szCs w:val="24"/>
        </w:rPr>
      </w:pPr>
    </w:p>
    <w:p w14:paraId="583F1B8F" w14:textId="4AA5BE04" w:rsidR="00843063" w:rsidRPr="00AE3D06" w:rsidRDefault="00876FD3" w:rsidP="00843063">
      <w:pPr>
        <w:rPr>
          <w:rFonts w:asciiTheme="majorHAnsi" w:eastAsia="Times New Roman" w:hAnsiTheme="majorHAnsi" w:cstheme="majorHAnsi"/>
          <w:sz w:val="24"/>
          <w:szCs w:val="24"/>
        </w:rPr>
      </w:pPr>
      <w:r w:rsidRPr="009E2A2B">
        <w:rPr>
          <w:rFonts w:asciiTheme="majorHAnsi" w:eastAsia="Times New Roman" w:hAnsiTheme="majorHAnsi" w:cstheme="majorHAnsi"/>
          <w:strike/>
          <w:color w:val="EE0000"/>
          <w:sz w:val="24"/>
          <w:szCs w:val="24"/>
        </w:rPr>
        <w:t xml:space="preserve">Overall, </w:t>
      </w:r>
      <w:proofErr w:type="spellStart"/>
      <w:r w:rsidRPr="009E2A2B">
        <w:rPr>
          <w:rFonts w:asciiTheme="majorHAnsi" w:eastAsia="Times New Roman" w:hAnsiTheme="majorHAnsi" w:cstheme="majorHAnsi"/>
          <w:strike/>
          <w:color w:val="EE0000"/>
          <w:sz w:val="24"/>
          <w:szCs w:val="24"/>
        </w:rPr>
        <w:t>Insurasave’s</w:t>
      </w:r>
      <w:proofErr w:type="spellEnd"/>
      <w:r w:rsidRPr="009E2A2B">
        <w:rPr>
          <w:rFonts w:asciiTheme="majorHAnsi" w:eastAsia="Times New Roman" w:hAnsiTheme="majorHAnsi" w:cstheme="majorHAnsi"/>
          <w:strike/>
          <w:color w:val="EE0000"/>
          <w:sz w:val="24"/>
          <w:szCs w:val="24"/>
        </w:rPr>
        <w:t xml:space="preserve"> context creates significant wellbeing challenges, making it essential to address workload and leadership deficiencies to support employee wellbeing and performance.</w:t>
      </w:r>
      <w:r w:rsidRPr="009E2A2B">
        <w:rPr>
          <w:rFonts w:asciiTheme="majorHAnsi" w:eastAsia="Times New Roman" w:hAnsiTheme="majorHAnsi" w:cstheme="majorHAnsi"/>
          <w:strike/>
          <w:color w:val="EE0000"/>
          <w:sz w:val="24"/>
          <w:szCs w:val="24"/>
        </w:rPr>
        <w:br/>
      </w:r>
    </w:p>
    <w:p w14:paraId="1730F815" w14:textId="1155515C" w:rsidR="00843063" w:rsidRDefault="004B33B0" w:rsidP="00843063">
      <w:pPr>
        <w:autoSpaceDE w:val="0"/>
        <w:autoSpaceDN w:val="0"/>
        <w:adjustRightInd w:val="0"/>
        <w:spacing w:after="120" w:line="276" w:lineRule="auto"/>
        <w:rPr>
          <w:rFonts w:asciiTheme="majorHAnsi" w:hAnsiTheme="majorHAnsi" w:cstheme="majorHAnsi"/>
          <w:color w:val="0070C0"/>
          <w:sz w:val="24"/>
          <w:szCs w:val="24"/>
          <w:lang w:val="en" w:eastAsia="en-US"/>
        </w:rPr>
      </w:pPr>
      <w:r w:rsidRPr="00AE3D06">
        <w:rPr>
          <w:rFonts w:asciiTheme="majorHAnsi" w:hAnsiTheme="majorHAnsi" w:cstheme="majorHAnsi"/>
          <w:color w:val="0070C0"/>
          <w:sz w:val="24"/>
          <w:szCs w:val="24"/>
          <w:lang w:val="en" w:eastAsia="en-US"/>
        </w:rPr>
        <w:t xml:space="preserve">7. </w:t>
      </w:r>
      <w:r w:rsidR="00843063" w:rsidRPr="00AE3D06">
        <w:rPr>
          <w:rFonts w:asciiTheme="majorHAnsi" w:hAnsiTheme="majorHAnsi" w:cstheme="majorHAnsi"/>
          <w:color w:val="0070C0"/>
          <w:sz w:val="24"/>
          <w:szCs w:val="24"/>
          <w:lang w:val="en" w:eastAsia="en-US"/>
        </w:rPr>
        <w:t xml:space="preserve">Assess Insursave Ltd.’s needs in relation to employee wellbeing and identify two wellbeing initiatives that would help address these needs. (AC 3.1) </w:t>
      </w:r>
    </w:p>
    <w:p w14:paraId="25919D7F" w14:textId="2511E109"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proofErr w:type="spellStart"/>
      <w:r w:rsidRPr="00201E40">
        <w:rPr>
          <w:rFonts w:asciiTheme="majorHAnsi" w:hAnsiTheme="majorHAnsi" w:cstheme="majorHAnsi"/>
          <w:sz w:val="24"/>
          <w:szCs w:val="24"/>
          <w:lang w:val="en" w:eastAsia="en-US"/>
        </w:rPr>
        <w:t>Insursave</w:t>
      </w:r>
      <w:proofErr w:type="spellEnd"/>
      <w:r w:rsidRPr="00201E40">
        <w:rPr>
          <w:rFonts w:asciiTheme="majorHAnsi" w:hAnsiTheme="majorHAnsi" w:cstheme="majorHAnsi"/>
          <w:sz w:val="24"/>
          <w:szCs w:val="24"/>
          <w:lang w:val="en" w:eastAsia="en-US"/>
        </w:rPr>
        <w:t xml:space="preserve"> </w:t>
      </w:r>
      <w:proofErr w:type="spellStart"/>
      <w:r w:rsidRPr="00201E40">
        <w:rPr>
          <w:rFonts w:asciiTheme="majorHAnsi" w:hAnsiTheme="majorHAnsi" w:cstheme="majorHAnsi"/>
          <w:sz w:val="24"/>
          <w:szCs w:val="24"/>
          <w:lang w:val="en" w:eastAsia="en-US"/>
        </w:rPr>
        <w:t>Ltd’s</w:t>
      </w:r>
      <w:proofErr w:type="spellEnd"/>
      <w:r w:rsidRPr="00201E40">
        <w:rPr>
          <w:rFonts w:asciiTheme="majorHAnsi" w:hAnsiTheme="majorHAnsi" w:cstheme="majorHAnsi"/>
          <w:sz w:val="24"/>
          <w:szCs w:val="24"/>
          <w:lang w:val="en" w:eastAsia="en-US"/>
        </w:rPr>
        <w:t xml:space="preserve"> </w:t>
      </w:r>
      <w:proofErr w:type="spellStart"/>
      <w:r w:rsidRPr="00201E40">
        <w:rPr>
          <w:rFonts w:asciiTheme="majorHAnsi" w:hAnsiTheme="majorHAnsi" w:cstheme="majorHAnsi"/>
          <w:sz w:val="24"/>
          <w:szCs w:val="24"/>
          <w:lang w:val="en" w:eastAsia="en-US"/>
        </w:rPr>
        <w:t>organisational</w:t>
      </w:r>
      <w:proofErr w:type="spellEnd"/>
      <w:r w:rsidRPr="00201E40">
        <w:rPr>
          <w:rFonts w:asciiTheme="majorHAnsi" w:hAnsiTheme="majorHAnsi" w:cstheme="majorHAnsi"/>
          <w:sz w:val="24"/>
          <w:szCs w:val="24"/>
          <w:lang w:val="en" w:eastAsia="en-US"/>
        </w:rPr>
        <w:t xml:space="preserve"> data highlights several pressing </w:t>
      </w:r>
      <w:proofErr w:type="gramStart"/>
      <w:r w:rsidRPr="00201E40">
        <w:rPr>
          <w:rFonts w:asciiTheme="majorHAnsi" w:hAnsiTheme="majorHAnsi" w:cstheme="majorHAnsi"/>
          <w:sz w:val="24"/>
          <w:szCs w:val="24"/>
          <w:lang w:val="en" w:eastAsia="en-US"/>
        </w:rPr>
        <w:t>wellbeing</w:t>
      </w:r>
      <w:proofErr w:type="gramEnd"/>
      <w:r w:rsidRPr="00201E40">
        <w:rPr>
          <w:rFonts w:asciiTheme="majorHAnsi" w:hAnsiTheme="majorHAnsi" w:cstheme="majorHAnsi"/>
          <w:sz w:val="24"/>
          <w:szCs w:val="24"/>
          <w:lang w:val="en" w:eastAsia="en-US"/>
        </w:rPr>
        <w:t xml:space="preserve"> needs linked to its workforce profile, operational pressures and recent </w:t>
      </w:r>
      <w:proofErr w:type="spellStart"/>
      <w:r w:rsidRPr="00201E40">
        <w:rPr>
          <w:rFonts w:asciiTheme="majorHAnsi" w:hAnsiTheme="majorHAnsi" w:cstheme="majorHAnsi"/>
          <w:sz w:val="24"/>
          <w:szCs w:val="24"/>
          <w:lang w:val="en" w:eastAsia="en-US"/>
        </w:rPr>
        <w:t>organisational</w:t>
      </w:r>
      <w:proofErr w:type="spellEnd"/>
      <w:r w:rsidRPr="00201E40">
        <w:rPr>
          <w:rFonts w:asciiTheme="majorHAnsi" w:hAnsiTheme="majorHAnsi" w:cstheme="majorHAnsi"/>
          <w:sz w:val="24"/>
          <w:szCs w:val="24"/>
          <w:lang w:val="en" w:eastAsia="en-US"/>
        </w:rPr>
        <w:t xml:space="preserve"> changes. With 4,554 employees across four UK sites and a workforce dominated by front</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 xml:space="preserve">line call handlers (3,644 employees), the </w:t>
      </w:r>
      <w:proofErr w:type="spellStart"/>
      <w:r w:rsidRPr="00201E40">
        <w:rPr>
          <w:rFonts w:asciiTheme="majorHAnsi" w:hAnsiTheme="majorHAnsi" w:cstheme="majorHAnsi"/>
          <w:sz w:val="24"/>
          <w:szCs w:val="24"/>
          <w:lang w:val="en" w:eastAsia="en-US"/>
        </w:rPr>
        <w:t>organisation</w:t>
      </w:r>
      <w:proofErr w:type="spellEnd"/>
      <w:r w:rsidRPr="00201E40">
        <w:rPr>
          <w:rFonts w:asciiTheme="majorHAnsi" w:hAnsiTheme="majorHAnsi" w:cstheme="majorHAnsi"/>
          <w:sz w:val="24"/>
          <w:szCs w:val="24"/>
          <w:lang w:val="en" w:eastAsia="en-US"/>
        </w:rPr>
        <w:t xml:space="preserve"> faces high job demands, increasing sickness </w:t>
      </w:r>
      <w:r w:rsidRPr="00201E40">
        <w:rPr>
          <w:rFonts w:asciiTheme="majorHAnsi" w:hAnsiTheme="majorHAnsi" w:cstheme="majorHAnsi"/>
          <w:sz w:val="24"/>
          <w:szCs w:val="24"/>
          <w:lang w:val="en" w:eastAsia="en-US"/>
        </w:rPr>
        <w:t>absences</w:t>
      </w:r>
      <w:r w:rsidRPr="00201E40">
        <w:rPr>
          <w:rFonts w:asciiTheme="majorHAnsi" w:hAnsiTheme="majorHAnsi" w:cstheme="majorHAnsi"/>
          <w:sz w:val="24"/>
          <w:szCs w:val="24"/>
          <w:lang w:val="en" w:eastAsia="en-US"/>
        </w:rPr>
        <w:t xml:space="preserve"> and concerns about inexperience following two years of high attrition. The age and tenure data show that most employees are under 35 and have less than five years’ service, indicating a young, inexperienced workforce that may require greater support, development and stability.</w:t>
      </w:r>
    </w:p>
    <w:p w14:paraId="540B6EC2" w14:textId="35BBED52"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Absence data shows that mental health (21%), minor illness (29%), and colds and flu (22%) are the most common causes of absence. The high proportion of mental health</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 xml:space="preserve">related absence suggests that stress, emotional </w:t>
      </w:r>
      <w:r w:rsidRPr="00201E40">
        <w:rPr>
          <w:rFonts w:asciiTheme="majorHAnsi" w:hAnsiTheme="majorHAnsi" w:cstheme="majorHAnsi"/>
          <w:sz w:val="24"/>
          <w:szCs w:val="24"/>
          <w:lang w:val="en" w:eastAsia="en-US"/>
        </w:rPr>
        <w:t>labor</w:t>
      </w:r>
      <w:r w:rsidRPr="00201E40">
        <w:rPr>
          <w:rFonts w:asciiTheme="majorHAnsi" w:hAnsiTheme="majorHAnsi" w:cstheme="majorHAnsi"/>
          <w:sz w:val="24"/>
          <w:szCs w:val="24"/>
          <w:lang w:val="en" w:eastAsia="en-US"/>
        </w:rPr>
        <w:t xml:space="preserve"> and workload pressures are significant issues in call</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handling roles. CIPD (2025) reports that mental ill health and stress remain leading causes of long</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 xml:space="preserve">term absence in UK </w:t>
      </w:r>
      <w:proofErr w:type="spellStart"/>
      <w:r w:rsidRPr="00201E40">
        <w:rPr>
          <w:rFonts w:asciiTheme="majorHAnsi" w:hAnsiTheme="majorHAnsi" w:cstheme="majorHAnsi"/>
          <w:sz w:val="24"/>
          <w:szCs w:val="24"/>
          <w:lang w:val="en" w:eastAsia="en-US"/>
        </w:rPr>
        <w:t>organisations</w:t>
      </w:r>
      <w:proofErr w:type="spellEnd"/>
      <w:r w:rsidRPr="00201E40">
        <w:rPr>
          <w:rFonts w:asciiTheme="majorHAnsi" w:hAnsiTheme="majorHAnsi" w:cstheme="majorHAnsi"/>
          <w:sz w:val="24"/>
          <w:szCs w:val="24"/>
          <w:lang w:val="en" w:eastAsia="en-US"/>
        </w:rPr>
        <w:t>, particularly in high</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pressure customer</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 xml:space="preserve">facing environments. Combined with </w:t>
      </w:r>
      <w:proofErr w:type="spellStart"/>
      <w:r w:rsidRPr="00201E40">
        <w:rPr>
          <w:rFonts w:asciiTheme="majorHAnsi" w:hAnsiTheme="majorHAnsi" w:cstheme="majorHAnsi"/>
          <w:sz w:val="24"/>
          <w:szCs w:val="24"/>
          <w:lang w:val="en" w:eastAsia="en-US"/>
        </w:rPr>
        <w:t>Insursave</w:t>
      </w:r>
      <w:r w:rsidRPr="00201E40">
        <w:rPr>
          <w:rFonts w:ascii="Calibri Light" w:hAnsi="Calibri Light" w:cs="Calibri Light"/>
          <w:sz w:val="24"/>
          <w:szCs w:val="24"/>
          <w:lang w:val="en" w:eastAsia="en-US"/>
        </w:rPr>
        <w:t>’</w:t>
      </w:r>
      <w:r w:rsidRPr="00201E40">
        <w:rPr>
          <w:rFonts w:asciiTheme="majorHAnsi" w:hAnsiTheme="majorHAnsi" w:cstheme="majorHAnsi"/>
          <w:sz w:val="24"/>
          <w:szCs w:val="24"/>
          <w:lang w:val="en" w:eastAsia="en-US"/>
        </w:rPr>
        <w:t>s</w:t>
      </w:r>
      <w:proofErr w:type="spellEnd"/>
      <w:r w:rsidRPr="00201E40">
        <w:rPr>
          <w:rFonts w:asciiTheme="majorHAnsi" w:hAnsiTheme="majorHAnsi" w:cstheme="majorHAnsi"/>
          <w:sz w:val="24"/>
          <w:szCs w:val="24"/>
          <w:lang w:val="en" w:eastAsia="en-US"/>
        </w:rPr>
        <w:t xml:space="preserve"> high attrition among younger employees, this indicates a need for improved job design, stronger support systems and better managerial capability.</w:t>
      </w:r>
    </w:p>
    <w:p w14:paraId="57E5F79F"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 xml:space="preserve">Based on the data, </w:t>
      </w:r>
      <w:proofErr w:type="spellStart"/>
      <w:r w:rsidRPr="00201E40">
        <w:rPr>
          <w:rFonts w:asciiTheme="majorHAnsi" w:hAnsiTheme="majorHAnsi" w:cstheme="majorHAnsi"/>
          <w:sz w:val="24"/>
          <w:szCs w:val="24"/>
          <w:lang w:val="en" w:eastAsia="en-US"/>
        </w:rPr>
        <w:t>Insursave’s</w:t>
      </w:r>
      <w:proofErr w:type="spellEnd"/>
      <w:r w:rsidRPr="00201E40">
        <w:rPr>
          <w:rFonts w:asciiTheme="majorHAnsi" w:hAnsiTheme="majorHAnsi" w:cstheme="majorHAnsi"/>
          <w:sz w:val="24"/>
          <w:szCs w:val="24"/>
          <w:lang w:val="en" w:eastAsia="en-US"/>
        </w:rPr>
        <w:t xml:space="preserve"> most urgent wellbeing needs are:</w:t>
      </w:r>
    </w:p>
    <w:p w14:paraId="6204DC65" w14:textId="06AA4FE2"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Strengthening line manager capability to support wellbeing, mental health and attendance</w:t>
      </w:r>
      <w:r>
        <w:rPr>
          <w:rFonts w:asciiTheme="majorHAnsi" w:hAnsiTheme="majorHAnsi" w:cstheme="majorHAnsi"/>
          <w:sz w:val="24"/>
          <w:szCs w:val="24"/>
          <w:lang w:val="en" w:eastAsia="en-US"/>
        </w:rPr>
        <w:t>, and p</w:t>
      </w:r>
      <w:r w:rsidRPr="00201E40">
        <w:rPr>
          <w:rFonts w:asciiTheme="majorHAnsi" w:hAnsiTheme="majorHAnsi" w:cstheme="majorHAnsi"/>
          <w:sz w:val="24"/>
          <w:szCs w:val="24"/>
          <w:lang w:val="en" w:eastAsia="en-US"/>
        </w:rPr>
        <w:t>roviding</w:t>
      </w:r>
      <w:r>
        <w:rPr>
          <w:rFonts w:asciiTheme="majorHAnsi" w:hAnsiTheme="majorHAnsi" w:cstheme="majorHAnsi"/>
          <w:sz w:val="24"/>
          <w:szCs w:val="24"/>
          <w:lang w:val="en" w:eastAsia="en-US"/>
        </w:rPr>
        <w:t xml:space="preserve"> more</w:t>
      </w:r>
      <w:r w:rsidRPr="00201E40">
        <w:rPr>
          <w:rFonts w:asciiTheme="majorHAnsi" w:hAnsiTheme="majorHAnsi" w:cstheme="majorHAnsi"/>
          <w:sz w:val="24"/>
          <w:szCs w:val="24"/>
          <w:lang w:val="en" w:eastAsia="en-US"/>
        </w:rPr>
        <w:t xml:space="preserve"> </w:t>
      </w:r>
      <w:r>
        <w:rPr>
          <w:rFonts w:asciiTheme="majorHAnsi" w:hAnsiTheme="majorHAnsi" w:cstheme="majorHAnsi"/>
          <w:sz w:val="24"/>
          <w:szCs w:val="24"/>
          <w:lang w:val="en" w:eastAsia="en-US"/>
        </w:rPr>
        <w:t>forms of st</w:t>
      </w:r>
      <w:r w:rsidRPr="00201E40">
        <w:rPr>
          <w:rFonts w:asciiTheme="majorHAnsi" w:hAnsiTheme="majorHAnsi" w:cstheme="majorHAnsi"/>
          <w:sz w:val="24"/>
          <w:szCs w:val="24"/>
          <w:lang w:val="en" w:eastAsia="en-US"/>
        </w:rPr>
        <w:t>ructured</w:t>
      </w:r>
      <w:r>
        <w:rPr>
          <w:rFonts w:asciiTheme="majorHAnsi" w:hAnsiTheme="majorHAnsi" w:cstheme="majorHAnsi"/>
          <w:sz w:val="24"/>
          <w:szCs w:val="24"/>
          <w:lang w:val="en" w:eastAsia="en-US"/>
        </w:rPr>
        <w:t xml:space="preserve"> </w:t>
      </w:r>
      <w:r w:rsidRPr="00201E40">
        <w:rPr>
          <w:rFonts w:asciiTheme="majorHAnsi" w:hAnsiTheme="majorHAnsi" w:cstheme="majorHAnsi"/>
          <w:sz w:val="24"/>
          <w:szCs w:val="24"/>
          <w:lang w:val="en" w:eastAsia="en-US"/>
        </w:rPr>
        <w:t xml:space="preserve">emotional, psychological and practical support for a young, inexperienced </w:t>
      </w:r>
      <w:r>
        <w:rPr>
          <w:rFonts w:asciiTheme="majorHAnsi" w:hAnsiTheme="majorHAnsi" w:cstheme="majorHAnsi"/>
          <w:sz w:val="24"/>
          <w:szCs w:val="24"/>
          <w:lang w:val="en" w:eastAsia="en-US"/>
        </w:rPr>
        <w:t xml:space="preserve">workforce </w:t>
      </w:r>
      <w:r w:rsidRPr="00201E40">
        <w:rPr>
          <w:rFonts w:asciiTheme="majorHAnsi" w:hAnsiTheme="majorHAnsi" w:cstheme="majorHAnsi"/>
          <w:sz w:val="24"/>
          <w:szCs w:val="24"/>
          <w:lang w:val="en" w:eastAsia="en-US"/>
        </w:rPr>
        <w:t>facing high job demands.</w:t>
      </w:r>
    </w:p>
    <w:p w14:paraId="25ED4C4B" w14:textId="4EC7561C"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 xml:space="preserve">These needs are </w:t>
      </w:r>
      <w:proofErr w:type="spellStart"/>
      <w:r w:rsidRPr="00201E40">
        <w:rPr>
          <w:rFonts w:asciiTheme="majorHAnsi" w:hAnsiTheme="majorHAnsi" w:cstheme="majorHAnsi"/>
          <w:sz w:val="24"/>
          <w:szCs w:val="24"/>
          <w:lang w:val="en" w:eastAsia="en-US"/>
        </w:rPr>
        <w:t>prioritised</w:t>
      </w:r>
      <w:proofErr w:type="spellEnd"/>
      <w:r w:rsidRPr="00201E40">
        <w:rPr>
          <w:rFonts w:asciiTheme="majorHAnsi" w:hAnsiTheme="majorHAnsi" w:cstheme="majorHAnsi"/>
          <w:sz w:val="24"/>
          <w:szCs w:val="24"/>
          <w:lang w:val="en" w:eastAsia="en-US"/>
        </w:rPr>
        <w:t xml:space="preserve"> because line managers have the </w:t>
      </w:r>
      <w:proofErr w:type="gramStart"/>
      <w:r w:rsidRPr="00201E40">
        <w:rPr>
          <w:rFonts w:asciiTheme="majorHAnsi" w:hAnsiTheme="majorHAnsi" w:cstheme="majorHAnsi"/>
          <w:sz w:val="24"/>
          <w:szCs w:val="24"/>
          <w:lang w:val="en" w:eastAsia="en-US"/>
        </w:rPr>
        <w:t>strongest day</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to</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day</w:t>
      </w:r>
      <w:proofErr w:type="gramEnd"/>
      <w:r w:rsidRPr="00201E40">
        <w:rPr>
          <w:rFonts w:asciiTheme="majorHAnsi" w:hAnsiTheme="majorHAnsi" w:cstheme="majorHAnsi"/>
          <w:sz w:val="24"/>
          <w:szCs w:val="24"/>
          <w:lang w:val="en" w:eastAsia="en-US"/>
        </w:rPr>
        <w:t xml:space="preserve"> impact on wellbeing (CIPD, 2023), and because mental health</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related absence is both prevalent and costly if unaddressed.</w:t>
      </w:r>
    </w:p>
    <w:p w14:paraId="303D2078" w14:textId="076281F1" w:rsidR="00201E40" w:rsidRPr="00201E40" w:rsidRDefault="00201E40" w:rsidP="00201E40">
      <w:pPr>
        <w:autoSpaceDE w:val="0"/>
        <w:autoSpaceDN w:val="0"/>
        <w:adjustRightInd w:val="0"/>
        <w:spacing w:after="120" w:line="276" w:lineRule="auto"/>
        <w:rPr>
          <w:rFonts w:asciiTheme="majorHAnsi" w:hAnsiTheme="majorHAnsi" w:cstheme="majorHAnsi"/>
          <w:b/>
          <w:bCs/>
          <w:sz w:val="24"/>
          <w:szCs w:val="24"/>
          <w:u w:val="single"/>
          <w:lang w:val="en" w:eastAsia="en-US"/>
        </w:rPr>
      </w:pPr>
      <w:r w:rsidRPr="00201E40">
        <w:rPr>
          <w:rFonts w:asciiTheme="majorHAnsi" w:hAnsiTheme="majorHAnsi" w:cstheme="majorHAnsi"/>
          <w:b/>
          <w:bCs/>
          <w:sz w:val="24"/>
          <w:szCs w:val="24"/>
          <w:u w:val="single"/>
          <w:lang w:val="en" w:eastAsia="en-US"/>
        </w:rPr>
        <w:t xml:space="preserve">Manager Wellbeing Capability </w:t>
      </w:r>
      <w:proofErr w:type="spellStart"/>
      <w:r w:rsidRPr="00201E40">
        <w:rPr>
          <w:rFonts w:asciiTheme="majorHAnsi" w:hAnsiTheme="majorHAnsi" w:cstheme="majorHAnsi"/>
          <w:b/>
          <w:bCs/>
          <w:sz w:val="24"/>
          <w:szCs w:val="24"/>
          <w:u w:val="single"/>
          <w:lang w:val="en" w:eastAsia="en-US"/>
        </w:rPr>
        <w:t>Programme</w:t>
      </w:r>
      <w:proofErr w:type="spellEnd"/>
    </w:p>
    <w:p w14:paraId="341378A8"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 xml:space="preserve">A structured training </w:t>
      </w:r>
      <w:proofErr w:type="spellStart"/>
      <w:r w:rsidRPr="00201E40">
        <w:rPr>
          <w:rFonts w:asciiTheme="majorHAnsi" w:hAnsiTheme="majorHAnsi" w:cstheme="majorHAnsi"/>
          <w:sz w:val="24"/>
          <w:szCs w:val="24"/>
          <w:lang w:val="en" w:eastAsia="en-US"/>
        </w:rPr>
        <w:t>programme</w:t>
      </w:r>
      <w:proofErr w:type="spellEnd"/>
      <w:r w:rsidRPr="00201E40">
        <w:rPr>
          <w:rFonts w:asciiTheme="majorHAnsi" w:hAnsiTheme="majorHAnsi" w:cstheme="majorHAnsi"/>
          <w:sz w:val="24"/>
          <w:szCs w:val="24"/>
          <w:lang w:val="en" w:eastAsia="en-US"/>
        </w:rPr>
        <w:t xml:space="preserve"> should be introduced to develop managers’ confidence and competence in supporting wellbeing. This would include:</w:t>
      </w:r>
    </w:p>
    <w:p w14:paraId="65737D53"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proofErr w:type="spellStart"/>
      <w:r w:rsidRPr="00201E40">
        <w:rPr>
          <w:rFonts w:asciiTheme="majorHAnsi" w:hAnsiTheme="majorHAnsi" w:cstheme="majorHAnsi"/>
          <w:sz w:val="24"/>
          <w:szCs w:val="24"/>
          <w:lang w:val="en" w:eastAsia="en-US"/>
        </w:rPr>
        <w:t>Recognising</w:t>
      </w:r>
      <w:proofErr w:type="spellEnd"/>
      <w:r w:rsidRPr="00201E40">
        <w:rPr>
          <w:rFonts w:asciiTheme="majorHAnsi" w:hAnsiTheme="majorHAnsi" w:cstheme="majorHAnsi"/>
          <w:sz w:val="24"/>
          <w:szCs w:val="24"/>
          <w:lang w:val="en" w:eastAsia="en-US"/>
        </w:rPr>
        <w:t xml:space="preserve"> early signs of stress and burnout</w:t>
      </w:r>
    </w:p>
    <w:p w14:paraId="62DB042F"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Conducting wellbeing and return</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to</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work conversations</w:t>
      </w:r>
    </w:p>
    <w:p w14:paraId="56DC9ED7" w14:textId="77777777" w:rsid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Managing attendance fairly and consistently</w:t>
      </w:r>
    </w:p>
    <w:p w14:paraId="758EE089" w14:textId="00444A22"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lastRenderedPageBreak/>
        <w:t>Supporting employees with mental health conditions</w:t>
      </w:r>
    </w:p>
    <w:p w14:paraId="599EC5B4"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Coaching skills for young or inexperienced staff</w:t>
      </w:r>
    </w:p>
    <w:p w14:paraId="1D8BFB97" w14:textId="1A21F13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 xml:space="preserve">CIPD (2023) highlights line manager capability </w:t>
      </w:r>
      <w:r>
        <w:rPr>
          <w:rFonts w:asciiTheme="majorHAnsi" w:hAnsiTheme="majorHAnsi" w:cstheme="majorHAnsi"/>
          <w:sz w:val="24"/>
          <w:szCs w:val="24"/>
          <w:lang w:val="en" w:eastAsia="en-US"/>
        </w:rPr>
        <w:t xml:space="preserve">as a </w:t>
      </w:r>
      <w:r w:rsidRPr="00201E40">
        <w:rPr>
          <w:rFonts w:asciiTheme="majorHAnsi" w:hAnsiTheme="majorHAnsi" w:cstheme="majorHAnsi"/>
          <w:sz w:val="24"/>
          <w:szCs w:val="24"/>
          <w:lang w:val="en" w:eastAsia="en-US"/>
        </w:rPr>
        <w:t xml:space="preserve">critical enabler of wellbeing, with trained managers improving trust, reducing absence and enhancing engagement. For </w:t>
      </w:r>
      <w:proofErr w:type="spellStart"/>
      <w:r w:rsidRPr="00201E40">
        <w:rPr>
          <w:rFonts w:asciiTheme="majorHAnsi" w:hAnsiTheme="majorHAnsi" w:cstheme="majorHAnsi"/>
          <w:sz w:val="24"/>
          <w:szCs w:val="24"/>
          <w:lang w:val="en" w:eastAsia="en-US"/>
        </w:rPr>
        <w:t>Insursave</w:t>
      </w:r>
      <w:proofErr w:type="spellEnd"/>
      <w:r w:rsidRPr="00201E40">
        <w:rPr>
          <w:rFonts w:asciiTheme="majorHAnsi" w:hAnsiTheme="majorHAnsi" w:cstheme="majorHAnsi"/>
          <w:sz w:val="24"/>
          <w:szCs w:val="24"/>
          <w:lang w:val="en" w:eastAsia="en-US"/>
        </w:rPr>
        <w:t>, where many managers oversee large teams of call handlers, this initiative directly addresses capability gaps and supports cultural consistency across four sites.</w:t>
      </w:r>
    </w:p>
    <w:p w14:paraId="1E3F929E" w14:textId="5D95A2BE" w:rsidR="00201E40" w:rsidRPr="00201E40" w:rsidRDefault="00201E40" w:rsidP="00201E40">
      <w:pPr>
        <w:autoSpaceDE w:val="0"/>
        <w:autoSpaceDN w:val="0"/>
        <w:adjustRightInd w:val="0"/>
        <w:spacing w:after="120" w:line="276" w:lineRule="auto"/>
        <w:rPr>
          <w:rFonts w:asciiTheme="majorHAnsi" w:hAnsiTheme="majorHAnsi" w:cstheme="majorHAnsi"/>
          <w:b/>
          <w:bCs/>
          <w:sz w:val="24"/>
          <w:szCs w:val="24"/>
          <w:u w:val="single"/>
          <w:lang w:val="en" w:eastAsia="en-US"/>
        </w:rPr>
      </w:pPr>
      <w:r w:rsidRPr="00201E40">
        <w:rPr>
          <w:rFonts w:asciiTheme="majorHAnsi" w:hAnsiTheme="majorHAnsi" w:cstheme="majorHAnsi"/>
          <w:sz w:val="24"/>
          <w:szCs w:val="24"/>
          <w:lang w:val="en" w:eastAsia="en-US"/>
        </w:rPr>
        <w:t>2</w:t>
      </w:r>
      <w:r w:rsidRPr="00201E40">
        <w:rPr>
          <w:rFonts w:asciiTheme="majorHAnsi" w:hAnsiTheme="majorHAnsi" w:cstheme="majorHAnsi"/>
          <w:b/>
          <w:bCs/>
          <w:sz w:val="24"/>
          <w:szCs w:val="24"/>
          <w:u w:val="single"/>
          <w:lang w:val="en" w:eastAsia="en-US"/>
        </w:rPr>
        <w:t xml:space="preserve">.Employee Assistance </w:t>
      </w:r>
      <w:proofErr w:type="spellStart"/>
      <w:r w:rsidRPr="00201E40">
        <w:rPr>
          <w:rFonts w:asciiTheme="majorHAnsi" w:hAnsiTheme="majorHAnsi" w:cstheme="majorHAnsi"/>
          <w:b/>
          <w:bCs/>
          <w:sz w:val="24"/>
          <w:szCs w:val="24"/>
          <w:u w:val="single"/>
          <w:lang w:val="en" w:eastAsia="en-US"/>
        </w:rPr>
        <w:t>Programme</w:t>
      </w:r>
      <w:proofErr w:type="spellEnd"/>
      <w:r w:rsidRPr="00201E40">
        <w:rPr>
          <w:rFonts w:asciiTheme="majorHAnsi" w:hAnsiTheme="majorHAnsi" w:cstheme="majorHAnsi"/>
          <w:b/>
          <w:bCs/>
          <w:sz w:val="24"/>
          <w:szCs w:val="24"/>
          <w:u w:val="single"/>
          <w:lang w:val="en" w:eastAsia="en-US"/>
        </w:rPr>
        <w:t xml:space="preserve"> (EAP) </w:t>
      </w:r>
    </w:p>
    <w:p w14:paraId="07E88B2C" w14:textId="44FC1034"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 xml:space="preserve">While a holistic approach is essential, </w:t>
      </w:r>
      <w:r>
        <w:rPr>
          <w:rFonts w:asciiTheme="majorHAnsi" w:hAnsiTheme="majorHAnsi" w:cstheme="majorHAnsi"/>
          <w:sz w:val="24"/>
          <w:szCs w:val="24"/>
          <w:lang w:val="en" w:eastAsia="en-US"/>
        </w:rPr>
        <w:t xml:space="preserve">the introduction of </w:t>
      </w:r>
      <w:r w:rsidRPr="00201E40">
        <w:rPr>
          <w:rFonts w:asciiTheme="majorHAnsi" w:hAnsiTheme="majorHAnsi" w:cstheme="majorHAnsi"/>
          <w:sz w:val="24"/>
          <w:szCs w:val="24"/>
          <w:lang w:val="en" w:eastAsia="en-US"/>
        </w:rPr>
        <w:t xml:space="preserve">EAP should be </w:t>
      </w:r>
      <w:r>
        <w:rPr>
          <w:rFonts w:asciiTheme="majorHAnsi" w:hAnsiTheme="majorHAnsi" w:cstheme="majorHAnsi"/>
          <w:sz w:val="24"/>
          <w:szCs w:val="24"/>
          <w:lang w:val="en" w:eastAsia="en-US"/>
        </w:rPr>
        <w:t>a c</w:t>
      </w:r>
      <w:r w:rsidRPr="00201E40">
        <w:rPr>
          <w:rFonts w:asciiTheme="majorHAnsi" w:hAnsiTheme="majorHAnsi" w:cstheme="majorHAnsi"/>
          <w:sz w:val="24"/>
          <w:szCs w:val="24"/>
          <w:lang w:val="en" w:eastAsia="en-US"/>
        </w:rPr>
        <w:t xml:space="preserve">entral focus </w:t>
      </w:r>
      <w:r>
        <w:rPr>
          <w:rFonts w:asciiTheme="majorHAnsi" w:hAnsiTheme="majorHAnsi" w:cstheme="majorHAnsi"/>
          <w:sz w:val="24"/>
          <w:szCs w:val="24"/>
          <w:lang w:val="en" w:eastAsia="en-US"/>
        </w:rPr>
        <w:t xml:space="preserve">for </w:t>
      </w:r>
      <w:proofErr w:type="spellStart"/>
      <w:r>
        <w:rPr>
          <w:rFonts w:asciiTheme="majorHAnsi" w:hAnsiTheme="majorHAnsi" w:cstheme="majorHAnsi"/>
          <w:sz w:val="24"/>
          <w:szCs w:val="24"/>
          <w:lang w:val="en" w:eastAsia="en-US"/>
        </w:rPr>
        <w:t>Insurasave</w:t>
      </w:r>
      <w:proofErr w:type="spellEnd"/>
      <w:r>
        <w:rPr>
          <w:rFonts w:asciiTheme="majorHAnsi" w:hAnsiTheme="majorHAnsi" w:cstheme="majorHAnsi"/>
          <w:sz w:val="24"/>
          <w:szCs w:val="24"/>
          <w:lang w:val="en" w:eastAsia="en-US"/>
        </w:rPr>
        <w:t xml:space="preserve"> as they are currently experiencing </w:t>
      </w:r>
      <w:r w:rsidRPr="00201E40">
        <w:rPr>
          <w:rFonts w:asciiTheme="majorHAnsi" w:hAnsiTheme="majorHAnsi" w:cstheme="majorHAnsi"/>
          <w:sz w:val="24"/>
          <w:szCs w:val="24"/>
          <w:lang w:val="en" w:eastAsia="en-US"/>
        </w:rPr>
        <w:t>high levels of mental health and minor illness absence. EAP</w:t>
      </w:r>
      <w:r>
        <w:rPr>
          <w:rFonts w:asciiTheme="majorHAnsi" w:hAnsiTheme="majorHAnsi" w:cstheme="majorHAnsi"/>
          <w:sz w:val="24"/>
          <w:szCs w:val="24"/>
          <w:lang w:val="en" w:eastAsia="en-US"/>
        </w:rPr>
        <w:t xml:space="preserve"> would offer employees:</w:t>
      </w:r>
    </w:p>
    <w:p w14:paraId="67E41D9F"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24/7 confidential counselling</w:t>
      </w:r>
    </w:p>
    <w:p w14:paraId="0CDE479D"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Fast</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track access to mental health support</w:t>
      </w:r>
    </w:p>
    <w:p w14:paraId="06AAFAB2"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 xml:space="preserve">Financial </w:t>
      </w:r>
      <w:proofErr w:type="gramStart"/>
      <w:r w:rsidRPr="00201E40">
        <w:rPr>
          <w:rFonts w:asciiTheme="majorHAnsi" w:hAnsiTheme="majorHAnsi" w:cstheme="majorHAnsi"/>
          <w:sz w:val="24"/>
          <w:szCs w:val="24"/>
          <w:lang w:val="en" w:eastAsia="en-US"/>
        </w:rPr>
        <w:t>wellbeing</w:t>
      </w:r>
      <w:proofErr w:type="gramEnd"/>
      <w:r w:rsidRPr="00201E40">
        <w:rPr>
          <w:rFonts w:asciiTheme="majorHAnsi" w:hAnsiTheme="majorHAnsi" w:cstheme="majorHAnsi"/>
          <w:sz w:val="24"/>
          <w:szCs w:val="24"/>
          <w:lang w:val="en" w:eastAsia="en-US"/>
        </w:rPr>
        <w:t xml:space="preserve"> advice (important for younger staff)</w:t>
      </w:r>
    </w:p>
    <w:p w14:paraId="4DA9DE2A"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Stress management resources</w:t>
      </w:r>
    </w:p>
    <w:p w14:paraId="4CDC9A5C"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Online CBT and resilience training</w:t>
      </w:r>
    </w:p>
    <w:p w14:paraId="03B20A77" w14:textId="77777777"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Manager referral pathways</w:t>
      </w:r>
    </w:p>
    <w:p w14:paraId="54473261" w14:textId="77A8B36D" w:rsidR="00201E40" w:rsidRPr="00201E40" w:rsidRDefault="00201E40" w:rsidP="00201E40">
      <w:pPr>
        <w:autoSpaceDE w:val="0"/>
        <w:autoSpaceDN w:val="0"/>
        <w:adjustRightInd w:val="0"/>
        <w:spacing w:after="120" w:line="276" w:lineRule="auto"/>
        <w:rPr>
          <w:rFonts w:asciiTheme="majorHAnsi" w:hAnsiTheme="majorHAnsi" w:cstheme="majorHAnsi"/>
          <w:sz w:val="24"/>
          <w:szCs w:val="24"/>
          <w:lang w:val="en" w:eastAsia="en-US"/>
        </w:rPr>
      </w:pPr>
      <w:r w:rsidRPr="00201E40">
        <w:rPr>
          <w:rFonts w:asciiTheme="majorHAnsi" w:hAnsiTheme="majorHAnsi" w:cstheme="majorHAnsi"/>
          <w:sz w:val="24"/>
          <w:szCs w:val="24"/>
          <w:lang w:val="en" w:eastAsia="en-US"/>
        </w:rPr>
        <w:t>CIPD (2025) notes that EAP</w:t>
      </w:r>
      <w:r>
        <w:rPr>
          <w:rFonts w:asciiTheme="majorHAnsi" w:hAnsiTheme="majorHAnsi" w:cstheme="majorHAnsi"/>
          <w:sz w:val="24"/>
          <w:szCs w:val="24"/>
          <w:lang w:val="en" w:eastAsia="en-US"/>
        </w:rPr>
        <w:t xml:space="preserve"> is one of</w:t>
      </w:r>
      <w:r w:rsidRPr="00201E40">
        <w:rPr>
          <w:rFonts w:asciiTheme="majorHAnsi" w:hAnsiTheme="majorHAnsi" w:cstheme="majorHAnsi"/>
          <w:sz w:val="24"/>
          <w:szCs w:val="24"/>
          <w:lang w:val="en" w:eastAsia="en-US"/>
        </w:rPr>
        <w:t xml:space="preserve"> the most effective early</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intervention tools for reducing mental health</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related absence when well</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 xml:space="preserve">communicated and accessible. For </w:t>
      </w:r>
      <w:proofErr w:type="spellStart"/>
      <w:r w:rsidRPr="00201E40">
        <w:rPr>
          <w:rFonts w:asciiTheme="majorHAnsi" w:hAnsiTheme="majorHAnsi" w:cstheme="majorHAnsi"/>
          <w:sz w:val="24"/>
          <w:szCs w:val="24"/>
          <w:lang w:val="en" w:eastAsia="en-US"/>
        </w:rPr>
        <w:t>Insursave</w:t>
      </w:r>
      <w:r w:rsidRPr="00201E40">
        <w:rPr>
          <w:rFonts w:ascii="Calibri Light" w:hAnsi="Calibri Light" w:cs="Calibri Light"/>
          <w:sz w:val="24"/>
          <w:szCs w:val="24"/>
          <w:lang w:val="en" w:eastAsia="en-US"/>
        </w:rPr>
        <w:t>’</w:t>
      </w:r>
      <w:r w:rsidRPr="00201E40">
        <w:rPr>
          <w:rFonts w:asciiTheme="majorHAnsi" w:hAnsiTheme="majorHAnsi" w:cstheme="majorHAnsi"/>
          <w:sz w:val="24"/>
          <w:szCs w:val="24"/>
          <w:lang w:val="en" w:eastAsia="en-US"/>
        </w:rPr>
        <w:t>s</w:t>
      </w:r>
      <w:proofErr w:type="spellEnd"/>
      <w:r w:rsidRPr="00201E40">
        <w:rPr>
          <w:rFonts w:asciiTheme="majorHAnsi" w:hAnsiTheme="majorHAnsi" w:cstheme="majorHAnsi"/>
          <w:sz w:val="24"/>
          <w:szCs w:val="24"/>
          <w:lang w:val="en" w:eastAsia="en-US"/>
        </w:rPr>
        <w:t xml:space="preserve"> young workforce, an EAP </w:t>
      </w:r>
      <w:proofErr w:type="spellStart"/>
      <w:r>
        <w:rPr>
          <w:rFonts w:asciiTheme="majorHAnsi" w:hAnsiTheme="majorHAnsi" w:cstheme="majorHAnsi"/>
          <w:sz w:val="24"/>
          <w:szCs w:val="24"/>
          <w:lang w:val="en" w:eastAsia="en-US"/>
        </w:rPr>
        <w:t>programme</w:t>
      </w:r>
      <w:proofErr w:type="spellEnd"/>
      <w:r>
        <w:rPr>
          <w:rFonts w:asciiTheme="majorHAnsi" w:hAnsiTheme="majorHAnsi" w:cstheme="majorHAnsi"/>
          <w:sz w:val="24"/>
          <w:szCs w:val="24"/>
          <w:lang w:val="en" w:eastAsia="en-US"/>
        </w:rPr>
        <w:t xml:space="preserve"> will provide their staff with</w:t>
      </w:r>
      <w:r w:rsidRPr="00201E40">
        <w:rPr>
          <w:rFonts w:asciiTheme="majorHAnsi" w:hAnsiTheme="majorHAnsi" w:cstheme="majorHAnsi"/>
          <w:sz w:val="24"/>
          <w:szCs w:val="24"/>
          <w:lang w:val="en" w:eastAsia="en-US"/>
        </w:rPr>
        <w:t xml:space="preserve"> immediate, practical support while longer</w:t>
      </w:r>
      <w:r w:rsidRPr="00201E40">
        <w:rPr>
          <w:rFonts w:ascii="Cambria Math" w:hAnsi="Cambria Math" w:cs="Cambria Math"/>
          <w:sz w:val="24"/>
          <w:szCs w:val="24"/>
          <w:lang w:val="en" w:eastAsia="en-US"/>
        </w:rPr>
        <w:t>‑</w:t>
      </w:r>
      <w:r w:rsidRPr="00201E40">
        <w:rPr>
          <w:rFonts w:asciiTheme="majorHAnsi" w:hAnsiTheme="majorHAnsi" w:cstheme="majorHAnsi"/>
          <w:sz w:val="24"/>
          <w:szCs w:val="24"/>
          <w:lang w:val="en" w:eastAsia="en-US"/>
        </w:rPr>
        <w:t>term cultural improvements take effect.</w:t>
      </w:r>
    </w:p>
    <w:p w14:paraId="4D469BC3" w14:textId="77777777" w:rsidR="00C5282E" w:rsidRPr="00201E40" w:rsidRDefault="00876FD3" w:rsidP="00876FD3">
      <w:pPr>
        <w:rPr>
          <w:rFonts w:asciiTheme="majorHAnsi" w:eastAsia="Times New Roman" w:hAnsiTheme="majorHAnsi" w:cstheme="majorHAnsi"/>
          <w:strike/>
          <w:color w:val="EE0000"/>
          <w:sz w:val="24"/>
          <w:szCs w:val="24"/>
        </w:rPr>
      </w:pPr>
      <w:proofErr w:type="spellStart"/>
      <w:r w:rsidRPr="00201E40">
        <w:rPr>
          <w:rFonts w:asciiTheme="majorHAnsi" w:eastAsia="Times New Roman" w:hAnsiTheme="majorHAnsi" w:cstheme="majorHAnsi"/>
          <w:strike/>
          <w:color w:val="EE0000"/>
          <w:sz w:val="24"/>
          <w:szCs w:val="24"/>
        </w:rPr>
        <w:t>Insurasave</w:t>
      </w:r>
      <w:proofErr w:type="spellEnd"/>
      <w:r w:rsidRPr="00201E40">
        <w:rPr>
          <w:rFonts w:asciiTheme="majorHAnsi" w:eastAsia="Times New Roman" w:hAnsiTheme="majorHAnsi" w:cstheme="majorHAnsi"/>
          <w:strike/>
          <w:color w:val="EE0000"/>
          <w:sz w:val="24"/>
          <w:szCs w:val="24"/>
        </w:rPr>
        <w:t xml:space="preserve"> Ltd, with 4,554 employees across Edenborough, Bristol, and Peterborough, is experiencing high attrition and sickness absence, indicating challenges in employee wellbeing, job design, and management capability. </w:t>
      </w:r>
    </w:p>
    <w:p w14:paraId="2CC8C18E" w14:textId="77777777" w:rsidR="00C5282E" w:rsidRPr="00201E40" w:rsidRDefault="00C5282E" w:rsidP="00876FD3">
      <w:pPr>
        <w:rPr>
          <w:rFonts w:asciiTheme="majorHAnsi" w:eastAsia="Times New Roman" w:hAnsiTheme="majorHAnsi" w:cstheme="majorHAnsi"/>
          <w:strike/>
          <w:color w:val="EE0000"/>
          <w:sz w:val="24"/>
          <w:szCs w:val="24"/>
        </w:rPr>
      </w:pPr>
    </w:p>
    <w:p w14:paraId="618966B0" w14:textId="77777777" w:rsidR="00C5282E" w:rsidRPr="00201E40" w:rsidRDefault="00876FD3" w:rsidP="00876FD3">
      <w:pPr>
        <w:rPr>
          <w:rFonts w:asciiTheme="majorHAnsi" w:eastAsia="Times New Roman" w:hAnsiTheme="majorHAnsi" w:cstheme="majorHAnsi"/>
          <w:strike/>
          <w:color w:val="EE0000"/>
          <w:sz w:val="24"/>
          <w:szCs w:val="24"/>
        </w:rPr>
      </w:pPr>
      <w:r w:rsidRPr="00201E40">
        <w:rPr>
          <w:rFonts w:asciiTheme="majorHAnsi" w:eastAsia="Times New Roman" w:hAnsiTheme="majorHAnsi" w:cstheme="majorHAnsi"/>
          <w:strike/>
          <w:color w:val="EE0000"/>
          <w:sz w:val="24"/>
          <w:szCs w:val="24"/>
        </w:rPr>
        <w:t xml:space="preserve">Workforce data indicate that attrition is particularly high among younger employees, with most under 30 and with less than five years’ service. This may indicate limited engagement, high workload, or low support in entry-level call-handling roles. </w:t>
      </w:r>
    </w:p>
    <w:p w14:paraId="6DFD81B3" w14:textId="77777777" w:rsidR="00C5282E" w:rsidRPr="00201E40" w:rsidRDefault="00C5282E" w:rsidP="00876FD3">
      <w:pPr>
        <w:rPr>
          <w:rFonts w:asciiTheme="majorHAnsi" w:eastAsia="Times New Roman" w:hAnsiTheme="majorHAnsi" w:cstheme="majorHAnsi"/>
          <w:strike/>
          <w:color w:val="EE0000"/>
          <w:sz w:val="24"/>
          <w:szCs w:val="24"/>
        </w:rPr>
      </w:pPr>
    </w:p>
    <w:p w14:paraId="21A5C188" w14:textId="77777777" w:rsidR="00C5282E" w:rsidRPr="00201E40" w:rsidRDefault="00876FD3" w:rsidP="00876FD3">
      <w:pPr>
        <w:rPr>
          <w:rFonts w:asciiTheme="majorHAnsi" w:eastAsia="Times New Roman" w:hAnsiTheme="majorHAnsi" w:cstheme="majorHAnsi"/>
          <w:strike/>
          <w:color w:val="EE0000"/>
          <w:sz w:val="24"/>
          <w:szCs w:val="24"/>
        </w:rPr>
      </w:pPr>
      <w:r w:rsidRPr="00201E40">
        <w:rPr>
          <w:rFonts w:asciiTheme="majorHAnsi" w:eastAsia="Times New Roman" w:hAnsiTheme="majorHAnsi" w:cstheme="majorHAnsi"/>
          <w:strike/>
          <w:color w:val="EE0000"/>
          <w:sz w:val="24"/>
          <w:szCs w:val="24"/>
        </w:rPr>
        <w:t>The CIPD (2023), based on survey evidence from UK workplaces, highlights that poor job quality and low managerial support significantly contribute to turnover and disengagement.</w:t>
      </w:r>
      <w:r w:rsidRPr="00201E40">
        <w:rPr>
          <w:rFonts w:asciiTheme="majorHAnsi" w:eastAsia="Times New Roman" w:hAnsiTheme="majorHAnsi" w:cstheme="majorHAnsi"/>
          <w:strike/>
          <w:color w:val="EE0000"/>
          <w:sz w:val="24"/>
          <w:szCs w:val="24"/>
        </w:rPr>
        <w:br/>
      </w:r>
    </w:p>
    <w:p w14:paraId="2CBD6F62" w14:textId="77777777" w:rsidR="00C5282E" w:rsidRPr="00201E40" w:rsidRDefault="00876FD3" w:rsidP="00876FD3">
      <w:pPr>
        <w:rPr>
          <w:rFonts w:asciiTheme="majorHAnsi" w:eastAsia="Times New Roman" w:hAnsiTheme="majorHAnsi" w:cstheme="majorHAnsi"/>
          <w:strike/>
          <w:color w:val="EE0000"/>
          <w:sz w:val="24"/>
          <w:szCs w:val="24"/>
        </w:rPr>
      </w:pPr>
      <w:r w:rsidRPr="00201E40">
        <w:rPr>
          <w:rFonts w:asciiTheme="majorHAnsi" w:eastAsia="Times New Roman" w:hAnsiTheme="majorHAnsi" w:cstheme="majorHAnsi"/>
          <w:strike/>
          <w:color w:val="EE0000"/>
          <w:sz w:val="24"/>
          <w:szCs w:val="24"/>
        </w:rPr>
        <w:t xml:space="preserve">Absence data highlights mental health, minor illness, and respiratory conditions as major causes, with musculoskeletal issues increasing among older employees. Mental health absence is more prevalent among staff over 26 with longer service, suggesting ongoing stress and insufficient support. </w:t>
      </w:r>
    </w:p>
    <w:p w14:paraId="53079C0E" w14:textId="77777777" w:rsidR="00C5282E" w:rsidRPr="00201E40" w:rsidRDefault="00C5282E" w:rsidP="00876FD3">
      <w:pPr>
        <w:rPr>
          <w:rFonts w:asciiTheme="majorHAnsi" w:eastAsia="Times New Roman" w:hAnsiTheme="majorHAnsi" w:cstheme="majorHAnsi"/>
          <w:strike/>
          <w:color w:val="EE0000"/>
          <w:sz w:val="24"/>
          <w:szCs w:val="24"/>
        </w:rPr>
      </w:pPr>
    </w:p>
    <w:p w14:paraId="5C702798" w14:textId="77777777" w:rsidR="00C5282E" w:rsidRPr="00201E40" w:rsidRDefault="00876FD3" w:rsidP="00876FD3">
      <w:pPr>
        <w:rPr>
          <w:rFonts w:asciiTheme="majorHAnsi" w:eastAsia="Times New Roman" w:hAnsiTheme="majorHAnsi" w:cstheme="majorHAnsi"/>
          <w:strike/>
          <w:color w:val="EE0000"/>
          <w:sz w:val="24"/>
          <w:szCs w:val="24"/>
        </w:rPr>
      </w:pPr>
      <w:r w:rsidRPr="00201E40">
        <w:rPr>
          <w:rFonts w:asciiTheme="majorHAnsi" w:eastAsia="Times New Roman" w:hAnsiTheme="majorHAnsi" w:cstheme="majorHAnsi"/>
          <w:strike/>
          <w:color w:val="EE0000"/>
          <w:sz w:val="24"/>
          <w:szCs w:val="24"/>
        </w:rPr>
        <w:t>The CIPD (2025), based on UK workforce surveys, reports that work-related stress and mental ill health remain leading causes of long-term absence.</w:t>
      </w:r>
    </w:p>
    <w:p w14:paraId="4E04A6C0" w14:textId="77777777" w:rsidR="00C5282E" w:rsidRPr="00201E40" w:rsidRDefault="00876FD3" w:rsidP="00876FD3">
      <w:pPr>
        <w:rPr>
          <w:rFonts w:asciiTheme="majorHAnsi" w:eastAsia="Times New Roman" w:hAnsiTheme="majorHAnsi" w:cstheme="majorHAnsi"/>
          <w:strike/>
          <w:color w:val="EE0000"/>
          <w:sz w:val="24"/>
          <w:szCs w:val="24"/>
        </w:rPr>
      </w:pPr>
      <w:r w:rsidRPr="00201E40">
        <w:rPr>
          <w:rFonts w:asciiTheme="majorHAnsi" w:eastAsia="Times New Roman" w:hAnsiTheme="majorHAnsi" w:cstheme="majorHAnsi"/>
          <w:strike/>
          <w:color w:val="EE0000"/>
          <w:sz w:val="24"/>
          <w:szCs w:val="24"/>
        </w:rPr>
        <w:lastRenderedPageBreak/>
        <w:t>Management capability is also a concern, as employee engagement survey findings indicate many managers feel ill-equipped to support wellbeing, particularly with mental health or chronic illness. CIPD research (2023) identifies line manager capability as a key factor in workplace wellbeing.</w:t>
      </w:r>
      <w:r w:rsidRPr="00201E40">
        <w:rPr>
          <w:rFonts w:asciiTheme="majorHAnsi" w:eastAsia="Times New Roman" w:hAnsiTheme="majorHAnsi" w:cstheme="majorHAnsi"/>
          <w:strike/>
          <w:color w:val="EE0000"/>
          <w:sz w:val="24"/>
          <w:szCs w:val="24"/>
        </w:rPr>
        <w:br/>
      </w:r>
    </w:p>
    <w:p w14:paraId="3033357D" w14:textId="77777777" w:rsidR="00C5282E" w:rsidRPr="00201E40" w:rsidRDefault="00876FD3" w:rsidP="00876FD3">
      <w:pPr>
        <w:rPr>
          <w:rFonts w:asciiTheme="majorHAnsi" w:eastAsia="Times New Roman" w:hAnsiTheme="majorHAnsi" w:cstheme="majorHAnsi"/>
          <w:strike/>
          <w:color w:val="EE0000"/>
          <w:sz w:val="24"/>
          <w:szCs w:val="24"/>
        </w:rPr>
      </w:pPr>
      <w:r w:rsidRPr="00201E40">
        <w:rPr>
          <w:rFonts w:asciiTheme="majorHAnsi" w:eastAsia="Times New Roman" w:hAnsiTheme="majorHAnsi" w:cstheme="majorHAnsi"/>
          <w:strike/>
          <w:color w:val="EE0000"/>
          <w:sz w:val="24"/>
          <w:szCs w:val="24"/>
        </w:rPr>
        <w:t xml:space="preserve">Two initiatives are proposed. First, a manager wellbeing capability programme offering training on stress recognition, wellbeing conversations, and absence management. This improves manager confidence, strengthens trust, and reduces attrition. </w:t>
      </w:r>
    </w:p>
    <w:p w14:paraId="52C1B7EF" w14:textId="77777777" w:rsidR="00C5282E" w:rsidRPr="00201E40" w:rsidRDefault="00C5282E" w:rsidP="00876FD3">
      <w:pPr>
        <w:rPr>
          <w:rFonts w:asciiTheme="majorHAnsi" w:eastAsia="Times New Roman" w:hAnsiTheme="majorHAnsi" w:cstheme="majorHAnsi"/>
          <w:strike/>
          <w:color w:val="EE0000"/>
          <w:sz w:val="24"/>
          <w:szCs w:val="24"/>
        </w:rPr>
      </w:pPr>
    </w:p>
    <w:p w14:paraId="3A866EC9" w14:textId="3797B9DA" w:rsidR="00876FD3" w:rsidRPr="00201E40" w:rsidRDefault="00876FD3" w:rsidP="00876FD3">
      <w:pPr>
        <w:rPr>
          <w:rFonts w:asciiTheme="majorHAnsi" w:eastAsia="Times New Roman" w:hAnsiTheme="majorHAnsi" w:cstheme="majorHAnsi"/>
          <w:strike/>
          <w:color w:val="EE0000"/>
          <w:sz w:val="24"/>
          <w:szCs w:val="24"/>
        </w:rPr>
      </w:pPr>
      <w:r w:rsidRPr="00201E40">
        <w:rPr>
          <w:rFonts w:asciiTheme="majorHAnsi" w:eastAsia="Times New Roman" w:hAnsiTheme="majorHAnsi" w:cstheme="majorHAnsi"/>
          <w:strike/>
          <w:color w:val="EE0000"/>
          <w:sz w:val="24"/>
          <w:szCs w:val="24"/>
        </w:rPr>
        <w:t>Second, a holistic employee wellbeing programme addressing mental and physical health, including access to Employee Assistance Programmes, mental health resources, ergonomic assessments, and flexible working. These initiatives aim to reduce absence, improve engagement, and strengthen organisational culture.</w:t>
      </w:r>
    </w:p>
    <w:p w14:paraId="6F34BCFE" w14:textId="77777777" w:rsidR="00876FD3" w:rsidRPr="00201E40" w:rsidRDefault="00876FD3" w:rsidP="00843063">
      <w:pPr>
        <w:autoSpaceDE w:val="0"/>
        <w:autoSpaceDN w:val="0"/>
        <w:adjustRightInd w:val="0"/>
        <w:spacing w:after="120" w:line="276" w:lineRule="auto"/>
        <w:rPr>
          <w:rFonts w:asciiTheme="majorHAnsi" w:hAnsiTheme="majorHAnsi" w:cstheme="majorHAnsi"/>
          <w:strike/>
          <w:color w:val="EE0000"/>
          <w:sz w:val="24"/>
          <w:szCs w:val="24"/>
          <w:lang w:val="en" w:eastAsia="en-US"/>
        </w:rPr>
      </w:pPr>
    </w:p>
    <w:p w14:paraId="6AF6F38A" w14:textId="44A0FDC8" w:rsidR="00843063" w:rsidRDefault="004B33B0" w:rsidP="00843063">
      <w:pPr>
        <w:autoSpaceDE w:val="0"/>
        <w:autoSpaceDN w:val="0"/>
        <w:adjustRightInd w:val="0"/>
        <w:spacing w:after="120" w:line="276" w:lineRule="auto"/>
        <w:rPr>
          <w:rFonts w:asciiTheme="majorHAnsi" w:hAnsiTheme="majorHAnsi" w:cstheme="majorHAnsi"/>
          <w:color w:val="0070C0"/>
          <w:sz w:val="24"/>
          <w:szCs w:val="24"/>
          <w:lang w:val="en" w:eastAsia="en-US"/>
        </w:rPr>
      </w:pPr>
      <w:r w:rsidRPr="00AE3D06">
        <w:rPr>
          <w:rFonts w:asciiTheme="majorHAnsi" w:hAnsiTheme="majorHAnsi" w:cstheme="majorHAnsi"/>
          <w:color w:val="0070C0"/>
          <w:sz w:val="24"/>
          <w:szCs w:val="24"/>
          <w:lang w:val="en" w:eastAsia="en-US"/>
        </w:rPr>
        <w:t xml:space="preserve">8. </w:t>
      </w:r>
      <w:r w:rsidR="00843063" w:rsidRPr="00AE3D06">
        <w:rPr>
          <w:rFonts w:asciiTheme="majorHAnsi" w:hAnsiTheme="majorHAnsi" w:cstheme="majorHAnsi"/>
          <w:color w:val="0070C0"/>
          <w:sz w:val="24"/>
          <w:szCs w:val="24"/>
          <w:lang w:val="en" w:eastAsia="en-US"/>
        </w:rPr>
        <w:t xml:space="preserve">Design (in summary form) a </w:t>
      </w:r>
      <w:proofErr w:type="gramStart"/>
      <w:r w:rsidR="00843063" w:rsidRPr="00AE3D06">
        <w:rPr>
          <w:rFonts w:asciiTheme="majorHAnsi" w:hAnsiTheme="majorHAnsi" w:cstheme="majorHAnsi"/>
          <w:color w:val="0070C0"/>
          <w:sz w:val="24"/>
          <w:szCs w:val="24"/>
          <w:lang w:val="en" w:eastAsia="en-US"/>
        </w:rPr>
        <w:t>wellbeing</w:t>
      </w:r>
      <w:proofErr w:type="gramEnd"/>
      <w:r w:rsidR="00843063" w:rsidRPr="00AE3D06">
        <w:rPr>
          <w:rFonts w:asciiTheme="majorHAnsi" w:hAnsiTheme="majorHAnsi" w:cstheme="majorHAnsi"/>
          <w:color w:val="0070C0"/>
          <w:sz w:val="24"/>
          <w:szCs w:val="24"/>
          <w:lang w:val="en" w:eastAsia="en-US"/>
        </w:rPr>
        <w:t xml:space="preserve"> programme/initiative that would address one area of </w:t>
      </w:r>
      <w:proofErr w:type="spellStart"/>
      <w:r w:rsidR="00843063" w:rsidRPr="00AE3D06">
        <w:rPr>
          <w:rFonts w:asciiTheme="majorHAnsi" w:hAnsiTheme="majorHAnsi" w:cstheme="majorHAnsi"/>
          <w:color w:val="0070C0"/>
          <w:sz w:val="24"/>
          <w:szCs w:val="24"/>
          <w:lang w:val="en" w:eastAsia="en-US"/>
        </w:rPr>
        <w:t>Insursave</w:t>
      </w:r>
      <w:proofErr w:type="spellEnd"/>
      <w:r w:rsidR="00843063" w:rsidRPr="00AE3D06">
        <w:rPr>
          <w:rFonts w:asciiTheme="majorHAnsi" w:hAnsiTheme="majorHAnsi" w:cstheme="majorHAnsi"/>
          <w:color w:val="0070C0"/>
          <w:sz w:val="24"/>
          <w:szCs w:val="24"/>
          <w:lang w:val="en" w:eastAsia="en-US"/>
        </w:rPr>
        <w:t xml:space="preserve"> </w:t>
      </w:r>
      <w:proofErr w:type="spellStart"/>
      <w:r w:rsidR="00843063" w:rsidRPr="00AE3D06">
        <w:rPr>
          <w:rFonts w:asciiTheme="majorHAnsi" w:hAnsiTheme="majorHAnsi" w:cstheme="majorHAnsi"/>
          <w:color w:val="0070C0"/>
          <w:sz w:val="24"/>
          <w:szCs w:val="24"/>
          <w:lang w:val="en" w:eastAsia="en-US"/>
        </w:rPr>
        <w:t>Ltd’s</w:t>
      </w:r>
      <w:proofErr w:type="spellEnd"/>
      <w:r w:rsidR="00843063" w:rsidRPr="00AE3D06">
        <w:rPr>
          <w:rFonts w:asciiTheme="majorHAnsi" w:hAnsiTheme="majorHAnsi" w:cstheme="majorHAnsi"/>
          <w:color w:val="0070C0"/>
          <w:sz w:val="24"/>
          <w:szCs w:val="24"/>
          <w:lang w:val="en" w:eastAsia="en-US"/>
        </w:rPr>
        <w:t xml:space="preserve"> needs. Your design summary should include the need being addressed, the key components of the programme, the people involved/affected, and the potential wellbeing benefits to be gained. (AC 3.2) </w:t>
      </w:r>
    </w:p>
    <w:p w14:paraId="1C66A176" w14:textId="77777777" w:rsidR="00F7577B" w:rsidRDefault="00F7577B" w:rsidP="00843063">
      <w:pPr>
        <w:autoSpaceDE w:val="0"/>
        <w:autoSpaceDN w:val="0"/>
        <w:adjustRightInd w:val="0"/>
        <w:spacing w:after="120" w:line="276" w:lineRule="auto"/>
        <w:rPr>
          <w:rFonts w:asciiTheme="majorHAnsi" w:hAnsiTheme="majorHAnsi" w:cstheme="majorHAnsi"/>
          <w:color w:val="0070C0"/>
          <w:sz w:val="24"/>
          <w:szCs w:val="24"/>
          <w:lang w:val="en" w:eastAsia="en-U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45"/>
        <w:gridCol w:w="7071"/>
      </w:tblGrid>
      <w:tr w:rsidR="00F7577B" w:rsidRPr="00F7577B" w14:paraId="513E250F" w14:textId="77777777" w:rsidTr="00F7577B">
        <w:trPr>
          <w:tblHeader/>
          <w:tblCellSpacing w:w="15" w:type="dxa"/>
        </w:trPr>
        <w:tc>
          <w:tcPr>
            <w:tcW w:w="0" w:type="auto"/>
            <w:vAlign w:val="center"/>
            <w:hideMark/>
          </w:tcPr>
          <w:p w14:paraId="36049D5A" w14:textId="77777777" w:rsidR="00F7577B" w:rsidRPr="00F7577B" w:rsidRDefault="00F7577B" w:rsidP="00F7577B">
            <w:pPr>
              <w:autoSpaceDE w:val="0"/>
              <w:autoSpaceDN w:val="0"/>
              <w:adjustRightInd w:val="0"/>
              <w:spacing w:after="120" w:line="276" w:lineRule="auto"/>
              <w:rPr>
                <w:rFonts w:asciiTheme="majorHAnsi" w:hAnsiTheme="majorHAnsi" w:cstheme="majorHAnsi"/>
                <w:b/>
                <w:bCs/>
                <w:sz w:val="24"/>
                <w:szCs w:val="24"/>
                <w:lang w:eastAsia="en-US"/>
              </w:rPr>
            </w:pPr>
            <w:r w:rsidRPr="00F7577B">
              <w:rPr>
                <w:rFonts w:asciiTheme="majorHAnsi" w:hAnsiTheme="majorHAnsi" w:cstheme="majorHAnsi"/>
                <w:b/>
                <w:bCs/>
                <w:sz w:val="24"/>
                <w:szCs w:val="24"/>
                <w:lang w:eastAsia="en-US"/>
              </w:rPr>
              <w:t>Heading</w:t>
            </w:r>
          </w:p>
        </w:tc>
        <w:tc>
          <w:tcPr>
            <w:tcW w:w="0" w:type="auto"/>
            <w:vAlign w:val="center"/>
            <w:hideMark/>
          </w:tcPr>
          <w:p w14:paraId="6A15612F" w14:textId="77777777" w:rsidR="00F7577B" w:rsidRPr="00F7577B" w:rsidRDefault="00F7577B" w:rsidP="00F7577B">
            <w:pPr>
              <w:autoSpaceDE w:val="0"/>
              <w:autoSpaceDN w:val="0"/>
              <w:adjustRightInd w:val="0"/>
              <w:spacing w:after="120" w:line="276" w:lineRule="auto"/>
              <w:rPr>
                <w:rFonts w:asciiTheme="majorHAnsi" w:hAnsiTheme="majorHAnsi" w:cstheme="majorHAnsi"/>
                <w:b/>
                <w:bCs/>
                <w:sz w:val="24"/>
                <w:szCs w:val="24"/>
                <w:lang w:eastAsia="en-US"/>
              </w:rPr>
            </w:pPr>
            <w:r w:rsidRPr="00F7577B">
              <w:rPr>
                <w:rFonts w:asciiTheme="majorHAnsi" w:hAnsiTheme="majorHAnsi" w:cstheme="majorHAnsi"/>
                <w:b/>
                <w:bCs/>
                <w:sz w:val="24"/>
                <w:szCs w:val="24"/>
                <w:lang w:eastAsia="en-US"/>
              </w:rPr>
              <w:t>Wellbeing Programme Details</w:t>
            </w:r>
          </w:p>
        </w:tc>
      </w:tr>
      <w:tr w:rsidR="00F7577B" w:rsidRPr="00F7577B" w14:paraId="6D45DDAF" w14:textId="77777777" w:rsidTr="00F7577B">
        <w:trPr>
          <w:tblCellSpacing w:w="15" w:type="dxa"/>
        </w:trPr>
        <w:tc>
          <w:tcPr>
            <w:tcW w:w="0" w:type="auto"/>
            <w:vAlign w:val="center"/>
            <w:hideMark/>
          </w:tcPr>
          <w:p w14:paraId="58209A3F"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Objective of Wellbeing Programme</w:t>
            </w:r>
          </w:p>
        </w:tc>
        <w:tc>
          <w:tcPr>
            <w:tcW w:w="0" w:type="auto"/>
            <w:vAlign w:val="center"/>
            <w:hideMark/>
          </w:tcPr>
          <w:p w14:paraId="75CA4F01"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sz w:val="24"/>
                <w:szCs w:val="24"/>
                <w:lang w:eastAsia="en-US"/>
              </w:rPr>
              <w:t>To reduce mental</w:t>
            </w:r>
            <w:r w:rsidRPr="00F7577B">
              <w:rPr>
                <w:rFonts w:asciiTheme="majorHAnsi" w:hAnsiTheme="majorHAnsi" w:cstheme="majorHAnsi"/>
                <w:sz w:val="24"/>
                <w:szCs w:val="24"/>
                <w:lang w:eastAsia="en-US"/>
              </w:rPr>
              <w:noBreakHyphen/>
              <w:t>health</w:t>
            </w:r>
            <w:r w:rsidRPr="00F7577B">
              <w:rPr>
                <w:rFonts w:asciiTheme="majorHAnsi" w:hAnsiTheme="majorHAnsi" w:cstheme="majorHAnsi"/>
                <w:sz w:val="24"/>
                <w:szCs w:val="24"/>
                <w:lang w:eastAsia="en-US"/>
              </w:rPr>
              <w:noBreakHyphen/>
              <w:t xml:space="preserve">related absence, strengthen managerial capability, and provide structured emotional and practical support for </w:t>
            </w:r>
            <w:proofErr w:type="spellStart"/>
            <w:r w:rsidRPr="00F7577B">
              <w:rPr>
                <w:rFonts w:asciiTheme="majorHAnsi" w:hAnsiTheme="majorHAnsi" w:cstheme="majorHAnsi"/>
                <w:sz w:val="24"/>
                <w:szCs w:val="24"/>
                <w:lang w:eastAsia="en-US"/>
              </w:rPr>
              <w:t>Insursave’s</w:t>
            </w:r>
            <w:proofErr w:type="spellEnd"/>
            <w:r w:rsidRPr="00F7577B">
              <w:rPr>
                <w:rFonts w:asciiTheme="majorHAnsi" w:hAnsiTheme="majorHAnsi" w:cstheme="majorHAnsi"/>
                <w:sz w:val="24"/>
                <w:szCs w:val="24"/>
                <w:lang w:eastAsia="en-US"/>
              </w:rPr>
              <w:t xml:space="preserve"> predominantly young, inexperienced workforce, improving retention, engagement and performance across all four sites.</w:t>
            </w:r>
          </w:p>
        </w:tc>
      </w:tr>
      <w:tr w:rsidR="00F7577B" w:rsidRPr="00F7577B" w14:paraId="3AFBB23D" w14:textId="77777777" w:rsidTr="00F7577B">
        <w:trPr>
          <w:tblCellSpacing w:w="15" w:type="dxa"/>
        </w:trPr>
        <w:tc>
          <w:tcPr>
            <w:tcW w:w="0" w:type="auto"/>
            <w:vAlign w:val="center"/>
            <w:hideMark/>
          </w:tcPr>
          <w:p w14:paraId="2C567A63"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Need Being Addressed</w:t>
            </w:r>
          </w:p>
        </w:tc>
        <w:tc>
          <w:tcPr>
            <w:tcW w:w="0" w:type="auto"/>
            <w:vAlign w:val="center"/>
            <w:hideMark/>
          </w:tcPr>
          <w:p w14:paraId="0CA1EC87" w14:textId="18024862"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sz w:val="24"/>
                <w:szCs w:val="24"/>
                <w:lang w:eastAsia="en-US"/>
              </w:rPr>
              <w:t xml:space="preserve">Workforce data shows high levels of </w:t>
            </w:r>
            <w:r w:rsidRPr="00F7577B">
              <w:rPr>
                <w:rFonts w:asciiTheme="majorHAnsi" w:hAnsiTheme="majorHAnsi" w:cstheme="majorHAnsi"/>
                <w:b/>
                <w:bCs/>
                <w:sz w:val="24"/>
                <w:szCs w:val="24"/>
                <w:lang w:eastAsia="en-US"/>
              </w:rPr>
              <w:t>mental health (21%)</w:t>
            </w:r>
            <w:r w:rsidRPr="00F7577B">
              <w:rPr>
                <w:rFonts w:asciiTheme="majorHAnsi" w:hAnsiTheme="majorHAnsi" w:cstheme="majorHAnsi"/>
                <w:sz w:val="24"/>
                <w:szCs w:val="24"/>
                <w:lang w:eastAsia="en-US"/>
              </w:rPr>
              <w:t xml:space="preserve">, </w:t>
            </w:r>
            <w:r w:rsidRPr="00F7577B">
              <w:rPr>
                <w:rFonts w:asciiTheme="majorHAnsi" w:hAnsiTheme="majorHAnsi" w:cstheme="majorHAnsi"/>
                <w:b/>
                <w:bCs/>
                <w:sz w:val="24"/>
                <w:szCs w:val="24"/>
                <w:lang w:eastAsia="en-US"/>
              </w:rPr>
              <w:t>minor illness (29%)</w:t>
            </w:r>
            <w:r w:rsidRPr="00F7577B">
              <w:rPr>
                <w:rFonts w:asciiTheme="majorHAnsi" w:hAnsiTheme="majorHAnsi" w:cstheme="majorHAnsi"/>
                <w:sz w:val="24"/>
                <w:szCs w:val="24"/>
                <w:lang w:eastAsia="en-US"/>
              </w:rPr>
              <w:t xml:space="preserve">, and </w:t>
            </w:r>
            <w:r w:rsidRPr="00F7577B">
              <w:rPr>
                <w:rFonts w:asciiTheme="majorHAnsi" w:hAnsiTheme="majorHAnsi" w:cstheme="majorHAnsi"/>
                <w:b/>
                <w:bCs/>
                <w:sz w:val="24"/>
                <w:szCs w:val="24"/>
                <w:lang w:eastAsia="en-US"/>
              </w:rPr>
              <w:t>colds/flu (22%)</w:t>
            </w:r>
            <w:r w:rsidRPr="00F7577B">
              <w:rPr>
                <w:rFonts w:asciiTheme="majorHAnsi" w:hAnsiTheme="majorHAnsi" w:cstheme="majorHAnsi"/>
                <w:sz w:val="24"/>
                <w:szCs w:val="24"/>
                <w:lang w:eastAsia="en-US"/>
              </w:rPr>
              <w:t xml:space="preserve"> absence. The organisation is dominated by </w:t>
            </w:r>
            <w:r w:rsidRPr="00F7577B">
              <w:rPr>
                <w:rFonts w:asciiTheme="majorHAnsi" w:hAnsiTheme="majorHAnsi" w:cstheme="majorHAnsi"/>
                <w:b/>
                <w:bCs/>
                <w:sz w:val="24"/>
                <w:szCs w:val="24"/>
                <w:lang w:eastAsia="en-US"/>
              </w:rPr>
              <w:t>front</w:t>
            </w:r>
            <w:r w:rsidRPr="00F7577B">
              <w:rPr>
                <w:rFonts w:asciiTheme="majorHAnsi" w:hAnsiTheme="majorHAnsi" w:cstheme="majorHAnsi"/>
                <w:b/>
                <w:bCs/>
                <w:sz w:val="24"/>
                <w:szCs w:val="24"/>
                <w:lang w:eastAsia="en-US"/>
              </w:rPr>
              <w:noBreakHyphen/>
              <w:t>line call handlers (3,644 employees)</w:t>
            </w:r>
            <w:r w:rsidRPr="00F7577B">
              <w:rPr>
                <w:rFonts w:asciiTheme="majorHAnsi" w:hAnsiTheme="majorHAnsi" w:cstheme="majorHAnsi"/>
                <w:sz w:val="24"/>
                <w:szCs w:val="24"/>
                <w:lang w:eastAsia="en-US"/>
              </w:rPr>
              <w:t xml:space="preserve">, most aged </w:t>
            </w:r>
            <w:r w:rsidRPr="00F7577B">
              <w:rPr>
                <w:rFonts w:asciiTheme="majorHAnsi" w:hAnsiTheme="majorHAnsi" w:cstheme="majorHAnsi"/>
                <w:b/>
                <w:bCs/>
                <w:sz w:val="24"/>
                <w:szCs w:val="24"/>
                <w:lang w:eastAsia="en-US"/>
              </w:rPr>
              <w:t>18–35</w:t>
            </w:r>
            <w:r w:rsidRPr="00F7577B">
              <w:rPr>
                <w:rFonts w:asciiTheme="majorHAnsi" w:hAnsiTheme="majorHAnsi" w:cstheme="majorHAnsi"/>
                <w:sz w:val="24"/>
                <w:szCs w:val="24"/>
                <w:lang w:eastAsia="en-US"/>
              </w:rPr>
              <w:t xml:space="preserve"> with </w:t>
            </w:r>
            <w:r w:rsidRPr="00F7577B">
              <w:rPr>
                <w:rFonts w:asciiTheme="majorHAnsi" w:hAnsiTheme="majorHAnsi" w:cstheme="majorHAnsi"/>
                <w:b/>
                <w:bCs/>
                <w:sz w:val="24"/>
                <w:szCs w:val="24"/>
                <w:lang w:eastAsia="en-US"/>
              </w:rPr>
              <w:t>low tenure</w:t>
            </w:r>
            <w:r w:rsidRPr="00F7577B">
              <w:rPr>
                <w:rFonts w:asciiTheme="majorHAnsi" w:hAnsiTheme="majorHAnsi" w:cstheme="majorHAnsi"/>
                <w:sz w:val="24"/>
                <w:szCs w:val="24"/>
                <w:lang w:eastAsia="en-US"/>
              </w:rPr>
              <w:t xml:space="preserve">, making them more vulnerable to stress and burnout. High attrition has created capability gaps, and </w:t>
            </w:r>
            <w:proofErr w:type="spellStart"/>
            <w:r w:rsidRPr="00F7577B">
              <w:rPr>
                <w:rFonts w:asciiTheme="majorHAnsi" w:hAnsiTheme="majorHAnsi" w:cstheme="majorHAnsi"/>
                <w:sz w:val="24"/>
                <w:szCs w:val="24"/>
                <w:lang w:eastAsia="en-US"/>
              </w:rPr>
              <w:t>managers</w:t>
            </w:r>
            <w:proofErr w:type="spellEnd"/>
            <w:r w:rsidRPr="00F7577B">
              <w:rPr>
                <w:rFonts w:asciiTheme="majorHAnsi" w:hAnsiTheme="majorHAnsi" w:cstheme="majorHAnsi"/>
                <w:sz w:val="24"/>
                <w:szCs w:val="24"/>
                <w:lang w:eastAsia="en-US"/>
              </w:rPr>
              <w:t xml:space="preserve"> report low confidence in supporting wellbeing. CIPD (2</w:t>
            </w:r>
            <w:r w:rsidR="003E42FE">
              <w:rPr>
                <w:rFonts w:asciiTheme="majorHAnsi" w:hAnsiTheme="majorHAnsi" w:cstheme="majorHAnsi"/>
                <w:sz w:val="24"/>
                <w:szCs w:val="24"/>
                <w:lang w:eastAsia="en-US"/>
              </w:rPr>
              <w:t>025</w:t>
            </w:r>
            <w:r w:rsidRPr="00F7577B">
              <w:rPr>
                <w:rFonts w:asciiTheme="majorHAnsi" w:hAnsiTheme="majorHAnsi" w:cstheme="majorHAnsi"/>
                <w:sz w:val="24"/>
                <w:szCs w:val="24"/>
                <w:lang w:eastAsia="en-US"/>
              </w:rPr>
              <w:t xml:space="preserve">) highlights </w:t>
            </w:r>
            <w:r w:rsidR="003E42FE">
              <w:rPr>
                <w:rFonts w:asciiTheme="majorHAnsi" w:hAnsiTheme="majorHAnsi" w:cstheme="majorHAnsi"/>
                <w:sz w:val="24"/>
                <w:szCs w:val="24"/>
                <w:lang w:eastAsia="en-US"/>
              </w:rPr>
              <w:t xml:space="preserve">that </w:t>
            </w:r>
            <w:r w:rsidRPr="00F7577B">
              <w:rPr>
                <w:rFonts w:asciiTheme="majorHAnsi" w:hAnsiTheme="majorHAnsi" w:cstheme="majorHAnsi"/>
                <w:sz w:val="24"/>
                <w:szCs w:val="24"/>
                <w:lang w:eastAsia="en-US"/>
              </w:rPr>
              <w:t>poor job quality, low managerial capability and insufficient early intervention as key drivers of absence and turnover.</w:t>
            </w:r>
          </w:p>
        </w:tc>
      </w:tr>
      <w:tr w:rsidR="00F7577B" w:rsidRPr="00F7577B" w14:paraId="35A2BD15" w14:textId="77777777" w:rsidTr="00F7577B">
        <w:trPr>
          <w:tblCellSpacing w:w="15" w:type="dxa"/>
        </w:trPr>
        <w:tc>
          <w:tcPr>
            <w:tcW w:w="0" w:type="auto"/>
            <w:vAlign w:val="center"/>
            <w:hideMark/>
          </w:tcPr>
          <w:p w14:paraId="64F194AA"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Key Components of the Programme</w:t>
            </w:r>
          </w:p>
        </w:tc>
        <w:tc>
          <w:tcPr>
            <w:tcW w:w="0" w:type="auto"/>
            <w:vAlign w:val="center"/>
            <w:hideMark/>
          </w:tcPr>
          <w:p w14:paraId="44E3D8BB" w14:textId="77777777" w:rsidR="003E42FE"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1. Manager Wellbeing Capability Programme</w:t>
            </w:r>
            <w:r w:rsidRPr="00F7577B">
              <w:rPr>
                <w:rFonts w:asciiTheme="majorHAnsi" w:hAnsiTheme="majorHAnsi" w:cstheme="majorHAnsi"/>
                <w:sz w:val="24"/>
                <w:szCs w:val="24"/>
                <w:lang w:eastAsia="en-US"/>
              </w:rPr>
              <w:t xml:space="preserve">: Training on recognising stress, conducting wellbeing conversations, managing attendance, supporting neurodiverse staff, and coaching younger employees. </w:t>
            </w:r>
          </w:p>
          <w:p w14:paraId="22E13B0A" w14:textId="512F75DD"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 xml:space="preserve">2. </w:t>
            </w:r>
            <w:r w:rsidR="003E42FE">
              <w:rPr>
                <w:rFonts w:asciiTheme="majorHAnsi" w:hAnsiTheme="majorHAnsi" w:cstheme="majorHAnsi"/>
                <w:b/>
                <w:bCs/>
                <w:sz w:val="24"/>
                <w:szCs w:val="24"/>
                <w:lang w:eastAsia="en-US"/>
              </w:rPr>
              <w:t xml:space="preserve">Implementing </w:t>
            </w:r>
            <w:proofErr w:type="spellStart"/>
            <w:proofErr w:type="gramStart"/>
            <w:r w:rsidR="003E42FE">
              <w:rPr>
                <w:rFonts w:asciiTheme="majorHAnsi" w:hAnsiTheme="majorHAnsi" w:cstheme="majorHAnsi"/>
                <w:b/>
                <w:bCs/>
                <w:sz w:val="24"/>
                <w:szCs w:val="24"/>
                <w:lang w:eastAsia="en-US"/>
              </w:rPr>
              <w:t>a</w:t>
            </w:r>
            <w:proofErr w:type="spellEnd"/>
            <w:proofErr w:type="gramEnd"/>
            <w:r w:rsidR="003E42FE">
              <w:rPr>
                <w:rFonts w:asciiTheme="majorHAnsi" w:hAnsiTheme="majorHAnsi" w:cstheme="majorHAnsi"/>
                <w:b/>
                <w:bCs/>
                <w:sz w:val="24"/>
                <w:szCs w:val="24"/>
                <w:lang w:eastAsia="en-US"/>
              </w:rPr>
              <w:t xml:space="preserve"> </w:t>
            </w:r>
            <w:r w:rsidRPr="00F7577B">
              <w:rPr>
                <w:rFonts w:asciiTheme="majorHAnsi" w:hAnsiTheme="majorHAnsi" w:cstheme="majorHAnsi"/>
                <w:b/>
                <w:bCs/>
                <w:sz w:val="24"/>
                <w:szCs w:val="24"/>
                <w:lang w:eastAsia="en-US"/>
              </w:rPr>
              <w:t>Employee Assistance Programme (EAP)</w:t>
            </w:r>
            <w:r w:rsidRPr="00F7577B">
              <w:rPr>
                <w:rFonts w:asciiTheme="majorHAnsi" w:hAnsiTheme="majorHAnsi" w:cstheme="majorHAnsi"/>
                <w:sz w:val="24"/>
                <w:szCs w:val="24"/>
                <w:lang w:eastAsia="en-US"/>
              </w:rPr>
              <w:t>: 24/7 counselling, fast</w:t>
            </w:r>
            <w:r w:rsidRPr="00F7577B">
              <w:rPr>
                <w:rFonts w:asciiTheme="majorHAnsi" w:hAnsiTheme="majorHAnsi" w:cstheme="majorHAnsi"/>
                <w:sz w:val="24"/>
                <w:szCs w:val="24"/>
                <w:lang w:eastAsia="en-US"/>
              </w:rPr>
              <w:noBreakHyphen/>
              <w:t>track mental health support, online CBT, financial wellbeing advice, resilience modules, and manager referral pathways.</w:t>
            </w:r>
          </w:p>
        </w:tc>
      </w:tr>
      <w:tr w:rsidR="00F7577B" w:rsidRPr="00F7577B" w14:paraId="01650F26" w14:textId="77777777" w:rsidTr="00F7577B">
        <w:trPr>
          <w:tblCellSpacing w:w="15" w:type="dxa"/>
        </w:trPr>
        <w:tc>
          <w:tcPr>
            <w:tcW w:w="0" w:type="auto"/>
            <w:vAlign w:val="center"/>
            <w:hideMark/>
          </w:tcPr>
          <w:p w14:paraId="3F3CAF49"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lastRenderedPageBreak/>
              <w:t>People Involved or Affected</w:t>
            </w:r>
          </w:p>
        </w:tc>
        <w:tc>
          <w:tcPr>
            <w:tcW w:w="0" w:type="auto"/>
            <w:vAlign w:val="center"/>
            <w:hideMark/>
          </w:tcPr>
          <w:p w14:paraId="161D6980"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sz w:val="24"/>
                <w:szCs w:val="24"/>
                <w:lang w:eastAsia="en-US"/>
              </w:rPr>
              <w:t>Front</w:t>
            </w:r>
            <w:r w:rsidRPr="00F7577B">
              <w:rPr>
                <w:rFonts w:asciiTheme="majorHAnsi" w:hAnsiTheme="majorHAnsi" w:cstheme="majorHAnsi"/>
                <w:sz w:val="24"/>
                <w:szCs w:val="24"/>
                <w:lang w:eastAsia="en-US"/>
              </w:rPr>
              <w:noBreakHyphen/>
              <w:t>line call handlers, claims handlers, line managers, team leaders, regional managers, HR/People Partners, Senior Leadership Team, Occupational Health and EAP providers.</w:t>
            </w:r>
          </w:p>
        </w:tc>
      </w:tr>
      <w:tr w:rsidR="00F7577B" w:rsidRPr="00F7577B" w14:paraId="2A25E016" w14:textId="77777777" w:rsidTr="00F7577B">
        <w:trPr>
          <w:tblCellSpacing w:w="15" w:type="dxa"/>
        </w:trPr>
        <w:tc>
          <w:tcPr>
            <w:tcW w:w="0" w:type="auto"/>
            <w:vAlign w:val="center"/>
            <w:hideMark/>
          </w:tcPr>
          <w:p w14:paraId="1D02C866"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Potential Benefits to Be Gained</w:t>
            </w:r>
          </w:p>
        </w:tc>
        <w:tc>
          <w:tcPr>
            <w:tcW w:w="0" w:type="auto"/>
            <w:vAlign w:val="center"/>
            <w:hideMark/>
          </w:tcPr>
          <w:p w14:paraId="149D2C37" w14:textId="7568A817" w:rsidR="003E42FE"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sz w:val="24"/>
                <w:szCs w:val="24"/>
                <w:lang w:eastAsia="en-US"/>
              </w:rPr>
              <w:t>Reduced mental</w:t>
            </w:r>
            <w:r w:rsidRPr="00F7577B">
              <w:rPr>
                <w:rFonts w:asciiTheme="majorHAnsi" w:hAnsiTheme="majorHAnsi" w:cstheme="majorHAnsi"/>
                <w:sz w:val="24"/>
                <w:szCs w:val="24"/>
                <w:lang w:eastAsia="en-US"/>
              </w:rPr>
              <w:noBreakHyphen/>
              <w:t>health</w:t>
            </w:r>
            <w:r w:rsidRPr="00F7577B">
              <w:rPr>
                <w:rFonts w:asciiTheme="majorHAnsi" w:hAnsiTheme="majorHAnsi" w:cstheme="majorHAnsi"/>
                <w:sz w:val="24"/>
                <w:szCs w:val="24"/>
                <w:lang w:eastAsia="en-US"/>
              </w:rPr>
              <w:noBreakHyphen/>
              <w:t>related absence</w:t>
            </w:r>
            <w:r w:rsidR="003E42FE">
              <w:rPr>
                <w:rFonts w:asciiTheme="majorHAnsi" w:hAnsiTheme="majorHAnsi" w:cstheme="majorHAnsi"/>
                <w:sz w:val="24"/>
                <w:szCs w:val="24"/>
                <w:lang w:eastAsia="en-US"/>
              </w:rPr>
              <w:t xml:space="preserve">, </w:t>
            </w:r>
            <w:r w:rsidRPr="00F7577B">
              <w:rPr>
                <w:rFonts w:asciiTheme="majorHAnsi" w:hAnsiTheme="majorHAnsi" w:cstheme="majorHAnsi"/>
                <w:sz w:val="24"/>
                <w:szCs w:val="24"/>
                <w:lang w:eastAsia="en-US"/>
              </w:rPr>
              <w:t xml:space="preserve">Lower attrition, saving £3,000–£5,000 per call handler in recruitment costs. </w:t>
            </w:r>
            <w:r w:rsidR="00BC75D2">
              <w:rPr>
                <w:rFonts w:asciiTheme="majorHAnsi" w:hAnsiTheme="majorHAnsi" w:cstheme="majorHAnsi"/>
                <w:sz w:val="24"/>
                <w:szCs w:val="24"/>
                <w:lang w:eastAsia="en-US"/>
              </w:rPr>
              <w:t>(</w:t>
            </w:r>
            <w:r w:rsidR="003E42FE">
              <w:rPr>
                <w:rFonts w:asciiTheme="majorHAnsi" w:hAnsiTheme="majorHAnsi" w:cstheme="majorHAnsi"/>
                <w:sz w:val="24"/>
                <w:szCs w:val="24"/>
                <w:lang w:eastAsia="en-US"/>
              </w:rPr>
              <w:t>Statistics taken from (CIPD, 2026) analysing ‘</w:t>
            </w:r>
            <w:r w:rsidR="003E42FE" w:rsidRPr="003E42FE">
              <w:rPr>
                <w:rFonts w:asciiTheme="majorHAnsi" w:hAnsiTheme="majorHAnsi" w:cstheme="majorHAnsi"/>
                <w:sz w:val="24"/>
                <w:szCs w:val="24"/>
                <w:lang w:eastAsia="en-US"/>
              </w:rPr>
              <w:t>Labour Market Outlook</w:t>
            </w:r>
            <w:r w:rsidR="003E42FE">
              <w:rPr>
                <w:rFonts w:asciiTheme="majorHAnsi" w:hAnsiTheme="majorHAnsi" w:cstheme="majorHAnsi"/>
                <w:sz w:val="24"/>
                <w:szCs w:val="24"/>
                <w:lang w:eastAsia="en-US"/>
              </w:rPr>
              <w:t>’</w:t>
            </w:r>
            <w:r w:rsidR="00BC75D2">
              <w:rPr>
                <w:rFonts w:asciiTheme="majorHAnsi" w:hAnsiTheme="majorHAnsi" w:cstheme="majorHAnsi"/>
                <w:sz w:val="24"/>
                <w:szCs w:val="24"/>
                <w:lang w:eastAsia="en-US"/>
              </w:rPr>
              <w:t xml:space="preserve"> report.)</w:t>
            </w:r>
          </w:p>
          <w:p w14:paraId="0ECEAF40" w14:textId="26CC9555"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sz w:val="24"/>
                <w:szCs w:val="24"/>
                <w:lang w:eastAsia="en-US"/>
              </w:rPr>
              <w:t>Improved engagement, psychological safety and customer service. Stronger leadership capability and consistency across sites. Earlier intervention leading to faster return</w:t>
            </w:r>
            <w:r w:rsidRPr="00F7577B">
              <w:rPr>
                <w:rFonts w:asciiTheme="majorHAnsi" w:hAnsiTheme="majorHAnsi" w:cstheme="majorHAnsi"/>
                <w:sz w:val="24"/>
                <w:szCs w:val="24"/>
                <w:lang w:eastAsia="en-US"/>
              </w:rPr>
              <w:noBreakHyphen/>
              <w:t>to</w:t>
            </w:r>
            <w:r w:rsidRPr="00F7577B">
              <w:rPr>
                <w:rFonts w:asciiTheme="majorHAnsi" w:hAnsiTheme="majorHAnsi" w:cstheme="majorHAnsi"/>
                <w:sz w:val="24"/>
                <w:szCs w:val="24"/>
                <w:lang w:eastAsia="en-US"/>
              </w:rPr>
              <w:noBreakHyphen/>
              <w:t>work outcomes.</w:t>
            </w:r>
          </w:p>
        </w:tc>
      </w:tr>
      <w:tr w:rsidR="00F7577B" w:rsidRPr="00F7577B" w14:paraId="5E55BE9E" w14:textId="77777777" w:rsidTr="00F7577B">
        <w:trPr>
          <w:tblCellSpacing w:w="15" w:type="dxa"/>
        </w:trPr>
        <w:tc>
          <w:tcPr>
            <w:tcW w:w="0" w:type="auto"/>
            <w:vAlign w:val="center"/>
            <w:hideMark/>
          </w:tcPr>
          <w:p w14:paraId="0A12862C"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Measurement</w:t>
            </w:r>
          </w:p>
        </w:tc>
        <w:tc>
          <w:tcPr>
            <w:tcW w:w="0" w:type="auto"/>
            <w:vAlign w:val="center"/>
            <w:hideMark/>
          </w:tcPr>
          <w:p w14:paraId="03B1FD79"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sz w:val="24"/>
                <w:szCs w:val="24"/>
                <w:lang w:eastAsia="en-US"/>
              </w:rPr>
              <w:t>Absence rates (monthly/quarterly), EAP utilisation, manager training completion and confidence surveys, turnover and retention (especially 0–2 years), engagement survey results, call</w:t>
            </w:r>
            <w:r w:rsidRPr="00F7577B">
              <w:rPr>
                <w:rFonts w:asciiTheme="majorHAnsi" w:hAnsiTheme="majorHAnsi" w:cstheme="majorHAnsi"/>
                <w:sz w:val="24"/>
                <w:szCs w:val="24"/>
                <w:lang w:eastAsia="en-US"/>
              </w:rPr>
              <w:noBreakHyphen/>
              <w:t>quality metrics.</w:t>
            </w:r>
          </w:p>
        </w:tc>
      </w:tr>
      <w:tr w:rsidR="00F7577B" w:rsidRPr="00F7577B" w14:paraId="1C5DE436" w14:textId="77777777" w:rsidTr="00F7577B">
        <w:trPr>
          <w:tblCellSpacing w:w="15" w:type="dxa"/>
        </w:trPr>
        <w:tc>
          <w:tcPr>
            <w:tcW w:w="0" w:type="auto"/>
            <w:vAlign w:val="center"/>
            <w:hideMark/>
          </w:tcPr>
          <w:p w14:paraId="1A7EA9AD"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Costs and Resources</w:t>
            </w:r>
          </w:p>
        </w:tc>
        <w:tc>
          <w:tcPr>
            <w:tcW w:w="0" w:type="auto"/>
            <w:vAlign w:val="center"/>
            <w:hideMark/>
          </w:tcPr>
          <w:p w14:paraId="325813C0" w14:textId="29BA2568" w:rsidR="003E42FE"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Manager training:</w:t>
            </w:r>
            <w:r w:rsidRPr="00F7577B">
              <w:rPr>
                <w:rFonts w:asciiTheme="majorHAnsi" w:hAnsiTheme="majorHAnsi" w:cstheme="majorHAnsi"/>
                <w:sz w:val="24"/>
                <w:szCs w:val="24"/>
                <w:lang w:eastAsia="en-US"/>
              </w:rPr>
              <w:t xml:space="preserve"> approx. £300 per manager. With 261 managers = </w:t>
            </w:r>
            <w:r w:rsidRPr="00F7577B">
              <w:rPr>
                <w:rFonts w:asciiTheme="majorHAnsi" w:hAnsiTheme="majorHAnsi" w:cstheme="majorHAnsi"/>
                <w:b/>
                <w:bCs/>
                <w:sz w:val="24"/>
                <w:szCs w:val="24"/>
                <w:lang w:eastAsia="en-US"/>
              </w:rPr>
              <w:t>£78,300 total</w:t>
            </w:r>
            <w:r w:rsidRPr="00F7577B">
              <w:rPr>
                <w:rFonts w:asciiTheme="majorHAnsi" w:hAnsiTheme="majorHAnsi" w:cstheme="majorHAnsi"/>
                <w:sz w:val="24"/>
                <w:szCs w:val="24"/>
                <w:lang w:eastAsia="en-US"/>
              </w:rPr>
              <w:t>.</w:t>
            </w:r>
            <w:r w:rsidR="003E42FE">
              <w:rPr>
                <w:rFonts w:asciiTheme="majorHAnsi" w:hAnsiTheme="majorHAnsi" w:cstheme="majorHAnsi"/>
                <w:sz w:val="24"/>
                <w:szCs w:val="24"/>
                <w:lang w:eastAsia="en-US"/>
              </w:rPr>
              <w:t xml:space="preserve"> (</w:t>
            </w:r>
            <w:r w:rsidR="00BC75D2">
              <w:rPr>
                <w:rFonts w:asciiTheme="majorHAnsi" w:hAnsiTheme="majorHAnsi" w:cstheme="majorHAnsi"/>
                <w:sz w:val="24"/>
                <w:szCs w:val="24"/>
                <w:lang w:eastAsia="en-US"/>
              </w:rPr>
              <w:t>E</w:t>
            </w:r>
            <w:r w:rsidR="003E42FE">
              <w:rPr>
                <w:rFonts w:asciiTheme="majorHAnsi" w:hAnsiTheme="majorHAnsi" w:cstheme="majorHAnsi"/>
                <w:sz w:val="24"/>
                <w:szCs w:val="24"/>
                <w:lang w:eastAsia="en-US"/>
              </w:rPr>
              <w:t xml:space="preserve">stimate taken from data used from the CIPD </w:t>
            </w:r>
            <w:r w:rsidR="00665D29">
              <w:rPr>
                <w:rFonts w:asciiTheme="majorHAnsi" w:hAnsiTheme="majorHAnsi" w:cstheme="majorHAnsi"/>
                <w:sz w:val="24"/>
                <w:szCs w:val="24"/>
                <w:lang w:eastAsia="en-US"/>
              </w:rPr>
              <w:t>learning</w:t>
            </w:r>
            <w:r w:rsidR="007F796D">
              <w:rPr>
                <w:rFonts w:asciiTheme="majorHAnsi" w:hAnsiTheme="majorHAnsi" w:cstheme="majorHAnsi"/>
                <w:sz w:val="24"/>
                <w:szCs w:val="24"/>
                <w:lang w:eastAsia="en-US"/>
              </w:rPr>
              <w:t xml:space="preserve"> at work survey</w:t>
            </w:r>
            <w:r w:rsidR="003E42FE">
              <w:rPr>
                <w:rFonts w:asciiTheme="majorHAnsi" w:hAnsiTheme="majorHAnsi" w:cstheme="majorHAnsi"/>
                <w:sz w:val="24"/>
                <w:szCs w:val="24"/>
                <w:lang w:eastAsia="en-US"/>
              </w:rPr>
              <w:t xml:space="preserve">) </w:t>
            </w:r>
            <w:r w:rsidR="00665D29">
              <w:rPr>
                <w:rFonts w:asciiTheme="majorHAnsi" w:hAnsiTheme="majorHAnsi" w:cstheme="majorHAnsi"/>
                <w:sz w:val="24"/>
                <w:szCs w:val="24"/>
                <w:lang w:eastAsia="en-US"/>
              </w:rPr>
              <w:t>(CIPD, 2023)</w:t>
            </w:r>
            <w:r w:rsidR="00297C16">
              <w:rPr>
                <w:rFonts w:asciiTheme="majorHAnsi" w:hAnsiTheme="majorHAnsi" w:cstheme="majorHAnsi"/>
                <w:sz w:val="24"/>
                <w:szCs w:val="24"/>
                <w:lang w:eastAsia="en-US"/>
              </w:rPr>
              <w:t xml:space="preserve">. </w:t>
            </w:r>
          </w:p>
          <w:p w14:paraId="37A68317" w14:textId="614BF48D" w:rsidR="00BC75D2"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EAP</w:t>
            </w:r>
            <w:r w:rsidR="00BC75D2">
              <w:rPr>
                <w:rFonts w:asciiTheme="majorHAnsi" w:hAnsiTheme="majorHAnsi" w:cstheme="majorHAnsi"/>
                <w:b/>
                <w:bCs/>
                <w:sz w:val="24"/>
                <w:szCs w:val="24"/>
                <w:lang w:eastAsia="en-US"/>
              </w:rPr>
              <w:t xml:space="preserve"> Implementation:</w:t>
            </w:r>
            <w:r w:rsidRPr="00F7577B">
              <w:rPr>
                <w:rFonts w:asciiTheme="majorHAnsi" w:hAnsiTheme="majorHAnsi" w:cstheme="majorHAnsi"/>
                <w:sz w:val="24"/>
                <w:szCs w:val="24"/>
                <w:lang w:eastAsia="en-US"/>
              </w:rPr>
              <w:t xml:space="preserve"> £12–£18 per employee annually. For 4,554 employees = </w:t>
            </w:r>
            <w:r w:rsidRPr="00F7577B">
              <w:rPr>
                <w:rFonts w:asciiTheme="majorHAnsi" w:hAnsiTheme="majorHAnsi" w:cstheme="majorHAnsi"/>
                <w:b/>
                <w:bCs/>
                <w:sz w:val="24"/>
                <w:szCs w:val="24"/>
                <w:lang w:eastAsia="en-US"/>
              </w:rPr>
              <w:t>£54,648–£81,972 per year</w:t>
            </w:r>
            <w:r w:rsidRPr="00F7577B">
              <w:rPr>
                <w:rFonts w:asciiTheme="majorHAnsi" w:hAnsiTheme="majorHAnsi" w:cstheme="majorHAnsi"/>
                <w:sz w:val="24"/>
                <w:szCs w:val="24"/>
                <w:lang w:eastAsia="en-US"/>
              </w:rPr>
              <w:t xml:space="preserve">. </w:t>
            </w:r>
            <w:r w:rsidR="00BC75D2">
              <w:rPr>
                <w:rFonts w:asciiTheme="majorHAnsi" w:hAnsiTheme="majorHAnsi" w:cstheme="majorHAnsi"/>
                <w:sz w:val="24"/>
                <w:szCs w:val="24"/>
                <w:lang w:eastAsia="en-US"/>
              </w:rPr>
              <w:t xml:space="preserve">(Costs estimated from information used on the EAPA website, outlining that </w:t>
            </w:r>
            <w:r w:rsidR="00BC75D2" w:rsidRPr="00BC75D2">
              <w:rPr>
                <w:rFonts w:asciiTheme="majorHAnsi" w:hAnsiTheme="majorHAnsi" w:cstheme="majorHAnsi"/>
                <w:sz w:val="24"/>
                <w:szCs w:val="24"/>
                <w:lang w:eastAsia="en-US"/>
              </w:rPr>
              <w:t xml:space="preserve">EAP contracts cost </w:t>
            </w:r>
            <w:r w:rsidR="00BC75D2" w:rsidRPr="00BC75D2">
              <w:rPr>
                <w:rFonts w:asciiTheme="majorHAnsi" w:hAnsiTheme="majorHAnsi" w:cstheme="majorHAnsi"/>
                <w:b/>
                <w:bCs/>
                <w:sz w:val="24"/>
                <w:szCs w:val="24"/>
                <w:lang w:eastAsia="en-US"/>
              </w:rPr>
              <w:t>£8–£20 per employee per year</w:t>
            </w:r>
            <w:r w:rsidR="00BC75D2" w:rsidRPr="00BC75D2">
              <w:rPr>
                <w:rFonts w:asciiTheme="majorHAnsi" w:hAnsiTheme="majorHAnsi" w:cstheme="majorHAnsi"/>
                <w:sz w:val="24"/>
                <w:szCs w:val="24"/>
                <w:lang w:eastAsia="en-US"/>
              </w:rPr>
              <w:t>, depending on service level</w:t>
            </w:r>
            <w:r w:rsidR="00BC75D2">
              <w:rPr>
                <w:rFonts w:asciiTheme="majorHAnsi" w:hAnsiTheme="majorHAnsi" w:cstheme="majorHAnsi"/>
                <w:sz w:val="24"/>
                <w:szCs w:val="24"/>
                <w:lang w:eastAsia="en-US"/>
              </w:rPr>
              <w:t>, (EAPA, 2026)</w:t>
            </w:r>
          </w:p>
          <w:p w14:paraId="02A96359" w14:textId="5528065D" w:rsidR="00BC75D2"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Cost justification:</w:t>
            </w:r>
            <w:r w:rsidRPr="00F7577B">
              <w:rPr>
                <w:rFonts w:asciiTheme="majorHAnsi" w:hAnsiTheme="majorHAnsi" w:cstheme="majorHAnsi"/>
                <w:sz w:val="24"/>
                <w:szCs w:val="24"/>
                <w:lang w:eastAsia="en-US"/>
              </w:rPr>
              <w:t xml:space="preserve"> A 1% reduction in absence saves tens of thousands in productivity.</w:t>
            </w:r>
            <w:r w:rsidR="006634E5">
              <w:rPr>
                <w:rFonts w:asciiTheme="majorHAnsi" w:hAnsiTheme="majorHAnsi" w:cstheme="majorHAnsi"/>
                <w:sz w:val="24"/>
                <w:szCs w:val="24"/>
                <w:lang w:eastAsia="en-US"/>
              </w:rPr>
              <w:t xml:space="preserve"> (CIPD, 2023)</w:t>
            </w:r>
            <w:r w:rsidRPr="00F7577B">
              <w:rPr>
                <w:rFonts w:asciiTheme="majorHAnsi" w:hAnsiTheme="majorHAnsi" w:cstheme="majorHAnsi"/>
                <w:sz w:val="24"/>
                <w:szCs w:val="24"/>
                <w:lang w:eastAsia="en-US"/>
              </w:rPr>
              <w:t xml:space="preserve"> A 10% reduction in attrition could save </w:t>
            </w:r>
            <w:r w:rsidRPr="00F7577B">
              <w:rPr>
                <w:rFonts w:asciiTheme="majorHAnsi" w:hAnsiTheme="majorHAnsi" w:cstheme="majorHAnsi"/>
                <w:b/>
                <w:bCs/>
                <w:sz w:val="24"/>
                <w:szCs w:val="24"/>
                <w:lang w:eastAsia="en-US"/>
              </w:rPr>
              <w:t>£150k–£250k annually</w:t>
            </w:r>
            <w:r w:rsidRPr="00F7577B">
              <w:rPr>
                <w:rFonts w:asciiTheme="majorHAnsi" w:hAnsiTheme="majorHAnsi" w:cstheme="majorHAnsi"/>
                <w:sz w:val="24"/>
                <w:szCs w:val="24"/>
                <w:lang w:eastAsia="en-US"/>
              </w:rPr>
              <w:t>.</w:t>
            </w:r>
            <w:r w:rsidR="006634E5">
              <w:rPr>
                <w:rFonts w:asciiTheme="majorHAnsi" w:hAnsiTheme="majorHAnsi" w:cstheme="majorHAnsi"/>
                <w:sz w:val="24"/>
                <w:szCs w:val="24"/>
                <w:lang w:eastAsia="en-US"/>
              </w:rPr>
              <w:t xml:space="preserve"> (Oxford Economics, 2014) </w:t>
            </w:r>
          </w:p>
          <w:p w14:paraId="08400DCB" w14:textId="7B8911EC"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p>
        </w:tc>
      </w:tr>
      <w:tr w:rsidR="00F7577B" w:rsidRPr="00F7577B" w14:paraId="279C1D28" w14:textId="77777777" w:rsidTr="00F7577B">
        <w:trPr>
          <w:tblCellSpacing w:w="15" w:type="dxa"/>
        </w:trPr>
        <w:tc>
          <w:tcPr>
            <w:tcW w:w="0" w:type="auto"/>
            <w:vAlign w:val="center"/>
            <w:hideMark/>
          </w:tcPr>
          <w:p w14:paraId="5908BFAF"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Timeframes</w:t>
            </w:r>
          </w:p>
        </w:tc>
        <w:tc>
          <w:tcPr>
            <w:tcW w:w="0" w:type="auto"/>
            <w:vAlign w:val="center"/>
            <w:hideMark/>
          </w:tcPr>
          <w:p w14:paraId="429FB426" w14:textId="77777777" w:rsidR="00E44790"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Months 1–2:</w:t>
            </w:r>
            <w:r w:rsidRPr="00F7577B">
              <w:rPr>
                <w:rFonts w:asciiTheme="majorHAnsi" w:hAnsiTheme="majorHAnsi" w:cstheme="majorHAnsi"/>
                <w:sz w:val="24"/>
                <w:szCs w:val="24"/>
                <w:lang w:eastAsia="en-US"/>
              </w:rPr>
              <w:t xml:space="preserve"> Programme design, provider selection, S</w:t>
            </w:r>
            <w:r w:rsidR="00E44790">
              <w:rPr>
                <w:rFonts w:asciiTheme="majorHAnsi" w:hAnsiTheme="majorHAnsi" w:cstheme="majorHAnsi"/>
                <w:sz w:val="24"/>
                <w:szCs w:val="24"/>
                <w:lang w:eastAsia="en-US"/>
              </w:rPr>
              <w:t>enior Leadership Team</w:t>
            </w:r>
            <w:r w:rsidRPr="00F7577B">
              <w:rPr>
                <w:rFonts w:asciiTheme="majorHAnsi" w:hAnsiTheme="majorHAnsi" w:cstheme="majorHAnsi"/>
                <w:sz w:val="24"/>
                <w:szCs w:val="24"/>
                <w:lang w:eastAsia="en-US"/>
              </w:rPr>
              <w:t xml:space="preserve"> approval. </w:t>
            </w:r>
          </w:p>
          <w:p w14:paraId="341FE660" w14:textId="77777777" w:rsidR="00E44790"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Months 3–6:</w:t>
            </w:r>
            <w:r w:rsidRPr="00F7577B">
              <w:rPr>
                <w:rFonts w:asciiTheme="majorHAnsi" w:hAnsiTheme="majorHAnsi" w:cstheme="majorHAnsi"/>
                <w:sz w:val="24"/>
                <w:szCs w:val="24"/>
                <w:lang w:eastAsia="en-US"/>
              </w:rPr>
              <w:t xml:space="preserve"> Manager training rollout. </w:t>
            </w:r>
          </w:p>
          <w:p w14:paraId="301EDD44" w14:textId="77777777" w:rsidR="00E44790"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Month 3:</w:t>
            </w:r>
            <w:r w:rsidRPr="00F7577B">
              <w:rPr>
                <w:rFonts w:asciiTheme="majorHAnsi" w:hAnsiTheme="majorHAnsi" w:cstheme="majorHAnsi"/>
                <w:sz w:val="24"/>
                <w:szCs w:val="24"/>
                <w:lang w:eastAsia="en-US"/>
              </w:rPr>
              <w:t xml:space="preserve"> Launch EAP. </w:t>
            </w:r>
          </w:p>
          <w:p w14:paraId="519A7617" w14:textId="77777777" w:rsidR="00E44790"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Months 6–12:</w:t>
            </w:r>
            <w:r w:rsidRPr="00F7577B">
              <w:rPr>
                <w:rFonts w:asciiTheme="majorHAnsi" w:hAnsiTheme="majorHAnsi" w:cstheme="majorHAnsi"/>
                <w:sz w:val="24"/>
                <w:szCs w:val="24"/>
                <w:lang w:eastAsia="en-US"/>
              </w:rPr>
              <w:t xml:space="preserve"> Monitoring and evaluation. </w:t>
            </w:r>
          </w:p>
          <w:p w14:paraId="3FAE9522" w14:textId="13E659D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Annual:</w:t>
            </w:r>
            <w:r w:rsidRPr="00F7577B">
              <w:rPr>
                <w:rFonts w:asciiTheme="majorHAnsi" w:hAnsiTheme="majorHAnsi" w:cstheme="majorHAnsi"/>
                <w:sz w:val="24"/>
                <w:szCs w:val="24"/>
                <w:lang w:eastAsia="en-US"/>
              </w:rPr>
              <w:t xml:space="preserve"> Review R</w:t>
            </w:r>
            <w:r w:rsidR="00E44790">
              <w:rPr>
                <w:rFonts w:asciiTheme="majorHAnsi" w:hAnsiTheme="majorHAnsi" w:cstheme="majorHAnsi"/>
                <w:sz w:val="24"/>
                <w:szCs w:val="24"/>
                <w:lang w:eastAsia="en-US"/>
              </w:rPr>
              <w:t xml:space="preserve">eturn on Investment </w:t>
            </w:r>
            <w:r w:rsidRPr="00F7577B">
              <w:rPr>
                <w:rFonts w:asciiTheme="majorHAnsi" w:hAnsiTheme="majorHAnsi" w:cstheme="majorHAnsi"/>
                <w:sz w:val="24"/>
                <w:szCs w:val="24"/>
                <w:lang w:eastAsia="en-US"/>
              </w:rPr>
              <w:t>and programme impact.</w:t>
            </w:r>
          </w:p>
        </w:tc>
      </w:tr>
      <w:tr w:rsidR="00F7577B" w:rsidRPr="00F7577B" w14:paraId="5F408E86" w14:textId="77777777" w:rsidTr="00F7577B">
        <w:trPr>
          <w:tblCellSpacing w:w="15" w:type="dxa"/>
        </w:trPr>
        <w:tc>
          <w:tcPr>
            <w:tcW w:w="0" w:type="auto"/>
            <w:vAlign w:val="center"/>
            <w:hideMark/>
          </w:tcPr>
          <w:p w14:paraId="2B175F46" w14:textId="77777777"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t>Communication</w:t>
            </w:r>
          </w:p>
        </w:tc>
        <w:tc>
          <w:tcPr>
            <w:tcW w:w="0" w:type="auto"/>
            <w:vAlign w:val="center"/>
            <w:hideMark/>
          </w:tcPr>
          <w:p w14:paraId="55DB9924" w14:textId="77777777" w:rsidR="00904B18" w:rsidRDefault="00E44790" w:rsidP="00F7577B">
            <w:pPr>
              <w:autoSpaceDE w:val="0"/>
              <w:autoSpaceDN w:val="0"/>
              <w:adjustRightInd w:val="0"/>
              <w:spacing w:after="120" w:line="276" w:lineRule="auto"/>
              <w:rPr>
                <w:rFonts w:asciiTheme="majorHAnsi" w:hAnsiTheme="majorHAnsi" w:cstheme="majorHAnsi"/>
                <w:sz w:val="24"/>
                <w:szCs w:val="24"/>
                <w:lang w:eastAsia="en-US"/>
              </w:rPr>
            </w:pPr>
            <w:r>
              <w:rPr>
                <w:rFonts w:asciiTheme="majorHAnsi" w:hAnsiTheme="majorHAnsi" w:cstheme="majorHAnsi"/>
                <w:sz w:val="24"/>
                <w:szCs w:val="24"/>
                <w:lang w:eastAsia="en-US"/>
              </w:rPr>
              <w:t xml:space="preserve">Senior Leadership Team, </w:t>
            </w:r>
            <w:r w:rsidR="00F7577B" w:rsidRPr="00F7577B">
              <w:rPr>
                <w:rFonts w:asciiTheme="majorHAnsi" w:hAnsiTheme="majorHAnsi" w:cstheme="majorHAnsi"/>
                <w:sz w:val="24"/>
                <w:szCs w:val="24"/>
                <w:lang w:eastAsia="en-US"/>
              </w:rPr>
              <w:t xml:space="preserve">launch message, intranet hub, posters, team briefings, manager toolkits, FAQs, monthly wellbeing updates and success stories. </w:t>
            </w:r>
          </w:p>
          <w:p w14:paraId="3AAECECE" w14:textId="0AC8D68D" w:rsidR="00F7577B" w:rsidRPr="00F7577B" w:rsidRDefault="00F7577B" w:rsidP="00F7577B">
            <w:pPr>
              <w:autoSpaceDE w:val="0"/>
              <w:autoSpaceDN w:val="0"/>
              <w:adjustRightInd w:val="0"/>
              <w:spacing w:after="120" w:line="276" w:lineRule="auto"/>
              <w:rPr>
                <w:rFonts w:asciiTheme="majorHAnsi" w:hAnsiTheme="majorHAnsi" w:cstheme="majorHAnsi"/>
                <w:sz w:val="24"/>
                <w:szCs w:val="24"/>
                <w:lang w:eastAsia="en-US"/>
              </w:rPr>
            </w:pPr>
            <w:r w:rsidRPr="00F7577B">
              <w:rPr>
                <w:rFonts w:asciiTheme="majorHAnsi" w:hAnsiTheme="majorHAnsi" w:cstheme="majorHAnsi"/>
                <w:b/>
                <w:bCs/>
                <w:sz w:val="24"/>
                <w:szCs w:val="24"/>
                <w:lang w:eastAsia="en-US"/>
              </w:rPr>
              <w:lastRenderedPageBreak/>
              <w:t>Overcoming resistance from experienced managers:</w:t>
            </w:r>
            <w:r w:rsidRPr="00F7577B">
              <w:rPr>
                <w:rFonts w:asciiTheme="majorHAnsi" w:hAnsiTheme="majorHAnsi" w:cstheme="majorHAnsi"/>
                <w:sz w:val="24"/>
                <w:szCs w:val="24"/>
                <w:lang w:eastAsia="en-US"/>
              </w:rPr>
              <w:t xml:space="preserve"> involve them early in design, emphasise benefits (reduced absence, easier conversations), offer flexible training formats, and reinforce expectations through SLT sponsorship and accountability.</w:t>
            </w:r>
          </w:p>
        </w:tc>
      </w:tr>
    </w:tbl>
    <w:p w14:paraId="6A568688" w14:textId="77777777" w:rsidR="00F7577B" w:rsidRDefault="00F7577B" w:rsidP="00843063">
      <w:pPr>
        <w:autoSpaceDE w:val="0"/>
        <w:autoSpaceDN w:val="0"/>
        <w:adjustRightInd w:val="0"/>
        <w:spacing w:after="120" w:line="276" w:lineRule="auto"/>
        <w:rPr>
          <w:rFonts w:asciiTheme="majorHAnsi" w:hAnsiTheme="majorHAnsi" w:cstheme="majorHAnsi"/>
          <w:color w:val="0070C0"/>
          <w:sz w:val="24"/>
          <w:szCs w:val="24"/>
          <w:lang w:val="en" w:eastAsia="en-US"/>
        </w:rPr>
      </w:pPr>
    </w:p>
    <w:tbl>
      <w:tblPr>
        <w:tblW w:w="11333" w:type="dxa"/>
        <w:tblInd w:w="-1143" w:type="dxa"/>
        <w:tblLayout w:type="fixed"/>
        <w:tblLook w:val="0000" w:firstRow="0" w:lastRow="0" w:firstColumn="0" w:lastColumn="0" w:noHBand="0" w:noVBand="0"/>
      </w:tblPr>
      <w:tblGrid>
        <w:gridCol w:w="2877"/>
        <w:gridCol w:w="2145"/>
        <w:gridCol w:w="2173"/>
        <w:gridCol w:w="2040"/>
        <w:gridCol w:w="2098"/>
      </w:tblGrid>
      <w:tr w:rsidR="004B33B0" w:rsidRPr="00904B18" w14:paraId="179DB5B3" w14:textId="77777777" w:rsidTr="00A211C4">
        <w:trPr>
          <w:trHeight w:val="7"/>
        </w:trPr>
        <w:tc>
          <w:tcPr>
            <w:tcW w:w="2877" w:type="dxa"/>
            <w:tcBorders>
              <w:top w:val="single" w:sz="3" w:space="0" w:color="000000"/>
              <w:left w:val="single" w:sz="3" w:space="0" w:color="000000"/>
              <w:bottom w:val="single" w:sz="3" w:space="0" w:color="000000"/>
              <w:right w:val="single" w:sz="3" w:space="0" w:color="000000"/>
            </w:tcBorders>
            <w:shd w:val="clear" w:color="000000" w:fill="FFFFFF"/>
          </w:tcPr>
          <w:p w14:paraId="50EA7A09" w14:textId="77777777"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eastAsia="en-US"/>
              </w:rPr>
            </w:pPr>
            <w:r w:rsidRPr="00904B18">
              <w:rPr>
                <w:rFonts w:asciiTheme="majorHAnsi" w:hAnsiTheme="majorHAnsi" w:cstheme="majorHAnsi"/>
                <w:b/>
                <w:bCs/>
                <w:strike/>
                <w:color w:val="EE0000"/>
                <w:sz w:val="24"/>
                <w:szCs w:val="24"/>
                <w:lang w:val="en" w:eastAsia="en-US"/>
              </w:rPr>
              <w:t xml:space="preserve">Objective of wellbeing </w:t>
            </w:r>
            <w:proofErr w:type="spellStart"/>
            <w:r w:rsidRPr="00904B18">
              <w:rPr>
                <w:rFonts w:asciiTheme="majorHAnsi" w:hAnsiTheme="majorHAnsi" w:cstheme="majorHAnsi"/>
                <w:b/>
                <w:bCs/>
                <w:strike/>
                <w:color w:val="EE0000"/>
                <w:sz w:val="24"/>
                <w:szCs w:val="24"/>
                <w:lang w:val="en" w:eastAsia="en-US"/>
              </w:rPr>
              <w:t>programme</w:t>
            </w:r>
            <w:proofErr w:type="spellEnd"/>
          </w:p>
        </w:tc>
        <w:tc>
          <w:tcPr>
            <w:tcW w:w="2145" w:type="dxa"/>
            <w:tcBorders>
              <w:top w:val="single" w:sz="3" w:space="0" w:color="000000"/>
              <w:left w:val="single" w:sz="3" w:space="0" w:color="000000"/>
              <w:bottom w:val="single" w:sz="3" w:space="0" w:color="000000"/>
              <w:right w:val="single" w:sz="3" w:space="0" w:color="000000"/>
            </w:tcBorders>
            <w:shd w:val="clear" w:color="000000" w:fill="FFFFFF"/>
          </w:tcPr>
          <w:p w14:paraId="4E589DE9" w14:textId="77777777"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eastAsia="en-US"/>
              </w:rPr>
            </w:pPr>
            <w:r w:rsidRPr="00904B18">
              <w:rPr>
                <w:rFonts w:asciiTheme="majorHAnsi" w:hAnsiTheme="majorHAnsi" w:cstheme="majorHAnsi"/>
                <w:b/>
                <w:bCs/>
                <w:strike/>
                <w:color w:val="EE0000"/>
                <w:sz w:val="24"/>
                <w:szCs w:val="24"/>
                <w:lang w:val="en" w:eastAsia="en-US"/>
              </w:rPr>
              <w:t>Need being addressed</w:t>
            </w:r>
          </w:p>
        </w:tc>
        <w:tc>
          <w:tcPr>
            <w:tcW w:w="2173" w:type="dxa"/>
            <w:tcBorders>
              <w:top w:val="single" w:sz="3" w:space="0" w:color="000000"/>
              <w:left w:val="single" w:sz="3" w:space="0" w:color="000000"/>
              <w:bottom w:val="single" w:sz="3" w:space="0" w:color="000000"/>
              <w:right w:val="single" w:sz="3" w:space="0" w:color="000000"/>
            </w:tcBorders>
            <w:shd w:val="clear" w:color="000000" w:fill="FFFFFF"/>
          </w:tcPr>
          <w:p w14:paraId="38AECA0A" w14:textId="77777777"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eastAsia="en-US"/>
              </w:rPr>
            </w:pPr>
            <w:r w:rsidRPr="00904B18">
              <w:rPr>
                <w:rFonts w:asciiTheme="majorHAnsi" w:hAnsiTheme="majorHAnsi" w:cstheme="majorHAnsi"/>
                <w:b/>
                <w:bCs/>
                <w:strike/>
                <w:color w:val="EE0000"/>
                <w:sz w:val="24"/>
                <w:szCs w:val="24"/>
                <w:lang w:val="en" w:eastAsia="en-US"/>
              </w:rPr>
              <w:t>Key components of the programme</w:t>
            </w:r>
          </w:p>
        </w:tc>
        <w:tc>
          <w:tcPr>
            <w:tcW w:w="2040" w:type="dxa"/>
            <w:tcBorders>
              <w:top w:val="single" w:sz="3" w:space="0" w:color="000000"/>
              <w:left w:val="single" w:sz="3" w:space="0" w:color="000000"/>
              <w:bottom w:val="single" w:sz="3" w:space="0" w:color="000000"/>
              <w:right w:val="single" w:sz="3" w:space="0" w:color="000000"/>
            </w:tcBorders>
            <w:shd w:val="clear" w:color="000000" w:fill="FFFFFF"/>
          </w:tcPr>
          <w:p w14:paraId="2489A5AB" w14:textId="77777777"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eastAsia="en-US"/>
              </w:rPr>
            </w:pPr>
            <w:r w:rsidRPr="00904B18">
              <w:rPr>
                <w:rFonts w:asciiTheme="majorHAnsi" w:hAnsiTheme="majorHAnsi" w:cstheme="majorHAnsi"/>
                <w:b/>
                <w:bCs/>
                <w:strike/>
                <w:color w:val="EE0000"/>
                <w:sz w:val="24"/>
                <w:szCs w:val="24"/>
                <w:lang w:val="en" w:eastAsia="en-US"/>
              </w:rPr>
              <w:t>People involved or affected</w:t>
            </w:r>
          </w:p>
        </w:tc>
        <w:tc>
          <w:tcPr>
            <w:tcW w:w="2098" w:type="dxa"/>
            <w:tcBorders>
              <w:top w:val="single" w:sz="3" w:space="0" w:color="000000"/>
              <w:left w:val="single" w:sz="3" w:space="0" w:color="000000"/>
              <w:bottom w:val="single" w:sz="3" w:space="0" w:color="000000"/>
              <w:right w:val="single" w:sz="3" w:space="0" w:color="000000"/>
            </w:tcBorders>
            <w:shd w:val="clear" w:color="000000" w:fill="FFFFFF"/>
          </w:tcPr>
          <w:p w14:paraId="4FA56843" w14:textId="77777777"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eastAsia="en-US"/>
              </w:rPr>
            </w:pPr>
            <w:r w:rsidRPr="00904B18">
              <w:rPr>
                <w:rFonts w:asciiTheme="majorHAnsi" w:hAnsiTheme="majorHAnsi" w:cstheme="majorHAnsi"/>
                <w:b/>
                <w:bCs/>
                <w:strike/>
                <w:color w:val="EE0000"/>
                <w:sz w:val="24"/>
                <w:szCs w:val="24"/>
                <w:lang w:val="en" w:eastAsia="en-US"/>
              </w:rPr>
              <w:t>Potential benefits to be gained</w:t>
            </w:r>
          </w:p>
        </w:tc>
      </w:tr>
      <w:tr w:rsidR="004B33B0" w:rsidRPr="00904B18" w14:paraId="414F8C5B" w14:textId="77777777" w:rsidTr="00A211C4">
        <w:trPr>
          <w:trHeight w:val="31"/>
        </w:trPr>
        <w:tc>
          <w:tcPr>
            <w:tcW w:w="2877" w:type="dxa"/>
            <w:tcBorders>
              <w:top w:val="single" w:sz="3" w:space="0" w:color="000000"/>
              <w:left w:val="single" w:sz="3" w:space="0" w:color="000000"/>
              <w:bottom w:val="single" w:sz="3" w:space="0" w:color="000000"/>
              <w:right w:val="single" w:sz="3" w:space="0" w:color="000000"/>
            </w:tcBorders>
            <w:shd w:val="clear" w:color="000000" w:fill="FFFFFF"/>
          </w:tcPr>
          <w:p w14:paraId="78360DC7" w14:textId="77777777" w:rsidR="00A211C4" w:rsidRPr="00904B18" w:rsidRDefault="00A211C4" w:rsidP="00A211C4">
            <w:pPr>
              <w:rPr>
                <w:rFonts w:asciiTheme="majorHAnsi" w:eastAsia="Times New Roman" w:hAnsiTheme="majorHAnsi" w:cstheme="majorHAnsi"/>
                <w:strike/>
                <w:color w:val="EE0000"/>
                <w:sz w:val="24"/>
                <w:szCs w:val="24"/>
              </w:rPr>
            </w:pPr>
            <w:r w:rsidRPr="00904B18">
              <w:rPr>
                <w:rFonts w:asciiTheme="majorHAnsi" w:eastAsia="Times New Roman" w:hAnsiTheme="majorHAnsi" w:cstheme="majorHAnsi"/>
                <w:strike/>
                <w:color w:val="EE0000"/>
                <w:sz w:val="24"/>
                <w:szCs w:val="24"/>
              </w:rPr>
              <w:t>Implement a manager wellbeing capability programme to improve line managers’ ability to support employees’ mental health, manage absence, and reduce attrition across three sites.</w:t>
            </w:r>
          </w:p>
          <w:p w14:paraId="4CBB758A" w14:textId="77777777" w:rsidR="00A211C4" w:rsidRPr="00904B18" w:rsidRDefault="00A211C4" w:rsidP="00A211C4">
            <w:pPr>
              <w:rPr>
                <w:rFonts w:asciiTheme="majorHAnsi" w:eastAsia="Times New Roman" w:hAnsiTheme="majorHAnsi" w:cstheme="majorHAnsi"/>
                <w:strike/>
                <w:color w:val="EE0000"/>
                <w:sz w:val="24"/>
                <w:szCs w:val="24"/>
              </w:rPr>
            </w:pPr>
          </w:p>
          <w:p w14:paraId="185041F6" w14:textId="3D2F2AD0"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eastAsia="en-US"/>
              </w:rPr>
            </w:pPr>
          </w:p>
        </w:tc>
        <w:tc>
          <w:tcPr>
            <w:tcW w:w="2145" w:type="dxa"/>
            <w:tcBorders>
              <w:top w:val="single" w:sz="3" w:space="0" w:color="000000"/>
              <w:left w:val="single" w:sz="3" w:space="0" w:color="000000"/>
              <w:bottom w:val="single" w:sz="3" w:space="0" w:color="000000"/>
              <w:right w:val="single" w:sz="3" w:space="0" w:color="000000"/>
            </w:tcBorders>
            <w:shd w:val="clear" w:color="000000" w:fill="FFFFFF"/>
          </w:tcPr>
          <w:p w14:paraId="0B629DFE" w14:textId="77777777" w:rsidR="00A211C4" w:rsidRPr="00904B18" w:rsidRDefault="00A211C4" w:rsidP="00A211C4">
            <w:pPr>
              <w:spacing w:after="240"/>
              <w:rPr>
                <w:rFonts w:asciiTheme="majorHAnsi" w:eastAsia="Times New Roman" w:hAnsiTheme="majorHAnsi" w:cstheme="majorHAnsi"/>
                <w:strike/>
                <w:color w:val="EE0000"/>
                <w:sz w:val="24"/>
                <w:szCs w:val="24"/>
              </w:rPr>
            </w:pPr>
            <w:r w:rsidRPr="00904B18">
              <w:rPr>
                <w:rFonts w:asciiTheme="majorHAnsi" w:eastAsia="Times New Roman" w:hAnsiTheme="majorHAnsi" w:cstheme="majorHAnsi"/>
                <w:strike/>
                <w:color w:val="EE0000"/>
                <w:sz w:val="24"/>
                <w:szCs w:val="24"/>
              </w:rPr>
              <w:t>High sickness absence linked to mental health and low managerial confidence in supporting wellbeing and chronic illness.</w:t>
            </w:r>
          </w:p>
          <w:p w14:paraId="59FF3B1B" w14:textId="5EB43573"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eastAsia="en-US"/>
              </w:rPr>
            </w:pPr>
          </w:p>
        </w:tc>
        <w:tc>
          <w:tcPr>
            <w:tcW w:w="2173" w:type="dxa"/>
            <w:tcBorders>
              <w:top w:val="single" w:sz="3" w:space="0" w:color="000000"/>
              <w:left w:val="single" w:sz="3" w:space="0" w:color="000000"/>
              <w:bottom w:val="single" w:sz="3" w:space="0" w:color="000000"/>
              <w:right w:val="single" w:sz="3" w:space="0" w:color="000000"/>
            </w:tcBorders>
            <w:shd w:val="clear" w:color="000000" w:fill="FFFFFF"/>
          </w:tcPr>
          <w:p w14:paraId="0A27338F" w14:textId="77777777" w:rsidR="00A211C4" w:rsidRPr="00904B18" w:rsidRDefault="00A211C4" w:rsidP="00A211C4">
            <w:pPr>
              <w:rPr>
                <w:rFonts w:asciiTheme="majorHAnsi" w:eastAsia="Times New Roman" w:hAnsiTheme="majorHAnsi" w:cstheme="majorHAnsi"/>
                <w:strike/>
                <w:color w:val="EE0000"/>
                <w:sz w:val="24"/>
                <w:szCs w:val="24"/>
              </w:rPr>
            </w:pPr>
            <w:r w:rsidRPr="00904B18">
              <w:rPr>
                <w:rFonts w:asciiTheme="majorHAnsi" w:eastAsia="Times New Roman" w:hAnsiTheme="majorHAnsi" w:cstheme="majorHAnsi"/>
                <w:strike/>
                <w:color w:val="EE0000"/>
                <w:sz w:val="24"/>
                <w:szCs w:val="24"/>
              </w:rPr>
              <w:t>Wellbeing and mental health training for managers including recognising signs of stress and conducting supportive conversations; training on absence management policies and early intervention; monthly wellbeing check-ins during one-to-one meetings; manager wellbeing toolkit including workload management and supporting chronic illness; access to Employee Assistance Programmes (EAP) and referral guidance; appointment of wellbeing champions across the three sites.</w:t>
            </w:r>
          </w:p>
          <w:p w14:paraId="2F8B5240" w14:textId="71BBCA6F"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eastAsia="en-US"/>
              </w:rPr>
            </w:pPr>
          </w:p>
        </w:tc>
        <w:tc>
          <w:tcPr>
            <w:tcW w:w="2040" w:type="dxa"/>
            <w:tcBorders>
              <w:top w:val="single" w:sz="3" w:space="0" w:color="000000"/>
              <w:left w:val="single" w:sz="3" w:space="0" w:color="000000"/>
              <w:bottom w:val="single" w:sz="3" w:space="0" w:color="000000"/>
              <w:right w:val="single" w:sz="3" w:space="0" w:color="000000"/>
            </w:tcBorders>
            <w:shd w:val="clear" w:color="000000" w:fill="FFFFFF"/>
          </w:tcPr>
          <w:p w14:paraId="0EDF3A1E" w14:textId="41646AFC" w:rsidR="004B33B0" w:rsidRPr="00904B18" w:rsidRDefault="00A211C4" w:rsidP="00E12D1B">
            <w:pPr>
              <w:autoSpaceDE w:val="0"/>
              <w:autoSpaceDN w:val="0"/>
              <w:adjustRightInd w:val="0"/>
              <w:spacing w:after="120" w:line="276" w:lineRule="auto"/>
              <w:rPr>
                <w:rFonts w:asciiTheme="majorHAnsi" w:hAnsiTheme="majorHAnsi" w:cstheme="majorHAnsi"/>
                <w:strike/>
                <w:color w:val="EE0000"/>
                <w:sz w:val="24"/>
                <w:szCs w:val="24"/>
                <w:lang w:val="en" w:eastAsia="en-US"/>
              </w:rPr>
            </w:pPr>
            <w:r w:rsidRPr="00904B18">
              <w:rPr>
                <w:rFonts w:asciiTheme="majorHAnsi" w:eastAsia="Times New Roman" w:hAnsiTheme="majorHAnsi" w:cstheme="majorHAnsi"/>
                <w:strike/>
                <w:color w:val="EE0000"/>
                <w:sz w:val="24"/>
                <w:szCs w:val="24"/>
              </w:rPr>
              <w:t>Line managers and team managers; entry-level employees particularly call handlers; HR and People teams responsible for programme design and implementation; senior leadership responsible for promoting wellbeing culture and supporting policy adherence</w:t>
            </w:r>
          </w:p>
        </w:tc>
        <w:tc>
          <w:tcPr>
            <w:tcW w:w="2098" w:type="dxa"/>
            <w:tcBorders>
              <w:top w:val="single" w:sz="3" w:space="0" w:color="000000"/>
              <w:left w:val="single" w:sz="3" w:space="0" w:color="000000"/>
              <w:bottom w:val="single" w:sz="3" w:space="0" w:color="000000"/>
              <w:right w:val="single" w:sz="3" w:space="0" w:color="000000"/>
            </w:tcBorders>
            <w:shd w:val="clear" w:color="000000" w:fill="FFFFFF"/>
          </w:tcPr>
          <w:p w14:paraId="17D04A25" w14:textId="77777777" w:rsidR="00A211C4" w:rsidRPr="00904B18" w:rsidRDefault="00A211C4" w:rsidP="00A211C4">
            <w:pPr>
              <w:spacing w:after="240"/>
              <w:rPr>
                <w:rFonts w:asciiTheme="majorHAnsi" w:eastAsia="Times New Roman" w:hAnsiTheme="majorHAnsi" w:cstheme="majorHAnsi"/>
                <w:strike/>
                <w:color w:val="EE0000"/>
                <w:sz w:val="24"/>
                <w:szCs w:val="24"/>
              </w:rPr>
            </w:pPr>
            <w:r w:rsidRPr="00904B18">
              <w:rPr>
                <w:rFonts w:asciiTheme="majorHAnsi" w:eastAsia="Times New Roman" w:hAnsiTheme="majorHAnsi" w:cstheme="majorHAnsi"/>
                <w:strike/>
                <w:color w:val="EE0000"/>
                <w:sz w:val="24"/>
                <w:szCs w:val="24"/>
              </w:rPr>
              <w:t>Improved manager confidence in supporting employee wellbeing; reduced mental health-related absence; increased employee engagement and trust in management; improved retention, particularly among employees with less than five years’ service; stronger organisational culture focused on wellbeing and support.</w:t>
            </w:r>
          </w:p>
          <w:p w14:paraId="24C554B6" w14:textId="1B9D51DD"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eastAsia="en-US"/>
              </w:rPr>
            </w:pPr>
          </w:p>
        </w:tc>
      </w:tr>
    </w:tbl>
    <w:p w14:paraId="19D6EAE6" w14:textId="12BD2696" w:rsidR="004B33B0" w:rsidRPr="00904B18" w:rsidRDefault="004B33B0" w:rsidP="004B33B0">
      <w:pPr>
        <w:autoSpaceDE w:val="0"/>
        <w:autoSpaceDN w:val="0"/>
        <w:adjustRightInd w:val="0"/>
        <w:spacing w:after="120" w:line="276" w:lineRule="auto"/>
        <w:rPr>
          <w:rFonts w:asciiTheme="majorHAnsi" w:hAnsiTheme="majorHAnsi" w:cstheme="majorHAnsi"/>
          <w:strike/>
          <w:color w:val="EE0000"/>
          <w:sz w:val="24"/>
          <w:szCs w:val="24"/>
        </w:rPr>
      </w:pPr>
    </w:p>
    <w:p w14:paraId="7D7E0CD3" w14:textId="67BEEDAA" w:rsidR="00A211C4" w:rsidRPr="00904B18" w:rsidRDefault="00A211C4" w:rsidP="004B33B0">
      <w:pPr>
        <w:autoSpaceDE w:val="0"/>
        <w:autoSpaceDN w:val="0"/>
        <w:adjustRightInd w:val="0"/>
        <w:spacing w:after="120" w:line="276" w:lineRule="auto"/>
        <w:rPr>
          <w:rFonts w:asciiTheme="majorHAnsi" w:hAnsiTheme="majorHAnsi" w:cstheme="majorHAnsi"/>
          <w:strike/>
          <w:color w:val="EE0000"/>
          <w:sz w:val="24"/>
          <w:szCs w:val="24"/>
        </w:rPr>
      </w:pPr>
    </w:p>
    <w:p w14:paraId="22B08C12" w14:textId="69FA44EF" w:rsidR="00A211C4" w:rsidRPr="00904B18" w:rsidRDefault="00A211C4" w:rsidP="004B33B0">
      <w:pPr>
        <w:autoSpaceDE w:val="0"/>
        <w:autoSpaceDN w:val="0"/>
        <w:adjustRightInd w:val="0"/>
        <w:spacing w:after="120" w:line="276" w:lineRule="auto"/>
        <w:rPr>
          <w:rFonts w:asciiTheme="majorHAnsi" w:hAnsiTheme="majorHAnsi" w:cstheme="majorHAnsi"/>
          <w:strike/>
          <w:color w:val="EE0000"/>
          <w:sz w:val="24"/>
          <w:szCs w:val="24"/>
        </w:rPr>
      </w:pPr>
    </w:p>
    <w:p w14:paraId="41338015" w14:textId="6FC577BF" w:rsidR="00A211C4" w:rsidRPr="00904B18" w:rsidRDefault="00A211C4" w:rsidP="004B33B0">
      <w:pPr>
        <w:autoSpaceDE w:val="0"/>
        <w:autoSpaceDN w:val="0"/>
        <w:adjustRightInd w:val="0"/>
        <w:spacing w:after="120" w:line="276" w:lineRule="auto"/>
        <w:rPr>
          <w:rFonts w:asciiTheme="majorHAnsi" w:hAnsiTheme="majorHAnsi" w:cstheme="majorHAnsi"/>
          <w:strike/>
          <w:color w:val="EE0000"/>
          <w:sz w:val="24"/>
          <w:szCs w:val="24"/>
        </w:rPr>
      </w:pPr>
    </w:p>
    <w:p w14:paraId="058FDD97" w14:textId="77777777" w:rsidR="00A211C4" w:rsidRPr="00904B18" w:rsidRDefault="00A211C4" w:rsidP="004B33B0">
      <w:pPr>
        <w:autoSpaceDE w:val="0"/>
        <w:autoSpaceDN w:val="0"/>
        <w:adjustRightInd w:val="0"/>
        <w:spacing w:after="120" w:line="276" w:lineRule="auto"/>
        <w:rPr>
          <w:rFonts w:asciiTheme="majorHAnsi" w:hAnsiTheme="majorHAnsi" w:cstheme="majorHAnsi"/>
          <w:strike/>
          <w:color w:val="EE0000"/>
          <w:sz w:val="24"/>
          <w:szCs w:val="24"/>
        </w:rPr>
      </w:pPr>
    </w:p>
    <w:p w14:paraId="1C319A42" w14:textId="64FE26BC" w:rsidR="00843063" w:rsidRPr="00904B18" w:rsidRDefault="00843063" w:rsidP="00843063">
      <w:pPr>
        <w:autoSpaceDE w:val="0"/>
        <w:autoSpaceDN w:val="0"/>
        <w:adjustRightInd w:val="0"/>
        <w:spacing w:after="120" w:line="276" w:lineRule="auto"/>
        <w:rPr>
          <w:rFonts w:asciiTheme="majorHAnsi" w:hAnsiTheme="majorHAnsi" w:cstheme="majorHAnsi"/>
          <w:strike/>
          <w:color w:val="EE0000"/>
          <w:sz w:val="24"/>
          <w:szCs w:val="24"/>
          <w:lang w:val="en" w:eastAsia="en-US"/>
        </w:rPr>
      </w:pPr>
    </w:p>
    <w:tbl>
      <w:tblPr>
        <w:tblW w:w="10747" w:type="dxa"/>
        <w:tblInd w:w="-1143" w:type="dxa"/>
        <w:tblLayout w:type="fixed"/>
        <w:tblLook w:val="0000" w:firstRow="0" w:lastRow="0" w:firstColumn="0" w:lastColumn="0" w:noHBand="0" w:noVBand="0"/>
      </w:tblPr>
      <w:tblGrid>
        <w:gridCol w:w="3541"/>
        <w:gridCol w:w="2402"/>
        <w:gridCol w:w="2402"/>
        <w:gridCol w:w="2402"/>
      </w:tblGrid>
      <w:tr w:rsidR="004B33B0" w:rsidRPr="00904B18" w14:paraId="37943A1D" w14:textId="77777777" w:rsidTr="00A211C4">
        <w:trPr>
          <w:trHeight w:val="665"/>
        </w:trPr>
        <w:tc>
          <w:tcPr>
            <w:tcW w:w="3541" w:type="dxa"/>
            <w:tcBorders>
              <w:top w:val="single" w:sz="3" w:space="0" w:color="000000"/>
              <w:left w:val="single" w:sz="3" w:space="0" w:color="000000"/>
              <w:bottom w:val="single" w:sz="3" w:space="0" w:color="000000"/>
              <w:right w:val="single" w:sz="3" w:space="0" w:color="000000"/>
            </w:tcBorders>
            <w:shd w:val="clear" w:color="000000" w:fill="FFFFFF"/>
          </w:tcPr>
          <w:p w14:paraId="69AE512D" w14:textId="77777777" w:rsidR="004B33B0" w:rsidRPr="00904B18" w:rsidRDefault="004B33B0" w:rsidP="00A211C4">
            <w:pPr>
              <w:autoSpaceDE w:val="0"/>
              <w:autoSpaceDN w:val="0"/>
              <w:adjustRightInd w:val="0"/>
              <w:spacing w:after="120" w:line="276" w:lineRule="auto"/>
              <w:jc w:val="center"/>
              <w:rPr>
                <w:rFonts w:asciiTheme="majorHAnsi" w:hAnsiTheme="majorHAnsi" w:cstheme="majorHAnsi"/>
                <w:strike/>
                <w:color w:val="EE0000"/>
                <w:sz w:val="24"/>
                <w:szCs w:val="24"/>
                <w:lang w:val="en"/>
              </w:rPr>
            </w:pPr>
            <w:bookmarkStart w:id="0" w:name="_Hlk225105532"/>
            <w:r w:rsidRPr="00904B18">
              <w:rPr>
                <w:rFonts w:asciiTheme="majorHAnsi" w:hAnsiTheme="majorHAnsi" w:cstheme="majorHAnsi"/>
                <w:b/>
                <w:bCs/>
                <w:strike/>
                <w:color w:val="EE0000"/>
                <w:sz w:val="24"/>
                <w:szCs w:val="24"/>
                <w:lang w:val="en"/>
              </w:rPr>
              <w:t>Measurement:</w:t>
            </w:r>
          </w:p>
        </w:tc>
        <w:tc>
          <w:tcPr>
            <w:tcW w:w="2402" w:type="dxa"/>
            <w:tcBorders>
              <w:top w:val="single" w:sz="3" w:space="0" w:color="000000"/>
              <w:left w:val="single" w:sz="3" w:space="0" w:color="000000"/>
              <w:bottom w:val="single" w:sz="3" w:space="0" w:color="000000"/>
              <w:right w:val="single" w:sz="3" w:space="0" w:color="000000"/>
            </w:tcBorders>
            <w:shd w:val="clear" w:color="000000" w:fill="FFFFFF"/>
          </w:tcPr>
          <w:p w14:paraId="5F6D12AC" w14:textId="77777777" w:rsidR="004B33B0" w:rsidRPr="00904B18" w:rsidRDefault="004B33B0" w:rsidP="00A211C4">
            <w:pPr>
              <w:autoSpaceDE w:val="0"/>
              <w:autoSpaceDN w:val="0"/>
              <w:adjustRightInd w:val="0"/>
              <w:spacing w:after="120" w:line="276" w:lineRule="auto"/>
              <w:jc w:val="center"/>
              <w:rPr>
                <w:rFonts w:asciiTheme="majorHAnsi" w:hAnsiTheme="majorHAnsi" w:cstheme="majorHAnsi"/>
                <w:strike/>
                <w:color w:val="EE0000"/>
                <w:sz w:val="24"/>
                <w:szCs w:val="24"/>
                <w:lang w:val="en"/>
              </w:rPr>
            </w:pPr>
            <w:r w:rsidRPr="00904B18">
              <w:rPr>
                <w:rFonts w:asciiTheme="majorHAnsi" w:hAnsiTheme="majorHAnsi" w:cstheme="majorHAnsi"/>
                <w:b/>
                <w:bCs/>
                <w:strike/>
                <w:color w:val="EE0000"/>
                <w:sz w:val="24"/>
                <w:szCs w:val="24"/>
                <w:lang w:val="en"/>
              </w:rPr>
              <w:t>Costs and Resources</w:t>
            </w:r>
          </w:p>
        </w:tc>
        <w:tc>
          <w:tcPr>
            <w:tcW w:w="2402" w:type="dxa"/>
            <w:tcBorders>
              <w:top w:val="single" w:sz="3" w:space="0" w:color="000000"/>
              <w:left w:val="single" w:sz="3" w:space="0" w:color="000000"/>
              <w:bottom w:val="single" w:sz="3" w:space="0" w:color="000000"/>
              <w:right w:val="single" w:sz="3" w:space="0" w:color="000000"/>
            </w:tcBorders>
            <w:shd w:val="clear" w:color="000000" w:fill="FFFFFF"/>
          </w:tcPr>
          <w:p w14:paraId="76723CD4" w14:textId="77777777" w:rsidR="004B33B0" w:rsidRPr="00904B18" w:rsidRDefault="004B33B0" w:rsidP="00A211C4">
            <w:pPr>
              <w:autoSpaceDE w:val="0"/>
              <w:autoSpaceDN w:val="0"/>
              <w:adjustRightInd w:val="0"/>
              <w:spacing w:after="120" w:line="276" w:lineRule="auto"/>
              <w:jc w:val="center"/>
              <w:rPr>
                <w:rFonts w:asciiTheme="majorHAnsi" w:hAnsiTheme="majorHAnsi" w:cstheme="majorHAnsi"/>
                <w:strike/>
                <w:color w:val="EE0000"/>
                <w:sz w:val="24"/>
                <w:szCs w:val="24"/>
                <w:lang w:val="en"/>
              </w:rPr>
            </w:pPr>
            <w:r w:rsidRPr="00904B18">
              <w:rPr>
                <w:rFonts w:asciiTheme="majorHAnsi" w:hAnsiTheme="majorHAnsi" w:cstheme="majorHAnsi"/>
                <w:b/>
                <w:bCs/>
                <w:strike/>
                <w:color w:val="EE0000"/>
                <w:sz w:val="24"/>
                <w:szCs w:val="24"/>
                <w:lang w:val="en"/>
              </w:rPr>
              <w:t>Timeframes</w:t>
            </w:r>
          </w:p>
        </w:tc>
        <w:tc>
          <w:tcPr>
            <w:tcW w:w="2402" w:type="dxa"/>
            <w:tcBorders>
              <w:top w:val="single" w:sz="3" w:space="0" w:color="000000"/>
              <w:left w:val="single" w:sz="3" w:space="0" w:color="000000"/>
              <w:bottom w:val="single" w:sz="3" w:space="0" w:color="000000"/>
              <w:right w:val="single" w:sz="3" w:space="0" w:color="000000"/>
            </w:tcBorders>
            <w:shd w:val="clear" w:color="000000" w:fill="FFFFFF"/>
          </w:tcPr>
          <w:p w14:paraId="179483E2" w14:textId="77777777" w:rsidR="004B33B0" w:rsidRPr="00904B18" w:rsidRDefault="004B33B0" w:rsidP="00A211C4">
            <w:pPr>
              <w:autoSpaceDE w:val="0"/>
              <w:autoSpaceDN w:val="0"/>
              <w:adjustRightInd w:val="0"/>
              <w:spacing w:after="120" w:line="276" w:lineRule="auto"/>
              <w:jc w:val="center"/>
              <w:rPr>
                <w:rFonts w:asciiTheme="majorHAnsi" w:hAnsiTheme="majorHAnsi" w:cstheme="majorHAnsi"/>
                <w:strike/>
                <w:color w:val="EE0000"/>
                <w:sz w:val="24"/>
                <w:szCs w:val="24"/>
                <w:lang w:val="en"/>
              </w:rPr>
            </w:pPr>
            <w:r w:rsidRPr="00904B18">
              <w:rPr>
                <w:rFonts w:asciiTheme="majorHAnsi" w:hAnsiTheme="majorHAnsi" w:cstheme="majorHAnsi"/>
                <w:b/>
                <w:bCs/>
                <w:strike/>
                <w:color w:val="EE0000"/>
                <w:sz w:val="24"/>
                <w:szCs w:val="24"/>
                <w:lang w:val="en"/>
              </w:rPr>
              <w:t>Communication</w:t>
            </w:r>
          </w:p>
        </w:tc>
      </w:tr>
      <w:tr w:rsidR="004B33B0" w:rsidRPr="00904B18" w14:paraId="75635E20" w14:textId="77777777" w:rsidTr="00A211C4">
        <w:trPr>
          <w:trHeight w:val="1778"/>
        </w:trPr>
        <w:tc>
          <w:tcPr>
            <w:tcW w:w="3541" w:type="dxa"/>
            <w:tcBorders>
              <w:top w:val="single" w:sz="3" w:space="0" w:color="000000"/>
              <w:left w:val="single" w:sz="3" w:space="0" w:color="000000"/>
              <w:bottom w:val="single" w:sz="3" w:space="0" w:color="000000"/>
              <w:right w:val="single" w:sz="3" w:space="0" w:color="000000"/>
            </w:tcBorders>
            <w:shd w:val="clear" w:color="000000" w:fill="FFFFFF"/>
          </w:tcPr>
          <w:p w14:paraId="4C86292D" w14:textId="11A486DD" w:rsidR="004B33B0" w:rsidRPr="00904B18" w:rsidRDefault="00A211C4" w:rsidP="00A211C4">
            <w:pPr>
              <w:spacing w:after="240"/>
              <w:rPr>
                <w:rFonts w:asciiTheme="majorHAnsi" w:hAnsiTheme="majorHAnsi" w:cstheme="majorHAnsi"/>
                <w:strike/>
                <w:color w:val="EE0000"/>
                <w:sz w:val="24"/>
                <w:szCs w:val="24"/>
                <w:lang w:val="en"/>
              </w:rPr>
            </w:pPr>
            <w:r w:rsidRPr="00904B18">
              <w:rPr>
                <w:rFonts w:asciiTheme="majorHAnsi" w:eastAsia="Times New Roman" w:hAnsiTheme="majorHAnsi" w:cstheme="majorHAnsi"/>
                <w:strike/>
                <w:color w:val="EE0000"/>
                <w:sz w:val="24"/>
                <w:szCs w:val="24"/>
              </w:rPr>
              <w:t>Reduction in sickness absence rates, particularly mental health-related absence; reduction in employee attrition levels, especially in entry-level roles; improved employee engagement survey results, especially relating to manager support; monitoring EAP usage and feedback.</w:t>
            </w:r>
          </w:p>
        </w:tc>
        <w:tc>
          <w:tcPr>
            <w:tcW w:w="2402" w:type="dxa"/>
            <w:tcBorders>
              <w:top w:val="single" w:sz="3" w:space="0" w:color="000000"/>
              <w:left w:val="single" w:sz="3" w:space="0" w:color="000000"/>
              <w:bottom w:val="single" w:sz="3" w:space="0" w:color="000000"/>
              <w:right w:val="single" w:sz="3" w:space="0" w:color="000000"/>
            </w:tcBorders>
            <w:shd w:val="clear" w:color="000000" w:fill="FFFFFF"/>
          </w:tcPr>
          <w:p w14:paraId="6D226BD1" w14:textId="77777777" w:rsidR="00A211C4" w:rsidRPr="00904B18" w:rsidRDefault="00A211C4" w:rsidP="00A211C4">
            <w:pPr>
              <w:spacing w:after="240"/>
              <w:rPr>
                <w:rFonts w:asciiTheme="majorHAnsi" w:eastAsia="Times New Roman" w:hAnsiTheme="majorHAnsi" w:cstheme="majorHAnsi"/>
                <w:strike/>
                <w:color w:val="EE0000"/>
                <w:sz w:val="24"/>
                <w:szCs w:val="24"/>
              </w:rPr>
            </w:pPr>
            <w:r w:rsidRPr="00904B18">
              <w:rPr>
                <w:rFonts w:asciiTheme="majorHAnsi" w:eastAsia="Times New Roman" w:hAnsiTheme="majorHAnsi" w:cstheme="majorHAnsi"/>
                <w:strike/>
                <w:color w:val="EE0000"/>
                <w:sz w:val="24"/>
                <w:szCs w:val="24"/>
              </w:rPr>
              <w:t>Costs of external wellbeing training providers; investment in EAP services; HR time to develop toolkits and coordinate programme delivery; time allocation for managers to attend training and conduct wellbeing check-ins.</w:t>
            </w:r>
          </w:p>
          <w:p w14:paraId="51E6777E" w14:textId="45D01614" w:rsidR="004B33B0" w:rsidRPr="00904B18" w:rsidRDefault="004B33B0" w:rsidP="00A211C4">
            <w:pPr>
              <w:spacing w:after="240"/>
              <w:rPr>
                <w:rFonts w:asciiTheme="majorHAnsi" w:hAnsiTheme="majorHAnsi" w:cstheme="majorHAnsi"/>
                <w:strike/>
                <w:color w:val="EE0000"/>
                <w:sz w:val="24"/>
                <w:szCs w:val="24"/>
                <w:lang w:val="en"/>
              </w:rPr>
            </w:pPr>
          </w:p>
        </w:tc>
        <w:tc>
          <w:tcPr>
            <w:tcW w:w="2402" w:type="dxa"/>
            <w:tcBorders>
              <w:top w:val="single" w:sz="3" w:space="0" w:color="000000"/>
              <w:left w:val="single" w:sz="3" w:space="0" w:color="000000"/>
              <w:bottom w:val="single" w:sz="3" w:space="0" w:color="000000"/>
              <w:right w:val="single" w:sz="3" w:space="0" w:color="000000"/>
            </w:tcBorders>
            <w:shd w:val="clear" w:color="000000" w:fill="FFFFFF"/>
          </w:tcPr>
          <w:p w14:paraId="7A76CA46" w14:textId="77777777" w:rsidR="00A211C4" w:rsidRPr="00904B18" w:rsidRDefault="00A211C4" w:rsidP="00A211C4">
            <w:pPr>
              <w:spacing w:after="240"/>
              <w:rPr>
                <w:rFonts w:asciiTheme="majorHAnsi" w:eastAsia="Times New Roman" w:hAnsiTheme="majorHAnsi" w:cstheme="majorHAnsi"/>
                <w:strike/>
                <w:color w:val="EE0000"/>
                <w:sz w:val="24"/>
                <w:szCs w:val="24"/>
              </w:rPr>
            </w:pPr>
            <w:r w:rsidRPr="00904B18">
              <w:rPr>
                <w:rFonts w:asciiTheme="majorHAnsi" w:eastAsia="Times New Roman" w:hAnsiTheme="majorHAnsi" w:cstheme="majorHAnsi"/>
                <w:strike/>
                <w:color w:val="EE0000"/>
                <w:sz w:val="24"/>
                <w:szCs w:val="24"/>
              </w:rPr>
              <w:t>Phase 1: 0–3 months – programme planning, manager training design, communication launch; Phase 2: 3–6 months – delivery of manager training and rollout of wellbeing check-ins; Phase 3: 6–12 months – monitoring outcomes and refining programme based on feedback.</w:t>
            </w:r>
          </w:p>
          <w:p w14:paraId="1182F5F1" w14:textId="5C8F11E2"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rPr>
            </w:pPr>
          </w:p>
        </w:tc>
        <w:tc>
          <w:tcPr>
            <w:tcW w:w="2402" w:type="dxa"/>
            <w:tcBorders>
              <w:top w:val="single" w:sz="3" w:space="0" w:color="000000"/>
              <w:left w:val="single" w:sz="3" w:space="0" w:color="000000"/>
              <w:bottom w:val="single" w:sz="3" w:space="0" w:color="000000"/>
              <w:right w:val="single" w:sz="3" w:space="0" w:color="000000"/>
            </w:tcBorders>
            <w:shd w:val="clear" w:color="000000" w:fill="FFFFFF"/>
          </w:tcPr>
          <w:p w14:paraId="48C17AD6" w14:textId="77777777" w:rsidR="00A211C4" w:rsidRPr="00904B18" w:rsidRDefault="00A211C4" w:rsidP="00A211C4">
            <w:pPr>
              <w:spacing w:after="240"/>
              <w:rPr>
                <w:rFonts w:asciiTheme="majorHAnsi" w:eastAsia="Times New Roman" w:hAnsiTheme="majorHAnsi" w:cstheme="majorHAnsi"/>
                <w:strike/>
                <w:color w:val="EE0000"/>
                <w:sz w:val="24"/>
                <w:szCs w:val="24"/>
              </w:rPr>
            </w:pPr>
            <w:r w:rsidRPr="00904B18">
              <w:rPr>
                <w:rFonts w:asciiTheme="majorHAnsi" w:eastAsia="Times New Roman" w:hAnsiTheme="majorHAnsi" w:cstheme="majorHAnsi"/>
                <w:strike/>
                <w:color w:val="EE0000"/>
                <w:sz w:val="24"/>
                <w:szCs w:val="24"/>
              </w:rPr>
              <w:t>Programme launch announced by senior leadership; regular updates via intranet, email, and team meetings; HR guidance materials shared with managers; wellbeing awareness campaigns across all sites to encourage engagement; quarterly pulse surveys assessing wellbeing and management support.</w:t>
            </w:r>
          </w:p>
          <w:p w14:paraId="6821D7DE" w14:textId="713E0351" w:rsidR="004B33B0" w:rsidRPr="00904B18" w:rsidRDefault="004B33B0" w:rsidP="00E12D1B">
            <w:pPr>
              <w:autoSpaceDE w:val="0"/>
              <w:autoSpaceDN w:val="0"/>
              <w:adjustRightInd w:val="0"/>
              <w:spacing w:after="120" w:line="276" w:lineRule="auto"/>
              <w:rPr>
                <w:rFonts w:asciiTheme="majorHAnsi" w:hAnsiTheme="majorHAnsi" w:cstheme="majorHAnsi"/>
                <w:strike/>
                <w:color w:val="EE0000"/>
                <w:sz w:val="24"/>
                <w:szCs w:val="24"/>
                <w:lang w:val="en"/>
              </w:rPr>
            </w:pPr>
          </w:p>
        </w:tc>
      </w:tr>
      <w:bookmarkEnd w:id="0"/>
    </w:tbl>
    <w:p w14:paraId="4AE00BB9" w14:textId="77777777" w:rsidR="004B33B0" w:rsidRPr="00AE3D06" w:rsidRDefault="004B33B0" w:rsidP="00843063">
      <w:pPr>
        <w:autoSpaceDE w:val="0"/>
        <w:autoSpaceDN w:val="0"/>
        <w:adjustRightInd w:val="0"/>
        <w:spacing w:after="120" w:line="276" w:lineRule="auto"/>
        <w:rPr>
          <w:rFonts w:asciiTheme="majorHAnsi" w:hAnsiTheme="majorHAnsi" w:cstheme="majorHAnsi"/>
          <w:color w:val="0070C0"/>
          <w:sz w:val="24"/>
          <w:szCs w:val="24"/>
          <w:lang w:val="en" w:eastAsia="en-US"/>
        </w:rPr>
      </w:pPr>
    </w:p>
    <w:p w14:paraId="5403C50C" w14:textId="41220FC2" w:rsidR="00843063" w:rsidRDefault="004B33B0" w:rsidP="00843063">
      <w:pPr>
        <w:autoSpaceDE w:val="0"/>
        <w:autoSpaceDN w:val="0"/>
        <w:adjustRightInd w:val="0"/>
        <w:spacing w:after="120" w:line="276" w:lineRule="auto"/>
        <w:rPr>
          <w:rFonts w:asciiTheme="majorHAnsi" w:hAnsiTheme="majorHAnsi" w:cstheme="majorHAnsi"/>
          <w:color w:val="0070C0"/>
          <w:sz w:val="24"/>
          <w:szCs w:val="24"/>
          <w:lang w:val="en" w:eastAsia="en-US"/>
        </w:rPr>
      </w:pPr>
      <w:r w:rsidRPr="00AE3D06">
        <w:rPr>
          <w:rFonts w:asciiTheme="majorHAnsi" w:hAnsiTheme="majorHAnsi" w:cstheme="majorHAnsi"/>
          <w:color w:val="0070C0"/>
          <w:sz w:val="24"/>
          <w:szCs w:val="24"/>
          <w:lang w:val="en" w:eastAsia="en-US"/>
        </w:rPr>
        <w:t xml:space="preserve">9. </w:t>
      </w:r>
      <w:r w:rsidR="00843063" w:rsidRPr="00AE3D06">
        <w:rPr>
          <w:rFonts w:asciiTheme="majorHAnsi" w:hAnsiTheme="majorHAnsi" w:cstheme="majorHAnsi"/>
          <w:color w:val="0070C0"/>
          <w:sz w:val="24"/>
          <w:szCs w:val="24"/>
          <w:lang w:val="en" w:eastAsia="en-US"/>
        </w:rPr>
        <w:t xml:space="preserve">Explain how your </w:t>
      </w:r>
      <w:proofErr w:type="gramStart"/>
      <w:r w:rsidR="00843063" w:rsidRPr="00AE3D06">
        <w:rPr>
          <w:rFonts w:asciiTheme="majorHAnsi" w:hAnsiTheme="majorHAnsi" w:cstheme="majorHAnsi"/>
          <w:color w:val="0070C0"/>
          <w:sz w:val="24"/>
          <w:szCs w:val="24"/>
          <w:lang w:val="en" w:eastAsia="en-US"/>
        </w:rPr>
        <w:t>wellbeing</w:t>
      </w:r>
      <w:proofErr w:type="gramEnd"/>
      <w:r w:rsidR="00843063" w:rsidRPr="00AE3D06">
        <w:rPr>
          <w:rFonts w:asciiTheme="majorHAnsi" w:hAnsiTheme="majorHAnsi" w:cstheme="majorHAnsi"/>
          <w:color w:val="0070C0"/>
          <w:sz w:val="24"/>
          <w:szCs w:val="24"/>
          <w:lang w:val="en" w:eastAsia="en-US"/>
        </w:rPr>
        <w:t xml:space="preserve"> programme would be implemented in a way that is suitable for Insursave Ltd. (AC 3.3)</w:t>
      </w:r>
    </w:p>
    <w:p w14:paraId="2A572305" w14:textId="77777777"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 xml:space="preserve">Implementing a wellbeing </w:t>
      </w:r>
      <w:proofErr w:type="spellStart"/>
      <w:r w:rsidRPr="00BE7B8D">
        <w:rPr>
          <w:rFonts w:asciiTheme="majorHAnsi" w:hAnsiTheme="majorHAnsi" w:cstheme="majorHAnsi"/>
          <w:sz w:val="24"/>
          <w:szCs w:val="24"/>
          <w:lang w:val="en" w:eastAsia="en-US"/>
        </w:rPr>
        <w:t>programme</w:t>
      </w:r>
      <w:proofErr w:type="spellEnd"/>
      <w:r w:rsidRPr="00BE7B8D">
        <w:rPr>
          <w:rFonts w:asciiTheme="majorHAnsi" w:hAnsiTheme="majorHAnsi" w:cstheme="majorHAnsi"/>
          <w:sz w:val="24"/>
          <w:szCs w:val="24"/>
          <w:lang w:val="en" w:eastAsia="en-US"/>
        </w:rPr>
        <w:t xml:space="preserve"> at </w:t>
      </w:r>
      <w:proofErr w:type="spellStart"/>
      <w:r w:rsidRPr="00BE7B8D">
        <w:rPr>
          <w:rFonts w:asciiTheme="majorHAnsi" w:hAnsiTheme="majorHAnsi" w:cstheme="majorHAnsi"/>
          <w:sz w:val="24"/>
          <w:szCs w:val="24"/>
          <w:lang w:val="en" w:eastAsia="en-US"/>
        </w:rPr>
        <w:t>Insursave</w:t>
      </w:r>
      <w:proofErr w:type="spellEnd"/>
      <w:r w:rsidRPr="00BE7B8D">
        <w:rPr>
          <w:rFonts w:asciiTheme="majorHAnsi" w:hAnsiTheme="majorHAnsi" w:cstheme="majorHAnsi"/>
          <w:sz w:val="24"/>
          <w:szCs w:val="24"/>
          <w:lang w:val="en" w:eastAsia="en-US"/>
        </w:rPr>
        <w:t xml:space="preserve"> Ltd requires a structured, evidence</w:t>
      </w:r>
      <w:r w:rsidRPr="00BE7B8D">
        <w:rPr>
          <w:rFonts w:ascii="Cambria Math" w:hAnsi="Cambria Math" w:cs="Cambria Math"/>
          <w:sz w:val="24"/>
          <w:szCs w:val="24"/>
          <w:lang w:val="en" w:eastAsia="en-US"/>
        </w:rPr>
        <w:t>‑</w:t>
      </w:r>
      <w:r w:rsidRPr="00BE7B8D">
        <w:rPr>
          <w:rFonts w:asciiTheme="majorHAnsi" w:hAnsiTheme="majorHAnsi" w:cstheme="majorHAnsi"/>
          <w:sz w:val="24"/>
          <w:szCs w:val="24"/>
          <w:lang w:val="en" w:eastAsia="en-US"/>
        </w:rPr>
        <w:t xml:space="preserve">based approach to ensure consistency across all four sites and to address the </w:t>
      </w:r>
      <w:proofErr w:type="spellStart"/>
      <w:r w:rsidRPr="00BE7B8D">
        <w:rPr>
          <w:rFonts w:asciiTheme="majorHAnsi" w:hAnsiTheme="majorHAnsi" w:cstheme="majorHAnsi"/>
          <w:sz w:val="24"/>
          <w:szCs w:val="24"/>
          <w:lang w:val="en" w:eastAsia="en-US"/>
        </w:rPr>
        <w:t>organisation</w:t>
      </w:r>
      <w:r w:rsidRPr="00BE7B8D">
        <w:rPr>
          <w:rFonts w:ascii="Calibri Light" w:hAnsi="Calibri Light" w:cs="Calibri Light"/>
          <w:sz w:val="24"/>
          <w:szCs w:val="24"/>
          <w:lang w:val="en" w:eastAsia="en-US"/>
        </w:rPr>
        <w:t>’</w:t>
      </w:r>
      <w:r w:rsidRPr="00BE7B8D">
        <w:rPr>
          <w:rFonts w:asciiTheme="majorHAnsi" w:hAnsiTheme="majorHAnsi" w:cstheme="majorHAnsi"/>
          <w:sz w:val="24"/>
          <w:szCs w:val="24"/>
          <w:lang w:val="en" w:eastAsia="en-US"/>
        </w:rPr>
        <w:t>s</w:t>
      </w:r>
      <w:proofErr w:type="spellEnd"/>
      <w:r w:rsidRPr="00BE7B8D">
        <w:rPr>
          <w:rFonts w:asciiTheme="majorHAnsi" w:hAnsiTheme="majorHAnsi" w:cstheme="majorHAnsi"/>
          <w:sz w:val="24"/>
          <w:szCs w:val="24"/>
          <w:lang w:val="en" w:eastAsia="en-US"/>
        </w:rPr>
        <w:t xml:space="preserve"> high levels of mental</w:t>
      </w:r>
      <w:r w:rsidRPr="00BE7B8D">
        <w:rPr>
          <w:rFonts w:ascii="Cambria Math" w:hAnsi="Cambria Math" w:cs="Cambria Math"/>
          <w:sz w:val="24"/>
          <w:szCs w:val="24"/>
          <w:lang w:val="en" w:eastAsia="en-US"/>
        </w:rPr>
        <w:t>‑</w:t>
      </w:r>
      <w:r w:rsidRPr="00BE7B8D">
        <w:rPr>
          <w:rFonts w:asciiTheme="majorHAnsi" w:hAnsiTheme="majorHAnsi" w:cstheme="majorHAnsi"/>
          <w:sz w:val="24"/>
          <w:szCs w:val="24"/>
          <w:lang w:val="en" w:eastAsia="en-US"/>
        </w:rPr>
        <w:t>health</w:t>
      </w:r>
      <w:r w:rsidRPr="00BE7B8D">
        <w:rPr>
          <w:rFonts w:ascii="Cambria Math" w:hAnsi="Cambria Math" w:cs="Cambria Math"/>
          <w:sz w:val="24"/>
          <w:szCs w:val="24"/>
          <w:lang w:val="en" w:eastAsia="en-US"/>
        </w:rPr>
        <w:t>‑</w:t>
      </w:r>
      <w:r w:rsidRPr="00BE7B8D">
        <w:rPr>
          <w:rFonts w:asciiTheme="majorHAnsi" w:hAnsiTheme="majorHAnsi" w:cstheme="majorHAnsi"/>
          <w:sz w:val="24"/>
          <w:szCs w:val="24"/>
          <w:lang w:val="en" w:eastAsia="en-US"/>
        </w:rPr>
        <w:t>related absence and low managerial capability. The implementation process can be divided into four key phases: establishing baseline data, planning, delivery, and evaluation.</w:t>
      </w:r>
    </w:p>
    <w:p w14:paraId="25C4D1CB" w14:textId="3E600B28"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 xml:space="preserve">The first step is to gather baseline data to understand the current state of wellbeing and to create measurable starting points. CIPD (2023) </w:t>
      </w:r>
      <w:proofErr w:type="spellStart"/>
      <w:r w:rsidRPr="00BE7B8D">
        <w:rPr>
          <w:rFonts w:asciiTheme="majorHAnsi" w:hAnsiTheme="majorHAnsi" w:cstheme="majorHAnsi"/>
          <w:sz w:val="24"/>
          <w:szCs w:val="24"/>
          <w:lang w:val="en" w:eastAsia="en-US"/>
        </w:rPr>
        <w:t>emphasises</w:t>
      </w:r>
      <w:proofErr w:type="spellEnd"/>
      <w:r w:rsidRPr="00BE7B8D">
        <w:rPr>
          <w:rFonts w:asciiTheme="majorHAnsi" w:hAnsiTheme="majorHAnsi" w:cstheme="majorHAnsi"/>
          <w:sz w:val="24"/>
          <w:szCs w:val="24"/>
          <w:lang w:val="en" w:eastAsia="en-US"/>
        </w:rPr>
        <w:t xml:space="preserve"> that baseline metrics are essential for evaluating the impact of wellbeing interventions and demonstrating return on investment. </w:t>
      </w:r>
      <w:proofErr w:type="gramStart"/>
      <w:r w:rsidRPr="00BE7B8D">
        <w:rPr>
          <w:rFonts w:asciiTheme="majorHAnsi" w:hAnsiTheme="majorHAnsi" w:cstheme="majorHAnsi"/>
          <w:sz w:val="24"/>
          <w:szCs w:val="24"/>
          <w:lang w:val="en" w:eastAsia="en-US"/>
        </w:rPr>
        <w:t xml:space="preserve">At </w:t>
      </w:r>
      <w:proofErr w:type="spellStart"/>
      <w:r w:rsidRPr="00BE7B8D">
        <w:rPr>
          <w:rFonts w:asciiTheme="majorHAnsi" w:hAnsiTheme="majorHAnsi" w:cstheme="majorHAnsi"/>
          <w:sz w:val="24"/>
          <w:szCs w:val="24"/>
          <w:lang w:val="en" w:eastAsia="en-US"/>
        </w:rPr>
        <w:t>Insursave</w:t>
      </w:r>
      <w:proofErr w:type="spellEnd"/>
      <w:proofErr w:type="gramEnd"/>
      <w:r w:rsidRPr="00BE7B8D">
        <w:rPr>
          <w:rFonts w:asciiTheme="majorHAnsi" w:hAnsiTheme="majorHAnsi" w:cstheme="majorHAnsi"/>
          <w:sz w:val="24"/>
          <w:szCs w:val="24"/>
          <w:lang w:val="en" w:eastAsia="en-US"/>
        </w:rPr>
        <w:t xml:space="preserve">, this would include </w:t>
      </w:r>
      <w:proofErr w:type="spellStart"/>
      <w:r w:rsidRPr="00BE7B8D">
        <w:rPr>
          <w:rFonts w:asciiTheme="majorHAnsi" w:hAnsiTheme="majorHAnsi" w:cstheme="majorHAnsi"/>
          <w:sz w:val="24"/>
          <w:szCs w:val="24"/>
          <w:lang w:val="en" w:eastAsia="en-US"/>
        </w:rPr>
        <w:t>analysing</w:t>
      </w:r>
      <w:proofErr w:type="spellEnd"/>
      <w:r w:rsidRPr="00BE7B8D">
        <w:rPr>
          <w:rFonts w:asciiTheme="majorHAnsi" w:hAnsiTheme="majorHAnsi" w:cstheme="majorHAnsi"/>
          <w:sz w:val="24"/>
          <w:szCs w:val="24"/>
          <w:lang w:val="en" w:eastAsia="en-US"/>
        </w:rPr>
        <w:t>:</w:t>
      </w:r>
    </w:p>
    <w:p w14:paraId="0AB130F1" w14:textId="77777777"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Absence data (mental health, minor illness, colds/flu)</w:t>
      </w:r>
    </w:p>
    <w:p w14:paraId="3F2AE90E" w14:textId="77777777"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Turnover and tenure patterns</w:t>
      </w:r>
    </w:p>
    <w:p w14:paraId="4246730B" w14:textId="77777777"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Engagement survey results</w:t>
      </w:r>
    </w:p>
    <w:p w14:paraId="6C63355D" w14:textId="77777777"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lastRenderedPageBreak/>
        <w:t>Exit interview themes</w:t>
      </w:r>
    </w:p>
    <w:p w14:paraId="115F3CB4" w14:textId="7716A05C"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 xml:space="preserve">EAP </w:t>
      </w:r>
      <w:r>
        <w:rPr>
          <w:rFonts w:asciiTheme="majorHAnsi" w:hAnsiTheme="majorHAnsi" w:cstheme="majorHAnsi"/>
          <w:sz w:val="24"/>
          <w:szCs w:val="24"/>
          <w:lang w:val="en" w:eastAsia="en-US"/>
        </w:rPr>
        <w:t xml:space="preserve">user data once implemented </w:t>
      </w:r>
    </w:p>
    <w:p w14:paraId="0DA87306" w14:textId="77777777"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 xml:space="preserve">Baseline data is crucial because it allows </w:t>
      </w:r>
      <w:proofErr w:type="spellStart"/>
      <w:r w:rsidRPr="00BE7B8D">
        <w:rPr>
          <w:rFonts w:asciiTheme="majorHAnsi" w:hAnsiTheme="majorHAnsi" w:cstheme="majorHAnsi"/>
          <w:sz w:val="24"/>
          <w:szCs w:val="24"/>
          <w:lang w:val="en" w:eastAsia="en-US"/>
        </w:rPr>
        <w:t>Insursave</w:t>
      </w:r>
      <w:proofErr w:type="spellEnd"/>
      <w:r w:rsidRPr="00BE7B8D">
        <w:rPr>
          <w:rFonts w:asciiTheme="majorHAnsi" w:hAnsiTheme="majorHAnsi" w:cstheme="majorHAnsi"/>
          <w:sz w:val="24"/>
          <w:szCs w:val="24"/>
          <w:lang w:val="en" w:eastAsia="en-US"/>
        </w:rPr>
        <w:t xml:space="preserve"> to compare pre</w:t>
      </w:r>
      <w:r w:rsidRPr="00BE7B8D">
        <w:rPr>
          <w:rFonts w:ascii="Cambria Math" w:hAnsi="Cambria Math" w:cs="Cambria Math"/>
          <w:sz w:val="24"/>
          <w:szCs w:val="24"/>
          <w:lang w:val="en" w:eastAsia="en-US"/>
        </w:rPr>
        <w:t>‑</w:t>
      </w:r>
      <w:r w:rsidRPr="00BE7B8D">
        <w:rPr>
          <w:rFonts w:asciiTheme="majorHAnsi" w:hAnsiTheme="majorHAnsi" w:cstheme="majorHAnsi"/>
          <w:sz w:val="24"/>
          <w:szCs w:val="24"/>
          <w:lang w:val="en" w:eastAsia="en-US"/>
        </w:rPr>
        <w:t xml:space="preserve"> and post</w:t>
      </w:r>
      <w:r w:rsidRPr="00BE7B8D">
        <w:rPr>
          <w:rFonts w:ascii="Cambria Math" w:hAnsi="Cambria Math" w:cs="Cambria Math"/>
          <w:sz w:val="24"/>
          <w:szCs w:val="24"/>
          <w:lang w:val="en" w:eastAsia="en-US"/>
        </w:rPr>
        <w:t>‑</w:t>
      </w:r>
      <w:proofErr w:type="spellStart"/>
      <w:r w:rsidRPr="00BE7B8D">
        <w:rPr>
          <w:rFonts w:asciiTheme="majorHAnsi" w:hAnsiTheme="majorHAnsi" w:cstheme="majorHAnsi"/>
          <w:sz w:val="24"/>
          <w:szCs w:val="24"/>
          <w:lang w:val="en" w:eastAsia="en-US"/>
        </w:rPr>
        <w:t>programme</w:t>
      </w:r>
      <w:proofErr w:type="spellEnd"/>
      <w:r w:rsidRPr="00BE7B8D">
        <w:rPr>
          <w:rFonts w:asciiTheme="majorHAnsi" w:hAnsiTheme="majorHAnsi" w:cstheme="majorHAnsi"/>
          <w:sz w:val="24"/>
          <w:szCs w:val="24"/>
          <w:lang w:val="en" w:eastAsia="en-US"/>
        </w:rPr>
        <w:t xml:space="preserve"> outcomes, justify investment, and identify which sites or departments require the most support.</w:t>
      </w:r>
    </w:p>
    <w:p w14:paraId="653EAF28" w14:textId="52E36BE5"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 xml:space="preserve">HR would use the baseline data to refine objectives, success measures, and </w:t>
      </w:r>
      <w:proofErr w:type="gramStart"/>
      <w:r w:rsidRPr="00BE7B8D">
        <w:rPr>
          <w:rFonts w:asciiTheme="majorHAnsi" w:hAnsiTheme="majorHAnsi" w:cstheme="majorHAnsi"/>
          <w:sz w:val="24"/>
          <w:szCs w:val="24"/>
          <w:lang w:val="en" w:eastAsia="en-US"/>
        </w:rPr>
        <w:t>the communication</w:t>
      </w:r>
      <w:proofErr w:type="gramEnd"/>
      <w:r w:rsidRPr="00BE7B8D">
        <w:rPr>
          <w:rFonts w:asciiTheme="majorHAnsi" w:hAnsiTheme="majorHAnsi" w:cstheme="majorHAnsi"/>
          <w:sz w:val="24"/>
          <w:szCs w:val="24"/>
          <w:lang w:val="en" w:eastAsia="en-US"/>
        </w:rPr>
        <w:t xml:space="preserve"> strategy. Senior Leadership Team approval is essential at this stage, as CIPD (2025) highlights that visible senior sponsorship increases </w:t>
      </w:r>
      <w:proofErr w:type="spellStart"/>
      <w:r w:rsidRPr="00BE7B8D">
        <w:rPr>
          <w:rFonts w:asciiTheme="majorHAnsi" w:hAnsiTheme="majorHAnsi" w:cstheme="majorHAnsi"/>
          <w:sz w:val="24"/>
          <w:szCs w:val="24"/>
          <w:lang w:val="en" w:eastAsia="en-US"/>
        </w:rPr>
        <w:t>programme</w:t>
      </w:r>
      <w:proofErr w:type="spellEnd"/>
      <w:r w:rsidRPr="00BE7B8D">
        <w:rPr>
          <w:rFonts w:asciiTheme="majorHAnsi" w:hAnsiTheme="majorHAnsi" w:cstheme="majorHAnsi"/>
          <w:sz w:val="24"/>
          <w:szCs w:val="24"/>
          <w:lang w:val="en" w:eastAsia="en-US"/>
        </w:rPr>
        <w:t xml:space="preserve"> credibility and manager engagement.</w:t>
      </w:r>
    </w:p>
    <w:p w14:paraId="30D27FD4" w14:textId="4C4019A5"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 xml:space="preserve">A key decision is whether to pilot the </w:t>
      </w:r>
      <w:proofErr w:type="spellStart"/>
      <w:r w:rsidRPr="00BE7B8D">
        <w:rPr>
          <w:rFonts w:asciiTheme="majorHAnsi" w:hAnsiTheme="majorHAnsi" w:cstheme="majorHAnsi"/>
          <w:sz w:val="24"/>
          <w:szCs w:val="24"/>
          <w:lang w:val="en" w:eastAsia="en-US"/>
        </w:rPr>
        <w:t>programme</w:t>
      </w:r>
      <w:proofErr w:type="spellEnd"/>
      <w:r w:rsidRPr="00BE7B8D">
        <w:rPr>
          <w:rFonts w:asciiTheme="majorHAnsi" w:hAnsiTheme="majorHAnsi" w:cstheme="majorHAnsi"/>
          <w:sz w:val="24"/>
          <w:szCs w:val="24"/>
          <w:lang w:val="en" w:eastAsia="en-US"/>
        </w:rPr>
        <w:t xml:space="preserve"> at one site or roll out training to all managers simultaneously. A pilot allows </w:t>
      </w:r>
      <w:proofErr w:type="spellStart"/>
      <w:r w:rsidRPr="00BE7B8D">
        <w:rPr>
          <w:rFonts w:asciiTheme="majorHAnsi" w:hAnsiTheme="majorHAnsi" w:cstheme="majorHAnsi"/>
          <w:sz w:val="24"/>
          <w:szCs w:val="24"/>
          <w:lang w:val="en" w:eastAsia="en-US"/>
        </w:rPr>
        <w:t>Insursave</w:t>
      </w:r>
      <w:proofErr w:type="spellEnd"/>
      <w:r w:rsidRPr="00BE7B8D">
        <w:rPr>
          <w:rFonts w:asciiTheme="majorHAnsi" w:hAnsiTheme="majorHAnsi" w:cstheme="majorHAnsi"/>
          <w:sz w:val="24"/>
          <w:szCs w:val="24"/>
          <w:lang w:val="en" w:eastAsia="en-US"/>
        </w:rPr>
        <w:t xml:space="preserve"> to test content, gather feedback, and refine delivery before scaling. However, given the </w:t>
      </w:r>
      <w:proofErr w:type="spellStart"/>
      <w:r w:rsidRPr="00BE7B8D">
        <w:rPr>
          <w:rFonts w:asciiTheme="majorHAnsi" w:hAnsiTheme="majorHAnsi" w:cstheme="majorHAnsi"/>
          <w:sz w:val="24"/>
          <w:szCs w:val="24"/>
          <w:lang w:val="en" w:eastAsia="en-US"/>
        </w:rPr>
        <w:t>organisation’s</w:t>
      </w:r>
      <w:proofErr w:type="spellEnd"/>
      <w:r w:rsidRPr="00BE7B8D">
        <w:rPr>
          <w:rFonts w:asciiTheme="majorHAnsi" w:hAnsiTheme="majorHAnsi" w:cstheme="majorHAnsi"/>
          <w:sz w:val="24"/>
          <w:szCs w:val="24"/>
          <w:lang w:val="en" w:eastAsia="en-US"/>
        </w:rPr>
        <w:t xml:space="preserve"> high absence levels and consistency issues, a full rollout may be preferable to ensure all managers meet the same standard. If a pilot is chosen, it should run for 8–12 weeks before wider implementation.</w:t>
      </w:r>
    </w:p>
    <w:p w14:paraId="3A36DBFE" w14:textId="5224B25F"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The manager wellbeing capability training would be delivered through blended learning (virtual workshops, in</w:t>
      </w:r>
      <w:r w:rsidRPr="00BE7B8D">
        <w:rPr>
          <w:rFonts w:ascii="Cambria Math" w:hAnsi="Cambria Math" w:cs="Cambria Math"/>
          <w:sz w:val="24"/>
          <w:szCs w:val="24"/>
          <w:lang w:val="en" w:eastAsia="en-US"/>
        </w:rPr>
        <w:t>‑</w:t>
      </w:r>
      <w:r w:rsidRPr="00BE7B8D">
        <w:rPr>
          <w:rFonts w:asciiTheme="majorHAnsi" w:hAnsiTheme="majorHAnsi" w:cstheme="majorHAnsi"/>
          <w:sz w:val="24"/>
          <w:szCs w:val="24"/>
          <w:lang w:val="en" w:eastAsia="en-US"/>
        </w:rPr>
        <w:t>person sessions, and e</w:t>
      </w:r>
      <w:r w:rsidRPr="00BE7B8D">
        <w:rPr>
          <w:rFonts w:ascii="Cambria Math" w:hAnsi="Cambria Math" w:cs="Cambria Math"/>
          <w:sz w:val="24"/>
          <w:szCs w:val="24"/>
          <w:lang w:val="en" w:eastAsia="en-US"/>
        </w:rPr>
        <w:t>‑</w:t>
      </w:r>
      <w:r w:rsidRPr="00BE7B8D">
        <w:rPr>
          <w:rFonts w:asciiTheme="majorHAnsi" w:hAnsiTheme="majorHAnsi" w:cstheme="majorHAnsi"/>
          <w:sz w:val="24"/>
          <w:szCs w:val="24"/>
          <w:lang w:val="en" w:eastAsia="en-US"/>
        </w:rPr>
        <w:t xml:space="preserve">learning modules) to </w:t>
      </w:r>
      <w:proofErr w:type="spellStart"/>
      <w:r w:rsidRPr="00BE7B8D">
        <w:rPr>
          <w:rFonts w:asciiTheme="majorHAnsi" w:hAnsiTheme="majorHAnsi" w:cstheme="majorHAnsi"/>
          <w:sz w:val="24"/>
          <w:szCs w:val="24"/>
          <w:lang w:val="en" w:eastAsia="en-US"/>
        </w:rPr>
        <w:t>minimise</w:t>
      </w:r>
      <w:proofErr w:type="spellEnd"/>
      <w:r w:rsidRPr="00BE7B8D">
        <w:rPr>
          <w:rFonts w:asciiTheme="majorHAnsi" w:hAnsiTheme="majorHAnsi" w:cstheme="majorHAnsi"/>
          <w:sz w:val="24"/>
          <w:szCs w:val="24"/>
          <w:lang w:val="en" w:eastAsia="en-US"/>
        </w:rPr>
        <w:t xml:space="preserve"> operational disruption. To release managers for training, sessions should be staggered, with </w:t>
      </w:r>
      <w:proofErr w:type="spellStart"/>
      <w:r w:rsidRPr="00BE7B8D">
        <w:rPr>
          <w:rFonts w:asciiTheme="majorHAnsi" w:hAnsiTheme="majorHAnsi" w:cstheme="majorHAnsi"/>
          <w:sz w:val="24"/>
          <w:szCs w:val="24"/>
          <w:lang w:val="en" w:eastAsia="en-US"/>
        </w:rPr>
        <w:t>rotas</w:t>
      </w:r>
      <w:proofErr w:type="spellEnd"/>
      <w:r w:rsidRPr="00BE7B8D">
        <w:rPr>
          <w:rFonts w:asciiTheme="majorHAnsi" w:hAnsiTheme="majorHAnsi" w:cstheme="majorHAnsi"/>
          <w:sz w:val="24"/>
          <w:szCs w:val="24"/>
          <w:lang w:val="en" w:eastAsia="en-US"/>
        </w:rPr>
        <w:t xml:space="preserve"> adjusted to maintain service levels. CIPD (2023) notes that protected learning time increases engagement and reduces resistance.</w:t>
      </w:r>
    </w:p>
    <w:p w14:paraId="65A27969" w14:textId="77777777"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Managers would receive toolkits, conversation guides, and signposting resources to ensure consistent practice. Monthly wellbeing check</w:t>
      </w:r>
      <w:r w:rsidRPr="00BE7B8D">
        <w:rPr>
          <w:rFonts w:ascii="Cambria Math" w:hAnsi="Cambria Math" w:cs="Cambria Math"/>
          <w:sz w:val="24"/>
          <w:szCs w:val="24"/>
          <w:lang w:val="en" w:eastAsia="en-US"/>
        </w:rPr>
        <w:t>‑</w:t>
      </w:r>
      <w:r w:rsidRPr="00BE7B8D">
        <w:rPr>
          <w:rFonts w:asciiTheme="majorHAnsi" w:hAnsiTheme="majorHAnsi" w:cstheme="majorHAnsi"/>
          <w:sz w:val="24"/>
          <w:szCs w:val="24"/>
          <w:lang w:val="en" w:eastAsia="en-US"/>
        </w:rPr>
        <w:t>ins would be embedded into one</w:t>
      </w:r>
      <w:r w:rsidRPr="00BE7B8D">
        <w:rPr>
          <w:rFonts w:ascii="Cambria Math" w:hAnsi="Cambria Math" w:cs="Cambria Math"/>
          <w:sz w:val="24"/>
          <w:szCs w:val="24"/>
          <w:lang w:val="en" w:eastAsia="en-US"/>
        </w:rPr>
        <w:t>‑</w:t>
      </w:r>
      <w:r w:rsidRPr="00BE7B8D">
        <w:rPr>
          <w:rFonts w:asciiTheme="majorHAnsi" w:hAnsiTheme="majorHAnsi" w:cstheme="majorHAnsi"/>
          <w:sz w:val="24"/>
          <w:szCs w:val="24"/>
          <w:lang w:val="en" w:eastAsia="en-US"/>
        </w:rPr>
        <w:t>to</w:t>
      </w:r>
      <w:r w:rsidRPr="00BE7B8D">
        <w:rPr>
          <w:rFonts w:ascii="Cambria Math" w:hAnsi="Cambria Math" w:cs="Cambria Math"/>
          <w:sz w:val="24"/>
          <w:szCs w:val="24"/>
          <w:lang w:val="en" w:eastAsia="en-US"/>
        </w:rPr>
        <w:t>‑</w:t>
      </w:r>
      <w:r w:rsidRPr="00BE7B8D">
        <w:rPr>
          <w:rFonts w:asciiTheme="majorHAnsi" w:hAnsiTheme="majorHAnsi" w:cstheme="majorHAnsi"/>
          <w:sz w:val="24"/>
          <w:szCs w:val="24"/>
          <w:lang w:val="en" w:eastAsia="en-US"/>
        </w:rPr>
        <w:t xml:space="preserve">one meetings, </w:t>
      </w:r>
      <w:proofErr w:type="spellStart"/>
      <w:r w:rsidRPr="00BE7B8D">
        <w:rPr>
          <w:rFonts w:asciiTheme="majorHAnsi" w:hAnsiTheme="majorHAnsi" w:cstheme="majorHAnsi"/>
          <w:sz w:val="24"/>
          <w:szCs w:val="24"/>
          <w:lang w:val="en" w:eastAsia="en-US"/>
        </w:rPr>
        <w:t>normalising</w:t>
      </w:r>
      <w:proofErr w:type="spellEnd"/>
      <w:r w:rsidRPr="00BE7B8D">
        <w:rPr>
          <w:rFonts w:asciiTheme="majorHAnsi" w:hAnsiTheme="majorHAnsi" w:cstheme="majorHAnsi"/>
          <w:sz w:val="24"/>
          <w:szCs w:val="24"/>
          <w:lang w:val="en" w:eastAsia="en-US"/>
        </w:rPr>
        <w:t xml:space="preserve"> early intervention. Wellbeing champions at each site would reinforce participation and act as local points of contact.</w:t>
      </w:r>
    </w:p>
    <w:p w14:paraId="7D1081F9" w14:textId="77777777"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sidRPr="00BE7B8D">
        <w:rPr>
          <w:rFonts w:asciiTheme="majorHAnsi" w:hAnsiTheme="majorHAnsi" w:cstheme="majorHAnsi"/>
          <w:sz w:val="24"/>
          <w:szCs w:val="24"/>
          <w:lang w:val="en" w:eastAsia="en-US"/>
        </w:rPr>
        <w:t xml:space="preserve">Evaluation would take place through quarterly pulse surveys, absence data, EAP </w:t>
      </w:r>
      <w:proofErr w:type="spellStart"/>
      <w:r w:rsidRPr="00BE7B8D">
        <w:rPr>
          <w:rFonts w:asciiTheme="majorHAnsi" w:hAnsiTheme="majorHAnsi" w:cstheme="majorHAnsi"/>
          <w:sz w:val="24"/>
          <w:szCs w:val="24"/>
          <w:lang w:val="en" w:eastAsia="en-US"/>
        </w:rPr>
        <w:t>utilisation</w:t>
      </w:r>
      <w:proofErr w:type="spellEnd"/>
      <w:r w:rsidRPr="00BE7B8D">
        <w:rPr>
          <w:rFonts w:asciiTheme="majorHAnsi" w:hAnsiTheme="majorHAnsi" w:cstheme="majorHAnsi"/>
          <w:sz w:val="24"/>
          <w:szCs w:val="24"/>
          <w:lang w:val="en" w:eastAsia="en-US"/>
        </w:rPr>
        <w:t xml:space="preserve">, turnover rates, and manager confidence surveys. Feedback loops allow HR to refine the </w:t>
      </w:r>
      <w:proofErr w:type="spellStart"/>
      <w:r w:rsidRPr="00BE7B8D">
        <w:rPr>
          <w:rFonts w:asciiTheme="majorHAnsi" w:hAnsiTheme="majorHAnsi" w:cstheme="majorHAnsi"/>
          <w:sz w:val="24"/>
          <w:szCs w:val="24"/>
          <w:lang w:val="en" w:eastAsia="en-US"/>
        </w:rPr>
        <w:t>programme</w:t>
      </w:r>
      <w:proofErr w:type="spellEnd"/>
      <w:r w:rsidRPr="00BE7B8D">
        <w:rPr>
          <w:rFonts w:asciiTheme="majorHAnsi" w:hAnsiTheme="majorHAnsi" w:cstheme="majorHAnsi"/>
          <w:sz w:val="24"/>
          <w:szCs w:val="24"/>
          <w:lang w:val="en" w:eastAsia="en-US"/>
        </w:rPr>
        <w:t xml:space="preserve"> and address emerging issues. CIPD (2025) stresses that continuous evaluation is essential for sustaining wellbeing improvements.</w:t>
      </w:r>
    </w:p>
    <w:p w14:paraId="1D87A5F9" w14:textId="5B84ACA2" w:rsidR="00BE7B8D" w:rsidRPr="00BE7B8D" w:rsidRDefault="00BE7B8D" w:rsidP="00BE7B8D">
      <w:pPr>
        <w:autoSpaceDE w:val="0"/>
        <w:autoSpaceDN w:val="0"/>
        <w:adjustRightInd w:val="0"/>
        <w:spacing w:after="120" w:line="276" w:lineRule="auto"/>
        <w:rPr>
          <w:rFonts w:asciiTheme="majorHAnsi" w:hAnsiTheme="majorHAnsi" w:cstheme="majorHAnsi"/>
          <w:sz w:val="24"/>
          <w:szCs w:val="24"/>
          <w:lang w:val="en" w:eastAsia="en-US"/>
        </w:rPr>
      </w:pPr>
      <w:r>
        <w:rPr>
          <w:rFonts w:asciiTheme="majorHAnsi" w:hAnsiTheme="majorHAnsi" w:cstheme="majorHAnsi"/>
          <w:sz w:val="24"/>
          <w:szCs w:val="24"/>
          <w:lang w:val="en" w:eastAsia="en-US"/>
        </w:rPr>
        <w:t>M</w:t>
      </w:r>
      <w:r w:rsidRPr="00BE7B8D">
        <w:rPr>
          <w:rFonts w:asciiTheme="majorHAnsi" w:hAnsiTheme="majorHAnsi" w:cstheme="majorHAnsi"/>
          <w:sz w:val="24"/>
          <w:szCs w:val="24"/>
          <w:lang w:val="en" w:eastAsia="en-US"/>
        </w:rPr>
        <w:t>anager resistance is a key risk, particularly among experienced managers who may feel</w:t>
      </w:r>
      <w:r>
        <w:rPr>
          <w:rFonts w:asciiTheme="majorHAnsi" w:hAnsiTheme="majorHAnsi" w:cstheme="majorHAnsi"/>
          <w:sz w:val="24"/>
          <w:szCs w:val="24"/>
          <w:lang w:val="en" w:eastAsia="en-US"/>
        </w:rPr>
        <w:t xml:space="preserve"> intervention is not warranted</w:t>
      </w:r>
      <w:r w:rsidRPr="00BE7B8D">
        <w:rPr>
          <w:rFonts w:asciiTheme="majorHAnsi" w:hAnsiTheme="majorHAnsi" w:cstheme="majorHAnsi"/>
          <w:sz w:val="24"/>
          <w:szCs w:val="24"/>
          <w:lang w:val="en" w:eastAsia="en-US"/>
        </w:rPr>
        <w:t xml:space="preserve">. This can be mitigated through early involvement in </w:t>
      </w:r>
      <w:proofErr w:type="spellStart"/>
      <w:r w:rsidRPr="00BE7B8D">
        <w:rPr>
          <w:rFonts w:asciiTheme="majorHAnsi" w:hAnsiTheme="majorHAnsi" w:cstheme="majorHAnsi"/>
          <w:sz w:val="24"/>
          <w:szCs w:val="24"/>
          <w:lang w:val="en" w:eastAsia="en-US"/>
        </w:rPr>
        <w:t>programme</w:t>
      </w:r>
      <w:proofErr w:type="spellEnd"/>
      <w:r w:rsidRPr="00BE7B8D">
        <w:rPr>
          <w:rFonts w:asciiTheme="majorHAnsi" w:hAnsiTheme="majorHAnsi" w:cstheme="majorHAnsi"/>
          <w:sz w:val="24"/>
          <w:szCs w:val="24"/>
          <w:lang w:val="en" w:eastAsia="en-US"/>
        </w:rPr>
        <w:t xml:space="preserve"> design, clear communication of benefits (reduced absence, easier conversations), flexible training formats, and strong S</w:t>
      </w:r>
      <w:r>
        <w:rPr>
          <w:rFonts w:asciiTheme="majorHAnsi" w:hAnsiTheme="majorHAnsi" w:cstheme="majorHAnsi"/>
          <w:sz w:val="24"/>
          <w:szCs w:val="24"/>
          <w:lang w:val="en" w:eastAsia="en-US"/>
        </w:rPr>
        <w:t>enior Leadership Team</w:t>
      </w:r>
      <w:r w:rsidRPr="00BE7B8D">
        <w:rPr>
          <w:rFonts w:asciiTheme="majorHAnsi" w:hAnsiTheme="majorHAnsi" w:cstheme="majorHAnsi"/>
          <w:sz w:val="24"/>
          <w:szCs w:val="24"/>
          <w:lang w:val="en" w:eastAsia="en-US"/>
        </w:rPr>
        <w:t xml:space="preserve"> reinforcement.</w:t>
      </w:r>
    </w:p>
    <w:p w14:paraId="1B6B78E3" w14:textId="77777777" w:rsidR="00AE3D06" w:rsidRPr="00BE7B8D" w:rsidRDefault="00AE3D06" w:rsidP="00843063">
      <w:pPr>
        <w:autoSpaceDE w:val="0"/>
        <w:autoSpaceDN w:val="0"/>
        <w:adjustRightInd w:val="0"/>
        <w:spacing w:after="120" w:line="276" w:lineRule="auto"/>
        <w:rPr>
          <w:rFonts w:asciiTheme="majorHAnsi" w:eastAsia="Times New Roman" w:hAnsiTheme="majorHAnsi" w:cstheme="majorHAnsi"/>
          <w:strike/>
          <w:color w:val="EE0000"/>
          <w:sz w:val="24"/>
          <w:szCs w:val="24"/>
        </w:rPr>
      </w:pPr>
      <w:r w:rsidRPr="00BE7B8D">
        <w:rPr>
          <w:rFonts w:asciiTheme="majorHAnsi" w:eastAsia="Times New Roman" w:hAnsiTheme="majorHAnsi" w:cstheme="majorHAnsi"/>
          <w:strike/>
          <w:color w:val="EE0000"/>
          <w:sz w:val="24"/>
          <w:szCs w:val="24"/>
        </w:rPr>
        <w:t>Implementation begins with a planning phase where HR reviews absence data, engagement survey results, and exit interviews to understand drivers of stress, burnout, and attrition.</w:t>
      </w:r>
    </w:p>
    <w:p w14:paraId="19607F3B" w14:textId="77777777" w:rsidR="00AE3D06" w:rsidRPr="00BE7B8D" w:rsidRDefault="00AE3D06" w:rsidP="00843063">
      <w:pPr>
        <w:autoSpaceDE w:val="0"/>
        <w:autoSpaceDN w:val="0"/>
        <w:adjustRightInd w:val="0"/>
        <w:spacing w:after="120" w:line="276" w:lineRule="auto"/>
        <w:rPr>
          <w:rFonts w:asciiTheme="majorHAnsi" w:eastAsia="Times New Roman" w:hAnsiTheme="majorHAnsi" w:cstheme="majorHAnsi"/>
          <w:strike/>
          <w:color w:val="EE0000"/>
          <w:sz w:val="24"/>
          <w:szCs w:val="24"/>
        </w:rPr>
      </w:pPr>
      <w:r w:rsidRPr="00BE7B8D">
        <w:rPr>
          <w:rFonts w:asciiTheme="majorHAnsi" w:eastAsia="Times New Roman" w:hAnsiTheme="majorHAnsi" w:cstheme="majorHAnsi"/>
          <w:strike/>
          <w:color w:val="EE0000"/>
          <w:sz w:val="24"/>
          <w:szCs w:val="24"/>
        </w:rPr>
        <w:t xml:space="preserve">Objectives, success measures, and a communication plan are developed, and senior leadership formally launches the programme to demonstrate commitment. </w:t>
      </w:r>
    </w:p>
    <w:p w14:paraId="55B62085" w14:textId="0CB74F7C" w:rsidR="00AE3D06" w:rsidRPr="00BE7B8D" w:rsidRDefault="00AE3D06" w:rsidP="00843063">
      <w:pPr>
        <w:autoSpaceDE w:val="0"/>
        <w:autoSpaceDN w:val="0"/>
        <w:adjustRightInd w:val="0"/>
        <w:spacing w:after="120" w:line="276" w:lineRule="auto"/>
        <w:rPr>
          <w:rFonts w:asciiTheme="majorHAnsi" w:eastAsia="Times New Roman" w:hAnsiTheme="majorHAnsi" w:cstheme="majorHAnsi"/>
          <w:strike/>
          <w:color w:val="EE0000"/>
          <w:sz w:val="24"/>
          <w:szCs w:val="24"/>
        </w:rPr>
      </w:pPr>
      <w:r w:rsidRPr="00BE7B8D">
        <w:rPr>
          <w:rFonts w:asciiTheme="majorHAnsi" w:eastAsia="Times New Roman" w:hAnsiTheme="majorHAnsi" w:cstheme="majorHAnsi"/>
          <w:strike/>
          <w:color w:val="EE0000"/>
          <w:sz w:val="24"/>
          <w:szCs w:val="24"/>
        </w:rPr>
        <w:t xml:space="preserve">The next phase focuses on developing line manager capability through targeted training across the three sites, including stress recognition, wellbeing conversations, and </w:t>
      </w:r>
      <w:r w:rsidRPr="00BE7B8D">
        <w:rPr>
          <w:rFonts w:asciiTheme="majorHAnsi" w:eastAsia="Times New Roman" w:hAnsiTheme="majorHAnsi" w:cstheme="majorHAnsi"/>
          <w:strike/>
          <w:color w:val="EE0000"/>
          <w:sz w:val="24"/>
          <w:szCs w:val="24"/>
        </w:rPr>
        <w:lastRenderedPageBreak/>
        <w:t xml:space="preserve">understanding absence management policies. Managers receive guidance on signposting employees to appropriate support such as the Employee Assistance Programme. Monthly wellbeing check-ins during one-to-one meetings normalise discussions and allow early intervention. The manager wellbeing toolkit ensures consistency, and wellbeing champions at each site reinforce participation. </w:t>
      </w:r>
    </w:p>
    <w:p w14:paraId="5FD7EE09" w14:textId="77777777" w:rsidR="00AE3D06" w:rsidRPr="00BE7B8D" w:rsidRDefault="00AE3D06" w:rsidP="00843063">
      <w:pPr>
        <w:autoSpaceDE w:val="0"/>
        <w:autoSpaceDN w:val="0"/>
        <w:adjustRightInd w:val="0"/>
        <w:spacing w:after="120" w:line="276" w:lineRule="auto"/>
        <w:rPr>
          <w:rFonts w:asciiTheme="majorHAnsi" w:eastAsia="Times New Roman" w:hAnsiTheme="majorHAnsi" w:cstheme="majorHAnsi"/>
          <w:strike/>
          <w:color w:val="EE0000"/>
          <w:sz w:val="24"/>
          <w:szCs w:val="24"/>
        </w:rPr>
      </w:pPr>
      <w:r w:rsidRPr="00BE7B8D">
        <w:rPr>
          <w:rFonts w:asciiTheme="majorHAnsi" w:eastAsia="Times New Roman" w:hAnsiTheme="majorHAnsi" w:cstheme="majorHAnsi"/>
          <w:strike/>
          <w:color w:val="EE0000"/>
          <w:sz w:val="24"/>
          <w:szCs w:val="24"/>
        </w:rPr>
        <w:t xml:space="preserve">The final phase focuses on monitoring outcomes through absence rates, engagement scores, EAP usage, and turnover, using quarterly pulse surveys and feedback sessions to refine the programme. </w:t>
      </w:r>
    </w:p>
    <w:p w14:paraId="41430F22" w14:textId="6F71124C" w:rsidR="004B33B0" w:rsidRPr="00BE7B8D" w:rsidRDefault="00AE3D06" w:rsidP="00843063">
      <w:pPr>
        <w:autoSpaceDE w:val="0"/>
        <w:autoSpaceDN w:val="0"/>
        <w:adjustRightInd w:val="0"/>
        <w:spacing w:after="120" w:line="276" w:lineRule="auto"/>
        <w:rPr>
          <w:rFonts w:asciiTheme="majorHAnsi" w:hAnsiTheme="majorHAnsi" w:cstheme="majorHAnsi"/>
          <w:strike/>
          <w:color w:val="EE0000"/>
          <w:sz w:val="24"/>
          <w:szCs w:val="24"/>
          <w:lang w:val="en" w:eastAsia="en-US"/>
        </w:rPr>
      </w:pPr>
      <w:r w:rsidRPr="00BE7B8D">
        <w:rPr>
          <w:rFonts w:asciiTheme="majorHAnsi" w:eastAsia="Times New Roman" w:hAnsiTheme="majorHAnsi" w:cstheme="majorHAnsi"/>
          <w:strike/>
          <w:color w:val="EE0000"/>
          <w:sz w:val="24"/>
          <w:szCs w:val="24"/>
        </w:rPr>
        <w:t>Critically, risks include manager resistance due to workload, requiring ongoing leadership reinforcement.</w:t>
      </w:r>
      <w:r w:rsidRPr="00BE7B8D">
        <w:rPr>
          <w:rFonts w:asciiTheme="majorHAnsi" w:eastAsia="Times New Roman" w:hAnsiTheme="majorHAnsi" w:cstheme="majorHAnsi"/>
          <w:strike/>
          <w:color w:val="EE0000"/>
          <w:sz w:val="24"/>
          <w:szCs w:val="24"/>
        </w:rPr>
        <w:br/>
      </w:r>
    </w:p>
    <w:p w14:paraId="1FFEB164" w14:textId="74E47879" w:rsidR="00843063" w:rsidRDefault="004B33B0" w:rsidP="00843063">
      <w:pPr>
        <w:autoSpaceDE w:val="0"/>
        <w:autoSpaceDN w:val="0"/>
        <w:adjustRightInd w:val="0"/>
        <w:spacing w:after="120" w:line="276" w:lineRule="auto"/>
        <w:rPr>
          <w:rFonts w:asciiTheme="majorHAnsi" w:hAnsiTheme="majorHAnsi" w:cstheme="majorHAnsi"/>
          <w:color w:val="0070C0"/>
          <w:sz w:val="24"/>
          <w:szCs w:val="24"/>
          <w:lang w:val="en" w:eastAsia="en-US"/>
        </w:rPr>
      </w:pPr>
      <w:r w:rsidRPr="00AE3D06">
        <w:rPr>
          <w:rFonts w:asciiTheme="majorHAnsi" w:hAnsiTheme="majorHAnsi" w:cstheme="majorHAnsi"/>
          <w:color w:val="0070C0"/>
          <w:sz w:val="24"/>
          <w:szCs w:val="24"/>
          <w:lang w:val="en" w:eastAsia="en-US"/>
        </w:rPr>
        <w:t xml:space="preserve">10. </w:t>
      </w:r>
      <w:r w:rsidR="00843063" w:rsidRPr="00AE3D06">
        <w:rPr>
          <w:rFonts w:asciiTheme="majorHAnsi" w:hAnsiTheme="majorHAnsi" w:cstheme="majorHAnsi"/>
          <w:color w:val="0070C0"/>
          <w:sz w:val="24"/>
          <w:szCs w:val="24"/>
          <w:lang w:val="en" w:eastAsia="en-US"/>
        </w:rPr>
        <w:t>Explain how your Insursave Ltd wellbeing programme would be evaluated and monitored. (AC 3.4)</w:t>
      </w:r>
    </w:p>
    <w:p w14:paraId="33D6A93B" w14:textId="647EFB88"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 xml:space="preserve">Evaluating and monitoring the wellbeing </w:t>
      </w:r>
      <w:proofErr w:type="spellStart"/>
      <w:r w:rsidRPr="00A06DF8">
        <w:rPr>
          <w:rFonts w:asciiTheme="majorHAnsi" w:hAnsiTheme="majorHAnsi" w:cstheme="majorHAnsi"/>
          <w:sz w:val="24"/>
          <w:szCs w:val="24"/>
          <w:lang w:val="en" w:eastAsia="en-US"/>
        </w:rPr>
        <w:t>programme</w:t>
      </w:r>
      <w:proofErr w:type="spellEnd"/>
      <w:r w:rsidRPr="00A06DF8">
        <w:rPr>
          <w:rFonts w:asciiTheme="majorHAnsi" w:hAnsiTheme="majorHAnsi" w:cstheme="majorHAnsi"/>
          <w:sz w:val="24"/>
          <w:szCs w:val="24"/>
          <w:lang w:val="en" w:eastAsia="en-US"/>
        </w:rPr>
        <w:t xml:space="preserve"> at </w:t>
      </w:r>
      <w:proofErr w:type="spellStart"/>
      <w:r w:rsidRPr="00A06DF8">
        <w:rPr>
          <w:rFonts w:asciiTheme="majorHAnsi" w:hAnsiTheme="majorHAnsi" w:cstheme="majorHAnsi"/>
          <w:sz w:val="24"/>
          <w:szCs w:val="24"/>
          <w:lang w:val="en" w:eastAsia="en-US"/>
        </w:rPr>
        <w:t>Insursave</w:t>
      </w:r>
      <w:proofErr w:type="spellEnd"/>
      <w:r w:rsidRPr="00A06DF8">
        <w:rPr>
          <w:rFonts w:asciiTheme="majorHAnsi" w:hAnsiTheme="majorHAnsi" w:cstheme="majorHAnsi"/>
          <w:sz w:val="24"/>
          <w:szCs w:val="24"/>
          <w:lang w:val="en" w:eastAsia="en-US"/>
        </w:rPr>
        <w:t xml:space="preserve"> Ltd requires a structured, evidence</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based approach to ensure the intervention</w:t>
      </w:r>
      <w:r>
        <w:rPr>
          <w:rFonts w:asciiTheme="majorHAnsi" w:hAnsiTheme="majorHAnsi" w:cstheme="majorHAnsi"/>
          <w:sz w:val="24"/>
          <w:szCs w:val="24"/>
          <w:lang w:val="en" w:eastAsia="en-US"/>
        </w:rPr>
        <w:t xml:space="preserve">s, </w:t>
      </w:r>
      <w:r w:rsidRPr="00A06DF8">
        <w:rPr>
          <w:rFonts w:asciiTheme="majorHAnsi" w:hAnsiTheme="majorHAnsi" w:cstheme="majorHAnsi"/>
          <w:sz w:val="24"/>
          <w:szCs w:val="24"/>
          <w:lang w:val="en" w:eastAsia="en-US"/>
        </w:rPr>
        <w:t xml:space="preserve">manager wellbeing capability training and the Employee Assistance </w:t>
      </w:r>
      <w:proofErr w:type="spellStart"/>
      <w:r w:rsidRPr="00A06DF8">
        <w:rPr>
          <w:rFonts w:asciiTheme="majorHAnsi" w:hAnsiTheme="majorHAnsi" w:cstheme="majorHAnsi"/>
          <w:sz w:val="24"/>
          <w:szCs w:val="24"/>
          <w:lang w:val="en" w:eastAsia="en-US"/>
        </w:rPr>
        <w:t>Programme</w:t>
      </w:r>
      <w:proofErr w:type="spellEnd"/>
      <w:r w:rsidRPr="00A06DF8">
        <w:rPr>
          <w:rFonts w:asciiTheme="majorHAnsi" w:hAnsiTheme="majorHAnsi" w:cstheme="majorHAnsi"/>
          <w:sz w:val="24"/>
          <w:szCs w:val="24"/>
          <w:lang w:val="en" w:eastAsia="en-US"/>
        </w:rPr>
        <w:t xml:space="preserve"> (EAP)deliver measurable improvements in absence, retention, and employee experience. CIPD (2025) </w:t>
      </w:r>
      <w:proofErr w:type="spellStart"/>
      <w:r w:rsidRPr="00A06DF8">
        <w:rPr>
          <w:rFonts w:asciiTheme="majorHAnsi" w:hAnsiTheme="majorHAnsi" w:cstheme="majorHAnsi"/>
          <w:sz w:val="24"/>
          <w:szCs w:val="24"/>
          <w:lang w:val="en" w:eastAsia="en-US"/>
        </w:rPr>
        <w:t>emphasises</w:t>
      </w:r>
      <w:proofErr w:type="spellEnd"/>
      <w:r w:rsidRPr="00A06DF8">
        <w:rPr>
          <w:rFonts w:asciiTheme="majorHAnsi" w:hAnsiTheme="majorHAnsi" w:cstheme="majorHAnsi"/>
          <w:sz w:val="24"/>
          <w:szCs w:val="24"/>
          <w:lang w:val="en" w:eastAsia="en-US"/>
        </w:rPr>
        <w:t xml:space="preserve"> that wellbeing initiatives must be evaluated using both quantitative and qualitative data to demonstrate impact and support continuous improvement.</w:t>
      </w:r>
    </w:p>
    <w:p w14:paraId="6B133EE2" w14:textId="7041EF4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Evaluation begins with establishing baseline data before implementation. This is essential because it provides a clear</w:t>
      </w:r>
      <w:r>
        <w:rPr>
          <w:rFonts w:asciiTheme="majorHAnsi" w:hAnsiTheme="majorHAnsi" w:cstheme="majorHAnsi"/>
          <w:sz w:val="24"/>
          <w:szCs w:val="24"/>
          <w:lang w:val="en" w:eastAsia="en-US"/>
        </w:rPr>
        <w:t xml:space="preserve"> </w:t>
      </w:r>
      <w:r w:rsidRPr="00A06DF8">
        <w:rPr>
          <w:rFonts w:asciiTheme="majorHAnsi" w:hAnsiTheme="majorHAnsi" w:cstheme="majorHAnsi"/>
          <w:sz w:val="24"/>
          <w:szCs w:val="24"/>
          <w:lang w:val="en" w:eastAsia="en-US"/>
        </w:rPr>
        <w:t>before</w:t>
      </w:r>
      <w:r>
        <w:rPr>
          <w:rFonts w:asciiTheme="majorHAnsi" w:hAnsiTheme="majorHAnsi" w:cstheme="majorHAnsi"/>
          <w:sz w:val="24"/>
          <w:szCs w:val="24"/>
          <w:lang w:val="en" w:eastAsia="en-US"/>
        </w:rPr>
        <w:t xml:space="preserve"> </w:t>
      </w:r>
      <w:r w:rsidRPr="00A06DF8">
        <w:rPr>
          <w:rFonts w:asciiTheme="majorHAnsi" w:hAnsiTheme="majorHAnsi" w:cstheme="majorHAnsi"/>
          <w:sz w:val="24"/>
          <w:szCs w:val="24"/>
          <w:lang w:val="en" w:eastAsia="en-US"/>
        </w:rPr>
        <w:t xml:space="preserve">picture against which progress can be measured. CIPD (2023) highlights that baseline metrics allow </w:t>
      </w:r>
      <w:proofErr w:type="spellStart"/>
      <w:r w:rsidRPr="00A06DF8">
        <w:rPr>
          <w:rFonts w:asciiTheme="majorHAnsi" w:hAnsiTheme="majorHAnsi" w:cstheme="majorHAnsi"/>
          <w:sz w:val="24"/>
          <w:szCs w:val="24"/>
          <w:lang w:val="en" w:eastAsia="en-US"/>
        </w:rPr>
        <w:t>organisations</w:t>
      </w:r>
      <w:proofErr w:type="spellEnd"/>
      <w:r w:rsidRPr="00A06DF8">
        <w:rPr>
          <w:rFonts w:asciiTheme="majorHAnsi" w:hAnsiTheme="majorHAnsi" w:cstheme="majorHAnsi"/>
          <w:sz w:val="24"/>
          <w:szCs w:val="24"/>
          <w:lang w:val="en" w:eastAsia="en-US"/>
        </w:rPr>
        <w:t xml:space="preserve"> to demonstrate return on investment and identify where interventions are most needed. For </w:t>
      </w:r>
      <w:proofErr w:type="spellStart"/>
      <w:r w:rsidRPr="00A06DF8">
        <w:rPr>
          <w:rFonts w:asciiTheme="majorHAnsi" w:hAnsiTheme="majorHAnsi" w:cstheme="majorHAnsi"/>
          <w:sz w:val="24"/>
          <w:szCs w:val="24"/>
          <w:lang w:val="en" w:eastAsia="en-US"/>
        </w:rPr>
        <w:t>Insursave</w:t>
      </w:r>
      <w:proofErr w:type="spellEnd"/>
      <w:r w:rsidRPr="00A06DF8">
        <w:rPr>
          <w:rFonts w:asciiTheme="majorHAnsi" w:hAnsiTheme="majorHAnsi" w:cstheme="majorHAnsi"/>
          <w:sz w:val="24"/>
          <w:szCs w:val="24"/>
          <w:lang w:val="en" w:eastAsia="en-US"/>
        </w:rPr>
        <w:t>, baseline measures would include:</w:t>
      </w:r>
    </w:p>
    <w:p w14:paraId="78879AFE"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Mental</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health</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related absence rates (currently 21%)</w:t>
      </w:r>
    </w:p>
    <w:p w14:paraId="37A8A34F"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Minor illness and colds/flu absence (29% and 22%)</w:t>
      </w:r>
    </w:p>
    <w:p w14:paraId="6EB90223"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Turnover and retention rates, especially among early</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career call handlers</w:t>
      </w:r>
    </w:p>
    <w:p w14:paraId="288D8EE2"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Engagement survey scores relating to workload, manager support, and wellbeing</w:t>
      </w:r>
    </w:p>
    <w:p w14:paraId="32542A7F" w14:textId="2C856C35"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EAP usage (once implemented)</w:t>
      </w:r>
    </w:p>
    <w:p w14:paraId="2B220393"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Manager confidence levels in supporting wellbeing</w:t>
      </w:r>
    </w:p>
    <w:p w14:paraId="5AD6D6E9"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 xml:space="preserve">These metrics ensure the </w:t>
      </w:r>
      <w:proofErr w:type="spellStart"/>
      <w:r w:rsidRPr="00A06DF8">
        <w:rPr>
          <w:rFonts w:asciiTheme="majorHAnsi" w:hAnsiTheme="majorHAnsi" w:cstheme="majorHAnsi"/>
          <w:sz w:val="24"/>
          <w:szCs w:val="24"/>
          <w:lang w:val="en" w:eastAsia="en-US"/>
        </w:rPr>
        <w:t>programme</w:t>
      </w:r>
      <w:proofErr w:type="spellEnd"/>
      <w:r w:rsidRPr="00A06DF8">
        <w:rPr>
          <w:rFonts w:asciiTheme="majorHAnsi" w:hAnsiTheme="majorHAnsi" w:cstheme="majorHAnsi"/>
          <w:sz w:val="24"/>
          <w:szCs w:val="24"/>
          <w:lang w:val="en" w:eastAsia="en-US"/>
        </w:rPr>
        <w:t xml:space="preserve"> is evaluated against </w:t>
      </w:r>
      <w:proofErr w:type="spellStart"/>
      <w:r w:rsidRPr="00A06DF8">
        <w:rPr>
          <w:rFonts w:asciiTheme="majorHAnsi" w:hAnsiTheme="majorHAnsi" w:cstheme="majorHAnsi"/>
          <w:sz w:val="24"/>
          <w:szCs w:val="24"/>
          <w:lang w:val="en" w:eastAsia="en-US"/>
        </w:rPr>
        <w:t>Insursave’s</w:t>
      </w:r>
      <w:proofErr w:type="spellEnd"/>
      <w:r w:rsidRPr="00A06DF8">
        <w:rPr>
          <w:rFonts w:asciiTheme="majorHAnsi" w:hAnsiTheme="majorHAnsi" w:cstheme="majorHAnsi"/>
          <w:sz w:val="24"/>
          <w:szCs w:val="24"/>
          <w:lang w:val="en" w:eastAsia="en-US"/>
        </w:rPr>
        <w:t xml:space="preserve"> specific challenges: high job demands, young workforce, and inconsistent managerial capability.</w:t>
      </w:r>
    </w:p>
    <w:p w14:paraId="4EAD40A4"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Quantitative data will be collected monthly and quarterly to track trends across all four sites. Key measures include:</w:t>
      </w:r>
    </w:p>
    <w:p w14:paraId="6795B13D"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p>
    <w:p w14:paraId="74BD4CF2"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lastRenderedPageBreak/>
        <w:t>Absence rates, with a target of reducing mental</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health</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related absence by 10% within 12 months</w:t>
      </w:r>
    </w:p>
    <w:p w14:paraId="66FA3107"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Turnover and retention, particularly within the first two years of service</w:t>
      </w:r>
    </w:p>
    <w:p w14:paraId="2461694B"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 xml:space="preserve">EAP </w:t>
      </w:r>
      <w:proofErr w:type="spellStart"/>
      <w:r w:rsidRPr="00A06DF8">
        <w:rPr>
          <w:rFonts w:asciiTheme="majorHAnsi" w:hAnsiTheme="majorHAnsi" w:cstheme="majorHAnsi"/>
          <w:sz w:val="24"/>
          <w:szCs w:val="24"/>
          <w:lang w:val="en" w:eastAsia="en-US"/>
        </w:rPr>
        <w:t>utilisation</w:t>
      </w:r>
      <w:proofErr w:type="spellEnd"/>
      <w:r w:rsidRPr="00A06DF8">
        <w:rPr>
          <w:rFonts w:asciiTheme="majorHAnsi" w:hAnsiTheme="majorHAnsi" w:cstheme="majorHAnsi"/>
          <w:sz w:val="24"/>
          <w:szCs w:val="24"/>
          <w:lang w:val="en" w:eastAsia="en-US"/>
        </w:rPr>
        <w:t>, which indicates employee confidence in accessing support</w:t>
      </w:r>
    </w:p>
    <w:p w14:paraId="565ADF43"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Training completion rates and manager attendance</w:t>
      </w:r>
    </w:p>
    <w:p w14:paraId="1CCE462C"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CIPD (2025) notes that increased EAP usage often correlates with improved early intervention and reduced long</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term absence.</w:t>
      </w:r>
    </w:p>
    <w:p w14:paraId="197ED67E"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 xml:space="preserve">Qualitative data provides insight into how employees and managers experience the </w:t>
      </w:r>
      <w:proofErr w:type="spellStart"/>
      <w:r w:rsidRPr="00A06DF8">
        <w:rPr>
          <w:rFonts w:asciiTheme="majorHAnsi" w:hAnsiTheme="majorHAnsi" w:cstheme="majorHAnsi"/>
          <w:sz w:val="24"/>
          <w:szCs w:val="24"/>
          <w:lang w:val="en" w:eastAsia="en-US"/>
        </w:rPr>
        <w:t>programme</w:t>
      </w:r>
      <w:proofErr w:type="spellEnd"/>
      <w:r w:rsidRPr="00A06DF8">
        <w:rPr>
          <w:rFonts w:asciiTheme="majorHAnsi" w:hAnsiTheme="majorHAnsi" w:cstheme="majorHAnsi"/>
          <w:sz w:val="24"/>
          <w:szCs w:val="24"/>
          <w:lang w:val="en" w:eastAsia="en-US"/>
        </w:rPr>
        <w:t>. This includes:</w:t>
      </w:r>
    </w:p>
    <w:p w14:paraId="7B43ED42"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Quarterly pulse surveys assessing perceptions of manager support, workload, and wellbeing</w:t>
      </w:r>
    </w:p>
    <w:p w14:paraId="1AAFD245"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Focus groups with call handlers and managers to explore barriers and successes</w:t>
      </w:r>
    </w:p>
    <w:p w14:paraId="4F4E5BF1"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 xml:space="preserve">Manager feedback on the usefulness of toolkits, </w:t>
      </w:r>
      <w:proofErr w:type="gramStart"/>
      <w:r w:rsidRPr="00A06DF8">
        <w:rPr>
          <w:rFonts w:asciiTheme="majorHAnsi" w:hAnsiTheme="majorHAnsi" w:cstheme="majorHAnsi"/>
          <w:sz w:val="24"/>
          <w:szCs w:val="24"/>
          <w:lang w:val="en" w:eastAsia="en-US"/>
        </w:rPr>
        <w:t>wellbeing</w:t>
      </w:r>
      <w:proofErr w:type="gramEnd"/>
      <w:r w:rsidRPr="00A06DF8">
        <w:rPr>
          <w:rFonts w:asciiTheme="majorHAnsi" w:hAnsiTheme="majorHAnsi" w:cstheme="majorHAnsi"/>
          <w:sz w:val="24"/>
          <w:szCs w:val="24"/>
          <w:lang w:val="en" w:eastAsia="en-US"/>
        </w:rPr>
        <w:t xml:space="preserve"> conversations, and training content</w:t>
      </w:r>
    </w:p>
    <w:p w14:paraId="4440F09F"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Wellbeing champion reports from each site</w:t>
      </w:r>
    </w:p>
    <w:p w14:paraId="7EA50D65" w14:textId="56D8ABD9"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This mixed</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method approach aligns with CIPD</w:t>
      </w:r>
      <w:r w:rsidRPr="00A06DF8">
        <w:rPr>
          <w:rFonts w:ascii="Calibri Light" w:hAnsi="Calibri Light" w:cs="Calibri Light"/>
          <w:sz w:val="24"/>
          <w:szCs w:val="24"/>
          <w:lang w:val="en" w:eastAsia="en-US"/>
        </w:rPr>
        <w:t>’</w:t>
      </w:r>
      <w:r w:rsidRPr="00A06DF8">
        <w:rPr>
          <w:rFonts w:asciiTheme="majorHAnsi" w:hAnsiTheme="majorHAnsi" w:cstheme="majorHAnsi"/>
          <w:sz w:val="24"/>
          <w:szCs w:val="24"/>
          <w:lang w:val="en" w:eastAsia="en-US"/>
        </w:rPr>
        <w:t>s evidence</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 xml:space="preserve">based HR model, </w:t>
      </w:r>
      <w:r>
        <w:rPr>
          <w:rFonts w:asciiTheme="majorHAnsi" w:hAnsiTheme="majorHAnsi" w:cstheme="majorHAnsi"/>
          <w:sz w:val="24"/>
          <w:szCs w:val="24"/>
          <w:lang w:val="en" w:eastAsia="en-US"/>
        </w:rPr>
        <w:t>(CIPD, 2025) w</w:t>
      </w:r>
      <w:r w:rsidRPr="00A06DF8">
        <w:rPr>
          <w:rFonts w:asciiTheme="majorHAnsi" w:hAnsiTheme="majorHAnsi" w:cstheme="majorHAnsi"/>
          <w:sz w:val="24"/>
          <w:szCs w:val="24"/>
          <w:lang w:val="en" w:eastAsia="en-US"/>
        </w:rPr>
        <w:t>hich recommends combining data sources to understand both outcomes and lived experience.</w:t>
      </w:r>
    </w:p>
    <w:p w14:paraId="5237D579"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 xml:space="preserve">Because manager capability is central to the </w:t>
      </w:r>
      <w:proofErr w:type="spellStart"/>
      <w:r w:rsidRPr="00A06DF8">
        <w:rPr>
          <w:rFonts w:asciiTheme="majorHAnsi" w:hAnsiTheme="majorHAnsi" w:cstheme="majorHAnsi"/>
          <w:sz w:val="24"/>
          <w:szCs w:val="24"/>
          <w:lang w:val="en" w:eastAsia="en-US"/>
        </w:rPr>
        <w:t>programme</w:t>
      </w:r>
      <w:proofErr w:type="spellEnd"/>
      <w:r w:rsidRPr="00A06DF8">
        <w:rPr>
          <w:rFonts w:asciiTheme="majorHAnsi" w:hAnsiTheme="majorHAnsi" w:cstheme="majorHAnsi"/>
          <w:sz w:val="24"/>
          <w:szCs w:val="24"/>
          <w:lang w:val="en" w:eastAsia="en-US"/>
        </w:rPr>
        <w:t>, evaluation will include:</w:t>
      </w:r>
    </w:p>
    <w:p w14:paraId="41DC77BA"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Pre</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 xml:space="preserve"> and post</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training confidence assessments</w:t>
      </w:r>
    </w:p>
    <w:p w14:paraId="475DB14D"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Observation of wellbeing conversations during one</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to</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ones</w:t>
      </w:r>
    </w:p>
    <w:p w14:paraId="526D4A76"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Monitoring consistency across sites to ensure standards are met</w:t>
      </w:r>
    </w:p>
    <w:p w14:paraId="1C6761D7" w14:textId="77777777"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If a pilot site is used, results will be compared with non</w:t>
      </w:r>
      <w:r w:rsidRPr="00A06DF8">
        <w:rPr>
          <w:rFonts w:ascii="Cambria Math" w:hAnsi="Cambria Math" w:cs="Cambria Math"/>
          <w:sz w:val="24"/>
          <w:szCs w:val="24"/>
          <w:lang w:val="en" w:eastAsia="en-US"/>
        </w:rPr>
        <w:t>‑</w:t>
      </w:r>
      <w:r w:rsidRPr="00A06DF8">
        <w:rPr>
          <w:rFonts w:asciiTheme="majorHAnsi" w:hAnsiTheme="majorHAnsi" w:cstheme="majorHAnsi"/>
          <w:sz w:val="24"/>
          <w:szCs w:val="24"/>
          <w:lang w:val="en" w:eastAsia="en-US"/>
        </w:rPr>
        <w:t>pilot sites to determine scalability.</w:t>
      </w:r>
    </w:p>
    <w:p w14:paraId="44F8D878" w14:textId="11BFB476" w:rsidR="00A06DF8" w:rsidRPr="00A06DF8" w:rsidRDefault="00A06DF8" w:rsidP="00A06DF8">
      <w:pPr>
        <w:autoSpaceDE w:val="0"/>
        <w:autoSpaceDN w:val="0"/>
        <w:adjustRightInd w:val="0"/>
        <w:spacing w:after="120" w:line="276" w:lineRule="auto"/>
        <w:rPr>
          <w:rFonts w:asciiTheme="majorHAnsi" w:hAnsiTheme="majorHAnsi" w:cstheme="majorHAnsi"/>
          <w:sz w:val="24"/>
          <w:szCs w:val="24"/>
          <w:lang w:val="en" w:eastAsia="en-US"/>
        </w:rPr>
      </w:pPr>
      <w:r w:rsidRPr="00A06DF8">
        <w:rPr>
          <w:rFonts w:asciiTheme="majorHAnsi" w:hAnsiTheme="majorHAnsi" w:cstheme="majorHAnsi"/>
          <w:sz w:val="24"/>
          <w:szCs w:val="24"/>
          <w:lang w:val="en" w:eastAsia="en-US"/>
        </w:rPr>
        <w:t xml:space="preserve">Findings will be reviewed quarterly by HR and the Senior Leadership Team. </w:t>
      </w:r>
      <w:proofErr w:type="gramStart"/>
      <w:r w:rsidRPr="00A06DF8">
        <w:rPr>
          <w:rFonts w:asciiTheme="majorHAnsi" w:hAnsiTheme="majorHAnsi" w:cstheme="majorHAnsi"/>
          <w:sz w:val="24"/>
          <w:szCs w:val="24"/>
          <w:lang w:val="en" w:eastAsia="en-US"/>
        </w:rPr>
        <w:t>Adjustment</w:t>
      </w:r>
      <w:proofErr w:type="gramEnd"/>
      <w:r>
        <w:rPr>
          <w:rFonts w:asciiTheme="majorHAnsi" w:hAnsiTheme="majorHAnsi" w:cstheme="majorHAnsi"/>
          <w:sz w:val="24"/>
          <w:szCs w:val="24"/>
          <w:lang w:val="en" w:eastAsia="en-US"/>
        </w:rPr>
        <w:t xml:space="preserve"> </w:t>
      </w:r>
      <w:r w:rsidRPr="00A06DF8">
        <w:rPr>
          <w:rFonts w:asciiTheme="majorHAnsi" w:hAnsiTheme="majorHAnsi" w:cstheme="majorHAnsi"/>
          <w:sz w:val="24"/>
          <w:szCs w:val="24"/>
          <w:lang w:val="en" w:eastAsia="en-US"/>
        </w:rPr>
        <w:t>such as refresher training, additional EAP promotion, or workload intervention</w:t>
      </w:r>
      <w:r>
        <w:rPr>
          <w:rFonts w:asciiTheme="majorHAnsi" w:hAnsiTheme="majorHAnsi" w:cstheme="majorHAnsi"/>
          <w:sz w:val="24"/>
          <w:szCs w:val="24"/>
          <w:lang w:val="en" w:eastAsia="en-US"/>
        </w:rPr>
        <w:t xml:space="preserve">s </w:t>
      </w:r>
      <w:r w:rsidRPr="00A06DF8">
        <w:rPr>
          <w:rFonts w:asciiTheme="majorHAnsi" w:hAnsiTheme="majorHAnsi" w:cstheme="majorHAnsi"/>
          <w:sz w:val="24"/>
          <w:szCs w:val="24"/>
          <w:lang w:val="en" w:eastAsia="en-US"/>
        </w:rPr>
        <w:t xml:space="preserve">will be made based on data trends. Annual reports will </w:t>
      </w:r>
      <w:proofErr w:type="spellStart"/>
      <w:r w:rsidRPr="00A06DF8">
        <w:rPr>
          <w:rFonts w:asciiTheme="majorHAnsi" w:hAnsiTheme="majorHAnsi" w:cstheme="majorHAnsi"/>
          <w:sz w:val="24"/>
          <w:szCs w:val="24"/>
          <w:lang w:val="en" w:eastAsia="en-US"/>
        </w:rPr>
        <w:t>summarise</w:t>
      </w:r>
      <w:proofErr w:type="spellEnd"/>
      <w:r w:rsidRPr="00A06DF8">
        <w:rPr>
          <w:rFonts w:asciiTheme="majorHAnsi" w:hAnsiTheme="majorHAnsi" w:cstheme="majorHAnsi"/>
          <w:sz w:val="24"/>
          <w:szCs w:val="24"/>
          <w:lang w:val="en" w:eastAsia="en-US"/>
        </w:rPr>
        <w:t xml:space="preserve"> progress, R</w:t>
      </w:r>
      <w:r>
        <w:rPr>
          <w:rFonts w:asciiTheme="majorHAnsi" w:hAnsiTheme="majorHAnsi" w:cstheme="majorHAnsi"/>
          <w:sz w:val="24"/>
          <w:szCs w:val="24"/>
          <w:lang w:val="en" w:eastAsia="en-US"/>
        </w:rPr>
        <w:t>eturn on Investment</w:t>
      </w:r>
      <w:r w:rsidRPr="00A06DF8">
        <w:rPr>
          <w:rFonts w:asciiTheme="majorHAnsi" w:hAnsiTheme="majorHAnsi" w:cstheme="majorHAnsi"/>
          <w:sz w:val="24"/>
          <w:szCs w:val="24"/>
          <w:lang w:val="en" w:eastAsia="en-US"/>
        </w:rPr>
        <w:t>, and recommendations.</w:t>
      </w:r>
    </w:p>
    <w:p w14:paraId="49F9D299" w14:textId="77777777" w:rsidR="00AE3D06" w:rsidRPr="00A06DF8" w:rsidRDefault="00AE3D06" w:rsidP="00AE3D06">
      <w:pPr>
        <w:rPr>
          <w:rFonts w:asciiTheme="majorHAnsi" w:eastAsia="Times New Roman" w:hAnsiTheme="majorHAnsi" w:cstheme="majorHAnsi"/>
          <w:strike/>
          <w:color w:val="EE0000"/>
          <w:sz w:val="24"/>
          <w:szCs w:val="24"/>
        </w:rPr>
      </w:pPr>
      <w:r w:rsidRPr="00A06DF8">
        <w:rPr>
          <w:rFonts w:asciiTheme="majorHAnsi" w:eastAsia="Times New Roman" w:hAnsiTheme="majorHAnsi" w:cstheme="majorHAnsi"/>
          <w:strike/>
          <w:color w:val="EE0000"/>
          <w:sz w:val="24"/>
          <w:szCs w:val="24"/>
        </w:rPr>
        <w:t xml:space="preserve">Evaluation uses both quantitative and qualitative metrics. Sickness absence, particularly mental health-related absence, is tracked across all sites. </w:t>
      </w:r>
    </w:p>
    <w:p w14:paraId="7CCD0BC3" w14:textId="77777777" w:rsidR="00AE3D06" w:rsidRPr="00A06DF8" w:rsidRDefault="00AE3D06" w:rsidP="00AE3D06">
      <w:pPr>
        <w:rPr>
          <w:rFonts w:asciiTheme="majorHAnsi" w:eastAsia="Times New Roman" w:hAnsiTheme="majorHAnsi" w:cstheme="majorHAnsi"/>
          <w:strike/>
          <w:color w:val="EE0000"/>
          <w:sz w:val="24"/>
          <w:szCs w:val="24"/>
        </w:rPr>
      </w:pPr>
    </w:p>
    <w:p w14:paraId="4ED5A850" w14:textId="77777777" w:rsidR="00AE3D06" w:rsidRPr="00A06DF8" w:rsidRDefault="00AE3D06" w:rsidP="00AE3D06">
      <w:pPr>
        <w:rPr>
          <w:rFonts w:asciiTheme="majorHAnsi" w:eastAsia="Times New Roman" w:hAnsiTheme="majorHAnsi" w:cstheme="majorHAnsi"/>
          <w:strike/>
          <w:color w:val="EE0000"/>
          <w:sz w:val="24"/>
          <w:szCs w:val="24"/>
        </w:rPr>
      </w:pPr>
      <w:r w:rsidRPr="00A06DF8">
        <w:rPr>
          <w:rFonts w:asciiTheme="majorHAnsi" w:eastAsia="Times New Roman" w:hAnsiTheme="majorHAnsi" w:cstheme="majorHAnsi"/>
          <w:strike/>
          <w:color w:val="EE0000"/>
          <w:sz w:val="24"/>
          <w:szCs w:val="24"/>
        </w:rPr>
        <w:t xml:space="preserve">Turnover and retention rates, particularly among early-career staff, are analysed to determine impact on attrition. </w:t>
      </w:r>
    </w:p>
    <w:p w14:paraId="2117CF2F" w14:textId="77777777" w:rsidR="00AE3D06" w:rsidRPr="00A06DF8" w:rsidRDefault="00AE3D06" w:rsidP="00AE3D06">
      <w:pPr>
        <w:rPr>
          <w:rFonts w:asciiTheme="majorHAnsi" w:eastAsia="Times New Roman" w:hAnsiTheme="majorHAnsi" w:cstheme="majorHAnsi"/>
          <w:strike/>
          <w:color w:val="EE0000"/>
          <w:sz w:val="24"/>
          <w:szCs w:val="24"/>
        </w:rPr>
      </w:pPr>
    </w:p>
    <w:p w14:paraId="6084FA34" w14:textId="77777777" w:rsidR="00AE3D06" w:rsidRPr="00A06DF8" w:rsidRDefault="00AE3D06" w:rsidP="00AE3D06">
      <w:pPr>
        <w:rPr>
          <w:rFonts w:asciiTheme="majorHAnsi" w:eastAsia="Times New Roman" w:hAnsiTheme="majorHAnsi" w:cstheme="majorHAnsi"/>
          <w:strike/>
          <w:color w:val="EE0000"/>
          <w:sz w:val="24"/>
          <w:szCs w:val="24"/>
        </w:rPr>
      </w:pPr>
      <w:r w:rsidRPr="00A06DF8">
        <w:rPr>
          <w:rFonts w:asciiTheme="majorHAnsi" w:eastAsia="Times New Roman" w:hAnsiTheme="majorHAnsi" w:cstheme="majorHAnsi"/>
          <w:strike/>
          <w:color w:val="EE0000"/>
          <w:sz w:val="24"/>
          <w:szCs w:val="24"/>
        </w:rPr>
        <w:t xml:space="preserve">Engagement and wellbeing surveys, conducted annually and via quarterly pulse surveys, assess employee perceptions of manager support, workload, and wellbeing provision. </w:t>
      </w:r>
    </w:p>
    <w:p w14:paraId="7E7BE446" w14:textId="77777777" w:rsidR="00AE3D06" w:rsidRPr="00A06DF8" w:rsidRDefault="00AE3D06" w:rsidP="00AE3D06">
      <w:pPr>
        <w:rPr>
          <w:rFonts w:asciiTheme="majorHAnsi" w:eastAsia="Times New Roman" w:hAnsiTheme="majorHAnsi" w:cstheme="majorHAnsi"/>
          <w:strike/>
          <w:color w:val="EE0000"/>
          <w:sz w:val="24"/>
          <w:szCs w:val="24"/>
        </w:rPr>
      </w:pPr>
    </w:p>
    <w:p w14:paraId="4F7FA07F" w14:textId="77777777" w:rsidR="00AE3D06" w:rsidRPr="00A06DF8" w:rsidRDefault="00AE3D06" w:rsidP="00AE3D06">
      <w:pPr>
        <w:rPr>
          <w:rFonts w:asciiTheme="majorHAnsi" w:eastAsia="Times New Roman" w:hAnsiTheme="majorHAnsi" w:cstheme="majorHAnsi"/>
          <w:strike/>
          <w:color w:val="EE0000"/>
          <w:sz w:val="24"/>
          <w:szCs w:val="24"/>
        </w:rPr>
      </w:pPr>
      <w:r w:rsidRPr="00A06DF8">
        <w:rPr>
          <w:rFonts w:asciiTheme="majorHAnsi" w:eastAsia="Times New Roman" w:hAnsiTheme="majorHAnsi" w:cstheme="majorHAnsi"/>
          <w:strike/>
          <w:color w:val="EE0000"/>
          <w:sz w:val="24"/>
          <w:szCs w:val="24"/>
        </w:rPr>
        <w:lastRenderedPageBreak/>
        <w:t xml:space="preserve">EAP usage provides insight into employee confidence in accessing support, while manager feedback and focus groups offer qualitative evaluation of programme effectiveness. </w:t>
      </w:r>
    </w:p>
    <w:p w14:paraId="3878835A" w14:textId="77777777" w:rsidR="00AE3D06" w:rsidRPr="00A06DF8" w:rsidRDefault="00AE3D06" w:rsidP="00AE3D06">
      <w:pPr>
        <w:rPr>
          <w:rFonts w:asciiTheme="majorHAnsi" w:eastAsia="Times New Roman" w:hAnsiTheme="majorHAnsi" w:cstheme="majorHAnsi"/>
          <w:strike/>
          <w:color w:val="EE0000"/>
          <w:sz w:val="24"/>
          <w:szCs w:val="24"/>
        </w:rPr>
      </w:pPr>
    </w:p>
    <w:p w14:paraId="66B00AC1" w14:textId="77777777" w:rsidR="00AE3D06" w:rsidRPr="00A06DF8" w:rsidRDefault="00AE3D06" w:rsidP="00AE3D06">
      <w:pPr>
        <w:rPr>
          <w:rFonts w:asciiTheme="majorHAnsi" w:eastAsia="Times New Roman" w:hAnsiTheme="majorHAnsi" w:cstheme="majorHAnsi"/>
          <w:strike/>
          <w:color w:val="EE0000"/>
          <w:sz w:val="24"/>
          <w:szCs w:val="24"/>
        </w:rPr>
      </w:pPr>
      <w:r w:rsidRPr="00A06DF8">
        <w:rPr>
          <w:rFonts w:asciiTheme="majorHAnsi" w:eastAsia="Times New Roman" w:hAnsiTheme="majorHAnsi" w:cstheme="majorHAnsi"/>
          <w:strike/>
          <w:color w:val="EE0000"/>
          <w:sz w:val="24"/>
          <w:szCs w:val="24"/>
        </w:rPr>
        <w:t xml:space="preserve">Critically, all measures are designed to be SMART, for example aiming to reduce mental health-related absence by 10% within 12 months, ensuring evidence-based monitoring and continuous improvement. </w:t>
      </w:r>
    </w:p>
    <w:p w14:paraId="3B441829" w14:textId="77777777" w:rsidR="00AE3D06" w:rsidRPr="00A06DF8" w:rsidRDefault="00AE3D06" w:rsidP="00AE3D06">
      <w:pPr>
        <w:rPr>
          <w:rFonts w:asciiTheme="majorHAnsi" w:eastAsia="Times New Roman" w:hAnsiTheme="majorHAnsi" w:cstheme="majorHAnsi"/>
          <w:strike/>
          <w:color w:val="EE0000"/>
          <w:sz w:val="24"/>
          <w:szCs w:val="24"/>
        </w:rPr>
      </w:pPr>
    </w:p>
    <w:p w14:paraId="1E778667" w14:textId="0A996F00" w:rsidR="00AE3D06" w:rsidRPr="00A06DF8" w:rsidRDefault="00AE3D06" w:rsidP="00AE3D06">
      <w:pPr>
        <w:rPr>
          <w:rFonts w:asciiTheme="majorHAnsi" w:eastAsia="Times New Roman" w:hAnsiTheme="majorHAnsi" w:cstheme="majorHAnsi"/>
          <w:strike/>
          <w:color w:val="EE0000"/>
          <w:sz w:val="24"/>
          <w:szCs w:val="24"/>
        </w:rPr>
      </w:pPr>
      <w:r w:rsidRPr="00A06DF8">
        <w:rPr>
          <w:rFonts w:asciiTheme="majorHAnsi" w:eastAsia="Times New Roman" w:hAnsiTheme="majorHAnsi" w:cstheme="majorHAnsi"/>
          <w:strike/>
          <w:color w:val="EE0000"/>
          <w:sz w:val="24"/>
          <w:szCs w:val="24"/>
        </w:rPr>
        <w:t>Combining quantitative and qualitative measures provides a comprehensive evaluation framework, aligning with CIPD evidence-based HR practice and ensuring the programme remains responsive to workforce needs.</w:t>
      </w:r>
    </w:p>
    <w:p w14:paraId="5E33F95F" w14:textId="77777777" w:rsidR="003A72A0" w:rsidRPr="00AE3D06" w:rsidRDefault="003A72A0" w:rsidP="00185E6D">
      <w:pPr>
        <w:rPr>
          <w:rFonts w:asciiTheme="majorHAnsi" w:eastAsia="Times New Roman" w:hAnsiTheme="majorHAnsi" w:cstheme="majorHAnsi"/>
          <w:sz w:val="24"/>
          <w:szCs w:val="24"/>
        </w:rPr>
      </w:pPr>
    </w:p>
    <w:p w14:paraId="18934DF2" w14:textId="77777777" w:rsidR="003A72A0" w:rsidRPr="00AE3D06" w:rsidRDefault="003A72A0" w:rsidP="00185E6D">
      <w:pPr>
        <w:rPr>
          <w:rFonts w:asciiTheme="majorHAnsi" w:eastAsia="Times New Roman" w:hAnsiTheme="majorHAnsi" w:cstheme="majorHAnsi"/>
          <w:sz w:val="24"/>
          <w:szCs w:val="24"/>
        </w:rPr>
      </w:pPr>
    </w:p>
    <w:p w14:paraId="3E6665A1" w14:textId="77777777" w:rsidR="003A72A0" w:rsidRPr="00AE3D06" w:rsidRDefault="003A72A0" w:rsidP="00185E6D">
      <w:pPr>
        <w:rPr>
          <w:rFonts w:asciiTheme="majorHAnsi" w:eastAsia="Times New Roman" w:hAnsiTheme="majorHAnsi" w:cstheme="majorHAnsi"/>
          <w:sz w:val="24"/>
          <w:szCs w:val="24"/>
        </w:rPr>
      </w:pPr>
    </w:p>
    <w:p w14:paraId="687A9197" w14:textId="77777777" w:rsidR="003A72A0" w:rsidRPr="00AE3D06" w:rsidRDefault="003A72A0" w:rsidP="00185E6D">
      <w:pPr>
        <w:rPr>
          <w:rFonts w:asciiTheme="majorHAnsi" w:eastAsia="Times New Roman" w:hAnsiTheme="majorHAnsi" w:cstheme="majorHAnsi"/>
          <w:sz w:val="24"/>
          <w:szCs w:val="24"/>
        </w:rPr>
      </w:pPr>
    </w:p>
    <w:p w14:paraId="6FBA65F9" w14:textId="77777777" w:rsidR="003A72A0" w:rsidRPr="00AE3D06" w:rsidRDefault="003A72A0" w:rsidP="00185E6D">
      <w:pPr>
        <w:rPr>
          <w:rFonts w:asciiTheme="majorHAnsi" w:eastAsia="Times New Roman" w:hAnsiTheme="majorHAnsi" w:cstheme="majorHAnsi"/>
          <w:sz w:val="24"/>
          <w:szCs w:val="24"/>
        </w:rPr>
      </w:pPr>
    </w:p>
    <w:p w14:paraId="2097376D" w14:textId="77777777" w:rsidR="003A72A0" w:rsidRPr="00AE3D06" w:rsidRDefault="003A72A0" w:rsidP="00185E6D">
      <w:pPr>
        <w:rPr>
          <w:rFonts w:asciiTheme="majorHAnsi" w:eastAsia="Times New Roman" w:hAnsiTheme="majorHAnsi" w:cstheme="majorHAnsi"/>
          <w:sz w:val="24"/>
          <w:szCs w:val="24"/>
        </w:rPr>
      </w:pPr>
    </w:p>
    <w:p w14:paraId="09BCA241" w14:textId="77777777" w:rsidR="003A72A0" w:rsidRPr="00AE3D06" w:rsidRDefault="003A72A0" w:rsidP="00185E6D">
      <w:pPr>
        <w:rPr>
          <w:rFonts w:asciiTheme="majorHAnsi" w:eastAsia="Times New Roman" w:hAnsiTheme="majorHAnsi" w:cstheme="majorHAnsi"/>
          <w:sz w:val="24"/>
          <w:szCs w:val="24"/>
        </w:rPr>
      </w:pPr>
    </w:p>
    <w:p w14:paraId="105BC461" w14:textId="77777777" w:rsidR="003A72A0" w:rsidRPr="00AE3D06" w:rsidRDefault="003A72A0" w:rsidP="00185E6D">
      <w:pPr>
        <w:rPr>
          <w:rFonts w:asciiTheme="majorHAnsi" w:eastAsia="Times New Roman" w:hAnsiTheme="majorHAnsi" w:cstheme="majorHAnsi"/>
          <w:sz w:val="24"/>
          <w:szCs w:val="24"/>
        </w:rPr>
      </w:pPr>
    </w:p>
    <w:p w14:paraId="55C0EB1B" w14:textId="77777777" w:rsidR="003A72A0" w:rsidRPr="00AE3D06" w:rsidRDefault="003A72A0" w:rsidP="00185E6D">
      <w:pPr>
        <w:rPr>
          <w:rFonts w:asciiTheme="majorHAnsi" w:eastAsia="Times New Roman" w:hAnsiTheme="majorHAnsi" w:cstheme="majorHAnsi"/>
          <w:sz w:val="24"/>
          <w:szCs w:val="24"/>
        </w:rPr>
      </w:pPr>
    </w:p>
    <w:p w14:paraId="08894E21" w14:textId="77777777" w:rsidR="003A72A0" w:rsidRPr="00AE3D06" w:rsidRDefault="003A72A0" w:rsidP="00185E6D">
      <w:pPr>
        <w:rPr>
          <w:rFonts w:asciiTheme="majorHAnsi" w:eastAsia="Times New Roman" w:hAnsiTheme="majorHAnsi" w:cstheme="majorHAnsi"/>
          <w:sz w:val="24"/>
          <w:szCs w:val="24"/>
        </w:rPr>
      </w:pPr>
    </w:p>
    <w:p w14:paraId="52028611" w14:textId="77777777" w:rsidR="003A72A0" w:rsidRPr="00AE3D06" w:rsidRDefault="003A72A0" w:rsidP="00185E6D">
      <w:pPr>
        <w:rPr>
          <w:rFonts w:asciiTheme="majorHAnsi" w:eastAsia="Times New Roman" w:hAnsiTheme="majorHAnsi" w:cstheme="majorHAnsi"/>
          <w:sz w:val="24"/>
          <w:szCs w:val="24"/>
        </w:rPr>
      </w:pPr>
    </w:p>
    <w:p w14:paraId="7616F393" w14:textId="77777777" w:rsidR="003A72A0" w:rsidRPr="00AE3D06" w:rsidRDefault="003A72A0" w:rsidP="00185E6D">
      <w:pPr>
        <w:rPr>
          <w:rFonts w:asciiTheme="majorHAnsi" w:eastAsia="Times New Roman" w:hAnsiTheme="majorHAnsi" w:cstheme="majorHAnsi"/>
          <w:sz w:val="24"/>
          <w:szCs w:val="24"/>
        </w:rPr>
      </w:pPr>
    </w:p>
    <w:p w14:paraId="20F17B05" w14:textId="77777777" w:rsidR="003A72A0" w:rsidRPr="00AE3D06" w:rsidRDefault="003A72A0" w:rsidP="00185E6D">
      <w:pPr>
        <w:rPr>
          <w:rFonts w:asciiTheme="majorHAnsi" w:eastAsia="Times New Roman" w:hAnsiTheme="majorHAnsi" w:cstheme="majorHAnsi"/>
          <w:sz w:val="24"/>
          <w:szCs w:val="24"/>
        </w:rPr>
      </w:pPr>
    </w:p>
    <w:p w14:paraId="5B01EB8F" w14:textId="77777777" w:rsidR="003A72A0" w:rsidRPr="00AE3D06" w:rsidRDefault="003A72A0" w:rsidP="00185E6D">
      <w:pPr>
        <w:rPr>
          <w:rFonts w:asciiTheme="majorHAnsi" w:eastAsia="Times New Roman" w:hAnsiTheme="majorHAnsi" w:cstheme="majorHAnsi"/>
          <w:sz w:val="24"/>
          <w:szCs w:val="24"/>
        </w:rPr>
      </w:pPr>
    </w:p>
    <w:p w14:paraId="44A47CF7" w14:textId="77777777" w:rsidR="003A72A0" w:rsidRPr="00AE3D06" w:rsidRDefault="003A72A0" w:rsidP="00185E6D">
      <w:pPr>
        <w:rPr>
          <w:rFonts w:asciiTheme="majorHAnsi" w:eastAsia="Times New Roman" w:hAnsiTheme="majorHAnsi" w:cstheme="majorHAnsi"/>
          <w:sz w:val="24"/>
          <w:szCs w:val="24"/>
        </w:rPr>
      </w:pPr>
    </w:p>
    <w:p w14:paraId="39F36C67" w14:textId="77777777" w:rsidR="003A72A0" w:rsidRPr="00AE3D06" w:rsidRDefault="003A72A0" w:rsidP="00185E6D">
      <w:pPr>
        <w:rPr>
          <w:rFonts w:asciiTheme="majorHAnsi" w:eastAsia="Times New Roman" w:hAnsiTheme="majorHAnsi" w:cstheme="majorHAnsi"/>
          <w:sz w:val="24"/>
          <w:szCs w:val="24"/>
        </w:rPr>
      </w:pPr>
    </w:p>
    <w:p w14:paraId="73177ABF" w14:textId="77777777" w:rsidR="003A72A0" w:rsidRPr="00AE3D06" w:rsidRDefault="003A72A0" w:rsidP="00185E6D">
      <w:pPr>
        <w:rPr>
          <w:rFonts w:asciiTheme="majorHAnsi" w:eastAsia="Times New Roman" w:hAnsiTheme="majorHAnsi" w:cstheme="majorHAnsi"/>
          <w:sz w:val="24"/>
          <w:szCs w:val="24"/>
        </w:rPr>
      </w:pPr>
    </w:p>
    <w:p w14:paraId="5FF8389E" w14:textId="77777777" w:rsidR="003A72A0" w:rsidRPr="00AE3D06" w:rsidRDefault="003A72A0" w:rsidP="00185E6D">
      <w:pPr>
        <w:rPr>
          <w:rFonts w:asciiTheme="majorHAnsi" w:eastAsia="Times New Roman" w:hAnsiTheme="majorHAnsi" w:cstheme="majorHAnsi"/>
          <w:sz w:val="24"/>
          <w:szCs w:val="24"/>
        </w:rPr>
      </w:pPr>
    </w:p>
    <w:p w14:paraId="48C04064" w14:textId="77777777" w:rsidR="003A72A0" w:rsidRPr="00AE3D06" w:rsidRDefault="003A72A0" w:rsidP="00185E6D">
      <w:pPr>
        <w:rPr>
          <w:rFonts w:asciiTheme="majorHAnsi" w:eastAsia="Times New Roman" w:hAnsiTheme="majorHAnsi" w:cstheme="majorHAnsi"/>
          <w:sz w:val="24"/>
          <w:szCs w:val="24"/>
        </w:rPr>
      </w:pPr>
    </w:p>
    <w:p w14:paraId="6257761D" w14:textId="77777777" w:rsidR="003A72A0" w:rsidRPr="00AE3D06" w:rsidRDefault="003A72A0" w:rsidP="00185E6D">
      <w:pPr>
        <w:rPr>
          <w:rFonts w:asciiTheme="majorHAnsi" w:eastAsia="Times New Roman" w:hAnsiTheme="majorHAnsi" w:cstheme="majorHAnsi"/>
          <w:sz w:val="24"/>
          <w:szCs w:val="24"/>
        </w:rPr>
      </w:pPr>
    </w:p>
    <w:p w14:paraId="5230D1CB" w14:textId="77777777" w:rsidR="003A72A0" w:rsidRPr="00AE3D06" w:rsidRDefault="003A72A0" w:rsidP="00185E6D">
      <w:pPr>
        <w:rPr>
          <w:rFonts w:asciiTheme="majorHAnsi" w:eastAsia="Times New Roman" w:hAnsiTheme="majorHAnsi" w:cstheme="majorHAnsi"/>
          <w:sz w:val="24"/>
          <w:szCs w:val="24"/>
        </w:rPr>
      </w:pPr>
    </w:p>
    <w:p w14:paraId="6A18FAE0" w14:textId="77777777" w:rsidR="003A72A0" w:rsidRPr="00AE3D06" w:rsidRDefault="003A72A0" w:rsidP="00185E6D">
      <w:pPr>
        <w:rPr>
          <w:rFonts w:asciiTheme="majorHAnsi" w:eastAsia="Times New Roman" w:hAnsiTheme="majorHAnsi" w:cstheme="majorHAnsi"/>
          <w:sz w:val="24"/>
          <w:szCs w:val="24"/>
        </w:rPr>
      </w:pPr>
    </w:p>
    <w:p w14:paraId="61FE0BB2" w14:textId="77777777" w:rsidR="003221AE" w:rsidRDefault="003221AE" w:rsidP="00A211C4">
      <w:pPr>
        <w:jc w:val="center"/>
        <w:rPr>
          <w:rFonts w:asciiTheme="majorHAnsi" w:eastAsia="Times New Roman" w:hAnsiTheme="majorHAnsi" w:cstheme="majorHAnsi"/>
          <w:b/>
          <w:bCs/>
          <w:sz w:val="44"/>
          <w:szCs w:val="44"/>
          <w:u w:val="single"/>
        </w:rPr>
      </w:pPr>
    </w:p>
    <w:p w14:paraId="0ACFEDB6" w14:textId="77777777" w:rsidR="003221AE" w:rsidRDefault="003221AE" w:rsidP="00A211C4">
      <w:pPr>
        <w:jc w:val="center"/>
        <w:rPr>
          <w:rFonts w:asciiTheme="majorHAnsi" w:eastAsia="Times New Roman" w:hAnsiTheme="majorHAnsi" w:cstheme="majorHAnsi"/>
          <w:b/>
          <w:bCs/>
          <w:sz w:val="44"/>
          <w:szCs w:val="44"/>
          <w:u w:val="single"/>
        </w:rPr>
      </w:pPr>
    </w:p>
    <w:p w14:paraId="38D66E88" w14:textId="77777777" w:rsidR="003221AE" w:rsidRDefault="003221AE" w:rsidP="00A211C4">
      <w:pPr>
        <w:jc w:val="center"/>
        <w:rPr>
          <w:rFonts w:asciiTheme="majorHAnsi" w:eastAsia="Times New Roman" w:hAnsiTheme="majorHAnsi" w:cstheme="majorHAnsi"/>
          <w:b/>
          <w:bCs/>
          <w:sz w:val="44"/>
          <w:szCs w:val="44"/>
          <w:u w:val="single"/>
        </w:rPr>
      </w:pPr>
    </w:p>
    <w:p w14:paraId="64832651" w14:textId="77777777" w:rsidR="003221AE" w:rsidRDefault="003221AE" w:rsidP="00A211C4">
      <w:pPr>
        <w:jc w:val="center"/>
        <w:rPr>
          <w:rFonts w:asciiTheme="majorHAnsi" w:eastAsia="Times New Roman" w:hAnsiTheme="majorHAnsi" w:cstheme="majorHAnsi"/>
          <w:b/>
          <w:bCs/>
          <w:sz w:val="44"/>
          <w:szCs w:val="44"/>
          <w:u w:val="single"/>
        </w:rPr>
      </w:pPr>
    </w:p>
    <w:p w14:paraId="45E44625" w14:textId="77777777" w:rsidR="003221AE" w:rsidRDefault="003221AE" w:rsidP="00A211C4">
      <w:pPr>
        <w:jc w:val="center"/>
        <w:rPr>
          <w:rFonts w:asciiTheme="majorHAnsi" w:eastAsia="Times New Roman" w:hAnsiTheme="majorHAnsi" w:cstheme="majorHAnsi"/>
          <w:b/>
          <w:bCs/>
          <w:sz w:val="44"/>
          <w:szCs w:val="44"/>
          <w:u w:val="single"/>
        </w:rPr>
      </w:pPr>
    </w:p>
    <w:p w14:paraId="4C76D0CB" w14:textId="77777777" w:rsidR="003221AE" w:rsidRDefault="003221AE" w:rsidP="00A211C4">
      <w:pPr>
        <w:jc w:val="center"/>
        <w:rPr>
          <w:rFonts w:asciiTheme="majorHAnsi" w:eastAsia="Times New Roman" w:hAnsiTheme="majorHAnsi" w:cstheme="majorHAnsi"/>
          <w:b/>
          <w:bCs/>
          <w:sz w:val="44"/>
          <w:szCs w:val="44"/>
          <w:u w:val="single"/>
        </w:rPr>
      </w:pPr>
    </w:p>
    <w:p w14:paraId="5A56C61B" w14:textId="77777777" w:rsidR="003221AE" w:rsidRDefault="003221AE" w:rsidP="00A211C4">
      <w:pPr>
        <w:jc w:val="center"/>
        <w:rPr>
          <w:rFonts w:asciiTheme="majorHAnsi" w:eastAsia="Times New Roman" w:hAnsiTheme="majorHAnsi" w:cstheme="majorHAnsi"/>
          <w:b/>
          <w:bCs/>
          <w:sz w:val="44"/>
          <w:szCs w:val="44"/>
          <w:u w:val="single"/>
        </w:rPr>
      </w:pPr>
    </w:p>
    <w:p w14:paraId="50D80D44" w14:textId="77777777" w:rsidR="007724EE" w:rsidRDefault="007724EE" w:rsidP="007724EE">
      <w:pPr>
        <w:rPr>
          <w:rFonts w:asciiTheme="majorHAnsi" w:eastAsia="Times New Roman" w:hAnsiTheme="majorHAnsi" w:cstheme="majorHAnsi"/>
          <w:b/>
          <w:bCs/>
          <w:sz w:val="44"/>
          <w:szCs w:val="44"/>
          <w:u w:val="single"/>
        </w:rPr>
      </w:pPr>
    </w:p>
    <w:p w14:paraId="3A23625A" w14:textId="127941A5" w:rsidR="003A72A0" w:rsidRPr="00AE3D06" w:rsidRDefault="003A72A0" w:rsidP="007724EE">
      <w:pPr>
        <w:jc w:val="center"/>
        <w:rPr>
          <w:rFonts w:asciiTheme="majorHAnsi" w:eastAsia="Times New Roman" w:hAnsiTheme="majorHAnsi" w:cstheme="majorHAnsi"/>
          <w:b/>
          <w:bCs/>
          <w:sz w:val="44"/>
          <w:szCs w:val="44"/>
          <w:u w:val="single"/>
        </w:rPr>
      </w:pPr>
      <w:r w:rsidRPr="00AE3D06">
        <w:rPr>
          <w:rFonts w:asciiTheme="majorHAnsi" w:eastAsia="Times New Roman" w:hAnsiTheme="majorHAnsi" w:cstheme="majorHAnsi"/>
          <w:b/>
          <w:bCs/>
          <w:sz w:val="44"/>
          <w:szCs w:val="44"/>
          <w:u w:val="single"/>
        </w:rPr>
        <w:lastRenderedPageBreak/>
        <w:t>References</w:t>
      </w:r>
    </w:p>
    <w:p w14:paraId="4525B313" w14:textId="2AA8CB6A" w:rsidR="006819A6" w:rsidRPr="006819A6" w:rsidRDefault="006819A6" w:rsidP="003A72A0">
      <w:pPr>
        <w:rPr>
          <w:rFonts w:asciiTheme="majorHAnsi" w:eastAsia="Times New Roman" w:hAnsiTheme="majorHAnsi" w:cstheme="majorHAnsi"/>
          <w:sz w:val="24"/>
          <w:szCs w:val="24"/>
        </w:rPr>
      </w:pPr>
    </w:p>
    <w:p w14:paraId="71377DA0"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ACAS (2022) </w:t>
      </w:r>
      <w:r w:rsidRPr="006819A6">
        <w:rPr>
          <w:rFonts w:asciiTheme="majorHAnsi" w:eastAsia="Times New Roman" w:hAnsiTheme="majorHAnsi" w:cstheme="majorHAnsi"/>
          <w:i/>
          <w:iCs/>
          <w:sz w:val="24"/>
          <w:szCs w:val="24"/>
        </w:rPr>
        <w:t>Flexible working and work-life balance</w:t>
      </w:r>
      <w:r w:rsidRPr="006819A6">
        <w:rPr>
          <w:rFonts w:asciiTheme="majorHAnsi" w:eastAsia="Times New Roman" w:hAnsiTheme="majorHAnsi" w:cstheme="majorHAnsi"/>
          <w:sz w:val="24"/>
          <w:szCs w:val="24"/>
        </w:rPr>
        <w:t xml:space="preserve">. Available at: </w:t>
      </w:r>
      <w:hyperlink r:id="rId7" w:history="1">
        <w:r w:rsidRPr="006819A6">
          <w:rPr>
            <w:rStyle w:val="Hyperlink"/>
            <w:rFonts w:asciiTheme="majorHAnsi" w:eastAsia="Times New Roman" w:hAnsiTheme="majorHAnsi" w:cstheme="majorHAnsi"/>
            <w:sz w:val="24"/>
            <w:szCs w:val="24"/>
          </w:rPr>
          <w:t>https://www.acas.org.uk/flexible-working</w:t>
        </w:r>
      </w:hyperlink>
      <w:r w:rsidRPr="006819A6">
        <w:rPr>
          <w:rFonts w:asciiTheme="majorHAnsi" w:eastAsia="Times New Roman" w:hAnsiTheme="majorHAnsi" w:cstheme="majorHAnsi"/>
          <w:sz w:val="24"/>
          <w:szCs w:val="24"/>
        </w:rPr>
        <w:t xml:space="preserve"> (Accessed: 28 February 2026).</w:t>
      </w:r>
      <w:r w:rsidRPr="006819A6">
        <w:rPr>
          <w:rFonts w:asciiTheme="majorHAnsi" w:eastAsia="Times New Roman" w:hAnsiTheme="majorHAnsi" w:cstheme="majorHAnsi"/>
          <w:sz w:val="24"/>
          <w:szCs w:val="24"/>
        </w:rPr>
        <w:br/>
      </w:r>
    </w:p>
    <w:p w14:paraId="78DB474D"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Armstrong, M. (2020) </w:t>
      </w:r>
      <w:r w:rsidRPr="006819A6">
        <w:rPr>
          <w:rFonts w:asciiTheme="majorHAnsi" w:eastAsia="Times New Roman" w:hAnsiTheme="majorHAnsi" w:cstheme="majorHAnsi"/>
          <w:i/>
          <w:iCs/>
          <w:sz w:val="24"/>
          <w:szCs w:val="24"/>
        </w:rPr>
        <w:t>Armstrong’s handbook of human resource management practice</w:t>
      </w:r>
      <w:r w:rsidRPr="006819A6">
        <w:rPr>
          <w:rFonts w:asciiTheme="majorHAnsi" w:eastAsia="Times New Roman" w:hAnsiTheme="majorHAnsi" w:cstheme="majorHAnsi"/>
          <w:sz w:val="24"/>
          <w:szCs w:val="24"/>
        </w:rPr>
        <w:t>. 15th edn. Kogan Page.</w:t>
      </w:r>
      <w:r w:rsidRPr="006819A6">
        <w:rPr>
          <w:rFonts w:asciiTheme="majorHAnsi" w:eastAsia="Times New Roman" w:hAnsiTheme="majorHAnsi" w:cstheme="majorHAnsi"/>
          <w:sz w:val="24"/>
          <w:szCs w:val="24"/>
        </w:rPr>
        <w:br/>
      </w:r>
    </w:p>
    <w:p w14:paraId="0F4B4FA2"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Bakker, A.B. and Demerouti, E. (2017) ‘Job demands–resources theory: Taking stock and looking forward’, </w:t>
      </w:r>
      <w:r w:rsidRPr="006819A6">
        <w:rPr>
          <w:rFonts w:asciiTheme="majorHAnsi" w:eastAsia="Times New Roman" w:hAnsiTheme="majorHAnsi" w:cstheme="majorHAnsi"/>
          <w:i/>
          <w:iCs/>
          <w:sz w:val="24"/>
          <w:szCs w:val="24"/>
        </w:rPr>
        <w:t>Journal of Occupational Health Psychology</w:t>
      </w:r>
      <w:r w:rsidRPr="006819A6">
        <w:rPr>
          <w:rFonts w:asciiTheme="majorHAnsi" w:eastAsia="Times New Roman" w:hAnsiTheme="majorHAnsi" w:cstheme="majorHAnsi"/>
          <w:sz w:val="24"/>
          <w:szCs w:val="24"/>
        </w:rPr>
        <w:t xml:space="preserve">, 22(3), pp. 273–285. Available at: </w:t>
      </w:r>
      <w:hyperlink r:id="rId8" w:history="1">
        <w:r w:rsidRPr="006819A6">
          <w:rPr>
            <w:rStyle w:val="Hyperlink"/>
            <w:rFonts w:asciiTheme="majorHAnsi" w:eastAsia="Times New Roman" w:hAnsiTheme="majorHAnsi" w:cstheme="majorHAnsi"/>
            <w:sz w:val="24"/>
            <w:szCs w:val="24"/>
          </w:rPr>
          <w:t>https://doi.org/10.1037/ocp0000056</w:t>
        </w:r>
      </w:hyperlink>
      <w:r w:rsidRPr="006819A6">
        <w:rPr>
          <w:rFonts w:asciiTheme="majorHAnsi" w:eastAsia="Times New Roman" w:hAnsiTheme="majorHAnsi" w:cstheme="majorHAnsi"/>
          <w:sz w:val="24"/>
          <w:szCs w:val="24"/>
        </w:rPr>
        <w:t xml:space="preserve"> (Accessed: 28 February 2026).</w:t>
      </w:r>
      <w:r w:rsidRPr="006819A6">
        <w:rPr>
          <w:rFonts w:asciiTheme="majorHAnsi" w:eastAsia="Times New Roman" w:hAnsiTheme="majorHAnsi" w:cstheme="majorHAnsi"/>
          <w:sz w:val="24"/>
          <w:szCs w:val="24"/>
        </w:rPr>
        <w:br/>
      </w:r>
    </w:p>
    <w:p w14:paraId="573ABAAA"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CIPD (2020) </w:t>
      </w:r>
      <w:r w:rsidRPr="006819A6">
        <w:rPr>
          <w:rFonts w:asciiTheme="majorHAnsi" w:eastAsia="Times New Roman" w:hAnsiTheme="majorHAnsi" w:cstheme="majorHAnsi"/>
          <w:i/>
          <w:iCs/>
          <w:sz w:val="24"/>
          <w:szCs w:val="24"/>
        </w:rPr>
        <w:t>Health and wellbeing at work survey</w:t>
      </w:r>
      <w:r w:rsidRPr="006819A6">
        <w:rPr>
          <w:rFonts w:asciiTheme="majorHAnsi" w:eastAsia="Times New Roman" w:hAnsiTheme="majorHAnsi" w:cstheme="majorHAnsi"/>
          <w:sz w:val="24"/>
          <w:szCs w:val="24"/>
        </w:rPr>
        <w:t xml:space="preserve">. Available at: </w:t>
      </w:r>
      <w:hyperlink r:id="rId9" w:history="1">
        <w:r w:rsidRPr="006819A6">
          <w:rPr>
            <w:rStyle w:val="Hyperlink"/>
            <w:rFonts w:asciiTheme="majorHAnsi" w:eastAsia="Times New Roman" w:hAnsiTheme="majorHAnsi" w:cstheme="majorHAnsi"/>
            <w:sz w:val="24"/>
            <w:szCs w:val="24"/>
          </w:rPr>
          <w:t>https://www.cipd.org/globalassets/media/comms/news/hhinfographic-2020_tcm18-40892.pdf</w:t>
        </w:r>
      </w:hyperlink>
      <w:r w:rsidRPr="006819A6">
        <w:rPr>
          <w:rFonts w:asciiTheme="majorHAnsi" w:eastAsia="Times New Roman" w:hAnsiTheme="majorHAnsi" w:cstheme="majorHAnsi"/>
          <w:sz w:val="24"/>
          <w:szCs w:val="24"/>
        </w:rPr>
        <w:t xml:space="preserve"> (Accessed: 3 March 2026).</w:t>
      </w:r>
      <w:r w:rsidRPr="006819A6">
        <w:rPr>
          <w:rFonts w:asciiTheme="majorHAnsi" w:eastAsia="Times New Roman" w:hAnsiTheme="majorHAnsi" w:cstheme="majorHAnsi"/>
          <w:sz w:val="24"/>
          <w:szCs w:val="24"/>
        </w:rPr>
        <w:br/>
      </w:r>
    </w:p>
    <w:p w14:paraId="0317EA2C"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CIPD (2023) </w:t>
      </w:r>
      <w:r w:rsidRPr="006819A6">
        <w:rPr>
          <w:rFonts w:asciiTheme="majorHAnsi" w:eastAsia="Times New Roman" w:hAnsiTheme="majorHAnsi" w:cstheme="majorHAnsi"/>
          <w:i/>
          <w:iCs/>
          <w:sz w:val="24"/>
          <w:szCs w:val="24"/>
        </w:rPr>
        <w:t>Health and wellbeing at work report</w:t>
      </w:r>
      <w:r w:rsidRPr="006819A6">
        <w:rPr>
          <w:rFonts w:asciiTheme="majorHAnsi" w:eastAsia="Times New Roman" w:hAnsiTheme="majorHAnsi" w:cstheme="majorHAnsi"/>
          <w:sz w:val="24"/>
          <w:szCs w:val="24"/>
        </w:rPr>
        <w:t xml:space="preserve">. Available at: </w:t>
      </w:r>
      <w:hyperlink r:id="rId10" w:history="1">
        <w:r w:rsidRPr="006819A6">
          <w:rPr>
            <w:rStyle w:val="Hyperlink"/>
            <w:rFonts w:asciiTheme="majorHAnsi" w:eastAsia="Times New Roman" w:hAnsiTheme="majorHAnsi" w:cstheme="majorHAnsi"/>
            <w:sz w:val="24"/>
            <w:szCs w:val="24"/>
          </w:rPr>
          <w:t>https://www.cipd.org/globalassets/media/knowledge/knowledge-hub/reports/2023-pdfs/8436-health-and-wellbeing-report-2023.pdf</w:t>
        </w:r>
      </w:hyperlink>
      <w:r w:rsidRPr="006819A6">
        <w:rPr>
          <w:rFonts w:asciiTheme="majorHAnsi" w:eastAsia="Times New Roman" w:hAnsiTheme="majorHAnsi" w:cstheme="majorHAnsi"/>
          <w:sz w:val="24"/>
          <w:szCs w:val="24"/>
        </w:rPr>
        <w:t xml:space="preserve"> (Accessed: 7 March 2026).</w:t>
      </w:r>
    </w:p>
    <w:p w14:paraId="47F5ECBB" w14:textId="77777777" w:rsidR="007724EE" w:rsidRDefault="007724EE" w:rsidP="003A72A0">
      <w:pPr>
        <w:rPr>
          <w:rFonts w:asciiTheme="majorHAnsi" w:eastAsia="Times New Roman" w:hAnsiTheme="majorHAnsi" w:cstheme="majorHAnsi"/>
          <w:sz w:val="24"/>
          <w:szCs w:val="24"/>
        </w:rPr>
      </w:pPr>
    </w:p>
    <w:p w14:paraId="477F485D" w14:textId="28906EC3"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CIPD (2023) </w:t>
      </w:r>
      <w:r w:rsidRPr="006819A6">
        <w:rPr>
          <w:rFonts w:asciiTheme="majorHAnsi" w:eastAsia="Times New Roman" w:hAnsiTheme="majorHAnsi" w:cstheme="majorHAnsi"/>
          <w:i/>
          <w:iCs/>
          <w:sz w:val="24"/>
          <w:szCs w:val="24"/>
        </w:rPr>
        <w:t>Learning at work 2023</w:t>
      </w:r>
      <w:r w:rsidRPr="006819A6">
        <w:rPr>
          <w:rFonts w:asciiTheme="majorHAnsi" w:eastAsia="Times New Roman" w:hAnsiTheme="majorHAnsi" w:cstheme="majorHAnsi"/>
          <w:sz w:val="24"/>
          <w:szCs w:val="24"/>
        </w:rPr>
        <w:t xml:space="preserve">. Available at: </w:t>
      </w:r>
      <w:hyperlink r:id="rId11" w:history="1">
        <w:r w:rsidRPr="006819A6">
          <w:rPr>
            <w:rStyle w:val="Hyperlink"/>
            <w:rFonts w:asciiTheme="majorHAnsi" w:eastAsia="Times New Roman" w:hAnsiTheme="majorHAnsi" w:cstheme="majorHAnsi"/>
            <w:sz w:val="24"/>
            <w:szCs w:val="24"/>
          </w:rPr>
          <w:t>https://www.cipd.org/uk/knowledge/reports/learning-at-work/</w:t>
        </w:r>
      </w:hyperlink>
      <w:r w:rsidRPr="006819A6">
        <w:rPr>
          <w:rFonts w:asciiTheme="majorHAnsi" w:eastAsia="Times New Roman" w:hAnsiTheme="majorHAnsi" w:cstheme="majorHAnsi"/>
          <w:sz w:val="24"/>
          <w:szCs w:val="24"/>
        </w:rPr>
        <w:t xml:space="preserve"> </w:t>
      </w:r>
      <w:r w:rsidRPr="006819A6">
        <w:rPr>
          <w:rFonts w:asciiTheme="majorHAnsi" w:eastAsia="Times New Roman" w:hAnsiTheme="majorHAnsi" w:cstheme="majorHAnsi"/>
          <w:sz w:val="24"/>
          <w:szCs w:val="24"/>
        </w:rPr>
        <w:t>(Accessed: 13 May 2026)</w:t>
      </w:r>
    </w:p>
    <w:p w14:paraId="2DA38A46" w14:textId="77777777" w:rsidR="007724EE" w:rsidRDefault="007724EE" w:rsidP="003A72A0">
      <w:pPr>
        <w:rPr>
          <w:rFonts w:asciiTheme="majorHAnsi" w:eastAsia="Times New Roman" w:hAnsiTheme="majorHAnsi" w:cstheme="majorHAnsi"/>
          <w:sz w:val="24"/>
          <w:szCs w:val="24"/>
        </w:rPr>
      </w:pPr>
    </w:p>
    <w:p w14:paraId="79080255" w14:textId="40879D1F"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CIPD (2025) </w:t>
      </w:r>
      <w:r w:rsidRPr="006819A6">
        <w:rPr>
          <w:rFonts w:asciiTheme="majorHAnsi" w:eastAsia="Times New Roman" w:hAnsiTheme="majorHAnsi" w:cstheme="majorHAnsi"/>
          <w:sz w:val="24"/>
          <w:szCs w:val="24"/>
        </w:rPr>
        <w:t>Evidence-based practice for effective decision-making</w:t>
      </w:r>
      <w:r w:rsidRPr="006819A6">
        <w:rPr>
          <w:rFonts w:asciiTheme="majorHAnsi" w:eastAsia="Times New Roman" w:hAnsiTheme="majorHAnsi" w:cstheme="majorHAnsi"/>
          <w:sz w:val="24"/>
          <w:szCs w:val="24"/>
        </w:rPr>
        <w:t xml:space="preserve">. Available at: </w:t>
      </w:r>
      <w:hyperlink r:id="rId12" w:history="1">
        <w:r w:rsidRPr="006819A6">
          <w:rPr>
            <w:rStyle w:val="Hyperlink"/>
            <w:rFonts w:asciiTheme="majorHAnsi" w:eastAsia="Times New Roman" w:hAnsiTheme="majorHAnsi" w:cstheme="majorHAnsi"/>
            <w:sz w:val="24"/>
            <w:szCs w:val="24"/>
          </w:rPr>
          <w:t>https://www.cipd.org/uk/knowledge/factsheets/evidence-based-practice-factsheet/</w:t>
        </w:r>
      </w:hyperlink>
      <w:r w:rsidRPr="006819A6">
        <w:rPr>
          <w:rFonts w:asciiTheme="majorHAnsi" w:eastAsia="Times New Roman" w:hAnsiTheme="majorHAnsi" w:cstheme="majorHAnsi"/>
          <w:sz w:val="24"/>
          <w:szCs w:val="24"/>
        </w:rPr>
        <w:t xml:space="preserve"> </w:t>
      </w:r>
      <w:r w:rsidRPr="006819A6">
        <w:rPr>
          <w:rFonts w:asciiTheme="majorHAnsi" w:eastAsia="Times New Roman" w:hAnsiTheme="majorHAnsi" w:cstheme="majorHAnsi"/>
          <w:sz w:val="24"/>
          <w:szCs w:val="24"/>
        </w:rPr>
        <w:t>(Accessed: 13 May 2026)</w:t>
      </w:r>
      <w:r w:rsidRPr="006819A6">
        <w:rPr>
          <w:rFonts w:asciiTheme="majorHAnsi" w:eastAsia="Times New Roman" w:hAnsiTheme="majorHAnsi" w:cstheme="majorHAnsi"/>
          <w:sz w:val="24"/>
          <w:szCs w:val="24"/>
        </w:rPr>
        <w:br/>
      </w:r>
    </w:p>
    <w:p w14:paraId="434E72F6" w14:textId="77777777" w:rsidR="006819A6" w:rsidRPr="006819A6" w:rsidRDefault="006819A6" w:rsidP="00D87792">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CIPD (2025) </w:t>
      </w:r>
      <w:r w:rsidRPr="006819A6">
        <w:rPr>
          <w:rFonts w:asciiTheme="majorHAnsi" w:eastAsia="Times New Roman" w:hAnsiTheme="majorHAnsi" w:cstheme="majorHAnsi"/>
          <w:i/>
          <w:iCs/>
          <w:sz w:val="24"/>
          <w:szCs w:val="24"/>
        </w:rPr>
        <w:t>Health and Wellbeing at work survey report</w:t>
      </w:r>
      <w:r w:rsidRPr="006819A6">
        <w:rPr>
          <w:rFonts w:asciiTheme="majorHAnsi" w:eastAsia="Times New Roman" w:hAnsiTheme="majorHAnsi" w:cstheme="majorHAnsi"/>
          <w:sz w:val="24"/>
          <w:szCs w:val="24"/>
        </w:rPr>
        <w:t xml:space="preserve">. Available at: </w:t>
      </w:r>
      <w:hyperlink r:id="rId13" w:history="1">
        <w:r w:rsidRPr="006819A6">
          <w:rPr>
            <w:rStyle w:val="Hyperlink"/>
            <w:rFonts w:asciiTheme="majorHAnsi" w:eastAsia="Times New Roman" w:hAnsiTheme="majorHAnsi" w:cstheme="majorHAnsi"/>
            <w:sz w:val="24"/>
            <w:szCs w:val="24"/>
          </w:rPr>
          <w:t>https://www.cipd.org/globalassets/media/knowledge/knowledge-hub/reports/2025-pdfs/8920-Health-and-wellbeing-report-2025-/</w:t>
        </w:r>
      </w:hyperlink>
      <w:r w:rsidRPr="006819A6">
        <w:rPr>
          <w:rFonts w:asciiTheme="majorHAnsi" w:eastAsia="Times New Roman" w:hAnsiTheme="majorHAnsi" w:cstheme="majorHAnsi"/>
          <w:sz w:val="24"/>
          <w:szCs w:val="24"/>
        </w:rPr>
        <w:t xml:space="preserve"> Accessed: 12 May 2026).</w:t>
      </w:r>
    </w:p>
    <w:p w14:paraId="4A4385E0" w14:textId="77777777" w:rsidR="007724EE" w:rsidRDefault="007724EE" w:rsidP="003A72A0">
      <w:pPr>
        <w:rPr>
          <w:rFonts w:asciiTheme="majorHAnsi" w:eastAsia="Times New Roman" w:hAnsiTheme="majorHAnsi" w:cstheme="majorHAnsi"/>
          <w:sz w:val="24"/>
          <w:szCs w:val="24"/>
        </w:rPr>
      </w:pPr>
    </w:p>
    <w:p w14:paraId="339D196A" w14:textId="57B4B2FD"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CIPD (2025)</w:t>
      </w:r>
      <w:r w:rsidRPr="006819A6">
        <w:t xml:space="preserve"> </w:t>
      </w:r>
      <w:r w:rsidRPr="006819A6">
        <w:rPr>
          <w:rFonts w:asciiTheme="majorHAnsi" w:eastAsia="Times New Roman" w:hAnsiTheme="majorHAnsi" w:cstheme="majorHAnsi"/>
          <w:i/>
          <w:iCs/>
          <w:sz w:val="24"/>
          <w:szCs w:val="24"/>
        </w:rPr>
        <w:t>Learning and development strategy and policy Factsheet</w:t>
      </w:r>
      <w:r w:rsidRPr="006819A6">
        <w:rPr>
          <w:rFonts w:asciiTheme="majorHAnsi" w:eastAsia="Times New Roman" w:hAnsiTheme="majorHAnsi" w:cstheme="majorHAnsi"/>
          <w:sz w:val="24"/>
          <w:szCs w:val="24"/>
        </w:rPr>
        <w:t xml:space="preserve">. Available at: </w:t>
      </w:r>
      <w:hyperlink r:id="rId14" w:history="1">
        <w:r w:rsidRPr="006819A6">
          <w:rPr>
            <w:rStyle w:val="Hyperlink"/>
            <w:rFonts w:asciiTheme="majorHAnsi" w:eastAsia="Times New Roman" w:hAnsiTheme="majorHAnsi" w:cstheme="majorHAnsi"/>
            <w:sz w:val="24"/>
            <w:szCs w:val="24"/>
          </w:rPr>
          <w:t>https://www.cipd.org/uk/knowledge/factsheets/strategy-development-factsheet/</w:t>
        </w:r>
      </w:hyperlink>
      <w:r w:rsidRPr="006819A6">
        <w:rPr>
          <w:rFonts w:asciiTheme="majorHAnsi" w:eastAsia="Times New Roman" w:hAnsiTheme="majorHAnsi" w:cstheme="majorHAnsi"/>
          <w:sz w:val="24"/>
          <w:szCs w:val="24"/>
        </w:rPr>
        <w:t xml:space="preserve"> (Accessed: 22 March 2026).</w:t>
      </w:r>
    </w:p>
    <w:p w14:paraId="439DA96B" w14:textId="77777777" w:rsidR="007724EE" w:rsidRDefault="007724EE" w:rsidP="003A72A0">
      <w:pPr>
        <w:rPr>
          <w:rFonts w:asciiTheme="majorHAnsi" w:eastAsia="Times New Roman" w:hAnsiTheme="majorHAnsi" w:cstheme="majorHAnsi"/>
          <w:sz w:val="24"/>
          <w:szCs w:val="24"/>
        </w:rPr>
      </w:pPr>
    </w:p>
    <w:p w14:paraId="2CE4CD61" w14:textId="1B73C6C8"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CIPD (2025)</w:t>
      </w:r>
      <w:r w:rsidRPr="006819A6">
        <w:t xml:space="preserve"> </w:t>
      </w:r>
      <w:r w:rsidRPr="006819A6">
        <w:rPr>
          <w:rFonts w:asciiTheme="majorHAnsi" w:eastAsia="Times New Roman" w:hAnsiTheme="majorHAnsi" w:cstheme="majorHAnsi"/>
          <w:i/>
          <w:iCs/>
          <w:sz w:val="24"/>
          <w:szCs w:val="24"/>
        </w:rPr>
        <w:t>Reward: An introduction Factsheet</w:t>
      </w:r>
      <w:r w:rsidRPr="006819A6">
        <w:rPr>
          <w:rFonts w:asciiTheme="majorHAnsi" w:eastAsia="Times New Roman" w:hAnsiTheme="majorHAnsi" w:cstheme="majorHAnsi"/>
          <w:sz w:val="24"/>
          <w:szCs w:val="24"/>
        </w:rPr>
        <w:t xml:space="preserve">. Available at: </w:t>
      </w:r>
      <w:hyperlink r:id="rId15" w:history="1">
        <w:r w:rsidRPr="006819A6">
          <w:rPr>
            <w:rStyle w:val="Hyperlink"/>
            <w:rFonts w:asciiTheme="majorHAnsi" w:eastAsia="Times New Roman" w:hAnsiTheme="majorHAnsi" w:cstheme="majorHAnsi"/>
            <w:sz w:val="24"/>
            <w:szCs w:val="24"/>
          </w:rPr>
          <w:t>https://www.cipd.org/uk/knowledge/factsheets/reward-factsheet/</w:t>
        </w:r>
      </w:hyperlink>
      <w:r w:rsidRPr="006819A6">
        <w:rPr>
          <w:rFonts w:asciiTheme="majorHAnsi" w:eastAsia="Times New Roman" w:hAnsiTheme="majorHAnsi" w:cstheme="majorHAnsi"/>
          <w:sz w:val="24"/>
          <w:szCs w:val="24"/>
        </w:rPr>
        <w:t xml:space="preserve"> (Accessed: 5 March 2026).</w:t>
      </w:r>
      <w:r w:rsidRPr="006819A6">
        <w:rPr>
          <w:rFonts w:asciiTheme="majorHAnsi" w:eastAsia="Times New Roman" w:hAnsiTheme="majorHAnsi" w:cstheme="majorHAnsi"/>
          <w:sz w:val="24"/>
          <w:szCs w:val="24"/>
        </w:rPr>
        <w:br/>
      </w:r>
    </w:p>
    <w:p w14:paraId="60A7BBDB"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CIPD (2025) </w:t>
      </w:r>
      <w:r w:rsidRPr="006819A6">
        <w:rPr>
          <w:rFonts w:asciiTheme="majorHAnsi" w:eastAsia="Times New Roman" w:hAnsiTheme="majorHAnsi" w:cstheme="majorHAnsi"/>
          <w:i/>
          <w:iCs/>
          <w:sz w:val="24"/>
          <w:szCs w:val="24"/>
        </w:rPr>
        <w:t>Wellbeing at work factsheet</w:t>
      </w:r>
      <w:r w:rsidRPr="006819A6">
        <w:rPr>
          <w:rFonts w:asciiTheme="majorHAnsi" w:eastAsia="Times New Roman" w:hAnsiTheme="majorHAnsi" w:cstheme="majorHAnsi"/>
          <w:sz w:val="24"/>
          <w:szCs w:val="24"/>
        </w:rPr>
        <w:t xml:space="preserve">. Available at: </w:t>
      </w:r>
      <w:hyperlink r:id="rId16" w:history="1">
        <w:r w:rsidRPr="006819A6">
          <w:rPr>
            <w:rStyle w:val="Hyperlink"/>
            <w:rFonts w:asciiTheme="majorHAnsi" w:eastAsia="Times New Roman" w:hAnsiTheme="majorHAnsi" w:cstheme="majorHAnsi"/>
            <w:sz w:val="24"/>
            <w:szCs w:val="24"/>
          </w:rPr>
          <w:t>https://www.cipd.org/uk/knowledge/factsheets/well-being-factsheet/</w:t>
        </w:r>
      </w:hyperlink>
      <w:r w:rsidRPr="006819A6">
        <w:rPr>
          <w:rFonts w:asciiTheme="majorHAnsi" w:eastAsia="Times New Roman" w:hAnsiTheme="majorHAnsi" w:cstheme="majorHAnsi"/>
          <w:sz w:val="24"/>
          <w:szCs w:val="24"/>
        </w:rPr>
        <w:t xml:space="preserve"> (Accessed: 3 March 2026).</w:t>
      </w:r>
      <w:r w:rsidRPr="006819A6">
        <w:rPr>
          <w:rFonts w:asciiTheme="majorHAnsi" w:eastAsia="Times New Roman" w:hAnsiTheme="majorHAnsi" w:cstheme="majorHAnsi"/>
          <w:sz w:val="24"/>
          <w:szCs w:val="24"/>
        </w:rPr>
        <w:br/>
      </w:r>
    </w:p>
    <w:p w14:paraId="1DDEB48D"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CIPD (2026) </w:t>
      </w:r>
      <w:r w:rsidRPr="006819A6">
        <w:rPr>
          <w:rFonts w:asciiTheme="majorHAnsi" w:eastAsia="Times New Roman" w:hAnsiTheme="majorHAnsi" w:cstheme="majorHAnsi"/>
          <w:i/>
          <w:iCs/>
          <w:sz w:val="24"/>
          <w:szCs w:val="24"/>
        </w:rPr>
        <w:t>Labour Market Outlook</w:t>
      </w:r>
      <w:r w:rsidRPr="006819A6">
        <w:rPr>
          <w:rFonts w:asciiTheme="majorHAnsi" w:eastAsia="Times New Roman" w:hAnsiTheme="majorHAnsi" w:cstheme="majorHAnsi"/>
          <w:sz w:val="24"/>
          <w:szCs w:val="24"/>
        </w:rPr>
        <w:t xml:space="preserve">. Available at: </w:t>
      </w:r>
      <w:hyperlink r:id="rId17" w:history="1">
        <w:r w:rsidRPr="006819A6">
          <w:rPr>
            <w:rStyle w:val="Hyperlink"/>
            <w:rFonts w:asciiTheme="majorHAnsi" w:eastAsia="Times New Roman" w:hAnsiTheme="majorHAnsi" w:cstheme="majorHAnsi"/>
            <w:sz w:val="24"/>
            <w:szCs w:val="24"/>
          </w:rPr>
          <w:t>https://www.cipd.org/uk/knowledge/reports/labour-market-outlook/</w:t>
        </w:r>
      </w:hyperlink>
      <w:r w:rsidRPr="006819A6">
        <w:rPr>
          <w:rFonts w:asciiTheme="majorHAnsi" w:eastAsia="Times New Roman" w:hAnsiTheme="majorHAnsi" w:cstheme="majorHAnsi"/>
          <w:sz w:val="24"/>
          <w:szCs w:val="24"/>
        </w:rPr>
        <w:t xml:space="preserve"> (Accessed: 13 May </w:t>
      </w:r>
      <w:r w:rsidRPr="006819A6">
        <w:rPr>
          <w:rFonts w:asciiTheme="majorHAnsi" w:eastAsia="Times New Roman" w:hAnsiTheme="majorHAnsi" w:cstheme="majorHAnsi"/>
          <w:sz w:val="24"/>
          <w:szCs w:val="24"/>
        </w:rPr>
        <w:lastRenderedPageBreak/>
        <w:t>2026)</w:t>
      </w:r>
      <w:r w:rsidRPr="006819A6">
        <w:rPr>
          <w:rFonts w:asciiTheme="majorHAnsi" w:eastAsia="Times New Roman" w:hAnsiTheme="majorHAnsi" w:cstheme="majorHAnsi"/>
          <w:sz w:val="24"/>
          <w:szCs w:val="24"/>
        </w:rPr>
        <w:br/>
      </w:r>
    </w:p>
    <w:p w14:paraId="03C13F99"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Deci, E.L. and Ryan, R.M. (2000) ‘The “what” and “why” of goal pursuits: Human needs and the self-determination of behaviour’, </w:t>
      </w:r>
      <w:r w:rsidRPr="006819A6">
        <w:rPr>
          <w:rFonts w:asciiTheme="majorHAnsi" w:eastAsia="Times New Roman" w:hAnsiTheme="majorHAnsi" w:cstheme="majorHAnsi"/>
          <w:i/>
          <w:iCs/>
          <w:sz w:val="24"/>
          <w:szCs w:val="24"/>
        </w:rPr>
        <w:t>Psychological Inquiry</w:t>
      </w:r>
      <w:r w:rsidRPr="006819A6">
        <w:rPr>
          <w:rFonts w:asciiTheme="majorHAnsi" w:eastAsia="Times New Roman" w:hAnsiTheme="majorHAnsi" w:cstheme="majorHAnsi"/>
          <w:sz w:val="24"/>
          <w:szCs w:val="24"/>
        </w:rPr>
        <w:t xml:space="preserve">, 11(4), PP. 227–268. Available at: </w:t>
      </w:r>
      <w:hyperlink r:id="rId18" w:history="1">
        <w:r w:rsidRPr="006819A6">
          <w:rPr>
            <w:rStyle w:val="Hyperlink"/>
            <w:rFonts w:asciiTheme="majorHAnsi" w:eastAsia="Times New Roman" w:hAnsiTheme="majorHAnsi" w:cstheme="majorHAnsi"/>
            <w:sz w:val="24"/>
            <w:szCs w:val="24"/>
          </w:rPr>
          <w:t>https://doi.org/10.1207/S15327965PLI1104_01</w:t>
        </w:r>
      </w:hyperlink>
      <w:r w:rsidRPr="006819A6">
        <w:rPr>
          <w:rFonts w:asciiTheme="majorHAnsi" w:eastAsia="Times New Roman" w:hAnsiTheme="majorHAnsi" w:cstheme="majorHAnsi"/>
          <w:sz w:val="24"/>
          <w:szCs w:val="24"/>
        </w:rPr>
        <w:t xml:space="preserve">  (Accessed: 17 March 2026).</w:t>
      </w:r>
      <w:r w:rsidRPr="006819A6">
        <w:rPr>
          <w:rFonts w:asciiTheme="majorHAnsi" w:eastAsia="Times New Roman" w:hAnsiTheme="majorHAnsi" w:cstheme="majorHAnsi"/>
          <w:sz w:val="24"/>
          <w:szCs w:val="24"/>
        </w:rPr>
        <w:br/>
      </w:r>
    </w:p>
    <w:p w14:paraId="27B170CE"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Deloitte (2023) </w:t>
      </w:r>
      <w:r w:rsidRPr="006819A6">
        <w:rPr>
          <w:rFonts w:asciiTheme="majorHAnsi" w:eastAsia="Times New Roman" w:hAnsiTheme="majorHAnsi" w:cstheme="majorHAnsi"/>
          <w:i/>
          <w:iCs/>
          <w:sz w:val="24"/>
          <w:szCs w:val="24"/>
        </w:rPr>
        <w:t>Wellbeing at Work Survey</w:t>
      </w:r>
      <w:r w:rsidRPr="006819A6">
        <w:rPr>
          <w:rFonts w:asciiTheme="majorHAnsi" w:eastAsia="Times New Roman" w:hAnsiTheme="majorHAnsi" w:cstheme="majorHAnsi"/>
          <w:sz w:val="24"/>
          <w:szCs w:val="24"/>
        </w:rPr>
        <w:t xml:space="preserve">. Available at: </w:t>
      </w:r>
      <w:hyperlink r:id="rId19" w:history="1">
        <w:r w:rsidRPr="006819A6">
          <w:rPr>
            <w:rStyle w:val="Hyperlink"/>
            <w:rFonts w:asciiTheme="majorHAnsi" w:eastAsia="Times New Roman" w:hAnsiTheme="majorHAnsi" w:cstheme="majorHAnsi"/>
            <w:sz w:val="24"/>
            <w:szCs w:val="24"/>
          </w:rPr>
          <w:t>https://makeadifference.media/reports/deloitte-wellbeing-at-work-survey/</w:t>
        </w:r>
      </w:hyperlink>
    </w:p>
    <w:p w14:paraId="72159A1D" w14:textId="77777777" w:rsidR="007724EE" w:rsidRDefault="007724EE" w:rsidP="003A72A0">
      <w:pPr>
        <w:rPr>
          <w:rFonts w:asciiTheme="majorHAnsi" w:eastAsia="Times New Roman" w:hAnsiTheme="majorHAnsi" w:cstheme="majorHAnsi"/>
          <w:sz w:val="24"/>
          <w:szCs w:val="24"/>
        </w:rPr>
      </w:pPr>
    </w:p>
    <w:p w14:paraId="5D41465B" w14:textId="75FC7B5D"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Deloitte (2024) </w:t>
      </w:r>
      <w:r w:rsidRPr="006819A6">
        <w:rPr>
          <w:rFonts w:asciiTheme="majorHAnsi" w:eastAsia="Times New Roman" w:hAnsiTheme="majorHAnsi" w:cstheme="majorHAnsi"/>
          <w:i/>
          <w:iCs/>
          <w:sz w:val="24"/>
          <w:szCs w:val="24"/>
        </w:rPr>
        <w:t>Mental health and employers: the case for investment – supporting working parents and a mentally healthy workplace</w:t>
      </w:r>
      <w:r w:rsidRPr="006819A6">
        <w:rPr>
          <w:rFonts w:asciiTheme="majorHAnsi" w:eastAsia="Times New Roman" w:hAnsiTheme="majorHAnsi" w:cstheme="majorHAnsi"/>
          <w:sz w:val="24"/>
          <w:szCs w:val="24"/>
        </w:rPr>
        <w:t xml:space="preserve">. Available at: </w:t>
      </w:r>
      <w:hyperlink r:id="rId20" w:history="1">
        <w:r w:rsidRPr="006819A6">
          <w:rPr>
            <w:rStyle w:val="Hyperlink"/>
            <w:rFonts w:asciiTheme="majorHAnsi" w:eastAsia="Times New Roman" w:hAnsiTheme="majorHAnsi" w:cstheme="majorHAnsi"/>
            <w:sz w:val="24"/>
            <w:szCs w:val="24"/>
          </w:rPr>
          <w:t>https://makeadifference.media/reports/deloitte-mental-health-and-employers-the-case-for-investment-supporting-working-parents-and-a-mentally-healthy-workplace/</w:t>
        </w:r>
      </w:hyperlink>
    </w:p>
    <w:p w14:paraId="6F170770" w14:textId="77777777" w:rsidR="007724EE" w:rsidRDefault="007724EE" w:rsidP="003A72A0">
      <w:pPr>
        <w:rPr>
          <w:rFonts w:asciiTheme="majorHAnsi" w:eastAsia="Times New Roman" w:hAnsiTheme="majorHAnsi" w:cstheme="majorHAnsi"/>
          <w:sz w:val="24"/>
          <w:szCs w:val="24"/>
        </w:rPr>
      </w:pPr>
    </w:p>
    <w:p w14:paraId="2C3501C1" w14:textId="41C64A23"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EAPA (2026). </w:t>
      </w:r>
      <w:r w:rsidRPr="006819A6">
        <w:rPr>
          <w:rFonts w:asciiTheme="majorHAnsi" w:eastAsia="Times New Roman" w:hAnsiTheme="majorHAnsi" w:cstheme="majorHAnsi"/>
          <w:i/>
          <w:iCs/>
          <w:sz w:val="24"/>
          <w:szCs w:val="24"/>
        </w:rPr>
        <w:t>The voice of employee assistance</w:t>
      </w:r>
      <w:r w:rsidRPr="006819A6">
        <w:rPr>
          <w:rFonts w:asciiTheme="majorHAnsi" w:eastAsia="Times New Roman" w:hAnsiTheme="majorHAnsi" w:cstheme="majorHAnsi"/>
          <w:sz w:val="24"/>
          <w:szCs w:val="24"/>
        </w:rPr>
        <w:t xml:space="preserve">. Available at: </w:t>
      </w:r>
      <w:hyperlink r:id="rId21" w:history="1">
        <w:r w:rsidRPr="006819A6">
          <w:rPr>
            <w:rStyle w:val="Hyperlink"/>
            <w:rFonts w:asciiTheme="majorHAnsi" w:eastAsia="Times New Roman" w:hAnsiTheme="majorHAnsi" w:cstheme="majorHAnsi"/>
            <w:sz w:val="24"/>
            <w:szCs w:val="24"/>
          </w:rPr>
          <w:t>https://www.eapa.org.uk/</w:t>
        </w:r>
      </w:hyperlink>
      <w:r w:rsidRPr="006819A6">
        <w:rPr>
          <w:rFonts w:asciiTheme="majorHAnsi" w:eastAsia="Times New Roman" w:hAnsiTheme="majorHAnsi" w:cstheme="majorHAnsi"/>
          <w:sz w:val="24"/>
          <w:szCs w:val="24"/>
        </w:rPr>
        <w:t xml:space="preserve"> </w:t>
      </w:r>
      <w:r w:rsidRPr="006819A6">
        <w:rPr>
          <w:rFonts w:asciiTheme="majorHAnsi" w:eastAsia="Times New Roman" w:hAnsiTheme="majorHAnsi" w:cstheme="majorHAnsi"/>
          <w:sz w:val="24"/>
          <w:szCs w:val="24"/>
        </w:rPr>
        <w:t>(Accessed: 13 May 2026)</w:t>
      </w:r>
      <w:r w:rsidRPr="006819A6">
        <w:rPr>
          <w:rFonts w:asciiTheme="majorHAnsi" w:eastAsia="Times New Roman" w:hAnsiTheme="majorHAnsi" w:cstheme="majorHAnsi"/>
          <w:sz w:val="24"/>
          <w:szCs w:val="24"/>
        </w:rPr>
        <w:br/>
      </w:r>
    </w:p>
    <w:p w14:paraId="089103C9"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Furnham, A. (2012) </w:t>
      </w:r>
      <w:r w:rsidRPr="006819A6">
        <w:rPr>
          <w:rFonts w:asciiTheme="majorHAnsi" w:eastAsia="Times New Roman" w:hAnsiTheme="majorHAnsi" w:cstheme="majorHAnsi"/>
          <w:i/>
          <w:iCs/>
          <w:sz w:val="24"/>
          <w:szCs w:val="24"/>
        </w:rPr>
        <w:t>The psychology of behaviour at work</w:t>
      </w:r>
      <w:r w:rsidRPr="006819A6">
        <w:rPr>
          <w:rFonts w:asciiTheme="majorHAnsi" w:eastAsia="Times New Roman" w:hAnsiTheme="majorHAnsi" w:cstheme="majorHAnsi"/>
          <w:sz w:val="24"/>
          <w:szCs w:val="24"/>
        </w:rPr>
        <w:t>. 2nd edn. Psychology Press.</w:t>
      </w:r>
      <w:r w:rsidRPr="006819A6">
        <w:rPr>
          <w:rFonts w:asciiTheme="majorHAnsi" w:eastAsia="Times New Roman" w:hAnsiTheme="majorHAnsi" w:cstheme="majorHAnsi"/>
          <w:sz w:val="24"/>
          <w:szCs w:val="24"/>
        </w:rPr>
        <w:br/>
      </w:r>
    </w:p>
    <w:p w14:paraId="3E4AF21D"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Gallup (2026) </w:t>
      </w:r>
      <w:r w:rsidRPr="006819A6">
        <w:rPr>
          <w:rFonts w:asciiTheme="majorHAnsi" w:eastAsia="Times New Roman" w:hAnsiTheme="majorHAnsi" w:cstheme="majorHAnsi"/>
          <w:i/>
          <w:iCs/>
          <w:sz w:val="24"/>
          <w:szCs w:val="24"/>
        </w:rPr>
        <w:t>State of the global workplace 2026</w:t>
      </w:r>
      <w:r w:rsidRPr="006819A6">
        <w:rPr>
          <w:rFonts w:asciiTheme="majorHAnsi" w:eastAsia="Times New Roman" w:hAnsiTheme="majorHAnsi" w:cstheme="majorHAnsi"/>
          <w:sz w:val="24"/>
          <w:szCs w:val="24"/>
        </w:rPr>
        <w:t xml:space="preserve">. Available at: </w:t>
      </w:r>
      <w:hyperlink r:id="rId22" w:history="1">
        <w:r w:rsidRPr="006819A6">
          <w:rPr>
            <w:rStyle w:val="Hyperlink"/>
            <w:rFonts w:asciiTheme="majorHAnsi" w:eastAsia="Times New Roman" w:hAnsiTheme="majorHAnsi" w:cstheme="majorHAnsi"/>
            <w:sz w:val="24"/>
            <w:szCs w:val="24"/>
          </w:rPr>
          <w:t>https://www.gallup.com/workplace/349484/state-of-the-global-workplace-2023-report.aspx</w:t>
        </w:r>
      </w:hyperlink>
      <w:r w:rsidRPr="006819A6">
        <w:rPr>
          <w:rFonts w:asciiTheme="majorHAnsi" w:eastAsia="Times New Roman" w:hAnsiTheme="majorHAnsi" w:cstheme="majorHAnsi"/>
          <w:sz w:val="24"/>
          <w:szCs w:val="24"/>
        </w:rPr>
        <w:t xml:space="preserve">  (Accessed: 22 March 2026).</w:t>
      </w:r>
      <w:r w:rsidRPr="006819A6">
        <w:rPr>
          <w:rFonts w:asciiTheme="majorHAnsi" w:eastAsia="Times New Roman" w:hAnsiTheme="majorHAnsi" w:cstheme="majorHAnsi"/>
          <w:sz w:val="24"/>
          <w:szCs w:val="24"/>
        </w:rPr>
        <w:br/>
      </w:r>
    </w:p>
    <w:p w14:paraId="5C370FEF"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Guest, D.E. (2017) ‘Human resource management and employee well-being: Towards a new analytic framework’, </w:t>
      </w:r>
      <w:r w:rsidRPr="006819A6">
        <w:rPr>
          <w:rFonts w:asciiTheme="majorHAnsi" w:eastAsia="Times New Roman" w:hAnsiTheme="majorHAnsi" w:cstheme="majorHAnsi"/>
          <w:i/>
          <w:iCs/>
          <w:sz w:val="24"/>
          <w:szCs w:val="24"/>
        </w:rPr>
        <w:t>Human Resource Management Journal</w:t>
      </w:r>
      <w:r w:rsidRPr="006819A6">
        <w:rPr>
          <w:rFonts w:asciiTheme="majorHAnsi" w:eastAsia="Times New Roman" w:hAnsiTheme="majorHAnsi" w:cstheme="majorHAnsi"/>
          <w:sz w:val="24"/>
          <w:szCs w:val="24"/>
        </w:rPr>
        <w:t xml:space="preserve">. 27(1), PP. 22–38. Available at: </w:t>
      </w:r>
      <w:hyperlink r:id="rId23" w:history="1">
        <w:r w:rsidRPr="006819A6">
          <w:rPr>
            <w:rStyle w:val="Hyperlink"/>
            <w:rFonts w:asciiTheme="majorHAnsi" w:eastAsia="Times New Roman" w:hAnsiTheme="majorHAnsi" w:cstheme="majorHAnsi"/>
            <w:sz w:val="24"/>
            <w:szCs w:val="24"/>
          </w:rPr>
          <w:t>https://doi.org/10.1111/1748-8583.12139</w:t>
        </w:r>
      </w:hyperlink>
      <w:r w:rsidRPr="006819A6">
        <w:rPr>
          <w:rFonts w:asciiTheme="majorHAnsi" w:eastAsia="Times New Roman" w:hAnsiTheme="majorHAnsi" w:cstheme="majorHAnsi"/>
          <w:sz w:val="24"/>
          <w:szCs w:val="24"/>
        </w:rPr>
        <w:t xml:space="preserve">  (Accessed: 22 March 2026).</w:t>
      </w:r>
      <w:r w:rsidRPr="006819A6">
        <w:rPr>
          <w:rFonts w:asciiTheme="majorHAnsi" w:eastAsia="Times New Roman" w:hAnsiTheme="majorHAnsi" w:cstheme="majorHAnsi"/>
          <w:sz w:val="24"/>
          <w:szCs w:val="24"/>
        </w:rPr>
        <w:br/>
      </w:r>
    </w:p>
    <w:p w14:paraId="476B3604"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Health and Safety Executive (2025) </w:t>
      </w:r>
      <w:r w:rsidRPr="006819A6">
        <w:rPr>
          <w:rFonts w:asciiTheme="majorHAnsi" w:eastAsia="Times New Roman" w:hAnsiTheme="majorHAnsi" w:cstheme="majorHAnsi"/>
          <w:i/>
          <w:iCs/>
          <w:sz w:val="24"/>
          <w:szCs w:val="24"/>
        </w:rPr>
        <w:t>Key figures for Great Britain 2024 to 2025</w:t>
      </w:r>
      <w:r w:rsidRPr="006819A6">
        <w:rPr>
          <w:rFonts w:asciiTheme="majorHAnsi" w:eastAsia="Times New Roman" w:hAnsiTheme="majorHAnsi" w:cstheme="majorHAnsi"/>
          <w:sz w:val="24"/>
          <w:szCs w:val="24"/>
        </w:rPr>
        <w:t xml:space="preserve">. Available at: </w:t>
      </w:r>
      <w:hyperlink r:id="rId24" w:history="1">
        <w:r w:rsidRPr="006819A6">
          <w:rPr>
            <w:rStyle w:val="Hyperlink"/>
            <w:rFonts w:asciiTheme="majorHAnsi" w:eastAsia="Times New Roman" w:hAnsiTheme="majorHAnsi" w:cstheme="majorHAnsi"/>
            <w:sz w:val="24"/>
            <w:szCs w:val="24"/>
          </w:rPr>
          <w:t>https://www.hse.gov.uk/statistics/overview.htm</w:t>
        </w:r>
      </w:hyperlink>
      <w:r w:rsidRPr="006819A6">
        <w:rPr>
          <w:rFonts w:asciiTheme="majorHAnsi" w:eastAsia="Times New Roman" w:hAnsiTheme="majorHAnsi" w:cstheme="majorHAnsi"/>
          <w:sz w:val="24"/>
          <w:szCs w:val="24"/>
        </w:rPr>
        <w:t xml:space="preserve"> (Accessed: 17 March 2026).</w:t>
      </w:r>
    </w:p>
    <w:p w14:paraId="531B41B6" w14:textId="77777777" w:rsidR="007724EE" w:rsidRDefault="007724EE" w:rsidP="003A72A0">
      <w:pPr>
        <w:rPr>
          <w:rFonts w:asciiTheme="majorHAnsi" w:eastAsia="Times New Roman" w:hAnsiTheme="majorHAnsi" w:cstheme="majorHAnsi"/>
          <w:sz w:val="24"/>
          <w:szCs w:val="24"/>
        </w:rPr>
      </w:pPr>
    </w:p>
    <w:p w14:paraId="77040A65" w14:textId="61855503"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Karina Nielsen, K., Randall, R., Yarker, J., Brenner, S. (2008). ‘The effects of transformational leadership on followers’ perceived work characteristics and psychological well-being: A longitudinal study’. </w:t>
      </w:r>
      <w:r w:rsidRPr="006819A6">
        <w:rPr>
          <w:rFonts w:asciiTheme="majorHAnsi" w:eastAsia="Times New Roman" w:hAnsiTheme="majorHAnsi" w:cstheme="majorHAnsi"/>
          <w:i/>
          <w:iCs/>
          <w:sz w:val="24"/>
          <w:szCs w:val="24"/>
        </w:rPr>
        <w:t xml:space="preserve">An International Journal of Work, Health &amp; Organisations. </w:t>
      </w:r>
      <w:r w:rsidRPr="006819A6">
        <w:rPr>
          <w:rFonts w:asciiTheme="majorHAnsi" w:eastAsia="Times New Roman" w:hAnsiTheme="majorHAnsi" w:cstheme="majorHAnsi"/>
          <w:sz w:val="24"/>
          <w:szCs w:val="24"/>
        </w:rPr>
        <w:t xml:space="preserve">22(1). PP. 16-32. Available at: </w:t>
      </w:r>
      <w:hyperlink r:id="rId25" w:history="1">
        <w:r w:rsidRPr="006819A6">
          <w:rPr>
            <w:rStyle w:val="Hyperlink"/>
            <w:rFonts w:asciiTheme="majorHAnsi" w:eastAsia="Times New Roman" w:hAnsiTheme="majorHAnsi" w:cstheme="majorHAnsi"/>
            <w:sz w:val="24"/>
            <w:szCs w:val="24"/>
          </w:rPr>
          <w:t>https://www.tandfonline.com/doi/abs/10.1080/02678370801979430</w:t>
        </w:r>
      </w:hyperlink>
      <w:r w:rsidRPr="006819A6">
        <w:rPr>
          <w:rFonts w:asciiTheme="majorHAnsi" w:eastAsia="Times New Roman" w:hAnsiTheme="majorHAnsi" w:cstheme="majorHAnsi"/>
          <w:sz w:val="24"/>
          <w:szCs w:val="24"/>
        </w:rPr>
        <w:t xml:space="preserve"> (Accessed: 19 March 2026).</w:t>
      </w:r>
      <w:r w:rsidRPr="006819A6">
        <w:rPr>
          <w:rFonts w:asciiTheme="majorHAnsi" w:eastAsia="Times New Roman" w:hAnsiTheme="majorHAnsi" w:cstheme="majorHAnsi"/>
          <w:sz w:val="24"/>
          <w:szCs w:val="24"/>
        </w:rPr>
        <w:br/>
      </w:r>
    </w:p>
    <w:p w14:paraId="710FC7D0" w14:textId="77777777" w:rsidR="006819A6" w:rsidRPr="006819A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Oxford Economics (2014). </w:t>
      </w:r>
      <w:r w:rsidRPr="006819A6">
        <w:rPr>
          <w:rFonts w:asciiTheme="majorHAnsi" w:eastAsia="Times New Roman" w:hAnsiTheme="majorHAnsi" w:cstheme="majorHAnsi"/>
          <w:i/>
          <w:iCs/>
          <w:sz w:val="24"/>
          <w:szCs w:val="24"/>
        </w:rPr>
        <w:t>The cost of Brain Drain</w:t>
      </w:r>
      <w:r w:rsidRPr="006819A6">
        <w:rPr>
          <w:rFonts w:asciiTheme="majorHAnsi" w:eastAsia="Times New Roman" w:hAnsiTheme="majorHAnsi" w:cstheme="majorHAnsi"/>
          <w:sz w:val="24"/>
          <w:szCs w:val="24"/>
        </w:rPr>
        <w:t xml:space="preserve">. Available at: </w:t>
      </w:r>
      <w:hyperlink r:id="rId26" w:history="1">
        <w:r w:rsidRPr="006819A6">
          <w:rPr>
            <w:rStyle w:val="Hyperlink"/>
            <w:rFonts w:asciiTheme="majorHAnsi" w:eastAsia="Times New Roman" w:hAnsiTheme="majorHAnsi" w:cstheme="majorHAnsi"/>
            <w:sz w:val="24"/>
            <w:szCs w:val="24"/>
          </w:rPr>
          <w:t>https://www.oxfordeconomics.com/resource/the-cost-of-brain-drain/</w:t>
        </w:r>
      </w:hyperlink>
      <w:r w:rsidRPr="006819A6">
        <w:rPr>
          <w:rFonts w:asciiTheme="majorHAnsi" w:eastAsia="Times New Roman" w:hAnsiTheme="majorHAnsi" w:cstheme="majorHAnsi"/>
          <w:sz w:val="24"/>
          <w:szCs w:val="24"/>
        </w:rPr>
        <w:t xml:space="preserve"> </w:t>
      </w:r>
      <w:r w:rsidRPr="006819A6">
        <w:rPr>
          <w:rFonts w:asciiTheme="majorHAnsi" w:eastAsia="Times New Roman" w:hAnsiTheme="majorHAnsi" w:cstheme="majorHAnsi"/>
          <w:sz w:val="24"/>
          <w:szCs w:val="24"/>
        </w:rPr>
        <w:t xml:space="preserve">(Accessed: </w:t>
      </w:r>
      <w:r w:rsidRPr="006819A6">
        <w:rPr>
          <w:rFonts w:asciiTheme="majorHAnsi" w:eastAsia="Times New Roman" w:hAnsiTheme="majorHAnsi" w:cstheme="majorHAnsi"/>
          <w:sz w:val="24"/>
          <w:szCs w:val="24"/>
        </w:rPr>
        <w:t>13</w:t>
      </w:r>
      <w:r w:rsidRPr="006819A6">
        <w:rPr>
          <w:rFonts w:asciiTheme="majorHAnsi" w:eastAsia="Times New Roman" w:hAnsiTheme="majorHAnsi" w:cstheme="majorHAnsi"/>
          <w:sz w:val="24"/>
          <w:szCs w:val="24"/>
        </w:rPr>
        <w:t xml:space="preserve"> </w:t>
      </w:r>
      <w:r w:rsidRPr="006819A6">
        <w:rPr>
          <w:rFonts w:asciiTheme="majorHAnsi" w:eastAsia="Times New Roman" w:hAnsiTheme="majorHAnsi" w:cstheme="majorHAnsi"/>
          <w:sz w:val="24"/>
          <w:szCs w:val="24"/>
        </w:rPr>
        <w:t xml:space="preserve">May </w:t>
      </w:r>
      <w:r w:rsidRPr="006819A6">
        <w:rPr>
          <w:rFonts w:asciiTheme="majorHAnsi" w:eastAsia="Times New Roman" w:hAnsiTheme="majorHAnsi" w:cstheme="majorHAnsi"/>
          <w:sz w:val="24"/>
          <w:szCs w:val="24"/>
        </w:rPr>
        <w:t>2026).</w:t>
      </w:r>
      <w:r w:rsidRPr="006819A6">
        <w:rPr>
          <w:rFonts w:asciiTheme="majorHAnsi" w:eastAsia="Times New Roman" w:hAnsiTheme="majorHAnsi" w:cstheme="majorHAnsi"/>
          <w:sz w:val="24"/>
          <w:szCs w:val="24"/>
        </w:rPr>
        <w:br/>
      </w:r>
    </w:p>
    <w:p w14:paraId="057171F9" w14:textId="77777777" w:rsidR="006819A6" w:rsidRPr="00AE3D06" w:rsidRDefault="006819A6" w:rsidP="003A72A0">
      <w:pPr>
        <w:rPr>
          <w:rFonts w:asciiTheme="majorHAnsi" w:eastAsia="Times New Roman" w:hAnsiTheme="majorHAnsi" w:cstheme="majorHAnsi"/>
          <w:sz w:val="24"/>
          <w:szCs w:val="24"/>
        </w:rPr>
      </w:pPr>
      <w:r w:rsidRPr="006819A6">
        <w:rPr>
          <w:rFonts w:asciiTheme="majorHAnsi" w:eastAsia="Times New Roman" w:hAnsiTheme="majorHAnsi" w:cstheme="majorHAnsi"/>
          <w:sz w:val="24"/>
          <w:szCs w:val="24"/>
        </w:rPr>
        <w:t xml:space="preserve">World Health Organization (2022) </w:t>
      </w:r>
      <w:r w:rsidRPr="006819A6">
        <w:rPr>
          <w:rFonts w:asciiTheme="majorHAnsi" w:eastAsia="Times New Roman" w:hAnsiTheme="majorHAnsi" w:cstheme="majorHAnsi"/>
          <w:i/>
          <w:iCs/>
          <w:sz w:val="24"/>
          <w:szCs w:val="24"/>
        </w:rPr>
        <w:t>Guidelines on mental health at work.</w:t>
      </w:r>
      <w:r w:rsidRPr="006819A6">
        <w:rPr>
          <w:rFonts w:asciiTheme="majorHAnsi" w:eastAsia="Times New Roman" w:hAnsiTheme="majorHAnsi" w:cstheme="majorHAnsi"/>
          <w:sz w:val="24"/>
          <w:szCs w:val="24"/>
        </w:rPr>
        <w:t xml:space="preserve"> Available at:</w:t>
      </w:r>
      <w:r w:rsidRPr="006819A6">
        <w:t xml:space="preserve"> </w:t>
      </w:r>
      <w:hyperlink r:id="rId27" w:history="1">
        <w:r w:rsidRPr="006819A6">
          <w:rPr>
            <w:rStyle w:val="Hyperlink"/>
            <w:rFonts w:asciiTheme="majorHAnsi" w:eastAsia="Times New Roman" w:hAnsiTheme="majorHAnsi" w:cstheme="majorHAnsi"/>
            <w:sz w:val="24"/>
            <w:szCs w:val="24"/>
          </w:rPr>
          <w:t>https://www.who.int/publications/i/item/9789240053052</w:t>
        </w:r>
      </w:hyperlink>
      <w:r w:rsidRPr="006819A6">
        <w:rPr>
          <w:rFonts w:asciiTheme="majorHAnsi" w:eastAsia="Times New Roman" w:hAnsiTheme="majorHAnsi" w:cstheme="majorHAnsi"/>
          <w:sz w:val="24"/>
          <w:szCs w:val="24"/>
        </w:rPr>
        <w:t xml:space="preserve">  (Accessed: 22 March 2026).</w:t>
      </w:r>
    </w:p>
    <w:p w14:paraId="7098FEC4" w14:textId="10D3AE52" w:rsidR="00436630" w:rsidRPr="00AE3D06" w:rsidRDefault="003A72A0" w:rsidP="003A72A0">
      <w:pPr>
        <w:rPr>
          <w:rFonts w:asciiTheme="majorHAnsi" w:hAnsiTheme="majorHAnsi" w:cstheme="majorHAnsi"/>
          <w:sz w:val="24"/>
          <w:szCs w:val="24"/>
        </w:rPr>
      </w:pPr>
      <w:r w:rsidRPr="00AE3D06">
        <w:rPr>
          <w:rFonts w:asciiTheme="majorHAnsi" w:eastAsia="Times New Roman" w:hAnsiTheme="majorHAnsi" w:cstheme="majorHAnsi"/>
          <w:sz w:val="24"/>
          <w:szCs w:val="24"/>
        </w:rPr>
        <w:br/>
      </w:r>
      <w:r w:rsidR="00185E6D" w:rsidRPr="00AE3D06">
        <w:rPr>
          <w:rFonts w:asciiTheme="majorHAnsi" w:eastAsia="Times New Roman" w:hAnsiTheme="majorHAnsi" w:cstheme="majorHAnsi"/>
          <w:sz w:val="24"/>
          <w:szCs w:val="24"/>
        </w:rPr>
        <w:br/>
      </w:r>
    </w:p>
    <w:sectPr w:rsidR="00436630" w:rsidRPr="00AE3D06">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77CA67" w14:textId="77777777" w:rsidR="00375F36" w:rsidRDefault="00375F36" w:rsidP="003A72A0">
      <w:r>
        <w:separator/>
      </w:r>
    </w:p>
  </w:endnote>
  <w:endnote w:type="continuationSeparator" w:id="0">
    <w:p w14:paraId="7DB3A80B" w14:textId="77777777" w:rsidR="00375F36" w:rsidRDefault="00375F36" w:rsidP="003A72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54094" w14:textId="77777777" w:rsidR="00375F36" w:rsidRDefault="00375F36" w:rsidP="003A72A0">
      <w:r>
        <w:separator/>
      </w:r>
    </w:p>
  </w:footnote>
  <w:footnote w:type="continuationSeparator" w:id="0">
    <w:p w14:paraId="62884C1E" w14:textId="77777777" w:rsidR="00375F36" w:rsidRDefault="00375F36" w:rsidP="003A72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F2318C" w14:textId="2320EEEE" w:rsidR="003A72A0" w:rsidRDefault="003A72A0">
    <w:pPr>
      <w:pStyle w:val="Header"/>
    </w:pPr>
    <w:r>
      <w:t xml:space="preserve">Brogan Ellis </w:t>
    </w:r>
    <w:r>
      <w:ptab w:relativeTo="margin" w:alignment="center" w:leader="none"/>
    </w:r>
    <w:r>
      <w:t>CIPD Level 5</w:t>
    </w:r>
    <w:r>
      <w:ptab w:relativeTo="margin" w:alignment="right" w:leader="none"/>
    </w:r>
    <w:r>
      <w:t>Wellbeing in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35A14"/>
    <w:multiLevelType w:val="hybridMultilevel"/>
    <w:tmpl w:val="86EC6B5C"/>
    <w:lvl w:ilvl="0" w:tplc="2F6CD02C">
      <w:start w:val="1"/>
      <w:numFmt w:val="decimal"/>
      <w:lvlText w:val="%1."/>
      <w:lvlJc w:val="left"/>
      <w:pPr>
        <w:ind w:left="360" w:hanging="360"/>
      </w:pPr>
      <w:rPr>
        <w:rFonts w:hint="default"/>
        <w:color w:val="4472C4" w:themeColor="accen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0145956"/>
    <w:multiLevelType w:val="hybridMultilevel"/>
    <w:tmpl w:val="9DBA6574"/>
    <w:lvl w:ilvl="0" w:tplc="2F6CD02C">
      <w:start w:val="1"/>
      <w:numFmt w:val="decimal"/>
      <w:lvlText w:val="%1."/>
      <w:lvlJc w:val="left"/>
      <w:pPr>
        <w:ind w:left="360" w:hanging="360"/>
      </w:pPr>
      <w:rPr>
        <w:rFonts w:hint="default"/>
        <w:color w:val="4472C4" w:themeColor="accen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37F72EF"/>
    <w:multiLevelType w:val="hybridMultilevel"/>
    <w:tmpl w:val="466CED4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5114318"/>
    <w:multiLevelType w:val="hybridMultilevel"/>
    <w:tmpl w:val="C2A2348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8F64EC"/>
    <w:multiLevelType w:val="hybridMultilevel"/>
    <w:tmpl w:val="1ED645B8"/>
    <w:lvl w:ilvl="0" w:tplc="2F6CD02C">
      <w:start w:val="1"/>
      <w:numFmt w:val="decimal"/>
      <w:lvlText w:val="%1."/>
      <w:lvlJc w:val="left"/>
      <w:pPr>
        <w:ind w:left="360" w:hanging="360"/>
      </w:pPr>
      <w:rPr>
        <w:rFonts w:hint="default"/>
        <w:color w:val="4472C4"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89399C"/>
    <w:multiLevelType w:val="hybridMultilevel"/>
    <w:tmpl w:val="32F0693C"/>
    <w:lvl w:ilvl="0" w:tplc="B852D304">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230F4A"/>
    <w:multiLevelType w:val="hybridMultilevel"/>
    <w:tmpl w:val="7BC46AA8"/>
    <w:lvl w:ilvl="0" w:tplc="2F6CD02C">
      <w:start w:val="1"/>
      <w:numFmt w:val="decimal"/>
      <w:lvlText w:val="%1."/>
      <w:lvlJc w:val="left"/>
      <w:pPr>
        <w:ind w:left="360" w:hanging="360"/>
      </w:pPr>
      <w:rPr>
        <w:rFonts w:hint="default"/>
        <w:color w:val="4472C4"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2955962">
    <w:abstractNumId w:val="2"/>
  </w:num>
  <w:num w:numId="2" w16cid:durableId="1970932369">
    <w:abstractNumId w:val="0"/>
  </w:num>
  <w:num w:numId="3" w16cid:durableId="1092317957">
    <w:abstractNumId w:val="1"/>
  </w:num>
  <w:num w:numId="4" w16cid:durableId="223761407">
    <w:abstractNumId w:val="4"/>
  </w:num>
  <w:num w:numId="5" w16cid:durableId="934636553">
    <w:abstractNumId w:val="6"/>
  </w:num>
  <w:num w:numId="6" w16cid:durableId="1153452727">
    <w:abstractNumId w:val="5"/>
  </w:num>
  <w:num w:numId="7" w16cid:durableId="12590252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3B0"/>
    <w:rsid w:val="00031393"/>
    <w:rsid w:val="000455CC"/>
    <w:rsid w:val="000542E7"/>
    <w:rsid w:val="000868C7"/>
    <w:rsid w:val="000D33EF"/>
    <w:rsid w:val="000E7804"/>
    <w:rsid w:val="001112A7"/>
    <w:rsid w:val="001304BF"/>
    <w:rsid w:val="00136CA9"/>
    <w:rsid w:val="00161799"/>
    <w:rsid w:val="001832E6"/>
    <w:rsid w:val="00185E6D"/>
    <w:rsid w:val="001D2A8F"/>
    <w:rsid w:val="001E78AB"/>
    <w:rsid w:val="001F1626"/>
    <w:rsid w:val="00201E40"/>
    <w:rsid w:val="00211164"/>
    <w:rsid w:val="002263D7"/>
    <w:rsid w:val="00227F71"/>
    <w:rsid w:val="0024468C"/>
    <w:rsid w:val="002701C8"/>
    <w:rsid w:val="00276244"/>
    <w:rsid w:val="00297C16"/>
    <w:rsid w:val="002B6352"/>
    <w:rsid w:val="002E1140"/>
    <w:rsid w:val="00311D3C"/>
    <w:rsid w:val="00312DAD"/>
    <w:rsid w:val="003221AE"/>
    <w:rsid w:val="0033410B"/>
    <w:rsid w:val="0033752A"/>
    <w:rsid w:val="00351452"/>
    <w:rsid w:val="00364D63"/>
    <w:rsid w:val="00375F36"/>
    <w:rsid w:val="003847F6"/>
    <w:rsid w:val="0038681D"/>
    <w:rsid w:val="003939F8"/>
    <w:rsid w:val="003978C4"/>
    <w:rsid w:val="003A72A0"/>
    <w:rsid w:val="003B148C"/>
    <w:rsid w:val="003E42FE"/>
    <w:rsid w:val="00436630"/>
    <w:rsid w:val="004370D1"/>
    <w:rsid w:val="004669EB"/>
    <w:rsid w:val="00474228"/>
    <w:rsid w:val="00481F9C"/>
    <w:rsid w:val="004A6DFE"/>
    <w:rsid w:val="004B33B0"/>
    <w:rsid w:val="004C4F11"/>
    <w:rsid w:val="004C6E8C"/>
    <w:rsid w:val="004D7802"/>
    <w:rsid w:val="004E7C6A"/>
    <w:rsid w:val="004F0E3E"/>
    <w:rsid w:val="005357D9"/>
    <w:rsid w:val="00552303"/>
    <w:rsid w:val="00553ADA"/>
    <w:rsid w:val="005A6562"/>
    <w:rsid w:val="005B5F28"/>
    <w:rsid w:val="005C4250"/>
    <w:rsid w:val="0062180B"/>
    <w:rsid w:val="006634E5"/>
    <w:rsid w:val="00665D29"/>
    <w:rsid w:val="006819A6"/>
    <w:rsid w:val="006A243B"/>
    <w:rsid w:val="006D5F17"/>
    <w:rsid w:val="006E73D1"/>
    <w:rsid w:val="006F1364"/>
    <w:rsid w:val="006F1BB3"/>
    <w:rsid w:val="007006A3"/>
    <w:rsid w:val="00702C03"/>
    <w:rsid w:val="00717FF0"/>
    <w:rsid w:val="00732B83"/>
    <w:rsid w:val="00736169"/>
    <w:rsid w:val="007724EE"/>
    <w:rsid w:val="00786A14"/>
    <w:rsid w:val="007974A2"/>
    <w:rsid w:val="007B217E"/>
    <w:rsid w:val="007F796D"/>
    <w:rsid w:val="00807976"/>
    <w:rsid w:val="00843063"/>
    <w:rsid w:val="0086138F"/>
    <w:rsid w:val="00864EC5"/>
    <w:rsid w:val="00870799"/>
    <w:rsid w:val="00876FD3"/>
    <w:rsid w:val="008911CB"/>
    <w:rsid w:val="008A3F56"/>
    <w:rsid w:val="008B1AFF"/>
    <w:rsid w:val="00904B18"/>
    <w:rsid w:val="00914F57"/>
    <w:rsid w:val="00970ED3"/>
    <w:rsid w:val="00972118"/>
    <w:rsid w:val="00977406"/>
    <w:rsid w:val="00990E41"/>
    <w:rsid w:val="00996A9A"/>
    <w:rsid w:val="009E2A2B"/>
    <w:rsid w:val="00A06DF8"/>
    <w:rsid w:val="00A211C4"/>
    <w:rsid w:val="00A25270"/>
    <w:rsid w:val="00A42A3F"/>
    <w:rsid w:val="00A56577"/>
    <w:rsid w:val="00A618FF"/>
    <w:rsid w:val="00A7085A"/>
    <w:rsid w:val="00A7428D"/>
    <w:rsid w:val="00AD536B"/>
    <w:rsid w:val="00AE3D06"/>
    <w:rsid w:val="00AE60B9"/>
    <w:rsid w:val="00AE6F41"/>
    <w:rsid w:val="00AF0431"/>
    <w:rsid w:val="00B06A26"/>
    <w:rsid w:val="00B61EAA"/>
    <w:rsid w:val="00B773B0"/>
    <w:rsid w:val="00B83022"/>
    <w:rsid w:val="00B8439A"/>
    <w:rsid w:val="00B847E0"/>
    <w:rsid w:val="00B95EDA"/>
    <w:rsid w:val="00B9798C"/>
    <w:rsid w:val="00BA2ED7"/>
    <w:rsid w:val="00BB4176"/>
    <w:rsid w:val="00BC75D2"/>
    <w:rsid w:val="00BD47E6"/>
    <w:rsid w:val="00BE5CD7"/>
    <w:rsid w:val="00BE7B8D"/>
    <w:rsid w:val="00C5282E"/>
    <w:rsid w:val="00C53014"/>
    <w:rsid w:val="00C6156D"/>
    <w:rsid w:val="00C93748"/>
    <w:rsid w:val="00CB2D4C"/>
    <w:rsid w:val="00D22313"/>
    <w:rsid w:val="00D553B0"/>
    <w:rsid w:val="00D672E2"/>
    <w:rsid w:val="00D87792"/>
    <w:rsid w:val="00D92786"/>
    <w:rsid w:val="00D95EDF"/>
    <w:rsid w:val="00DA2A4A"/>
    <w:rsid w:val="00DA6D24"/>
    <w:rsid w:val="00DC212E"/>
    <w:rsid w:val="00DD35AF"/>
    <w:rsid w:val="00DF1B90"/>
    <w:rsid w:val="00E1203F"/>
    <w:rsid w:val="00E13355"/>
    <w:rsid w:val="00E44790"/>
    <w:rsid w:val="00E67D30"/>
    <w:rsid w:val="00E712F7"/>
    <w:rsid w:val="00E90ADA"/>
    <w:rsid w:val="00E93BBA"/>
    <w:rsid w:val="00EA21C9"/>
    <w:rsid w:val="00EC4F5F"/>
    <w:rsid w:val="00EF139C"/>
    <w:rsid w:val="00F27098"/>
    <w:rsid w:val="00F30844"/>
    <w:rsid w:val="00F339BD"/>
    <w:rsid w:val="00F40691"/>
    <w:rsid w:val="00F428E3"/>
    <w:rsid w:val="00F468CC"/>
    <w:rsid w:val="00F536F2"/>
    <w:rsid w:val="00F54CE2"/>
    <w:rsid w:val="00F55492"/>
    <w:rsid w:val="00F61F32"/>
    <w:rsid w:val="00F723BC"/>
    <w:rsid w:val="00F7577B"/>
    <w:rsid w:val="00F92456"/>
    <w:rsid w:val="00FE7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90ED9"/>
  <w15:chartTrackingRefBased/>
  <w15:docId w15:val="{80F4E2E5-66C8-426D-A18B-A245712A6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3B0"/>
    <w:pPr>
      <w:spacing w:after="0" w:line="240" w:lineRule="auto"/>
    </w:pPr>
    <w:rPr>
      <w:rFonts w:ascii="Calibri" w:hAnsi="Calibri" w:cs="Calibri"/>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553B0"/>
    <w:pPr>
      <w:ind w:left="720"/>
      <w:contextualSpacing/>
    </w:pPr>
  </w:style>
  <w:style w:type="character" w:styleId="Hyperlink">
    <w:name w:val="Hyperlink"/>
    <w:basedOn w:val="DefaultParagraphFont"/>
    <w:uiPriority w:val="99"/>
    <w:unhideWhenUsed/>
    <w:rsid w:val="003A72A0"/>
    <w:rPr>
      <w:color w:val="0563C1" w:themeColor="hyperlink"/>
      <w:u w:val="single"/>
    </w:rPr>
  </w:style>
  <w:style w:type="character" w:styleId="UnresolvedMention">
    <w:name w:val="Unresolved Mention"/>
    <w:basedOn w:val="DefaultParagraphFont"/>
    <w:uiPriority w:val="99"/>
    <w:semiHidden/>
    <w:unhideWhenUsed/>
    <w:rsid w:val="003A72A0"/>
    <w:rPr>
      <w:color w:val="605E5C"/>
      <w:shd w:val="clear" w:color="auto" w:fill="E1DFDD"/>
    </w:rPr>
  </w:style>
  <w:style w:type="paragraph" w:styleId="Header">
    <w:name w:val="header"/>
    <w:basedOn w:val="Normal"/>
    <w:link w:val="HeaderChar"/>
    <w:uiPriority w:val="99"/>
    <w:unhideWhenUsed/>
    <w:rsid w:val="003A72A0"/>
    <w:pPr>
      <w:tabs>
        <w:tab w:val="center" w:pos="4513"/>
        <w:tab w:val="right" w:pos="9026"/>
      </w:tabs>
    </w:pPr>
  </w:style>
  <w:style w:type="character" w:customStyle="1" w:styleId="HeaderChar">
    <w:name w:val="Header Char"/>
    <w:basedOn w:val="DefaultParagraphFont"/>
    <w:link w:val="Header"/>
    <w:uiPriority w:val="99"/>
    <w:rsid w:val="003A72A0"/>
    <w:rPr>
      <w:rFonts w:ascii="Calibri" w:hAnsi="Calibri" w:cs="Calibri"/>
      <w:lang w:eastAsia="en-GB"/>
    </w:rPr>
  </w:style>
  <w:style w:type="paragraph" w:styleId="Footer">
    <w:name w:val="footer"/>
    <w:basedOn w:val="Normal"/>
    <w:link w:val="FooterChar"/>
    <w:uiPriority w:val="99"/>
    <w:unhideWhenUsed/>
    <w:rsid w:val="003A72A0"/>
    <w:pPr>
      <w:tabs>
        <w:tab w:val="center" w:pos="4513"/>
        <w:tab w:val="right" w:pos="9026"/>
      </w:tabs>
    </w:pPr>
  </w:style>
  <w:style w:type="character" w:customStyle="1" w:styleId="FooterChar">
    <w:name w:val="Footer Char"/>
    <w:basedOn w:val="DefaultParagraphFont"/>
    <w:link w:val="Footer"/>
    <w:uiPriority w:val="99"/>
    <w:rsid w:val="003A72A0"/>
    <w:rPr>
      <w:rFonts w:ascii="Calibri" w:hAnsi="Calibri" w:cs="Calibri"/>
      <w:lang w:eastAsia="en-GB"/>
    </w:rPr>
  </w:style>
  <w:style w:type="paragraph" w:customStyle="1" w:styleId="Nornal">
    <w:name w:val="Nornal"/>
    <w:basedOn w:val="Normal"/>
    <w:link w:val="NornalChar"/>
    <w:qFormat/>
    <w:rsid w:val="001112A7"/>
    <w:pPr>
      <w:spacing w:after="160" w:line="264" w:lineRule="auto"/>
    </w:pPr>
    <w:rPr>
      <w:rFonts w:ascii="Arial" w:hAnsi="Arial" w:cs="Arial"/>
      <w:lang w:eastAsia="en-US"/>
    </w:rPr>
  </w:style>
  <w:style w:type="character" w:customStyle="1" w:styleId="NornalChar">
    <w:name w:val="Nornal Char"/>
    <w:basedOn w:val="DefaultParagraphFont"/>
    <w:link w:val="Nornal"/>
    <w:rsid w:val="001112A7"/>
    <w:rPr>
      <w:rFonts w:ascii="Arial" w:hAnsi="Arial" w:cs="Arial"/>
    </w:rPr>
  </w:style>
  <w:style w:type="character" w:customStyle="1" w:styleId="ListParagraphChar">
    <w:name w:val="List Paragraph Char"/>
    <w:basedOn w:val="DefaultParagraphFont"/>
    <w:link w:val="ListParagraph"/>
    <w:uiPriority w:val="34"/>
    <w:rsid w:val="001112A7"/>
    <w:rPr>
      <w:rFonts w:ascii="Calibri" w:hAnsi="Calibri" w:cs="Calibri"/>
      <w:lang w:eastAsia="en-GB"/>
    </w:rPr>
  </w:style>
  <w:style w:type="paragraph" w:styleId="NormalWeb">
    <w:name w:val="Normal (Web)"/>
    <w:basedOn w:val="Normal"/>
    <w:uiPriority w:val="99"/>
    <w:semiHidden/>
    <w:unhideWhenUsed/>
    <w:rsid w:val="00AE6F4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0282">
      <w:bodyDiv w:val="1"/>
      <w:marLeft w:val="0"/>
      <w:marRight w:val="0"/>
      <w:marTop w:val="0"/>
      <w:marBottom w:val="0"/>
      <w:divBdr>
        <w:top w:val="none" w:sz="0" w:space="0" w:color="auto"/>
        <w:left w:val="none" w:sz="0" w:space="0" w:color="auto"/>
        <w:bottom w:val="none" w:sz="0" w:space="0" w:color="auto"/>
        <w:right w:val="none" w:sz="0" w:space="0" w:color="auto"/>
      </w:divBdr>
    </w:div>
    <w:div w:id="168755489">
      <w:bodyDiv w:val="1"/>
      <w:marLeft w:val="0"/>
      <w:marRight w:val="0"/>
      <w:marTop w:val="0"/>
      <w:marBottom w:val="0"/>
      <w:divBdr>
        <w:top w:val="none" w:sz="0" w:space="0" w:color="auto"/>
        <w:left w:val="none" w:sz="0" w:space="0" w:color="auto"/>
        <w:bottom w:val="none" w:sz="0" w:space="0" w:color="auto"/>
        <w:right w:val="none" w:sz="0" w:space="0" w:color="auto"/>
      </w:divBdr>
    </w:div>
    <w:div w:id="181163327">
      <w:bodyDiv w:val="1"/>
      <w:marLeft w:val="0"/>
      <w:marRight w:val="0"/>
      <w:marTop w:val="0"/>
      <w:marBottom w:val="0"/>
      <w:divBdr>
        <w:top w:val="none" w:sz="0" w:space="0" w:color="auto"/>
        <w:left w:val="none" w:sz="0" w:space="0" w:color="auto"/>
        <w:bottom w:val="none" w:sz="0" w:space="0" w:color="auto"/>
        <w:right w:val="none" w:sz="0" w:space="0" w:color="auto"/>
      </w:divBdr>
    </w:div>
    <w:div w:id="263804062">
      <w:bodyDiv w:val="1"/>
      <w:marLeft w:val="0"/>
      <w:marRight w:val="0"/>
      <w:marTop w:val="0"/>
      <w:marBottom w:val="0"/>
      <w:divBdr>
        <w:top w:val="none" w:sz="0" w:space="0" w:color="auto"/>
        <w:left w:val="none" w:sz="0" w:space="0" w:color="auto"/>
        <w:bottom w:val="none" w:sz="0" w:space="0" w:color="auto"/>
        <w:right w:val="none" w:sz="0" w:space="0" w:color="auto"/>
      </w:divBdr>
    </w:div>
    <w:div w:id="342899708">
      <w:bodyDiv w:val="1"/>
      <w:marLeft w:val="0"/>
      <w:marRight w:val="0"/>
      <w:marTop w:val="0"/>
      <w:marBottom w:val="0"/>
      <w:divBdr>
        <w:top w:val="none" w:sz="0" w:space="0" w:color="auto"/>
        <w:left w:val="none" w:sz="0" w:space="0" w:color="auto"/>
        <w:bottom w:val="none" w:sz="0" w:space="0" w:color="auto"/>
        <w:right w:val="none" w:sz="0" w:space="0" w:color="auto"/>
      </w:divBdr>
    </w:div>
    <w:div w:id="476143660">
      <w:bodyDiv w:val="1"/>
      <w:marLeft w:val="0"/>
      <w:marRight w:val="0"/>
      <w:marTop w:val="0"/>
      <w:marBottom w:val="0"/>
      <w:divBdr>
        <w:top w:val="none" w:sz="0" w:space="0" w:color="auto"/>
        <w:left w:val="none" w:sz="0" w:space="0" w:color="auto"/>
        <w:bottom w:val="none" w:sz="0" w:space="0" w:color="auto"/>
        <w:right w:val="none" w:sz="0" w:space="0" w:color="auto"/>
      </w:divBdr>
    </w:div>
    <w:div w:id="823817957">
      <w:bodyDiv w:val="1"/>
      <w:marLeft w:val="0"/>
      <w:marRight w:val="0"/>
      <w:marTop w:val="0"/>
      <w:marBottom w:val="0"/>
      <w:divBdr>
        <w:top w:val="none" w:sz="0" w:space="0" w:color="auto"/>
        <w:left w:val="none" w:sz="0" w:space="0" w:color="auto"/>
        <w:bottom w:val="none" w:sz="0" w:space="0" w:color="auto"/>
        <w:right w:val="none" w:sz="0" w:space="0" w:color="auto"/>
      </w:divBdr>
    </w:div>
    <w:div w:id="1045759271">
      <w:bodyDiv w:val="1"/>
      <w:marLeft w:val="0"/>
      <w:marRight w:val="0"/>
      <w:marTop w:val="0"/>
      <w:marBottom w:val="0"/>
      <w:divBdr>
        <w:top w:val="none" w:sz="0" w:space="0" w:color="auto"/>
        <w:left w:val="none" w:sz="0" w:space="0" w:color="auto"/>
        <w:bottom w:val="none" w:sz="0" w:space="0" w:color="auto"/>
        <w:right w:val="none" w:sz="0" w:space="0" w:color="auto"/>
      </w:divBdr>
    </w:div>
    <w:div w:id="1102189001">
      <w:bodyDiv w:val="1"/>
      <w:marLeft w:val="0"/>
      <w:marRight w:val="0"/>
      <w:marTop w:val="0"/>
      <w:marBottom w:val="0"/>
      <w:divBdr>
        <w:top w:val="none" w:sz="0" w:space="0" w:color="auto"/>
        <w:left w:val="none" w:sz="0" w:space="0" w:color="auto"/>
        <w:bottom w:val="none" w:sz="0" w:space="0" w:color="auto"/>
        <w:right w:val="none" w:sz="0" w:space="0" w:color="auto"/>
      </w:divBdr>
    </w:div>
    <w:div w:id="1269973246">
      <w:bodyDiv w:val="1"/>
      <w:marLeft w:val="0"/>
      <w:marRight w:val="0"/>
      <w:marTop w:val="0"/>
      <w:marBottom w:val="0"/>
      <w:divBdr>
        <w:top w:val="none" w:sz="0" w:space="0" w:color="auto"/>
        <w:left w:val="none" w:sz="0" w:space="0" w:color="auto"/>
        <w:bottom w:val="none" w:sz="0" w:space="0" w:color="auto"/>
        <w:right w:val="none" w:sz="0" w:space="0" w:color="auto"/>
      </w:divBdr>
    </w:div>
    <w:div w:id="1445032813">
      <w:bodyDiv w:val="1"/>
      <w:marLeft w:val="0"/>
      <w:marRight w:val="0"/>
      <w:marTop w:val="0"/>
      <w:marBottom w:val="0"/>
      <w:divBdr>
        <w:top w:val="none" w:sz="0" w:space="0" w:color="auto"/>
        <w:left w:val="none" w:sz="0" w:space="0" w:color="auto"/>
        <w:bottom w:val="none" w:sz="0" w:space="0" w:color="auto"/>
        <w:right w:val="none" w:sz="0" w:space="0" w:color="auto"/>
      </w:divBdr>
    </w:div>
    <w:div w:id="1463499214">
      <w:bodyDiv w:val="1"/>
      <w:marLeft w:val="0"/>
      <w:marRight w:val="0"/>
      <w:marTop w:val="0"/>
      <w:marBottom w:val="0"/>
      <w:divBdr>
        <w:top w:val="none" w:sz="0" w:space="0" w:color="auto"/>
        <w:left w:val="none" w:sz="0" w:space="0" w:color="auto"/>
        <w:bottom w:val="none" w:sz="0" w:space="0" w:color="auto"/>
        <w:right w:val="none" w:sz="0" w:space="0" w:color="auto"/>
      </w:divBdr>
    </w:div>
    <w:div w:id="1586185434">
      <w:bodyDiv w:val="1"/>
      <w:marLeft w:val="0"/>
      <w:marRight w:val="0"/>
      <w:marTop w:val="0"/>
      <w:marBottom w:val="0"/>
      <w:divBdr>
        <w:top w:val="none" w:sz="0" w:space="0" w:color="auto"/>
        <w:left w:val="none" w:sz="0" w:space="0" w:color="auto"/>
        <w:bottom w:val="none" w:sz="0" w:space="0" w:color="auto"/>
        <w:right w:val="none" w:sz="0" w:space="0" w:color="auto"/>
      </w:divBdr>
    </w:div>
    <w:div w:id="1735813082">
      <w:bodyDiv w:val="1"/>
      <w:marLeft w:val="0"/>
      <w:marRight w:val="0"/>
      <w:marTop w:val="0"/>
      <w:marBottom w:val="0"/>
      <w:divBdr>
        <w:top w:val="none" w:sz="0" w:space="0" w:color="auto"/>
        <w:left w:val="none" w:sz="0" w:space="0" w:color="auto"/>
        <w:bottom w:val="none" w:sz="0" w:space="0" w:color="auto"/>
        <w:right w:val="none" w:sz="0" w:space="0" w:color="auto"/>
      </w:divBdr>
    </w:div>
    <w:div w:id="1786849560">
      <w:bodyDiv w:val="1"/>
      <w:marLeft w:val="0"/>
      <w:marRight w:val="0"/>
      <w:marTop w:val="0"/>
      <w:marBottom w:val="0"/>
      <w:divBdr>
        <w:top w:val="none" w:sz="0" w:space="0" w:color="auto"/>
        <w:left w:val="none" w:sz="0" w:space="0" w:color="auto"/>
        <w:bottom w:val="none" w:sz="0" w:space="0" w:color="auto"/>
        <w:right w:val="none" w:sz="0" w:space="0" w:color="auto"/>
      </w:divBdr>
    </w:div>
    <w:div w:id="1904633719">
      <w:bodyDiv w:val="1"/>
      <w:marLeft w:val="0"/>
      <w:marRight w:val="0"/>
      <w:marTop w:val="0"/>
      <w:marBottom w:val="0"/>
      <w:divBdr>
        <w:top w:val="none" w:sz="0" w:space="0" w:color="auto"/>
        <w:left w:val="none" w:sz="0" w:space="0" w:color="auto"/>
        <w:bottom w:val="none" w:sz="0" w:space="0" w:color="auto"/>
        <w:right w:val="none" w:sz="0" w:space="0" w:color="auto"/>
      </w:divBdr>
    </w:div>
    <w:div w:id="2141916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ocp0000056" TargetMode="External"/><Relationship Id="rId13" Type="http://schemas.openxmlformats.org/officeDocument/2006/relationships/hyperlink" Target="https://www.cipd.org/globalassets/media/knowledge/knowledge-hub/reports/2025-pdfs/8920-Health-and-wellbeing-report-2025-/" TargetMode="External"/><Relationship Id="rId18" Type="http://schemas.openxmlformats.org/officeDocument/2006/relationships/hyperlink" Target="https://doi.org/10.1207/S15327965PLI1104_01" TargetMode="External"/><Relationship Id="rId26" Type="http://schemas.openxmlformats.org/officeDocument/2006/relationships/hyperlink" Target="https://www.oxfordeconomics.com/resource/the-cost-of-brain-drain/" TargetMode="External"/><Relationship Id="rId3" Type="http://schemas.openxmlformats.org/officeDocument/2006/relationships/settings" Target="settings.xml"/><Relationship Id="rId21" Type="http://schemas.openxmlformats.org/officeDocument/2006/relationships/hyperlink" Target="https://www.eapa.org.uk/" TargetMode="External"/><Relationship Id="rId7" Type="http://schemas.openxmlformats.org/officeDocument/2006/relationships/hyperlink" Target="https://www.acas.org.uk/flexible-working" TargetMode="External"/><Relationship Id="rId12" Type="http://schemas.openxmlformats.org/officeDocument/2006/relationships/hyperlink" Target="https://www.cipd.org/uk/knowledge/factsheets/evidence-based-practice-factsheet/" TargetMode="External"/><Relationship Id="rId17" Type="http://schemas.openxmlformats.org/officeDocument/2006/relationships/hyperlink" Target="https://www.cipd.org/uk/knowledge/reports/labour-market-outlook/" TargetMode="External"/><Relationship Id="rId25" Type="http://schemas.openxmlformats.org/officeDocument/2006/relationships/hyperlink" Target="https://www.tandfonline.com/doi/abs/10.1080/02678370801979430" TargetMode="External"/><Relationship Id="rId2" Type="http://schemas.openxmlformats.org/officeDocument/2006/relationships/styles" Target="styles.xml"/><Relationship Id="rId16" Type="http://schemas.openxmlformats.org/officeDocument/2006/relationships/hyperlink" Target="https://www.cipd.org/uk/knowledge/factsheets/well-being-factsheet/" TargetMode="External"/><Relationship Id="rId20" Type="http://schemas.openxmlformats.org/officeDocument/2006/relationships/hyperlink" Target="https://makeadifference.media/reports/deloitte-mental-health-and-employers-the-case-for-investment-supporting-working-parents-and-a-mentally-healthy-workplac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reports/learning-at-work/" TargetMode="External"/><Relationship Id="rId24" Type="http://schemas.openxmlformats.org/officeDocument/2006/relationships/hyperlink" Target="https://www.hse.gov.uk/statistics/overview.htm" TargetMode="External"/><Relationship Id="rId5" Type="http://schemas.openxmlformats.org/officeDocument/2006/relationships/footnotes" Target="footnotes.xml"/><Relationship Id="rId15" Type="http://schemas.openxmlformats.org/officeDocument/2006/relationships/hyperlink" Target="https://www.cipd.org/uk/knowledge/factsheets/reward-factsheet/" TargetMode="External"/><Relationship Id="rId23" Type="http://schemas.openxmlformats.org/officeDocument/2006/relationships/hyperlink" Target="https://doi.org/10.1111/1748-8583.12139" TargetMode="External"/><Relationship Id="rId28" Type="http://schemas.openxmlformats.org/officeDocument/2006/relationships/header" Target="header1.xml"/><Relationship Id="rId10" Type="http://schemas.openxmlformats.org/officeDocument/2006/relationships/hyperlink" Target="https://www.cipd.org/globalassets/media/knowledge/knowledge-hub/reports/2023-pdfs/8436-health-and-wellbeing-report-2023.pdf" TargetMode="External"/><Relationship Id="rId19" Type="http://schemas.openxmlformats.org/officeDocument/2006/relationships/hyperlink" Target="https://makeadifference.media/reports/deloitte-wellbeing-at-work-survey/" TargetMode="External"/><Relationship Id="rId4" Type="http://schemas.openxmlformats.org/officeDocument/2006/relationships/webSettings" Target="webSettings.xml"/><Relationship Id="rId9" Type="http://schemas.openxmlformats.org/officeDocument/2006/relationships/hyperlink" Target="https://www.cipd.org/globalassets/media/comms/news/hhinfographic-2020_tcm18-40892.pdf" TargetMode="External"/><Relationship Id="rId14" Type="http://schemas.openxmlformats.org/officeDocument/2006/relationships/hyperlink" Target="https://www.cipd.org/uk/knowledge/factsheets/strategy-development-factsheet/" TargetMode="External"/><Relationship Id="rId22" Type="http://schemas.openxmlformats.org/officeDocument/2006/relationships/hyperlink" Target="https://www.gallup.com/workplace/349484/state-of-the-global-workplace-2023-report.aspx" TargetMode="External"/><Relationship Id="rId27" Type="http://schemas.openxmlformats.org/officeDocument/2006/relationships/hyperlink" Target="https://www.who.int/publications/i/item/978924005305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4294967043</TotalTime>
  <Pages>19</Pages>
  <Words>7354</Words>
  <Characters>39937</Characters>
  <Application>Microsoft Office Word</Application>
  <DocSecurity>0</DocSecurity>
  <Lines>1815</Lines>
  <Paragraphs>844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Brogan</dc:creator>
  <cp:keywords/>
  <dc:description/>
  <cp:lastModifiedBy>Brogaan Jadee</cp:lastModifiedBy>
  <cp:revision>135</cp:revision>
  <dcterms:created xsi:type="dcterms:W3CDTF">2026-04-29T09:09:00Z</dcterms:created>
  <dcterms:modified xsi:type="dcterms:W3CDTF">2026-05-13T12:41:00Z</dcterms:modified>
</cp:coreProperties>
</file>