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904EB" w14:textId="77777777" w:rsidR="00CA1D16" w:rsidRDefault="00CA1D16" w:rsidP="00CA1D16">
      <w:pPr>
        <w:shd w:val="clear" w:color="auto" w:fill="FFFFFF" w:themeFill="background1"/>
        <w:spacing w:after="0"/>
        <w:rPr>
          <w:rFonts w:ascii="Arial" w:eastAsia="Arial" w:hAnsi="Arial" w:cs="Arial"/>
          <w:color w:val="222222"/>
        </w:rPr>
      </w:pPr>
    </w:p>
    <w:p w14:paraId="00DAFA39" w14:textId="6140D906" w:rsidR="00CA1D16" w:rsidRDefault="00CA1D16" w:rsidP="00CA1D16">
      <w:pPr>
        <w:shd w:val="clear" w:color="auto" w:fill="FFFFFF" w:themeFill="background1"/>
        <w:spacing w:after="0"/>
        <w:rPr>
          <w:rFonts w:ascii="Arial" w:eastAsia="Arial" w:hAnsi="Arial" w:cs="Arial"/>
          <w:color w:val="222222"/>
        </w:rPr>
      </w:pPr>
      <w:r>
        <w:rPr>
          <w:noProof/>
        </w:rPr>
        <w:drawing>
          <wp:inline distT="0" distB="0" distL="0" distR="0" wp14:anchorId="3F103775" wp14:editId="6406503B">
            <wp:extent cx="4048125" cy="6000750"/>
            <wp:effectExtent l="0" t="0" r="9525" b="0"/>
            <wp:docPr id="1108370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48125" cy="6000750"/>
                    </a:xfrm>
                    <a:prstGeom prst="rect">
                      <a:avLst/>
                    </a:prstGeom>
                    <a:noFill/>
                    <a:ln>
                      <a:noFill/>
                    </a:ln>
                  </pic:spPr>
                </pic:pic>
              </a:graphicData>
            </a:graphic>
          </wp:inline>
        </w:drawing>
      </w:r>
    </w:p>
    <w:p w14:paraId="74DEB3FD" w14:textId="77777777" w:rsidR="00CA1D16" w:rsidRDefault="00CA1D16" w:rsidP="00CA1D16">
      <w:pPr>
        <w:shd w:val="clear" w:color="auto" w:fill="FFFFFF" w:themeFill="background1"/>
        <w:spacing w:after="0"/>
        <w:rPr>
          <w:rFonts w:ascii="Arial" w:eastAsia="Arial" w:hAnsi="Arial" w:cs="Arial"/>
          <w:color w:val="222222"/>
        </w:rPr>
      </w:pPr>
    </w:p>
    <w:p w14:paraId="414E6552" w14:textId="77777777" w:rsidR="00CA1D16" w:rsidRDefault="00CA1D16" w:rsidP="00CA1D16">
      <w:pPr>
        <w:shd w:val="clear" w:color="auto" w:fill="FFFFFF" w:themeFill="background1"/>
        <w:spacing w:after="0"/>
        <w:rPr>
          <w:rFonts w:ascii="Arial" w:eastAsia="Arial" w:hAnsi="Arial" w:cs="Arial"/>
          <w:color w:val="222222"/>
        </w:rPr>
      </w:pPr>
    </w:p>
    <w:p w14:paraId="32F57AE0" w14:textId="77777777" w:rsidR="00CA1D16" w:rsidRDefault="00CA1D16" w:rsidP="00CA1D16">
      <w:pPr>
        <w:shd w:val="clear" w:color="auto" w:fill="FFFFFF" w:themeFill="background1"/>
        <w:spacing w:after="0"/>
        <w:rPr>
          <w:rFonts w:ascii="Arial" w:eastAsia="Arial" w:hAnsi="Arial" w:cs="Arial"/>
          <w:color w:val="222222"/>
        </w:rPr>
      </w:pPr>
    </w:p>
    <w:p w14:paraId="1EC02567" w14:textId="77777777" w:rsidR="00CA1D16" w:rsidRDefault="00CA1D16" w:rsidP="00CA1D16">
      <w:pPr>
        <w:shd w:val="clear" w:color="auto" w:fill="FFFFFF" w:themeFill="background1"/>
        <w:spacing w:after="0"/>
        <w:rPr>
          <w:rFonts w:ascii="Arial" w:eastAsia="Arial" w:hAnsi="Arial" w:cs="Arial"/>
          <w:color w:val="222222"/>
        </w:rPr>
      </w:pPr>
    </w:p>
    <w:p w14:paraId="3D877F85" w14:textId="77777777" w:rsidR="00CA1D16" w:rsidRDefault="00CA1D16" w:rsidP="00CA1D16">
      <w:pPr>
        <w:shd w:val="clear" w:color="auto" w:fill="FFFFFF" w:themeFill="background1"/>
        <w:spacing w:after="0"/>
        <w:rPr>
          <w:rFonts w:ascii="Arial" w:eastAsia="Arial" w:hAnsi="Arial" w:cs="Arial"/>
          <w:color w:val="222222"/>
        </w:rPr>
      </w:pPr>
    </w:p>
    <w:p w14:paraId="6956174B" w14:textId="77777777" w:rsidR="00CA1D16" w:rsidRDefault="00CA1D16" w:rsidP="00CA1D16">
      <w:pPr>
        <w:shd w:val="clear" w:color="auto" w:fill="FFFFFF" w:themeFill="background1"/>
        <w:spacing w:after="0"/>
        <w:rPr>
          <w:rFonts w:ascii="Arial" w:eastAsia="Arial" w:hAnsi="Arial" w:cs="Arial"/>
          <w:color w:val="222222"/>
        </w:rPr>
      </w:pPr>
    </w:p>
    <w:p w14:paraId="7476F485" w14:textId="77777777" w:rsidR="00CA1D16" w:rsidRDefault="00CA1D16" w:rsidP="00CA1D16">
      <w:pPr>
        <w:shd w:val="clear" w:color="auto" w:fill="FFFFFF" w:themeFill="background1"/>
        <w:spacing w:after="0"/>
        <w:rPr>
          <w:rFonts w:ascii="Arial" w:eastAsia="Arial" w:hAnsi="Arial" w:cs="Arial"/>
          <w:color w:val="222222"/>
        </w:rPr>
      </w:pPr>
    </w:p>
    <w:p w14:paraId="2979041E" w14:textId="77777777" w:rsidR="00CA1D16" w:rsidRDefault="00CA1D16" w:rsidP="00CA1D16">
      <w:pPr>
        <w:shd w:val="clear" w:color="auto" w:fill="FFFFFF" w:themeFill="background1"/>
        <w:spacing w:after="0"/>
        <w:rPr>
          <w:rFonts w:ascii="Arial" w:eastAsia="Arial" w:hAnsi="Arial" w:cs="Arial"/>
          <w:color w:val="222222"/>
        </w:rPr>
      </w:pPr>
    </w:p>
    <w:p w14:paraId="630ED36A" w14:textId="77777777" w:rsidR="00CA1D16" w:rsidRDefault="00CA1D16" w:rsidP="00CA1D16">
      <w:pPr>
        <w:shd w:val="clear" w:color="auto" w:fill="FFFFFF" w:themeFill="background1"/>
        <w:spacing w:after="0"/>
        <w:rPr>
          <w:rFonts w:ascii="Arial" w:eastAsia="Arial" w:hAnsi="Arial" w:cs="Arial"/>
          <w:color w:val="222222"/>
        </w:rPr>
      </w:pPr>
    </w:p>
    <w:p w14:paraId="60472332" w14:textId="77777777" w:rsidR="00CA1D16" w:rsidRDefault="00CA1D16" w:rsidP="00CA1D16">
      <w:pPr>
        <w:shd w:val="clear" w:color="auto" w:fill="FFFFFF" w:themeFill="background1"/>
        <w:spacing w:after="0"/>
        <w:rPr>
          <w:rFonts w:ascii="Arial" w:eastAsia="Arial" w:hAnsi="Arial" w:cs="Arial"/>
          <w:color w:val="222222"/>
        </w:rPr>
      </w:pPr>
    </w:p>
    <w:p w14:paraId="35540FEF" w14:textId="77777777" w:rsidR="00CA1D16" w:rsidRDefault="00CA1D16" w:rsidP="00CA1D16">
      <w:pPr>
        <w:shd w:val="clear" w:color="auto" w:fill="FFFFFF" w:themeFill="background1"/>
        <w:spacing w:after="0"/>
        <w:rPr>
          <w:rFonts w:ascii="Arial" w:eastAsia="Arial" w:hAnsi="Arial" w:cs="Arial"/>
          <w:color w:val="222222"/>
        </w:rPr>
      </w:pPr>
    </w:p>
    <w:p w14:paraId="538A7B48" w14:textId="77777777" w:rsidR="00CA1D16" w:rsidRDefault="00CA1D16" w:rsidP="00CA1D16">
      <w:pPr>
        <w:shd w:val="clear" w:color="auto" w:fill="FFFFFF" w:themeFill="background1"/>
        <w:spacing w:after="0"/>
        <w:rPr>
          <w:rFonts w:ascii="Arial" w:eastAsia="Arial" w:hAnsi="Arial" w:cs="Arial"/>
          <w:color w:val="222222"/>
        </w:rPr>
      </w:pPr>
    </w:p>
    <w:p w14:paraId="1272E50C" w14:textId="77777777" w:rsidR="00CA1D16" w:rsidRDefault="00CA1D16" w:rsidP="00CA1D16">
      <w:pPr>
        <w:shd w:val="clear" w:color="auto" w:fill="FFFFFF" w:themeFill="background1"/>
        <w:spacing w:after="0"/>
        <w:rPr>
          <w:rFonts w:ascii="Arial" w:eastAsia="Arial" w:hAnsi="Arial" w:cs="Arial"/>
          <w:color w:val="222222"/>
        </w:rPr>
      </w:pPr>
    </w:p>
    <w:p w14:paraId="42D0D08D" w14:textId="77777777" w:rsidR="00CA1D16" w:rsidRDefault="00CA1D16" w:rsidP="00CA1D16">
      <w:pPr>
        <w:shd w:val="clear" w:color="auto" w:fill="FFFFFF" w:themeFill="background1"/>
        <w:spacing w:after="0"/>
        <w:rPr>
          <w:rFonts w:ascii="Arial" w:eastAsia="Arial" w:hAnsi="Arial" w:cs="Arial"/>
          <w:color w:val="222222"/>
        </w:rPr>
      </w:pPr>
    </w:p>
    <w:p w14:paraId="6F4E370A" w14:textId="5CC9BFD2" w:rsidR="00CA1D16" w:rsidRDefault="00CA1D16" w:rsidP="00CA1D16">
      <w:pPr>
        <w:shd w:val="clear" w:color="auto" w:fill="FFFFFF" w:themeFill="background1"/>
        <w:spacing w:after="0"/>
        <w:rPr>
          <w:rFonts w:ascii="Arial" w:eastAsia="Arial" w:hAnsi="Arial" w:cs="Arial"/>
          <w:color w:val="222222"/>
        </w:rPr>
      </w:pPr>
      <w:r w:rsidRPr="1D011473">
        <w:rPr>
          <w:rFonts w:ascii="Arial" w:eastAsia="Arial" w:hAnsi="Arial" w:cs="Arial"/>
          <w:color w:val="222222"/>
        </w:rPr>
        <w:t>Name:  Navid Khan</w:t>
      </w:r>
    </w:p>
    <w:p w14:paraId="26A262C9" w14:textId="77777777" w:rsidR="00CA1D16" w:rsidRDefault="00CA1D16" w:rsidP="00CA1D16">
      <w:pPr>
        <w:shd w:val="clear" w:color="auto" w:fill="FFFFFF" w:themeFill="background1"/>
        <w:spacing w:after="0"/>
        <w:rPr>
          <w:rFonts w:ascii="Arial" w:eastAsia="Arial" w:hAnsi="Arial" w:cs="Arial"/>
          <w:color w:val="222222"/>
        </w:rPr>
      </w:pPr>
      <w:r w:rsidRPr="1D011473">
        <w:rPr>
          <w:rFonts w:ascii="Arial" w:eastAsia="Arial" w:hAnsi="Arial" w:cs="Arial"/>
          <w:color w:val="222222"/>
        </w:rPr>
        <w:t>Student Id: 2419328</w:t>
      </w:r>
    </w:p>
    <w:p w14:paraId="3EB47F14" w14:textId="77777777" w:rsidR="00CA1D16" w:rsidRDefault="00CA1D16" w:rsidP="00CA1D16">
      <w:pPr>
        <w:shd w:val="clear" w:color="auto" w:fill="FFFFFF" w:themeFill="background1"/>
        <w:spacing w:after="0"/>
        <w:rPr>
          <w:rFonts w:ascii="Arial" w:eastAsia="Arial" w:hAnsi="Arial" w:cs="Arial"/>
          <w:color w:val="222222"/>
        </w:rPr>
      </w:pPr>
      <w:r w:rsidRPr="1D011473">
        <w:rPr>
          <w:rFonts w:ascii="Arial" w:eastAsia="Arial" w:hAnsi="Arial" w:cs="Arial"/>
          <w:color w:val="222222"/>
        </w:rPr>
        <w:t>Lecturer: Dr Sani</w:t>
      </w:r>
    </w:p>
    <w:p w14:paraId="2D7BF5BD" w14:textId="77777777" w:rsidR="00CA1D16" w:rsidRDefault="00CA1D16" w:rsidP="00CA1D16">
      <w:pPr>
        <w:shd w:val="clear" w:color="auto" w:fill="FFFFFF" w:themeFill="background1"/>
        <w:spacing w:after="0"/>
      </w:pPr>
      <w:r w:rsidRPr="1D011473">
        <w:rPr>
          <w:rFonts w:ascii="Arial" w:eastAsia="Arial" w:hAnsi="Arial" w:cs="Arial"/>
          <w:color w:val="222222"/>
        </w:rPr>
        <w:t>Module: LCLM5003</w:t>
      </w:r>
    </w:p>
    <w:p w14:paraId="078F147A" w14:textId="77777777" w:rsidR="00CA1D16" w:rsidRDefault="00CA1D16" w:rsidP="00CA1D16">
      <w:pPr>
        <w:shd w:val="clear" w:color="auto" w:fill="FFFFFF" w:themeFill="background1"/>
        <w:spacing w:after="0"/>
        <w:rPr>
          <w:rFonts w:ascii="Arial" w:eastAsia="Arial" w:hAnsi="Arial" w:cs="Arial"/>
          <w:color w:val="222222"/>
        </w:rPr>
      </w:pPr>
    </w:p>
    <w:p w14:paraId="1711445F" w14:textId="77777777" w:rsidR="00CA1D16" w:rsidRDefault="00CA1D16" w:rsidP="00CA1D16">
      <w:pPr>
        <w:shd w:val="clear" w:color="auto" w:fill="FFFFFF" w:themeFill="background1"/>
        <w:spacing w:after="0"/>
      </w:pPr>
      <w:r w:rsidRPr="1D011473">
        <w:rPr>
          <w:rFonts w:ascii="Arial" w:eastAsia="Arial" w:hAnsi="Arial" w:cs="Arial"/>
          <w:color w:val="222222"/>
          <w:sz w:val="32"/>
          <w:szCs w:val="32"/>
        </w:rPr>
        <w:t>Part B – Critical Reflection on Tutor and Peer Feedback</w:t>
      </w:r>
    </w:p>
    <w:p w14:paraId="0C789EE5" w14:textId="77777777" w:rsidR="00CA1D16" w:rsidRDefault="00CA1D16" w:rsidP="00CA1D16">
      <w:pPr>
        <w:shd w:val="clear" w:color="auto" w:fill="FFFFFF" w:themeFill="background1"/>
        <w:spacing w:after="0"/>
        <w:rPr>
          <w:rFonts w:ascii="Arial" w:eastAsia="Arial" w:hAnsi="Arial" w:cs="Arial"/>
          <w:color w:val="222222"/>
          <w:sz w:val="32"/>
          <w:szCs w:val="32"/>
        </w:rPr>
      </w:pPr>
    </w:p>
    <w:p w14:paraId="0A747B61" w14:textId="77777777" w:rsidR="00CA1D16" w:rsidRDefault="00CA1D16" w:rsidP="00CA1D16">
      <w:pPr>
        <w:shd w:val="clear" w:color="auto" w:fill="FFFFFF" w:themeFill="background1"/>
        <w:spacing w:after="0"/>
      </w:pPr>
      <w:r w:rsidRPr="1D011473">
        <w:rPr>
          <w:rFonts w:ascii="Arial" w:eastAsia="Arial" w:hAnsi="Arial" w:cs="Arial"/>
          <w:color w:val="222222"/>
        </w:rPr>
        <w:t>The feedback I received from my tutor, Dr. Kareem Folohunso Sani, was highly encouraging and confirmed that my poster successfully demonstrated the application of project management principles to the redevelopment of the central transport hub. Overall, the feedback recognized that the poster exceeded the basic assessment requirements and achieved a professional standard. This gave me confidence that I had selected an appropriate project, structured the information logically, and communicated the key concepts clearly to both technical and non-technical audiences.</w:t>
      </w:r>
    </w:p>
    <w:p w14:paraId="31ADF6F4" w14:textId="77777777" w:rsidR="00CA1D16" w:rsidRDefault="00CA1D16" w:rsidP="00CA1D16">
      <w:pPr>
        <w:shd w:val="clear" w:color="auto" w:fill="FFFFFF" w:themeFill="background1"/>
        <w:spacing w:after="0"/>
      </w:pPr>
      <w:r w:rsidRPr="1D011473">
        <w:rPr>
          <w:rFonts w:ascii="Arial" w:eastAsia="Arial" w:hAnsi="Arial" w:cs="Arial"/>
          <w:color w:val="222222"/>
        </w:rPr>
        <w:t>One of the main strengths identified was the overall presentation and organization of the poster. The layout was described as professional, visually engaging and easy to follow, allowing readers to understand the project without unnecessary complexity. I believe this was achieved by presenting each section in a logical order, beginning with the project background before moving through the aims, objectives, scope, project lifecycle, stakeholder analysis, risk management, and strategic value. This structure helped demonstrate a clear understanding of the project management process from initiation through to closure.</w:t>
      </w:r>
    </w:p>
    <w:p w14:paraId="79E7C9C0" w14:textId="77777777" w:rsidR="00CA1D16" w:rsidRDefault="00CA1D16" w:rsidP="00CA1D16">
      <w:pPr>
        <w:shd w:val="clear" w:color="auto" w:fill="FFFFFF" w:themeFill="background1"/>
        <w:spacing w:after="0"/>
      </w:pPr>
      <w:r w:rsidRPr="1D011473">
        <w:rPr>
          <w:rFonts w:ascii="Arial" w:eastAsia="Arial" w:hAnsi="Arial" w:cs="Arial"/>
          <w:color w:val="222222"/>
        </w:rPr>
        <w:t>Another important strength highlighted by the feedback was the effective application of recognized project management tools and techniques. The inclusion of the Work Breakdown Structure (WBS), Gantt chart, risk register, stakeholder analysis, project lifecycle model and project triangle demonstrated that I understood how these tools support planning, monitoring and controlling a complex infrastructure project. The feedback also recognized that I had successfully integrated project management theory with practical application by linking the redevelopment project to wider economic, environmental, and social benefits. Furthermore, the stakeholder analysis and risk assessment were praised for being comprehensive, while the strategic value section clearly explained how the project would contribute to economic growth, environmental sustainability and improved social inclusion.</w:t>
      </w:r>
    </w:p>
    <w:p w14:paraId="4C33C628" w14:textId="77777777" w:rsidR="00CA1D16" w:rsidRDefault="00CA1D16" w:rsidP="00CA1D16">
      <w:pPr>
        <w:shd w:val="clear" w:color="auto" w:fill="FFFFFF" w:themeFill="background1"/>
        <w:spacing w:after="0"/>
      </w:pPr>
      <w:r w:rsidRPr="1D011473">
        <w:rPr>
          <w:rFonts w:ascii="Arial" w:eastAsia="Arial" w:hAnsi="Arial" w:cs="Arial"/>
          <w:color w:val="222222"/>
        </w:rPr>
        <w:t xml:space="preserve">Although the overall feedback was extremely positive, it also identified areas where the work could be strengthened further. The first recommendation was to provide a deeper critical discussion of how risks and trade-offs would be managed throughout the project </w:t>
      </w:r>
      <w:r w:rsidRPr="1D011473">
        <w:rPr>
          <w:rFonts w:ascii="Arial" w:eastAsia="Arial" w:hAnsi="Arial" w:cs="Arial"/>
          <w:color w:val="222222"/>
        </w:rPr>
        <w:lastRenderedPageBreak/>
        <w:t>lifecycle. While I identified key risks such as construction delays, budget overruns, and supply chain disruption, I mainly described these risks rather than critically evaluating how they would be monitored, controlled, and mitigated. In my final project plan, I will expand this section by explaining specific mitigation strategies, contingency planning, regular risk reviews, performance monitoring and the responsibilities of the project team in managing risks throughout each phase of the project lifecycle. This will demonstrate a more critical understanding of project risk management rather than simply identifying potential issues.</w:t>
      </w:r>
    </w:p>
    <w:p w14:paraId="7945CCA9" w14:textId="77777777" w:rsidR="00CA1D16" w:rsidRDefault="00CA1D16" w:rsidP="00CA1D16">
      <w:pPr>
        <w:shd w:val="clear" w:color="auto" w:fill="FFFFFF" w:themeFill="background1"/>
        <w:spacing w:after="0"/>
      </w:pPr>
      <w:r w:rsidRPr="1D011473">
        <w:rPr>
          <w:rFonts w:ascii="Arial" w:eastAsia="Arial" w:hAnsi="Arial" w:cs="Arial"/>
          <w:color w:val="222222"/>
        </w:rPr>
        <w:t>The second area for improvement was to strengthen the connection between the project management tools and the project outcomes. In the final project plan, I will explain more clearly how the Work Breakdown Structure supports resource allocation, how the Gantt chart improves scheduling and progress monitoring, how stakeholder analysis enhances communication and engagement, and how the risk register contributes to proactive decision-making throughout the project. I will also explain how these tools work together to improve project performance and increase the likelihood of delivering the project on time, within budget, and to the required quality standards.</w:t>
      </w:r>
    </w:p>
    <w:p w14:paraId="05C97153" w14:textId="77777777" w:rsidR="00CA1D16" w:rsidRDefault="00CA1D16" w:rsidP="00CA1D16">
      <w:pPr>
        <w:shd w:val="clear" w:color="auto" w:fill="FFFFFF" w:themeFill="background1"/>
        <w:spacing w:after="0"/>
      </w:pPr>
      <w:r w:rsidRPr="1D011473">
        <w:rPr>
          <w:rFonts w:ascii="Arial" w:eastAsia="Arial" w:hAnsi="Arial" w:cs="Arial"/>
          <w:color w:val="222222"/>
        </w:rPr>
        <w:t>Overall, the feedback has been extremely valuable in shaping my final project management plan. It confirmed that the foundation of my work is strong while identifying opportunities to improve the depth of analysis and critical evaluation. By acting on these recommendations, I will produce a more comprehensive, evidence-based, and professionally presented project plan that demonstrates both academic understanding and practical project management skills. The feedback has also reinforced the importance of continuous improvement, critical reflection, and effective communication, all of which are essential qualities of a successful project manager.</w:t>
      </w:r>
    </w:p>
    <w:p w14:paraId="47311724" w14:textId="77777777" w:rsidR="00CA1D16" w:rsidRDefault="00CA1D16">
      <w:pPr>
        <w:spacing w:after="143" w:line="259" w:lineRule="auto"/>
        <w:ind w:left="-5"/>
        <w:rPr>
          <w:b/>
          <w:color w:val="0F4761"/>
          <w:sz w:val="48"/>
        </w:rPr>
      </w:pPr>
    </w:p>
    <w:p w14:paraId="6FDB9CF3" w14:textId="77777777" w:rsidR="00CA1D16" w:rsidRDefault="00CA1D16">
      <w:pPr>
        <w:spacing w:after="143" w:line="259" w:lineRule="auto"/>
        <w:ind w:left="-5"/>
        <w:rPr>
          <w:b/>
          <w:color w:val="0F4761"/>
          <w:sz w:val="48"/>
        </w:rPr>
      </w:pPr>
    </w:p>
    <w:p w14:paraId="2976F4E1" w14:textId="77777777" w:rsidR="00CA1D16" w:rsidRDefault="00CA1D16">
      <w:pPr>
        <w:spacing w:after="143" w:line="259" w:lineRule="auto"/>
        <w:ind w:left="-5"/>
        <w:rPr>
          <w:b/>
          <w:color w:val="0F4761"/>
          <w:sz w:val="48"/>
        </w:rPr>
      </w:pPr>
    </w:p>
    <w:p w14:paraId="50BE64B4" w14:textId="77777777" w:rsidR="00CA1D16" w:rsidRDefault="00CA1D16">
      <w:pPr>
        <w:spacing w:after="143" w:line="259" w:lineRule="auto"/>
        <w:ind w:left="-5"/>
        <w:rPr>
          <w:b/>
          <w:color w:val="0F4761"/>
          <w:sz w:val="48"/>
        </w:rPr>
      </w:pPr>
    </w:p>
    <w:p w14:paraId="764090CC" w14:textId="77777777" w:rsidR="00CA1D16" w:rsidRDefault="00CA1D16">
      <w:pPr>
        <w:spacing w:after="143" w:line="259" w:lineRule="auto"/>
        <w:ind w:left="-5"/>
        <w:rPr>
          <w:b/>
          <w:color w:val="0F4761"/>
          <w:sz w:val="48"/>
        </w:rPr>
      </w:pPr>
    </w:p>
    <w:p w14:paraId="62A89F41" w14:textId="77777777" w:rsidR="00CA1D16" w:rsidRDefault="00CA1D16">
      <w:pPr>
        <w:spacing w:after="143" w:line="259" w:lineRule="auto"/>
        <w:ind w:left="-5"/>
        <w:rPr>
          <w:b/>
          <w:color w:val="0F4761"/>
          <w:sz w:val="48"/>
        </w:rPr>
      </w:pPr>
    </w:p>
    <w:p w14:paraId="66E5C7DD" w14:textId="77777777" w:rsidR="00CA1D16" w:rsidRDefault="00CA1D16">
      <w:pPr>
        <w:spacing w:after="143" w:line="259" w:lineRule="auto"/>
        <w:ind w:left="-5"/>
        <w:rPr>
          <w:b/>
          <w:color w:val="0F4761"/>
          <w:sz w:val="48"/>
        </w:rPr>
      </w:pPr>
    </w:p>
    <w:p w14:paraId="37FC90DD" w14:textId="77777777" w:rsidR="00CA1D16" w:rsidRDefault="00CA1D16">
      <w:pPr>
        <w:spacing w:after="143" w:line="259" w:lineRule="auto"/>
        <w:ind w:left="-5"/>
        <w:rPr>
          <w:b/>
          <w:color w:val="0F4761"/>
          <w:sz w:val="48"/>
        </w:rPr>
      </w:pPr>
    </w:p>
    <w:p w14:paraId="0ACA044F" w14:textId="183157A8" w:rsidR="00186B2F" w:rsidRDefault="00000000">
      <w:pPr>
        <w:spacing w:after="143" w:line="259" w:lineRule="auto"/>
        <w:ind w:left="-5"/>
      </w:pPr>
      <w:r>
        <w:rPr>
          <w:b/>
          <w:color w:val="0F4761"/>
          <w:sz w:val="48"/>
        </w:rPr>
        <w:t>Project Management Plan</w:t>
      </w:r>
      <w:r>
        <w:rPr>
          <w:color w:val="0F4761"/>
          <w:sz w:val="40"/>
        </w:rPr>
        <w:t xml:space="preserve"> </w:t>
      </w:r>
    </w:p>
    <w:p w14:paraId="0313F723" w14:textId="77777777" w:rsidR="00186B2F" w:rsidRDefault="00000000">
      <w:pPr>
        <w:ind w:left="-5" w:right="10"/>
      </w:pPr>
      <w:r>
        <w:rPr>
          <w:b/>
        </w:rPr>
        <w:t>Project:</w:t>
      </w:r>
      <w:r>
        <w:t xml:space="preserve"> Redevelopment of the Central Transport Hub </w:t>
      </w:r>
    </w:p>
    <w:p w14:paraId="2FFCA22D" w14:textId="77777777" w:rsidR="00186B2F" w:rsidRDefault="00000000">
      <w:pPr>
        <w:ind w:left="-5" w:right="10"/>
      </w:pPr>
      <w:r>
        <w:rPr>
          <w:b/>
        </w:rPr>
        <w:t>Student:</w:t>
      </w:r>
      <w:r>
        <w:t xml:space="preserve"> Navid Khan </w:t>
      </w:r>
    </w:p>
    <w:p w14:paraId="09E6757D" w14:textId="77777777" w:rsidR="00186B2F" w:rsidRDefault="00000000">
      <w:pPr>
        <w:ind w:left="-5" w:right="10"/>
      </w:pPr>
      <w:r>
        <w:t xml:space="preserve">Student Id: 2419328 </w:t>
      </w:r>
    </w:p>
    <w:p w14:paraId="6935FE6B" w14:textId="77777777" w:rsidR="00186B2F" w:rsidRDefault="00000000">
      <w:pPr>
        <w:ind w:left="-5" w:right="10"/>
      </w:pPr>
      <w:r>
        <w:rPr>
          <w:b/>
        </w:rPr>
        <w:t>Module:</w:t>
      </w:r>
      <w:r>
        <w:t xml:space="preserve"> LCLM5003 </w:t>
      </w:r>
    </w:p>
    <w:p w14:paraId="576E500C" w14:textId="77777777" w:rsidR="00186B2F" w:rsidRDefault="00000000">
      <w:pPr>
        <w:ind w:left="-5" w:right="10"/>
      </w:pPr>
      <w:r>
        <w:t xml:space="preserve">Lecturer: </w:t>
      </w:r>
      <w:proofErr w:type="gramStart"/>
      <w:r>
        <w:t>Dr  Sani</w:t>
      </w:r>
      <w:proofErr w:type="gramEnd"/>
      <w:r>
        <w:t xml:space="preserve"> </w:t>
      </w:r>
    </w:p>
    <w:p w14:paraId="3E01BBE5" w14:textId="77777777" w:rsidR="00186B2F" w:rsidRDefault="00000000">
      <w:pPr>
        <w:spacing w:after="575" w:line="259" w:lineRule="auto"/>
        <w:ind w:left="0" w:firstLine="0"/>
      </w:pPr>
      <w:r>
        <w:t xml:space="preserve"> </w:t>
      </w:r>
    </w:p>
    <w:p w14:paraId="63920A5E" w14:textId="77777777" w:rsidR="00186B2F" w:rsidRDefault="00000000">
      <w:pPr>
        <w:pStyle w:val="Heading1"/>
        <w:ind w:left="-5"/>
      </w:pPr>
      <w:r>
        <w:t xml:space="preserve">1. Introduction </w:t>
      </w:r>
      <w:r>
        <w:rPr>
          <w:b w:val="0"/>
          <w:sz w:val="40"/>
        </w:rPr>
        <w:t xml:space="preserve"> </w:t>
      </w:r>
    </w:p>
    <w:p w14:paraId="74A4B19B" w14:textId="77777777" w:rsidR="00186B2F" w:rsidRDefault="00000000">
      <w:pPr>
        <w:ind w:left="-5" w:right="10"/>
      </w:pPr>
      <w:r>
        <w:t xml:space="preserve">Project management provides organisations with a structured approach for delivering complex initiatives within agreed constraints of scope, time, cost and quality. Infrastructure projects are particularly dependent on effective project management because they involve multiple stakeholders, substantial financial investment, regulatory compliance and significant operational risks. Applying recognised project management methodologies helps ensure that objectives are achieved while balancing competing stakeholder expectations and managing uncertainty throughout the project lifecycle (Project Management Institute, 2021). </w:t>
      </w:r>
    </w:p>
    <w:p w14:paraId="6D3E7201" w14:textId="77777777" w:rsidR="00186B2F" w:rsidRDefault="00000000">
      <w:pPr>
        <w:ind w:left="-5" w:right="10"/>
      </w:pPr>
      <w:r>
        <w:t xml:space="preserve">In November 2025, a major metropolitan city in the United Kingdom announced an urgent regeneration programme following the closure of its central transport hub after structural inspections identified significant safety, accessibility and operational deficiencies. The transport hub had served as a critical interchange connecting rail services, bus networks and freight logistics for more than four decades. Its closure created widespread disruption to commuters, businesses and supply chains, resulting in economic losses, reduced public confidence and increased pressure on local authorities to restore transport capacity quickly. </w:t>
      </w:r>
    </w:p>
    <w:p w14:paraId="0FA88362" w14:textId="77777777" w:rsidR="00186B2F" w:rsidRDefault="00000000">
      <w:pPr>
        <w:spacing w:after="0" w:line="259" w:lineRule="auto"/>
        <w:ind w:left="0" w:firstLine="0"/>
      </w:pPr>
      <w:r>
        <w:t xml:space="preserve"> </w:t>
      </w:r>
    </w:p>
    <w:p w14:paraId="4EC4F32F" w14:textId="77777777" w:rsidR="00186B2F" w:rsidRDefault="00000000">
      <w:pPr>
        <w:pStyle w:val="Heading1"/>
        <w:spacing w:after="63"/>
        <w:ind w:left="-5"/>
      </w:pPr>
      <w:r>
        <w:t xml:space="preserve">2. Project Description </w:t>
      </w:r>
      <w:r>
        <w:rPr>
          <w:b w:val="0"/>
          <w:sz w:val="40"/>
        </w:rPr>
        <w:t xml:space="preserve"> </w:t>
      </w:r>
    </w:p>
    <w:p w14:paraId="74B22ED5" w14:textId="77777777" w:rsidR="00186B2F" w:rsidRDefault="00000000">
      <w:pPr>
        <w:ind w:left="-5" w:right="10"/>
      </w:pPr>
      <w:r>
        <w:t xml:space="preserve">The proposed project involves the complete redevelopment of the city's central transport hub to replace ageing infrastructure with a modern transport interchange capable of meeting </w:t>
      </w:r>
      <w:r>
        <w:lastRenderedPageBreak/>
        <w:t xml:space="preserve">current and future transport demands. Rather than undertaking isolated repairs, the project adopts a long-term regeneration approach that addresses structural integrity, passenger safety, operational efficiency and environmental sustainability simultaneously. </w:t>
      </w:r>
    </w:p>
    <w:p w14:paraId="72BB9CA2" w14:textId="77777777" w:rsidR="00186B2F" w:rsidRDefault="00000000">
      <w:pPr>
        <w:ind w:left="-5" w:right="10"/>
      </w:pPr>
      <w:r>
        <w:t xml:space="preserve">The redevelopment will create an integrated transport facility that accommodates rail, bus and freight operations within a single coordinated infrastructure. Accessibility improvements will ensure compliance with current legislation by incorporating step-free access, tactile paving, improved signage, hearing assistance systems and inclusive passenger facilities. The project will also introduce smart technologies including digital passenger information systems, real-time service monitoring and intelligent traffic management systems to improve operational efficiency and enhance passenger experience. </w:t>
      </w:r>
    </w:p>
    <w:p w14:paraId="2274EB6A" w14:textId="77777777" w:rsidR="00186B2F" w:rsidRDefault="00000000">
      <w:pPr>
        <w:spacing w:after="240" w:line="279" w:lineRule="auto"/>
        <w:ind w:left="-5" w:right="220"/>
        <w:jc w:val="both"/>
      </w:pPr>
      <w:r>
        <w:t xml:space="preserve">Environmental sustainability forms a central component of the redevelopment strategy. The design incorporates energy-efficient lighting, renewable energy generation where practical, sustainable construction materials and improved public transport connectivity to support national net-zero objectives.  </w:t>
      </w:r>
    </w:p>
    <w:p w14:paraId="7A77FF05" w14:textId="77777777" w:rsidR="00186B2F" w:rsidRDefault="00000000">
      <w:pPr>
        <w:ind w:left="-5" w:right="10"/>
      </w:pPr>
      <w:r>
        <w:t xml:space="preserve">Given the strategic importance of the transport hub, the project requires careful coordination between local government, transport operators, contractors, regulatory bodies, businesses and members of the public. Maintaining stakeholder engagement throughout the project will be essential to minimise disruption, manage expectations and maintain public confidence during construction. </w:t>
      </w:r>
    </w:p>
    <w:p w14:paraId="687F67E3" w14:textId="77777777" w:rsidR="00186B2F" w:rsidRDefault="00000000">
      <w:pPr>
        <w:ind w:left="-5" w:right="10"/>
      </w:pPr>
      <w:r>
        <w:t xml:space="preserve">The project will follow the recognised project lifecycle consisting of initiation, planning, execution, monitoring and controlling, and closure (PMI, 2021).  </w:t>
      </w:r>
    </w:p>
    <w:p w14:paraId="7AC16014" w14:textId="77777777" w:rsidR="00186B2F" w:rsidRDefault="00000000">
      <w:pPr>
        <w:spacing w:after="575" w:line="259" w:lineRule="auto"/>
        <w:ind w:left="0" w:firstLine="0"/>
      </w:pPr>
      <w:r>
        <w:t xml:space="preserve"> </w:t>
      </w:r>
    </w:p>
    <w:p w14:paraId="678FDFB1" w14:textId="77777777" w:rsidR="00186B2F" w:rsidRDefault="00000000">
      <w:pPr>
        <w:pStyle w:val="Heading1"/>
        <w:ind w:left="-5"/>
      </w:pPr>
      <w:r>
        <w:t xml:space="preserve">3. Project Scope </w:t>
      </w:r>
      <w:r>
        <w:rPr>
          <w:b w:val="0"/>
          <w:sz w:val="40"/>
        </w:rPr>
        <w:t xml:space="preserve"> </w:t>
      </w:r>
    </w:p>
    <w:p w14:paraId="15857008" w14:textId="77777777" w:rsidR="00186B2F" w:rsidRDefault="00000000">
      <w:pPr>
        <w:spacing w:after="328"/>
        <w:ind w:left="-5" w:right="10"/>
      </w:pPr>
      <w:r>
        <w:t xml:space="preserve">Clearly defining project scope is essential for preventing scope creep, maintaining stakeholder expectations and ensuring effective control of project resources throughout delivery (Kerzner, 2022). For a project of this scale, establishing clear boundaries enables the project team to focus on agreed objectives while reducing the likelihood of unnecessary changes that may increase costs or delay completion. </w:t>
      </w:r>
    </w:p>
    <w:p w14:paraId="3B279782" w14:textId="77777777" w:rsidR="00186B2F" w:rsidRDefault="00000000">
      <w:pPr>
        <w:pStyle w:val="Heading2"/>
        <w:spacing w:after="271"/>
        <w:ind w:left="-5"/>
      </w:pPr>
      <w:r>
        <w:rPr>
          <w:sz w:val="28"/>
        </w:rPr>
        <w:lastRenderedPageBreak/>
        <w:t>Project Objectives</w:t>
      </w:r>
      <w:r>
        <w:rPr>
          <w:b w:val="0"/>
          <w:sz w:val="28"/>
        </w:rPr>
        <w:t xml:space="preserve"> </w:t>
      </w:r>
    </w:p>
    <w:p w14:paraId="78EC1D55" w14:textId="77777777" w:rsidR="00186B2F" w:rsidRDefault="00000000">
      <w:pPr>
        <w:spacing w:after="0" w:line="449" w:lineRule="auto"/>
        <w:ind w:left="346" w:right="1326" w:hanging="361"/>
      </w:pPr>
      <w:r>
        <w:t xml:space="preserve">The redevelopment project seeks to: </w:t>
      </w:r>
      <w:r>
        <w:rPr>
          <w:rFonts w:ascii="Segoe UI Symbol" w:eastAsia="Segoe UI Symbol" w:hAnsi="Segoe UI Symbol" w:cs="Segoe UI Symbol"/>
        </w:rPr>
        <w:t>•</w:t>
      </w:r>
      <w:r>
        <w:rPr>
          <w:rFonts w:ascii="Arial" w:eastAsia="Arial" w:hAnsi="Arial" w:cs="Arial"/>
        </w:rPr>
        <w:t xml:space="preserve"> </w:t>
      </w:r>
      <w:r>
        <w:t xml:space="preserve">Restore full transport capacity following the closure of the existing hub.  </w:t>
      </w:r>
    </w:p>
    <w:p w14:paraId="152E2E2F" w14:textId="77777777" w:rsidR="00186B2F" w:rsidRDefault="00000000">
      <w:pPr>
        <w:numPr>
          <w:ilvl w:val="0"/>
          <w:numId w:val="1"/>
        </w:numPr>
        <w:spacing w:after="24"/>
        <w:ind w:right="10" w:hanging="360"/>
      </w:pPr>
      <w:r>
        <w:t xml:space="preserve">Deliver a safe transport facility that complies with modern structural and safety standards.  </w:t>
      </w:r>
    </w:p>
    <w:p w14:paraId="27AE6E8F" w14:textId="77777777" w:rsidR="00186B2F" w:rsidRDefault="00000000">
      <w:pPr>
        <w:numPr>
          <w:ilvl w:val="0"/>
          <w:numId w:val="1"/>
        </w:numPr>
        <w:spacing w:after="0"/>
        <w:ind w:right="10" w:hanging="360"/>
      </w:pPr>
      <w:r>
        <w:t xml:space="preserve">Improve accessibility for all users through inclusive design principles.  </w:t>
      </w:r>
    </w:p>
    <w:p w14:paraId="69D4213D" w14:textId="77777777" w:rsidR="00186B2F" w:rsidRDefault="00000000">
      <w:pPr>
        <w:numPr>
          <w:ilvl w:val="0"/>
          <w:numId w:val="1"/>
        </w:numPr>
        <w:spacing w:after="326"/>
        <w:ind w:right="10" w:hanging="360"/>
      </w:pPr>
      <w:r>
        <w:t xml:space="preserve">Introduce digital technologies that improve passenger flow and operational efficiency.  </w:t>
      </w:r>
    </w:p>
    <w:p w14:paraId="0A0C1155" w14:textId="77777777" w:rsidR="00186B2F" w:rsidRDefault="00000000">
      <w:pPr>
        <w:pStyle w:val="Heading2"/>
        <w:spacing w:after="271"/>
        <w:ind w:left="-5"/>
      </w:pPr>
      <w:r>
        <w:rPr>
          <w:sz w:val="28"/>
        </w:rPr>
        <w:t>In Scope</w:t>
      </w:r>
      <w:r>
        <w:rPr>
          <w:b w:val="0"/>
          <w:sz w:val="28"/>
        </w:rPr>
        <w:t xml:space="preserve"> </w:t>
      </w:r>
    </w:p>
    <w:p w14:paraId="0C019A23" w14:textId="77777777" w:rsidR="00186B2F" w:rsidRDefault="00000000">
      <w:pPr>
        <w:ind w:left="-5" w:right="10"/>
      </w:pPr>
      <w:r>
        <w:t xml:space="preserve">The project includes: </w:t>
      </w:r>
    </w:p>
    <w:p w14:paraId="3482E34B" w14:textId="77777777" w:rsidR="00186B2F" w:rsidRDefault="00000000">
      <w:pPr>
        <w:numPr>
          <w:ilvl w:val="0"/>
          <w:numId w:val="2"/>
        </w:numPr>
        <w:spacing w:after="1"/>
        <w:ind w:right="10" w:hanging="360"/>
      </w:pPr>
      <w:r>
        <w:t xml:space="preserve">Demolition of structurally unsafe infrastructure.  </w:t>
      </w:r>
    </w:p>
    <w:p w14:paraId="1C567F07" w14:textId="77777777" w:rsidR="00186B2F" w:rsidRDefault="00000000">
      <w:pPr>
        <w:numPr>
          <w:ilvl w:val="0"/>
          <w:numId w:val="2"/>
        </w:numPr>
        <w:spacing w:after="2"/>
        <w:ind w:right="10" w:hanging="360"/>
      </w:pPr>
      <w:r>
        <w:t xml:space="preserve">Construction of a new transport interchange.  </w:t>
      </w:r>
    </w:p>
    <w:p w14:paraId="3D53EDA9" w14:textId="77777777" w:rsidR="00186B2F" w:rsidRDefault="00000000">
      <w:pPr>
        <w:numPr>
          <w:ilvl w:val="0"/>
          <w:numId w:val="2"/>
        </w:numPr>
        <w:spacing w:after="6"/>
        <w:ind w:right="10" w:hanging="360"/>
      </w:pPr>
      <w:r>
        <w:t xml:space="preserve">Rail, bus and freight integration.  </w:t>
      </w:r>
    </w:p>
    <w:p w14:paraId="57D1361F" w14:textId="77777777" w:rsidR="00186B2F" w:rsidRDefault="00000000">
      <w:pPr>
        <w:numPr>
          <w:ilvl w:val="0"/>
          <w:numId w:val="2"/>
        </w:numPr>
        <w:spacing w:after="2"/>
        <w:ind w:right="10" w:hanging="360"/>
      </w:pPr>
      <w:r>
        <w:t xml:space="preserve">Digital passenger information systems.  </w:t>
      </w:r>
    </w:p>
    <w:p w14:paraId="10163947" w14:textId="77777777" w:rsidR="00186B2F" w:rsidRDefault="00000000">
      <w:pPr>
        <w:numPr>
          <w:ilvl w:val="0"/>
          <w:numId w:val="2"/>
        </w:numPr>
        <w:spacing w:after="2"/>
        <w:ind w:right="10" w:hanging="360"/>
      </w:pPr>
      <w:r>
        <w:t xml:space="preserve">Intelligent traffic management technology.  </w:t>
      </w:r>
    </w:p>
    <w:p w14:paraId="3FA00F7E" w14:textId="77777777" w:rsidR="00186B2F" w:rsidRDefault="00000000">
      <w:pPr>
        <w:numPr>
          <w:ilvl w:val="0"/>
          <w:numId w:val="2"/>
        </w:numPr>
        <w:spacing w:after="1"/>
        <w:ind w:right="10" w:hanging="360"/>
      </w:pPr>
      <w:r>
        <w:t xml:space="preserve">Accessibility improvements.  </w:t>
      </w:r>
    </w:p>
    <w:p w14:paraId="7A7F1F2D" w14:textId="77777777" w:rsidR="00186B2F" w:rsidRDefault="00000000">
      <w:pPr>
        <w:numPr>
          <w:ilvl w:val="0"/>
          <w:numId w:val="2"/>
        </w:numPr>
        <w:spacing w:after="6"/>
        <w:ind w:right="10" w:hanging="360"/>
      </w:pPr>
      <w:r>
        <w:t xml:space="preserve">Environmental sustainability measures.  </w:t>
      </w:r>
    </w:p>
    <w:p w14:paraId="79DBE958" w14:textId="77777777" w:rsidR="00186B2F" w:rsidRDefault="00000000">
      <w:pPr>
        <w:numPr>
          <w:ilvl w:val="0"/>
          <w:numId w:val="2"/>
        </w:numPr>
        <w:spacing w:after="304"/>
        <w:ind w:right="10" w:hanging="360"/>
      </w:pPr>
      <w:r>
        <w:t xml:space="preserve">Final commissioning and project close-out.  </w:t>
      </w:r>
    </w:p>
    <w:p w14:paraId="0493D9AC" w14:textId="77777777" w:rsidR="00186B2F" w:rsidRDefault="00000000">
      <w:pPr>
        <w:pStyle w:val="Heading2"/>
        <w:spacing w:after="271"/>
        <w:ind w:left="-5"/>
      </w:pPr>
      <w:r>
        <w:rPr>
          <w:sz w:val="28"/>
        </w:rPr>
        <w:t>Out of Scope</w:t>
      </w:r>
      <w:r>
        <w:rPr>
          <w:b w:val="0"/>
          <w:sz w:val="28"/>
        </w:rPr>
        <w:t xml:space="preserve"> </w:t>
      </w:r>
    </w:p>
    <w:p w14:paraId="371242F9" w14:textId="77777777" w:rsidR="00186B2F" w:rsidRDefault="00000000">
      <w:pPr>
        <w:ind w:left="-5" w:right="10"/>
      </w:pPr>
      <w:r>
        <w:t xml:space="preserve">To maintain project control, several activities remain outside the agreed project scope: </w:t>
      </w:r>
    </w:p>
    <w:p w14:paraId="52A019BB" w14:textId="77777777" w:rsidR="00186B2F" w:rsidRDefault="00000000">
      <w:pPr>
        <w:numPr>
          <w:ilvl w:val="0"/>
          <w:numId w:val="3"/>
        </w:numPr>
        <w:spacing w:after="1"/>
        <w:ind w:right="10" w:hanging="360"/>
      </w:pPr>
      <w:r>
        <w:t xml:space="preserve">Expansion of transport services beyond existing operational requirements.  </w:t>
      </w:r>
    </w:p>
    <w:p w14:paraId="6307FB84" w14:textId="77777777" w:rsidR="00186B2F" w:rsidRDefault="00000000">
      <w:pPr>
        <w:numPr>
          <w:ilvl w:val="0"/>
          <w:numId w:val="3"/>
        </w:numPr>
        <w:spacing w:after="5"/>
        <w:ind w:right="10" w:hanging="360"/>
      </w:pPr>
      <w:r>
        <w:t xml:space="preserve">Procurement of additional train or bus fleets.  </w:t>
      </w:r>
    </w:p>
    <w:p w14:paraId="4448D5F6" w14:textId="77777777" w:rsidR="00186B2F" w:rsidRDefault="00000000">
      <w:pPr>
        <w:numPr>
          <w:ilvl w:val="0"/>
          <w:numId w:val="3"/>
        </w:numPr>
        <w:spacing w:after="0"/>
        <w:ind w:right="10" w:hanging="360"/>
      </w:pPr>
      <w:r>
        <w:t xml:space="preserve">Residential or commercial developments adjacent to the transport hub.  </w:t>
      </w:r>
    </w:p>
    <w:p w14:paraId="3945247F" w14:textId="77777777" w:rsidR="00186B2F" w:rsidRDefault="00000000">
      <w:pPr>
        <w:numPr>
          <w:ilvl w:val="0"/>
          <w:numId w:val="3"/>
        </w:numPr>
        <w:spacing w:after="0"/>
        <w:ind w:right="10" w:hanging="360"/>
      </w:pPr>
      <w:r>
        <w:t xml:space="preserve">Future city-wide transport network upgrades unrelated to the redevelopment.  </w:t>
      </w:r>
    </w:p>
    <w:p w14:paraId="2C95E5B8" w14:textId="77777777" w:rsidR="00186B2F" w:rsidRDefault="00000000">
      <w:pPr>
        <w:numPr>
          <w:ilvl w:val="0"/>
          <w:numId w:val="3"/>
        </w:numPr>
        <w:ind w:right="10" w:hanging="360"/>
      </w:pPr>
      <w:r>
        <w:t xml:space="preserve">Long-term maintenance beyond the agreed warranty period.  </w:t>
      </w:r>
    </w:p>
    <w:p w14:paraId="0D9A858F" w14:textId="77777777" w:rsidR="00186B2F" w:rsidRDefault="00000000">
      <w:pPr>
        <w:spacing w:after="474"/>
        <w:ind w:left="-5" w:right="10"/>
      </w:pPr>
      <w:r>
        <w:t xml:space="preserve">Clearly defining these boundaries enables project managers to control costs, allocate resources effectively and reduce unnecessary changes throughout delivery. Any proposed variation outside the approved scope would require formal approval through the project's change management process, ensuring that decisions are assessed against their impact on cost, schedule, quality and project objectives before implementation. </w:t>
      </w:r>
    </w:p>
    <w:p w14:paraId="7C027DE3" w14:textId="77777777" w:rsidR="00186B2F" w:rsidRDefault="00000000">
      <w:pPr>
        <w:pStyle w:val="Heading1"/>
        <w:spacing w:after="68"/>
        <w:ind w:left="0" w:firstLine="0"/>
      </w:pPr>
      <w:r>
        <w:rPr>
          <w:color w:val="000000"/>
        </w:rPr>
        <w:lastRenderedPageBreak/>
        <w:t>4. Work Breakdown Structure (WBS)</w:t>
      </w:r>
      <w:r>
        <w:rPr>
          <w:b w:val="0"/>
          <w:color w:val="000000"/>
          <w:sz w:val="24"/>
        </w:rPr>
        <w:t xml:space="preserve"> </w:t>
      </w:r>
    </w:p>
    <w:p w14:paraId="06A45D7D" w14:textId="77777777" w:rsidR="00186B2F" w:rsidRDefault="00000000">
      <w:pPr>
        <w:ind w:left="-5" w:right="10"/>
      </w:pPr>
      <w:r>
        <w:t xml:space="preserve">A Work Breakdown Structure (WBS) is a hierarchical planning tool that divides a complex project into smaller, manageable work packages. Breaking the project into clearly defined tasks improves planning accuracy, resource allocation, cost estimation and performance monitoring throughout the project lifecycle (PMI, 2021). For large infrastructure projects such as the redevelopment of the central transport hub, the WBS provides the foundation for scheduling, budgeting and assigning responsibilities. </w:t>
      </w:r>
    </w:p>
    <w:p w14:paraId="6AA326CD" w14:textId="77777777" w:rsidR="00186B2F" w:rsidRDefault="00000000">
      <w:pPr>
        <w:spacing w:after="287"/>
        <w:ind w:left="-5" w:right="10"/>
      </w:pPr>
      <w:r>
        <w:t xml:space="preserve">The redevelopment project has been divided into six principal phases, each containing a series of deliverable-based activities. This approach allows project managers to monitor progress more effectively while ensuring accountability across multidisciplinary project teams. </w:t>
      </w:r>
    </w:p>
    <w:p w14:paraId="10146EA0" w14:textId="77777777" w:rsidR="00186B2F" w:rsidRDefault="00000000">
      <w:pPr>
        <w:spacing w:after="186" w:line="259" w:lineRule="auto"/>
        <w:ind w:left="-5"/>
      </w:pPr>
      <w:r>
        <w:rPr>
          <w:b/>
          <w:color w:val="0F4761"/>
          <w:sz w:val="28"/>
        </w:rPr>
        <w:t>Figure 1:</w:t>
      </w:r>
      <w:r>
        <w:rPr>
          <w:color w:val="0F4761"/>
          <w:sz w:val="28"/>
        </w:rPr>
        <w:t xml:space="preserve"> </w:t>
      </w:r>
    </w:p>
    <w:p w14:paraId="7AE4B608" w14:textId="77777777" w:rsidR="00186B2F" w:rsidRDefault="00000000">
      <w:pPr>
        <w:spacing w:after="91" w:line="259" w:lineRule="auto"/>
        <w:ind w:left="0" w:firstLine="0"/>
      </w:pPr>
      <w:r>
        <w:rPr>
          <w:color w:val="0F4761"/>
          <w:sz w:val="28"/>
        </w:rPr>
        <w:t xml:space="preserve"> Redevelopment of Central Transport Hub  </w:t>
      </w:r>
    </w:p>
    <w:p w14:paraId="33283CCE" w14:textId="77777777" w:rsidR="00186B2F" w:rsidRDefault="00000000">
      <w:pPr>
        <w:numPr>
          <w:ilvl w:val="0"/>
          <w:numId w:val="4"/>
        </w:numPr>
        <w:spacing w:after="30"/>
        <w:ind w:right="4322" w:hanging="360"/>
      </w:pPr>
      <w:r>
        <w:t xml:space="preserve">1 Project </w:t>
      </w:r>
      <w:proofErr w:type="gramStart"/>
      <w:r>
        <w:t xml:space="preserve">Initiation  </w:t>
      </w:r>
      <w:proofErr w:type="spellStart"/>
      <w:r>
        <w:rPr>
          <w:rFonts w:ascii="Courier New" w:eastAsia="Courier New" w:hAnsi="Courier New" w:cs="Courier New"/>
        </w:rPr>
        <w:t>o</w:t>
      </w:r>
      <w:proofErr w:type="spellEnd"/>
      <w:proofErr w:type="gramEnd"/>
      <w:r>
        <w:rPr>
          <w:rFonts w:ascii="Arial" w:eastAsia="Arial" w:hAnsi="Arial" w:cs="Arial"/>
        </w:rPr>
        <w:t xml:space="preserve"> </w:t>
      </w:r>
      <w:r>
        <w:t xml:space="preserve">1.1 Business Case </w:t>
      </w:r>
      <w:r>
        <w:rPr>
          <w:rFonts w:ascii="Courier New" w:eastAsia="Courier New" w:hAnsi="Courier New" w:cs="Courier New"/>
        </w:rPr>
        <w:t>o</w:t>
      </w:r>
      <w:r>
        <w:rPr>
          <w:rFonts w:ascii="Arial" w:eastAsia="Arial" w:hAnsi="Arial" w:cs="Arial"/>
        </w:rPr>
        <w:t xml:space="preserve"> </w:t>
      </w:r>
      <w:r>
        <w:t xml:space="preserve">1.2 Feasibility Study </w:t>
      </w:r>
      <w:proofErr w:type="spellStart"/>
      <w:r>
        <w:rPr>
          <w:rFonts w:ascii="Courier New" w:eastAsia="Courier New" w:hAnsi="Courier New" w:cs="Courier New"/>
        </w:rPr>
        <w:t>o</w:t>
      </w:r>
      <w:proofErr w:type="spellEnd"/>
      <w:r>
        <w:rPr>
          <w:rFonts w:ascii="Arial" w:eastAsia="Arial" w:hAnsi="Arial" w:cs="Arial"/>
        </w:rPr>
        <w:t xml:space="preserve"> </w:t>
      </w:r>
      <w:r>
        <w:t xml:space="preserve">1.3 Project Approval and Funding </w:t>
      </w:r>
    </w:p>
    <w:p w14:paraId="29B173E5" w14:textId="77777777" w:rsidR="00186B2F" w:rsidRDefault="00000000">
      <w:pPr>
        <w:numPr>
          <w:ilvl w:val="0"/>
          <w:numId w:val="4"/>
        </w:numPr>
        <w:spacing w:after="16"/>
        <w:ind w:right="4322" w:hanging="360"/>
      </w:pPr>
      <w:r>
        <w:t xml:space="preserve">2 Planning &amp; </w:t>
      </w:r>
      <w:proofErr w:type="gramStart"/>
      <w:r>
        <w:t xml:space="preserve">Design  </w:t>
      </w:r>
      <w:r>
        <w:rPr>
          <w:rFonts w:ascii="Courier New" w:eastAsia="Courier New" w:hAnsi="Courier New" w:cs="Courier New"/>
        </w:rPr>
        <w:t>o</w:t>
      </w:r>
      <w:proofErr w:type="gramEnd"/>
      <w:r>
        <w:rPr>
          <w:rFonts w:ascii="Arial" w:eastAsia="Arial" w:hAnsi="Arial" w:cs="Arial"/>
        </w:rPr>
        <w:t xml:space="preserve"> </w:t>
      </w:r>
      <w:r>
        <w:t xml:space="preserve">2.1 Requirements &amp; Scope Definition </w:t>
      </w:r>
      <w:proofErr w:type="spellStart"/>
      <w:r>
        <w:rPr>
          <w:rFonts w:ascii="Courier New" w:eastAsia="Courier New" w:hAnsi="Courier New" w:cs="Courier New"/>
        </w:rPr>
        <w:t>o</w:t>
      </w:r>
      <w:proofErr w:type="spellEnd"/>
      <w:r>
        <w:rPr>
          <w:rFonts w:ascii="Arial" w:eastAsia="Arial" w:hAnsi="Arial" w:cs="Arial"/>
        </w:rPr>
        <w:t xml:space="preserve"> </w:t>
      </w:r>
      <w:r>
        <w:t xml:space="preserve">2.2 Architectural Design  </w:t>
      </w:r>
    </w:p>
    <w:p w14:paraId="17B7CF7E" w14:textId="77777777" w:rsidR="00186B2F" w:rsidRDefault="00000000">
      <w:pPr>
        <w:numPr>
          <w:ilvl w:val="2"/>
          <w:numId w:val="5"/>
        </w:numPr>
        <w:spacing w:after="16"/>
        <w:ind w:right="10" w:firstLine="721"/>
      </w:pPr>
      <w:r>
        <w:t xml:space="preserve">2.2.1 Concept Design </w:t>
      </w:r>
    </w:p>
    <w:p w14:paraId="019FCA34" w14:textId="77777777" w:rsidR="00186B2F" w:rsidRDefault="00000000">
      <w:pPr>
        <w:numPr>
          <w:ilvl w:val="2"/>
          <w:numId w:val="5"/>
        </w:numPr>
        <w:spacing w:after="16"/>
        <w:ind w:right="10" w:firstLine="721"/>
      </w:pPr>
      <w:r>
        <w:t xml:space="preserve">2.2.2 Developed Design </w:t>
      </w:r>
    </w:p>
    <w:p w14:paraId="6A1CCD8F" w14:textId="77777777" w:rsidR="00186B2F" w:rsidRDefault="00000000">
      <w:pPr>
        <w:numPr>
          <w:ilvl w:val="2"/>
          <w:numId w:val="5"/>
        </w:numPr>
        <w:spacing w:after="14"/>
        <w:ind w:right="10" w:firstLine="721"/>
      </w:pPr>
      <w:r>
        <w:t xml:space="preserve">2.2.3 Detailed Design </w:t>
      </w:r>
      <w:r>
        <w:rPr>
          <w:rFonts w:ascii="Courier New" w:eastAsia="Courier New" w:hAnsi="Courier New" w:cs="Courier New"/>
        </w:rPr>
        <w:t>o</w:t>
      </w:r>
      <w:r>
        <w:rPr>
          <w:rFonts w:ascii="Arial" w:eastAsia="Arial" w:hAnsi="Arial" w:cs="Arial"/>
        </w:rPr>
        <w:t xml:space="preserve"> </w:t>
      </w:r>
      <w:r>
        <w:t xml:space="preserve">2.3 Engineering Design  </w:t>
      </w:r>
    </w:p>
    <w:p w14:paraId="6E06C848" w14:textId="77777777" w:rsidR="00186B2F" w:rsidRDefault="00000000">
      <w:pPr>
        <w:numPr>
          <w:ilvl w:val="2"/>
          <w:numId w:val="5"/>
        </w:numPr>
        <w:spacing w:after="15"/>
        <w:ind w:right="10" w:firstLine="721"/>
      </w:pPr>
      <w:r>
        <w:t xml:space="preserve">2.3.1 Civil &amp; Structural </w:t>
      </w:r>
    </w:p>
    <w:p w14:paraId="153E5597" w14:textId="77777777" w:rsidR="00186B2F" w:rsidRDefault="00000000">
      <w:pPr>
        <w:numPr>
          <w:ilvl w:val="2"/>
          <w:numId w:val="5"/>
        </w:numPr>
        <w:spacing w:after="19"/>
        <w:ind w:right="10" w:firstLine="721"/>
      </w:pPr>
      <w:r>
        <w:t xml:space="preserve">2.3.2 Building Services (MEP) </w:t>
      </w:r>
    </w:p>
    <w:p w14:paraId="136636D5" w14:textId="77777777" w:rsidR="00186B2F" w:rsidRDefault="00000000">
      <w:pPr>
        <w:numPr>
          <w:ilvl w:val="2"/>
          <w:numId w:val="5"/>
        </w:numPr>
        <w:spacing w:after="13"/>
        <w:ind w:right="10" w:firstLine="721"/>
      </w:pPr>
      <w:r>
        <w:t xml:space="preserve">2.3.3 Rail Systems (signalling, power, comms) </w:t>
      </w:r>
      <w:r>
        <w:rPr>
          <w:rFonts w:ascii="Courier New" w:eastAsia="Courier New" w:hAnsi="Courier New" w:cs="Courier New"/>
        </w:rPr>
        <w:t>o</w:t>
      </w:r>
      <w:r>
        <w:rPr>
          <w:rFonts w:ascii="Arial" w:eastAsia="Arial" w:hAnsi="Arial" w:cs="Arial"/>
        </w:rPr>
        <w:t xml:space="preserve"> </w:t>
      </w:r>
      <w:r>
        <w:t xml:space="preserve">2.4 Environmental &amp; Regulatory  </w:t>
      </w:r>
    </w:p>
    <w:p w14:paraId="53524CF7" w14:textId="77777777" w:rsidR="00186B2F" w:rsidRDefault="00000000">
      <w:pPr>
        <w:numPr>
          <w:ilvl w:val="2"/>
          <w:numId w:val="5"/>
        </w:numPr>
        <w:spacing w:after="15"/>
        <w:ind w:right="10" w:firstLine="721"/>
      </w:pPr>
      <w:r>
        <w:t xml:space="preserve">2.4.1 Environmental Impact Assessment </w:t>
      </w:r>
    </w:p>
    <w:p w14:paraId="175F736E" w14:textId="77777777" w:rsidR="00186B2F" w:rsidRDefault="00000000">
      <w:pPr>
        <w:numPr>
          <w:ilvl w:val="2"/>
          <w:numId w:val="5"/>
        </w:numPr>
        <w:ind w:right="10" w:firstLine="721"/>
      </w:pPr>
      <w:r>
        <w:t xml:space="preserve">2.4.2 Planning/Permit Approvals </w:t>
      </w:r>
    </w:p>
    <w:p w14:paraId="43DBF251" w14:textId="77777777" w:rsidR="00186B2F" w:rsidRDefault="00000000">
      <w:pPr>
        <w:spacing w:after="19"/>
        <w:ind w:left="1091" w:right="10"/>
      </w:pPr>
      <w:r>
        <w:rPr>
          <w:rFonts w:ascii="Courier New" w:eastAsia="Courier New" w:hAnsi="Courier New" w:cs="Courier New"/>
        </w:rPr>
        <w:t>o</w:t>
      </w:r>
      <w:r>
        <w:rPr>
          <w:rFonts w:ascii="Arial" w:eastAsia="Arial" w:hAnsi="Arial" w:cs="Arial"/>
        </w:rPr>
        <w:t xml:space="preserve"> </w:t>
      </w:r>
      <w:r>
        <w:t xml:space="preserve">2.5 Cost &amp; Procurement  </w:t>
      </w:r>
    </w:p>
    <w:p w14:paraId="67EBDF78" w14:textId="77777777" w:rsidR="00186B2F" w:rsidRDefault="00000000">
      <w:pPr>
        <w:numPr>
          <w:ilvl w:val="1"/>
          <w:numId w:val="4"/>
        </w:numPr>
        <w:spacing w:after="16"/>
        <w:ind w:right="10" w:hanging="360"/>
      </w:pPr>
      <w:r>
        <w:t xml:space="preserve">2.5.1 Budget Development </w:t>
      </w:r>
    </w:p>
    <w:p w14:paraId="5EE8FAD3" w14:textId="77777777" w:rsidR="00186B2F" w:rsidRDefault="00000000">
      <w:pPr>
        <w:numPr>
          <w:ilvl w:val="1"/>
          <w:numId w:val="4"/>
        </w:numPr>
        <w:spacing w:after="15"/>
        <w:ind w:right="10" w:hanging="360"/>
      </w:pPr>
      <w:r>
        <w:t xml:space="preserve">2.5.2 Procurement Strategy </w:t>
      </w:r>
    </w:p>
    <w:p w14:paraId="2AEB50A3" w14:textId="77777777" w:rsidR="00186B2F" w:rsidRDefault="00000000">
      <w:pPr>
        <w:numPr>
          <w:ilvl w:val="1"/>
          <w:numId w:val="4"/>
        </w:numPr>
        <w:spacing w:after="33"/>
        <w:ind w:right="10" w:hanging="360"/>
      </w:pPr>
      <w:r>
        <w:t xml:space="preserve">2.5.3 Tendering &amp; Contract Award </w:t>
      </w:r>
    </w:p>
    <w:p w14:paraId="20814AD8" w14:textId="77777777" w:rsidR="00186B2F" w:rsidRDefault="00000000">
      <w:pPr>
        <w:numPr>
          <w:ilvl w:val="0"/>
          <w:numId w:val="6"/>
        </w:numPr>
        <w:spacing w:after="17"/>
        <w:ind w:right="3398" w:hanging="360"/>
      </w:pPr>
      <w:r>
        <w:t xml:space="preserve">3 </w:t>
      </w:r>
      <w:proofErr w:type="gramStart"/>
      <w:r>
        <w:t xml:space="preserve">Construction  </w:t>
      </w:r>
      <w:proofErr w:type="spellStart"/>
      <w:r>
        <w:rPr>
          <w:rFonts w:ascii="Courier New" w:eastAsia="Courier New" w:hAnsi="Courier New" w:cs="Courier New"/>
        </w:rPr>
        <w:t>o</w:t>
      </w:r>
      <w:proofErr w:type="spellEnd"/>
      <w:proofErr w:type="gramEnd"/>
      <w:r>
        <w:rPr>
          <w:rFonts w:ascii="Arial" w:eastAsia="Arial" w:hAnsi="Arial" w:cs="Arial"/>
        </w:rPr>
        <w:t xml:space="preserve"> </w:t>
      </w:r>
      <w:r>
        <w:t xml:space="preserve">3.1 Site Establishment  </w:t>
      </w:r>
    </w:p>
    <w:p w14:paraId="1B20FAD7" w14:textId="77777777" w:rsidR="00186B2F" w:rsidRDefault="00000000">
      <w:pPr>
        <w:numPr>
          <w:ilvl w:val="1"/>
          <w:numId w:val="7"/>
        </w:numPr>
        <w:spacing w:after="15"/>
        <w:ind w:right="10" w:firstLine="721"/>
      </w:pPr>
      <w:r>
        <w:t xml:space="preserve">3.1.1 Mobilisation &amp; Logistics </w:t>
      </w:r>
    </w:p>
    <w:p w14:paraId="5B43D0B0" w14:textId="77777777" w:rsidR="00186B2F" w:rsidRDefault="00000000">
      <w:pPr>
        <w:numPr>
          <w:ilvl w:val="1"/>
          <w:numId w:val="7"/>
        </w:numPr>
        <w:spacing w:after="13"/>
        <w:ind w:right="10" w:firstLine="721"/>
      </w:pPr>
      <w:r>
        <w:t xml:space="preserve">3.1.2 Utilities Diversions/Protection </w:t>
      </w:r>
      <w:proofErr w:type="spellStart"/>
      <w:r>
        <w:rPr>
          <w:rFonts w:ascii="Courier New" w:eastAsia="Courier New" w:hAnsi="Courier New" w:cs="Courier New"/>
        </w:rPr>
        <w:t>o</w:t>
      </w:r>
      <w:proofErr w:type="spellEnd"/>
      <w:r>
        <w:rPr>
          <w:rFonts w:ascii="Arial" w:eastAsia="Arial" w:hAnsi="Arial" w:cs="Arial"/>
        </w:rPr>
        <w:t xml:space="preserve"> </w:t>
      </w:r>
      <w:r>
        <w:t xml:space="preserve">3.2 Civil &amp; Structural Works  </w:t>
      </w:r>
    </w:p>
    <w:p w14:paraId="53A9CDD2" w14:textId="77777777" w:rsidR="00186B2F" w:rsidRDefault="00000000">
      <w:pPr>
        <w:numPr>
          <w:ilvl w:val="1"/>
          <w:numId w:val="7"/>
        </w:numPr>
        <w:spacing w:after="14"/>
        <w:ind w:right="10" w:firstLine="721"/>
      </w:pPr>
      <w:r>
        <w:lastRenderedPageBreak/>
        <w:t xml:space="preserve">3.2.1 Groundworks &amp; Foundations </w:t>
      </w:r>
    </w:p>
    <w:p w14:paraId="3449E1FB" w14:textId="77777777" w:rsidR="00186B2F" w:rsidRDefault="00000000">
      <w:pPr>
        <w:numPr>
          <w:ilvl w:val="1"/>
          <w:numId w:val="7"/>
        </w:numPr>
        <w:spacing w:after="15"/>
        <w:ind w:right="10" w:firstLine="721"/>
      </w:pPr>
      <w:r>
        <w:t xml:space="preserve">3.2.2 Superstructure (frames, slabs) </w:t>
      </w:r>
    </w:p>
    <w:p w14:paraId="116F3B38" w14:textId="77777777" w:rsidR="00186B2F" w:rsidRDefault="00000000">
      <w:pPr>
        <w:numPr>
          <w:ilvl w:val="1"/>
          <w:numId w:val="7"/>
        </w:numPr>
        <w:spacing w:after="18"/>
        <w:ind w:right="10" w:firstLine="721"/>
      </w:pPr>
      <w:r>
        <w:t xml:space="preserve">3.2.3 Envelope (facades, roofing) </w:t>
      </w:r>
      <w:r>
        <w:rPr>
          <w:rFonts w:ascii="Courier New" w:eastAsia="Courier New" w:hAnsi="Courier New" w:cs="Courier New"/>
        </w:rPr>
        <w:t>o</w:t>
      </w:r>
      <w:r>
        <w:rPr>
          <w:rFonts w:ascii="Arial" w:eastAsia="Arial" w:hAnsi="Arial" w:cs="Arial"/>
        </w:rPr>
        <w:t xml:space="preserve"> </w:t>
      </w:r>
      <w:r>
        <w:t xml:space="preserve">3.3 Building Fit-Out  </w:t>
      </w:r>
    </w:p>
    <w:p w14:paraId="733F8F6F" w14:textId="77777777" w:rsidR="00186B2F" w:rsidRDefault="00000000">
      <w:pPr>
        <w:numPr>
          <w:ilvl w:val="1"/>
          <w:numId w:val="7"/>
        </w:numPr>
        <w:spacing w:after="14"/>
        <w:ind w:right="10" w:firstLine="721"/>
      </w:pPr>
      <w:r>
        <w:t xml:space="preserve">3.3.1 Architectural Finishes </w:t>
      </w:r>
    </w:p>
    <w:p w14:paraId="686E8916" w14:textId="77777777" w:rsidR="00186B2F" w:rsidRDefault="00000000">
      <w:pPr>
        <w:numPr>
          <w:ilvl w:val="1"/>
          <w:numId w:val="7"/>
        </w:numPr>
        <w:spacing w:after="15"/>
        <w:ind w:right="10" w:firstLine="721"/>
      </w:pPr>
      <w:r>
        <w:t xml:space="preserve">3.3.2 Vertical Transport (lifts, escalators) </w:t>
      </w:r>
    </w:p>
    <w:p w14:paraId="738E0341" w14:textId="77777777" w:rsidR="00186B2F" w:rsidRDefault="00000000">
      <w:pPr>
        <w:numPr>
          <w:ilvl w:val="1"/>
          <w:numId w:val="7"/>
        </w:numPr>
        <w:spacing w:after="14"/>
        <w:ind w:right="10" w:firstLine="721"/>
      </w:pPr>
      <w:r>
        <w:t xml:space="preserve">3.3.3 Wayfinding &amp; Signage </w:t>
      </w:r>
      <w:r>
        <w:rPr>
          <w:rFonts w:ascii="Courier New" w:eastAsia="Courier New" w:hAnsi="Courier New" w:cs="Courier New"/>
        </w:rPr>
        <w:t>o</w:t>
      </w:r>
      <w:r>
        <w:rPr>
          <w:rFonts w:ascii="Arial" w:eastAsia="Arial" w:hAnsi="Arial" w:cs="Arial"/>
        </w:rPr>
        <w:t xml:space="preserve"> </w:t>
      </w:r>
      <w:r>
        <w:t xml:space="preserve">3.4 MEP Systems  </w:t>
      </w:r>
    </w:p>
    <w:p w14:paraId="2A1FD4E4" w14:textId="77777777" w:rsidR="00186B2F" w:rsidRDefault="00000000">
      <w:pPr>
        <w:numPr>
          <w:ilvl w:val="1"/>
          <w:numId w:val="7"/>
        </w:numPr>
        <w:spacing w:after="15"/>
        <w:ind w:right="10" w:firstLine="721"/>
      </w:pPr>
      <w:r>
        <w:t xml:space="preserve">3.4.1 Mechanical (HVAC) </w:t>
      </w:r>
    </w:p>
    <w:p w14:paraId="22370778" w14:textId="77777777" w:rsidR="00186B2F" w:rsidRDefault="00000000">
      <w:pPr>
        <w:numPr>
          <w:ilvl w:val="1"/>
          <w:numId w:val="7"/>
        </w:numPr>
        <w:spacing w:after="14"/>
        <w:ind w:right="10" w:firstLine="721"/>
      </w:pPr>
      <w:r>
        <w:t xml:space="preserve">3.4.2 Electrical (power, lighting) </w:t>
      </w:r>
    </w:p>
    <w:p w14:paraId="34265BDD" w14:textId="77777777" w:rsidR="00186B2F" w:rsidRDefault="00000000">
      <w:pPr>
        <w:numPr>
          <w:ilvl w:val="1"/>
          <w:numId w:val="7"/>
        </w:numPr>
        <w:spacing w:after="19"/>
        <w:ind w:right="10" w:firstLine="721"/>
      </w:pPr>
      <w:r>
        <w:t xml:space="preserve">3.4.3 Public Health (water, drainage, fire) </w:t>
      </w:r>
      <w:r>
        <w:rPr>
          <w:rFonts w:ascii="Courier New" w:eastAsia="Courier New" w:hAnsi="Courier New" w:cs="Courier New"/>
        </w:rPr>
        <w:t>o</w:t>
      </w:r>
      <w:r>
        <w:rPr>
          <w:rFonts w:ascii="Arial" w:eastAsia="Arial" w:hAnsi="Arial" w:cs="Arial"/>
        </w:rPr>
        <w:t xml:space="preserve"> </w:t>
      </w:r>
      <w:r>
        <w:t xml:space="preserve">3.5 Rail &amp; Transit Systems  </w:t>
      </w:r>
    </w:p>
    <w:p w14:paraId="3E9EFBE3" w14:textId="77777777" w:rsidR="00186B2F" w:rsidRDefault="00000000">
      <w:pPr>
        <w:numPr>
          <w:ilvl w:val="1"/>
          <w:numId w:val="7"/>
        </w:numPr>
        <w:spacing w:after="15"/>
        <w:ind w:right="10" w:firstLine="721"/>
      </w:pPr>
      <w:r>
        <w:t xml:space="preserve">3.5.1 Track &amp; Platform Works </w:t>
      </w:r>
    </w:p>
    <w:p w14:paraId="7431FBB1" w14:textId="77777777" w:rsidR="00186B2F" w:rsidRDefault="00000000">
      <w:pPr>
        <w:numPr>
          <w:ilvl w:val="1"/>
          <w:numId w:val="7"/>
        </w:numPr>
        <w:spacing w:after="15"/>
        <w:ind w:right="10" w:firstLine="721"/>
      </w:pPr>
      <w:r>
        <w:t xml:space="preserve">3.5.2 Signalling &amp; Control </w:t>
      </w:r>
    </w:p>
    <w:p w14:paraId="3C91B966" w14:textId="77777777" w:rsidR="00186B2F" w:rsidRDefault="00000000">
      <w:pPr>
        <w:numPr>
          <w:ilvl w:val="1"/>
          <w:numId w:val="7"/>
        </w:numPr>
        <w:spacing w:after="13"/>
        <w:ind w:right="10" w:firstLine="721"/>
      </w:pPr>
      <w:r>
        <w:t xml:space="preserve">3.5.3 Communications &amp; CCTV </w:t>
      </w:r>
      <w:r>
        <w:rPr>
          <w:rFonts w:ascii="Courier New" w:eastAsia="Courier New" w:hAnsi="Courier New" w:cs="Courier New"/>
        </w:rPr>
        <w:t>o</w:t>
      </w:r>
      <w:r>
        <w:rPr>
          <w:rFonts w:ascii="Arial" w:eastAsia="Arial" w:hAnsi="Arial" w:cs="Arial"/>
        </w:rPr>
        <w:t xml:space="preserve"> </w:t>
      </w:r>
      <w:r>
        <w:t xml:space="preserve">3.6 External &amp; Public Realm  </w:t>
      </w:r>
    </w:p>
    <w:p w14:paraId="3D8260E3" w14:textId="77777777" w:rsidR="00186B2F" w:rsidRDefault="00000000">
      <w:pPr>
        <w:numPr>
          <w:ilvl w:val="1"/>
          <w:numId w:val="7"/>
        </w:numPr>
        <w:spacing w:after="15"/>
        <w:ind w:right="10" w:firstLine="721"/>
      </w:pPr>
      <w:r>
        <w:t xml:space="preserve">3.6.1 Roads, Bus Interchange, Taxi Ranks </w:t>
      </w:r>
    </w:p>
    <w:p w14:paraId="4DCBAE58" w14:textId="77777777" w:rsidR="00186B2F" w:rsidRDefault="00000000">
      <w:pPr>
        <w:numPr>
          <w:ilvl w:val="1"/>
          <w:numId w:val="7"/>
        </w:numPr>
        <w:spacing w:after="15"/>
        <w:ind w:right="10" w:firstLine="721"/>
      </w:pPr>
      <w:r>
        <w:t xml:space="preserve">3.6.2 Landscaping &amp; Street Furniture </w:t>
      </w:r>
    </w:p>
    <w:p w14:paraId="19EC438F" w14:textId="77777777" w:rsidR="00186B2F" w:rsidRDefault="00000000">
      <w:pPr>
        <w:numPr>
          <w:ilvl w:val="1"/>
          <w:numId w:val="7"/>
        </w:numPr>
        <w:spacing w:after="18"/>
        <w:ind w:right="10" w:firstLine="721"/>
      </w:pPr>
      <w:r>
        <w:t xml:space="preserve">3.6.3 Parking &amp; Access </w:t>
      </w:r>
      <w:r>
        <w:rPr>
          <w:rFonts w:ascii="Courier New" w:eastAsia="Courier New" w:hAnsi="Courier New" w:cs="Courier New"/>
        </w:rPr>
        <w:t>o</w:t>
      </w:r>
      <w:r>
        <w:rPr>
          <w:rFonts w:ascii="Arial" w:eastAsia="Arial" w:hAnsi="Arial" w:cs="Arial"/>
        </w:rPr>
        <w:t xml:space="preserve"> </w:t>
      </w:r>
      <w:r>
        <w:t xml:space="preserve">3.7 Construction Quality &amp; Safety  </w:t>
      </w:r>
    </w:p>
    <w:p w14:paraId="17E87368" w14:textId="77777777" w:rsidR="00186B2F" w:rsidRDefault="00000000">
      <w:pPr>
        <w:numPr>
          <w:ilvl w:val="1"/>
          <w:numId w:val="7"/>
        </w:numPr>
        <w:spacing w:after="16"/>
        <w:ind w:right="10" w:firstLine="721"/>
      </w:pPr>
      <w:r>
        <w:t xml:space="preserve">3.7.1 Inspections &amp; Test Plans (ITPs) </w:t>
      </w:r>
    </w:p>
    <w:p w14:paraId="4BA027EF" w14:textId="77777777" w:rsidR="00186B2F" w:rsidRDefault="00000000">
      <w:pPr>
        <w:numPr>
          <w:ilvl w:val="1"/>
          <w:numId w:val="7"/>
        </w:numPr>
        <w:spacing w:after="30"/>
        <w:ind w:right="10" w:firstLine="721"/>
      </w:pPr>
      <w:r>
        <w:t xml:space="preserve">3.7.2 HSE Management </w:t>
      </w:r>
    </w:p>
    <w:p w14:paraId="5A28DCC8" w14:textId="77777777" w:rsidR="00186B2F" w:rsidRDefault="00000000">
      <w:pPr>
        <w:numPr>
          <w:ilvl w:val="0"/>
          <w:numId w:val="6"/>
        </w:numPr>
        <w:spacing w:after="29"/>
        <w:ind w:right="3398" w:hanging="360"/>
      </w:pPr>
      <w:r>
        <w:t xml:space="preserve">4 Testing, Commissioning &amp; </w:t>
      </w:r>
      <w:proofErr w:type="gramStart"/>
      <w:r>
        <w:t xml:space="preserve">Handover  </w:t>
      </w:r>
      <w:proofErr w:type="spellStart"/>
      <w:r>
        <w:rPr>
          <w:rFonts w:ascii="Courier New" w:eastAsia="Courier New" w:hAnsi="Courier New" w:cs="Courier New"/>
        </w:rPr>
        <w:t>o</w:t>
      </w:r>
      <w:proofErr w:type="spellEnd"/>
      <w:proofErr w:type="gramEnd"/>
      <w:r>
        <w:rPr>
          <w:rFonts w:ascii="Arial" w:eastAsia="Arial" w:hAnsi="Arial" w:cs="Arial"/>
        </w:rPr>
        <w:t xml:space="preserve"> </w:t>
      </w:r>
      <w:r>
        <w:t xml:space="preserve">4.1 System Integration Testing </w:t>
      </w:r>
      <w:r>
        <w:rPr>
          <w:rFonts w:ascii="Courier New" w:eastAsia="Courier New" w:hAnsi="Courier New" w:cs="Courier New"/>
        </w:rPr>
        <w:t>o</w:t>
      </w:r>
      <w:r>
        <w:rPr>
          <w:rFonts w:ascii="Arial" w:eastAsia="Arial" w:hAnsi="Arial" w:cs="Arial"/>
        </w:rPr>
        <w:t xml:space="preserve"> </w:t>
      </w:r>
      <w:r>
        <w:t xml:space="preserve">4.2 Static &amp; Dynamic Commissioning </w:t>
      </w:r>
      <w:proofErr w:type="spellStart"/>
      <w:r>
        <w:rPr>
          <w:rFonts w:ascii="Courier New" w:eastAsia="Courier New" w:hAnsi="Courier New" w:cs="Courier New"/>
        </w:rPr>
        <w:t>o</w:t>
      </w:r>
      <w:proofErr w:type="spellEnd"/>
      <w:r>
        <w:rPr>
          <w:rFonts w:ascii="Arial" w:eastAsia="Arial" w:hAnsi="Arial" w:cs="Arial"/>
        </w:rPr>
        <w:t xml:space="preserve"> </w:t>
      </w:r>
      <w:r>
        <w:t xml:space="preserve">4.3 Performance Verification &amp; Certifications </w:t>
      </w:r>
      <w:r>
        <w:rPr>
          <w:rFonts w:ascii="Courier New" w:eastAsia="Courier New" w:hAnsi="Courier New" w:cs="Courier New"/>
        </w:rPr>
        <w:t>o</w:t>
      </w:r>
      <w:r>
        <w:rPr>
          <w:rFonts w:ascii="Arial" w:eastAsia="Arial" w:hAnsi="Arial" w:cs="Arial"/>
        </w:rPr>
        <w:t xml:space="preserve"> </w:t>
      </w:r>
      <w:r>
        <w:t xml:space="preserve">4.4 As-Built Documentation </w:t>
      </w:r>
      <w:proofErr w:type="spellStart"/>
      <w:r>
        <w:rPr>
          <w:rFonts w:ascii="Courier New" w:eastAsia="Courier New" w:hAnsi="Courier New" w:cs="Courier New"/>
        </w:rPr>
        <w:t>o</w:t>
      </w:r>
      <w:proofErr w:type="spellEnd"/>
      <w:r>
        <w:rPr>
          <w:rFonts w:ascii="Arial" w:eastAsia="Arial" w:hAnsi="Arial" w:cs="Arial"/>
        </w:rPr>
        <w:t xml:space="preserve"> </w:t>
      </w:r>
      <w:r>
        <w:t xml:space="preserve">4.5 Defects Rectification &amp; Handover </w:t>
      </w:r>
    </w:p>
    <w:p w14:paraId="6CAAC024" w14:textId="77777777" w:rsidR="00186B2F" w:rsidRDefault="00000000">
      <w:pPr>
        <w:numPr>
          <w:ilvl w:val="0"/>
          <w:numId w:val="6"/>
        </w:numPr>
        <w:spacing w:after="0"/>
        <w:ind w:right="3398" w:hanging="360"/>
      </w:pPr>
      <w:r>
        <w:t xml:space="preserve">5 Operations Readiness  </w:t>
      </w:r>
    </w:p>
    <w:p w14:paraId="6D9A1CF6" w14:textId="77777777" w:rsidR="00186B2F" w:rsidRDefault="00000000">
      <w:pPr>
        <w:spacing w:after="29"/>
        <w:ind w:left="1091" w:right="3664"/>
      </w:pPr>
      <w:r>
        <w:rPr>
          <w:rFonts w:ascii="Courier New" w:eastAsia="Courier New" w:hAnsi="Courier New" w:cs="Courier New"/>
        </w:rPr>
        <w:t>o</w:t>
      </w:r>
      <w:r>
        <w:rPr>
          <w:rFonts w:ascii="Arial" w:eastAsia="Arial" w:hAnsi="Arial" w:cs="Arial"/>
        </w:rPr>
        <w:t xml:space="preserve"> </w:t>
      </w:r>
      <w:r>
        <w:t xml:space="preserve">5.1 Operational Concepts &amp; SOPs </w:t>
      </w:r>
      <w:r>
        <w:rPr>
          <w:rFonts w:ascii="Courier New" w:eastAsia="Courier New" w:hAnsi="Courier New" w:cs="Courier New"/>
        </w:rPr>
        <w:t>o</w:t>
      </w:r>
      <w:r>
        <w:rPr>
          <w:rFonts w:ascii="Arial" w:eastAsia="Arial" w:hAnsi="Arial" w:cs="Arial"/>
        </w:rPr>
        <w:t xml:space="preserve"> </w:t>
      </w:r>
      <w:r>
        <w:t xml:space="preserve">5.2 Staffing, Training &amp; Drills </w:t>
      </w:r>
      <w:r>
        <w:rPr>
          <w:rFonts w:ascii="Courier New" w:eastAsia="Courier New" w:hAnsi="Courier New" w:cs="Courier New"/>
        </w:rPr>
        <w:t>o</w:t>
      </w:r>
      <w:r>
        <w:rPr>
          <w:rFonts w:ascii="Arial" w:eastAsia="Arial" w:hAnsi="Arial" w:cs="Arial"/>
        </w:rPr>
        <w:t xml:space="preserve"> </w:t>
      </w:r>
      <w:r>
        <w:t xml:space="preserve">5.3 Trial Operations &amp; Ramp-Up </w:t>
      </w:r>
      <w:proofErr w:type="spellStart"/>
      <w:r>
        <w:rPr>
          <w:rFonts w:ascii="Courier New" w:eastAsia="Courier New" w:hAnsi="Courier New" w:cs="Courier New"/>
        </w:rPr>
        <w:t>o</w:t>
      </w:r>
      <w:proofErr w:type="spellEnd"/>
      <w:r>
        <w:rPr>
          <w:rFonts w:ascii="Arial" w:eastAsia="Arial" w:hAnsi="Arial" w:cs="Arial"/>
        </w:rPr>
        <w:t xml:space="preserve"> </w:t>
      </w:r>
      <w:r>
        <w:t xml:space="preserve">5.4 Transition to Steady-State Operations </w:t>
      </w:r>
    </w:p>
    <w:p w14:paraId="4C55FB2F" w14:textId="77777777" w:rsidR="00186B2F" w:rsidRDefault="00000000">
      <w:pPr>
        <w:numPr>
          <w:ilvl w:val="0"/>
          <w:numId w:val="6"/>
        </w:numPr>
        <w:spacing w:after="330"/>
        <w:ind w:right="3398" w:hanging="360"/>
      </w:pPr>
      <w:r>
        <w:t xml:space="preserve">6 Project </w:t>
      </w:r>
      <w:proofErr w:type="gramStart"/>
      <w:r>
        <w:t xml:space="preserve">Management  </w:t>
      </w:r>
      <w:r>
        <w:rPr>
          <w:rFonts w:ascii="Courier New" w:eastAsia="Courier New" w:hAnsi="Courier New" w:cs="Courier New"/>
        </w:rPr>
        <w:t>o</w:t>
      </w:r>
      <w:proofErr w:type="gramEnd"/>
      <w:r>
        <w:rPr>
          <w:rFonts w:ascii="Arial" w:eastAsia="Arial" w:hAnsi="Arial" w:cs="Arial"/>
        </w:rPr>
        <w:t xml:space="preserve"> </w:t>
      </w:r>
      <w:r>
        <w:t xml:space="preserve">6.1 Governance &amp; Reporting </w:t>
      </w:r>
      <w:r>
        <w:rPr>
          <w:rFonts w:ascii="Courier New" w:eastAsia="Courier New" w:hAnsi="Courier New" w:cs="Courier New"/>
        </w:rPr>
        <w:t>o</w:t>
      </w:r>
      <w:r>
        <w:rPr>
          <w:rFonts w:ascii="Arial" w:eastAsia="Arial" w:hAnsi="Arial" w:cs="Arial"/>
        </w:rPr>
        <w:t xml:space="preserve"> </w:t>
      </w:r>
      <w:r>
        <w:t xml:space="preserve">6.2 Schedule &amp; Cost Control </w:t>
      </w:r>
      <w:r>
        <w:rPr>
          <w:rFonts w:ascii="Courier New" w:eastAsia="Courier New" w:hAnsi="Courier New" w:cs="Courier New"/>
        </w:rPr>
        <w:t>o</w:t>
      </w:r>
      <w:r>
        <w:rPr>
          <w:rFonts w:ascii="Arial" w:eastAsia="Arial" w:hAnsi="Arial" w:cs="Arial"/>
        </w:rPr>
        <w:t xml:space="preserve"> </w:t>
      </w:r>
      <w:r>
        <w:t xml:space="preserve">6.3 Risk, Issues &amp; Change Control </w:t>
      </w:r>
      <w:r>
        <w:rPr>
          <w:rFonts w:ascii="Courier New" w:eastAsia="Courier New" w:hAnsi="Courier New" w:cs="Courier New"/>
        </w:rPr>
        <w:t>o</w:t>
      </w:r>
      <w:r>
        <w:rPr>
          <w:rFonts w:ascii="Arial" w:eastAsia="Arial" w:hAnsi="Arial" w:cs="Arial"/>
        </w:rPr>
        <w:t xml:space="preserve"> </w:t>
      </w:r>
      <w:r>
        <w:t xml:space="preserve">6.4 Stakeholder &amp; Community Engagement </w:t>
      </w:r>
      <w:r>
        <w:rPr>
          <w:rFonts w:ascii="Courier New" w:eastAsia="Courier New" w:hAnsi="Courier New" w:cs="Courier New"/>
        </w:rPr>
        <w:t>o</w:t>
      </w:r>
      <w:r>
        <w:rPr>
          <w:rFonts w:ascii="Arial" w:eastAsia="Arial" w:hAnsi="Arial" w:cs="Arial"/>
        </w:rPr>
        <w:t xml:space="preserve"> </w:t>
      </w:r>
      <w:r>
        <w:t xml:space="preserve">6.5 Quality Assurance &amp; Audits </w:t>
      </w:r>
    </w:p>
    <w:p w14:paraId="1992109E" w14:textId="77777777" w:rsidR="00186B2F" w:rsidRDefault="00000000">
      <w:pPr>
        <w:spacing w:after="271" w:line="259" w:lineRule="auto"/>
        <w:ind w:left="0" w:firstLine="0"/>
      </w:pPr>
      <w:r>
        <w:rPr>
          <w:b/>
          <w:color w:val="0F4761"/>
          <w:sz w:val="28"/>
        </w:rPr>
        <w:t xml:space="preserve"> </w:t>
      </w:r>
    </w:p>
    <w:p w14:paraId="13944F5F" w14:textId="77777777" w:rsidR="00186B2F" w:rsidRDefault="00000000">
      <w:pPr>
        <w:spacing w:after="575" w:line="259" w:lineRule="auto"/>
        <w:ind w:left="0" w:firstLine="0"/>
      </w:pPr>
      <w:r>
        <w:t xml:space="preserve"> </w:t>
      </w:r>
    </w:p>
    <w:p w14:paraId="3BB5BE69" w14:textId="77777777" w:rsidR="00186B2F" w:rsidRDefault="00000000">
      <w:pPr>
        <w:pStyle w:val="Heading2"/>
        <w:ind w:left="-5"/>
      </w:pPr>
      <w:r>
        <w:lastRenderedPageBreak/>
        <w:t xml:space="preserve">5. Quad Chart </w:t>
      </w:r>
      <w:r>
        <w:rPr>
          <w:b w:val="0"/>
          <w:sz w:val="40"/>
        </w:rPr>
        <w:t xml:space="preserve"> </w:t>
      </w:r>
    </w:p>
    <w:p w14:paraId="4656A640" w14:textId="77777777" w:rsidR="00186B2F" w:rsidRDefault="00000000">
      <w:pPr>
        <w:spacing w:after="319" w:line="279" w:lineRule="auto"/>
        <w:ind w:left="-5" w:right="318"/>
        <w:jc w:val="both"/>
      </w:pPr>
      <w:r>
        <w:t xml:space="preserve">A Quad Chart provides senior stakeholders with a concise overview of the project's objectives, schedule, resources and expected outcomes. It is widely used within project management because it presents essential information in a format that supports rapid decision-making and executive oversight. </w:t>
      </w:r>
    </w:p>
    <w:p w14:paraId="0534B281" w14:textId="77777777" w:rsidR="00186B2F" w:rsidRDefault="00000000">
      <w:pPr>
        <w:pStyle w:val="Heading3"/>
        <w:ind w:left="-5"/>
      </w:pPr>
      <w:r>
        <w:t>Table 1. Project Quad Chart</w:t>
      </w:r>
      <w:r>
        <w:rPr>
          <w:b w:val="0"/>
        </w:rPr>
        <w:t xml:space="preserve"> </w:t>
      </w:r>
    </w:p>
    <w:p w14:paraId="51B0BCC1" w14:textId="77777777" w:rsidR="00186B2F" w:rsidRDefault="00000000">
      <w:pPr>
        <w:tabs>
          <w:tab w:val="center" w:pos="2473"/>
          <w:tab w:val="center" w:pos="7154"/>
        </w:tabs>
        <w:spacing w:after="24" w:line="259" w:lineRule="auto"/>
        <w:ind w:left="0" w:firstLine="0"/>
      </w:pPr>
      <w:r>
        <w:rPr>
          <w:sz w:val="22"/>
        </w:rPr>
        <w:tab/>
      </w:r>
      <w:r>
        <w:rPr>
          <w:b/>
        </w:rPr>
        <w:t>Objectives</w:t>
      </w:r>
      <w:r>
        <w:t xml:space="preserve"> </w:t>
      </w:r>
      <w:r>
        <w:tab/>
      </w:r>
      <w:r>
        <w:rPr>
          <w:b/>
        </w:rPr>
        <w:t>Deliverables</w:t>
      </w:r>
      <w:r>
        <w:t xml:space="preserve"> </w:t>
      </w:r>
    </w:p>
    <w:p w14:paraId="0446134E" w14:textId="77777777" w:rsidR="00186B2F" w:rsidRDefault="00000000">
      <w:pPr>
        <w:spacing w:after="7"/>
        <w:ind w:left="120" w:right="10"/>
      </w:pPr>
      <w:r>
        <w:t xml:space="preserve">Redevelop the central transport hub into a </w:t>
      </w:r>
      <w:r>
        <w:tab/>
      </w:r>
      <w:proofErr w:type="gramStart"/>
      <w:r>
        <w:t>New</w:t>
      </w:r>
      <w:proofErr w:type="gramEnd"/>
      <w:r>
        <w:t xml:space="preserve"> transport interchange, digital modern, safe and accessible facility while </w:t>
      </w:r>
      <w:r>
        <w:tab/>
        <w:t xml:space="preserve">passenger systems, accessibility supporting digital innovation and </w:t>
      </w:r>
      <w:r>
        <w:tab/>
        <w:t xml:space="preserve">improvements, sustainable environmental sustainability. </w:t>
      </w:r>
      <w:r>
        <w:tab/>
        <w:t xml:space="preserve">infrastructure, operational handover. </w:t>
      </w:r>
    </w:p>
    <w:p w14:paraId="0F5F4CFD" w14:textId="77777777" w:rsidR="00186B2F" w:rsidRDefault="00000000">
      <w:pPr>
        <w:tabs>
          <w:tab w:val="center" w:pos="1342"/>
          <w:tab w:val="center" w:pos="6021"/>
        </w:tabs>
        <w:spacing w:after="24" w:line="259" w:lineRule="auto"/>
        <w:ind w:left="0" w:firstLine="0"/>
      </w:pPr>
      <w:r>
        <w:rPr>
          <w:sz w:val="22"/>
        </w:rPr>
        <w:tab/>
      </w:r>
      <w:r>
        <w:rPr>
          <w:b/>
        </w:rPr>
        <w:t>Schedule</w:t>
      </w:r>
      <w:r>
        <w:t xml:space="preserve"> </w:t>
      </w:r>
      <w:r>
        <w:tab/>
      </w:r>
      <w:r>
        <w:rPr>
          <w:b/>
        </w:rPr>
        <w:t>Resources</w:t>
      </w:r>
      <w:r>
        <w:t xml:space="preserve"> </w:t>
      </w:r>
    </w:p>
    <w:p w14:paraId="56193B7C" w14:textId="77777777" w:rsidR="00186B2F" w:rsidRDefault="00000000">
      <w:pPr>
        <w:spacing w:after="12"/>
        <w:ind w:left="120" w:right="10"/>
      </w:pPr>
      <w:r>
        <w:t xml:space="preserve">Estimated duration: 24 </w:t>
      </w:r>
    </w:p>
    <w:p w14:paraId="210BD905" w14:textId="77777777" w:rsidR="00186B2F" w:rsidRDefault="00000000">
      <w:pPr>
        <w:ind w:left="120" w:right="1067"/>
      </w:pPr>
      <w:r>
        <w:t xml:space="preserve">months. </w:t>
      </w:r>
      <w:r>
        <w:tab/>
        <w:t xml:space="preserve">Project Manager, Civil Engineers, Architects, Quantity Initiation → Planning → </w:t>
      </w:r>
      <w:r>
        <w:tab/>
        <w:t xml:space="preserve">Surveyors, Contractors, IT Specialists, Environmental Construction → Testing </w:t>
      </w:r>
      <w:r>
        <w:tab/>
        <w:t xml:space="preserve">Consultants, Local Authority, Transport Operators. → Handover. </w:t>
      </w:r>
    </w:p>
    <w:p w14:paraId="5E91478B" w14:textId="77777777" w:rsidR="00186B2F" w:rsidRDefault="00000000">
      <w:pPr>
        <w:ind w:left="-5" w:right="10"/>
      </w:pPr>
      <w:r>
        <w:t xml:space="preserve">The Quad Chart allows project sponsors and stakeholders to review progress without examining detailed project documentation. It also assists governance meetings by providing a clear summary of project priorities, enabling senior decision-makers to identify emerging issues quickly and allocate additional resources where necessary. By simplifying complex project information into four key categories, the Quad Chart strengthens communication across organisations with differing technical expertise. </w:t>
      </w:r>
    </w:p>
    <w:p w14:paraId="06727837" w14:textId="77777777" w:rsidR="00186B2F" w:rsidRDefault="00000000">
      <w:pPr>
        <w:spacing w:after="575" w:line="259" w:lineRule="auto"/>
        <w:ind w:left="0" w:firstLine="0"/>
      </w:pPr>
      <w:r>
        <w:t xml:space="preserve"> </w:t>
      </w:r>
    </w:p>
    <w:p w14:paraId="707A8BDA" w14:textId="77777777" w:rsidR="00186B2F" w:rsidRDefault="00000000">
      <w:pPr>
        <w:pStyle w:val="Heading2"/>
        <w:ind w:left="-5"/>
      </w:pPr>
      <w:r>
        <w:t xml:space="preserve">6. Gantt Chart </w:t>
      </w:r>
      <w:r>
        <w:rPr>
          <w:b w:val="0"/>
          <w:sz w:val="40"/>
        </w:rPr>
        <w:t xml:space="preserve"> </w:t>
      </w:r>
    </w:p>
    <w:p w14:paraId="28541B0A" w14:textId="77777777" w:rsidR="00186B2F" w:rsidRDefault="00000000">
      <w:pPr>
        <w:spacing w:after="328"/>
        <w:ind w:left="-5" w:right="10"/>
      </w:pPr>
      <w:r>
        <w:t xml:space="preserve">The Gantt Chart is one of the most widely used scheduling tools in project management because it illustrates project activities against time while identifying task dependencies, milestones and overall project duration (Kerzner, 2022). Unlike the WBS, which focuses on defining work packages, the Gantt Chart demonstrates when each activity will occur and how different tasks interact throughout the project lifecycle. </w:t>
      </w:r>
    </w:p>
    <w:p w14:paraId="3D9E1763" w14:textId="77777777" w:rsidR="00186B2F" w:rsidRDefault="00000000">
      <w:pPr>
        <w:pStyle w:val="Heading3"/>
        <w:spacing w:after="0"/>
        <w:ind w:left="-5"/>
      </w:pPr>
      <w:r>
        <w:lastRenderedPageBreak/>
        <w:t>Figure 2. High-Level Gantt Chart</w:t>
      </w:r>
      <w:r>
        <w:rPr>
          <w:b w:val="0"/>
        </w:rPr>
        <w:t xml:space="preserve"> </w:t>
      </w:r>
    </w:p>
    <w:tbl>
      <w:tblPr>
        <w:tblStyle w:val="TableGrid"/>
        <w:tblW w:w="8415" w:type="dxa"/>
        <w:tblInd w:w="110" w:type="dxa"/>
        <w:tblCellMar>
          <w:bottom w:w="10" w:type="dxa"/>
        </w:tblCellMar>
        <w:tblLook w:val="04A0" w:firstRow="1" w:lastRow="0" w:firstColumn="1" w:lastColumn="0" w:noHBand="0" w:noVBand="1"/>
      </w:tblPr>
      <w:tblGrid>
        <w:gridCol w:w="2530"/>
        <w:gridCol w:w="725"/>
        <w:gridCol w:w="726"/>
        <w:gridCol w:w="730"/>
        <w:gridCol w:w="1576"/>
        <w:gridCol w:w="790"/>
        <w:gridCol w:w="786"/>
        <w:gridCol w:w="552"/>
      </w:tblGrid>
      <w:tr w:rsidR="00186B2F" w14:paraId="7B973EE1" w14:textId="77777777">
        <w:trPr>
          <w:trHeight w:val="659"/>
        </w:trPr>
        <w:tc>
          <w:tcPr>
            <w:tcW w:w="2531" w:type="dxa"/>
            <w:tcBorders>
              <w:top w:val="nil"/>
              <w:left w:val="nil"/>
              <w:bottom w:val="nil"/>
              <w:right w:val="nil"/>
            </w:tcBorders>
            <w:vAlign w:val="center"/>
          </w:tcPr>
          <w:p w14:paraId="74F4191D" w14:textId="77777777" w:rsidR="00186B2F" w:rsidRDefault="00000000">
            <w:pPr>
              <w:spacing w:after="0" w:line="259" w:lineRule="auto"/>
              <w:ind w:left="0" w:right="217" w:firstLine="0"/>
              <w:jc w:val="center"/>
            </w:pPr>
            <w:r>
              <w:rPr>
                <w:b/>
              </w:rPr>
              <w:t>Activities</w:t>
            </w:r>
            <w:r>
              <w:t xml:space="preserve"> </w:t>
            </w:r>
          </w:p>
        </w:tc>
        <w:tc>
          <w:tcPr>
            <w:tcW w:w="725" w:type="dxa"/>
            <w:tcBorders>
              <w:top w:val="nil"/>
              <w:left w:val="nil"/>
              <w:bottom w:val="nil"/>
              <w:right w:val="nil"/>
            </w:tcBorders>
          </w:tcPr>
          <w:p w14:paraId="537459CE" w14:textId="77777777" w:rsidR="00186B2F" w:rsidRDefault="00000000">
            <w:pPr>
              <w:spacing w:after="24" w:line="259" w:lineRule="auto"/>
              <w:ind w:left="50" w:firstLine="0"/>
            </w:pPr>
            <w:r>
              <w:rPr>
                <w:b/>
              </w:rPr>
              <w:t>M1-</w:t>
            </w:r>
          </w:p>
          <w:p w14:paraId="31A61FCF" w14:textId="77777777" w:rsidR="00186B2F" w:rsidRDefault="00000000">
            <w:pPr>
              <w:spacing w:after="0" w:line="259" w:lineRule="auto"/>
              <w:ind w:left="190" w:firstLine="0"/>
            </w:pPr>
            <w:r>
              <w:rPr>
                <w:b/>
              </w:rPr>
              <w:t>2</w:t>
            </w:r>
            <w:r>
              <w:t xml:space="preserve"> </w:t>
            </w:r>
          </w:p>
        </w:tc>
        <w:tc>
          <w:tcPr>
            <w:tcW w:w="726" w:type="dxa"/>
            <w:tcBorders>
              <w:top w:val="nil"/>
              <w:left w:val="nil"/>
              <w:bottom w:val="nil"/>
              <w:right w:val="nil"/>
            </w:tcBorders>
          </w:tcPr>
          <w:p w14:paraId="4D1F1839" w14:textId="77777777" w:rsidR="00186B2F" w:rsidRDefault="00000000">
            <w:pPr>
              <w:spacing w:after="24" w:line="259" w:lineRule="auto"/>
              <w:ind w:left="50" w:firstLine="0"/>
            </w:pPr>
            <w:r>
              <w:rPr>
                <w:b/>
              </w:rPr>
              <w:t>M3-</w:t>
            </w:r>
          </w:p>
          <w:p w14:paraId="3CF11C3F" w14:textId="77777777" w:rsidR="00186B2F" w:rsidRDefault="00000000">
            <w:pPr>
              <w:spacing w:after="0" w:line="259" w:lineRule="auto"/>
              <w:ind w:left="190" w:firstLine="0"/>
            </w:pPr>
            <w:r>
              <w:rPr>
                <w:b/>
              </w:rPr>
              <w:t>5</w:t>
            </w:r>
            <w:r>
              <w:t xml:space="preserve"> </w:t>
            </w:r>
          </w:p>
        </w:tc>
        <w:tc>
          <w:tcPr>
            <w:tcW w:w="730" w:type="dxa"/>
            <w:tcBorders>
              <w:top w:val="nil"/>
              <w:left w:val="nil"/>
              <w:bottom w:val="nil"/>
              <w:right w:val="nil"/>
            </w:tcBorders>
          </w:tcPr>
          <w:p w14:paraId="08D5790D" w14:textId="77777777" w:rsidR="00186B2F" w:rsidRDefault="00000000">
            <w:pPr>
              <w:spacing w:after="24" w:line="259" w:lineRule="auto"/>
              <w:ind w:left="50" w:firstLine="0"/>
            </w:pPr>
            <w:r>
              <w:rPr>
                <w:b/>
              </w:rPr>
              <w:t>M6-</w:t>
            </w:r>
          </w:p>
          <w:p w14:paraId="0091AB3D" w14:textId="77777777" w:rsidR="00186B2F" w:rsidRDefault="00000000">
            <w:pPr>
              <w:spacing w:after="0" w:line="259" w:lineRule="auto"/>
              <w:ind w:left="190" w:firstLine="0"/>
            </w:pPr>
            <w:r>
              <w:rPr>
                <w:b/>
              </w:rPr>
              <w:t>8</w:t>
            </w:r>
            <w:r>
              <w:t xml:space="preserve"> </w:t>
            </w:r>
          </w:p>
        </w:tc>
        <w:tc>
          <w:tcPr>
            <w:tcW w:w="1576" w:type="dxa"/>
            <w:tcBorders>
              <w:top w:val="nil"/>
              <w:left w:val="nil"/>
              <w:bottom w:val="nil"/>
              <w:right w:val="nil"/>
            </w:tcBorders>
            <w:vAlign w:val="center"/>
          </w:tcPr>
          <w:p w14:paraId="6F62E985" w14:textId="77777777" w:rsidR="00186B2F" w:rsidRDefault="00000000">
            <w:pPr>
              <w:spacing w:after="0" w:line="259" w:lineRule="auto"/>
              <w:ind w:left="345" w:firstLine="0"/>
            </w:pPr>
            <w:r>
              <w:rPr>
                <w:b/>
              </w:rPr>
              <w:t>M9-16</w:t>
            </w:r>
            <w:r>
              <w:t xml:space="preserve"> </w:t>
            </w:r>
          </w:p>
        </w:tc>
        <w:tc>
          <w:tcPr>
            <w:tcW w:w="790" w:type="dxa"/>
            <w:tcBorders>
              <w:top w:val="nil"/>
              <w:left w:val="nil"/>
              <w:bottom w:val="nil"/>
              <w:right w:val="nil"/>
            </w:tcBorders>
          </w:tcPr>
          <w:p w14:paraId="40A59385" w14:textId="77777777" w:rsidR="00186B2F" w:rsidRDefault="00000000">
            <w:pPr>
              <w:spacing w:after="24" w:line="259" w:lineRule="auto"/>
              <w:ind w:left="15" w:firstLine="0"/>
            </w:pPr>
            <w:r>
              <w:rPr>
                <w:b/>
              </w:rPr>
              <w:t>M17-</w:t>
            </w:r>
          </w:p>
          <w:p w14:paraId="2B19329B" w14:textId="77777777" w:rsidR="00186B2F" w:rsidRDefault="00000000">
            <w:pPr>
              <w:spacing w:after="0" w:line="259" w:lineRule="auto"/>
              <w:ind w:left="155" w:firstLine="0"/>
            </w:pPr>
            <w:r>
              <w:rPr>
                <w:b/>
              </w:rPr>
              <w:t>20</w:t>
            </w:r>
            <w:r>
              <w:t xml:space="preserve"> </w:t>
            </w:r>
          </w:p>
        </w:tc>
        <w:tc>
          <w:tcPr>
            <w:tcW w:w="786" w:type="dxa"/>
            <w:tcBorders>
              <w:top w:val="nil"/>
              <w:left w:val="nil"/>
              <w:bottom w:val="nil"/>
              <w:right w:val="nil"/>
            </w:tcBorders>
          </w:tcPr>
          <w:p w14:paraId="00B71D42" w14:textId="77777777" w:rsidR="00186B2F" w:rsidRDefault="00000000">
            <w:pPr>
              <w:spacing w:after="24" w:line="259" w:lineRule="auto"/>
              <w:ind w:left="15" w:firstLine="0"/>
            </w:pPr>
            <w:r>
              <w:rPr>
                <w:b/>
              </w:rPr>
              <w:t>M21-</w:t>
            </w:r>
          </w:p>
          <w:p w14:paraId="0BEA2241" w14:textId="77777777" w:rsidR="00186B2F" w:rsidRDefault="00000000">
            <w:pPr>
              <w:spacing w:after="0" w:line="259" w:lineRule="auto"/>
              <w:ind w:left="155" w:firstLine="0"/>
            </w:pPr>
            <w:r>
              <w:rPr>
                <w:b/>
              </w:rPr>
              <w:t>22</w:t>
            </w:r>
            <w:r>
              <w:t xml:space="preserve"> </w:t>
            </w:r>
          </w:p>
        </w:tc>
        <w:tc>
          <w:tcPr>
            <w:tcW w:w="552" w:type="dxa"/>
            <w:tcBorders>
              <w:top w:val="nil"/>
              <w:left w:val="nil"/>
              <w:bottom w:val="nil"/>
              <w:right w:val="nil"/>
            </w:tcBorders>
          </w:tcPr>
          <w:p w14:paraId="3030D0B6" w14:textId="77777777" w:rsidR="00186B2F" w:rsidRDefault="00000000">
            <w:pPr>
              <w:spacing w:after="24" w:line="259" w:lineRule="auto"/>
              <w:ind w:left="15" w:firstLine="0"/>
              <w:jc w:val="both"/>
            </w:pPr>
            <w:r>
              <w:rPr>
                <w:b/>
              </w:rPr>
              <w:t>M23-</w:t>
            </w:r>
          </w:p>
          <w:p w14:paraId="5BC3A4D4" w14:textId="77777777" w:rsidR="00186B2F" w:rsidRDefault="00000000">
            <w:pPr>
              <w:spacing w:after="0" w:line="259" w:lineRule="auto"/>
              <w:ind w:left="155" w:firstLine="0"/>
            </w:pPr>
            <w:r>
              <w:rPr>
                <w:b/>
              </w:rPr>
              <w:t>24</w:t>
            </w:r>
            <w:r>
              <w:t xml:space="preserve"> </w:t>
            </w:r>
          </w:p>
        </w:tc>
      </w:tr>
      <w:tr w:rsidR="00186B2F" w14:paraId="0E01312C" w14:textId="77777777">
        <w:trPr>
          <w:trHeight w:val="465"/>
        </w:trPr>
        <w:tc>
          <w:tcPr>
            <w:tcW w:w="2531" w:type="dxa"/>
            <w:tcBorders>
              <w:top w:val="nil"/>
              <w:left w:val="nil"/>
              <w:bottom w:val="nil"/>
              <w:right w:val="nil"/>
            </w:tcBorders>
          </w:tcPr>
          <w:p w14:paraId="7454286F" w14:textId="77777777" w:rsidR="00186B2F" w:rsidRDefault="00000000">
            <w:pPr>
              <w:spacing w:after="0" w:line="259" w:lineRule="auto"/>
              <w:ind w:left="0" w:firstLine="0"/>
            </w:pPr>
            <w:r>
              <w:t xml:space="preserve">Project Initiation </w:t>
            </w:r>
          </w:p>
        </w:tc>
        <w:tc>
          <w:tcPr>
            <w:tcW w:w="725" w:type="dxa"/>
            <w:tcBorders>
              <w:top w:val="nil"/>
              <w:left w:val="nil"/>
              <w:bottom w:val="nil"/>
              <w:right w:val="nil"/>
            </w:tcBorders>
          </w:tcPr>
          <w:p w14:paraId="5BA01D56" w14:textId="77777777" w:rsidR="00186B2F" w:rsidRDefault="00000000">
            <w:pPr>
              <w:spacing w:after="0" w:line="259" w:lineRule="auto"/>
              <w:ind w:left="0" w:firstLine="0"/>
            </w:pPr>
            <w:r>
              <w:rPr>
                <w:rFonts w:ascii="Arial" w:eastAsia="Arial" w:hAnsi="Arial" w:cs="Arial"/>
              </w:rPr>
              <w:t>███</w:t>
            </w:r>
            <w:r>
              <w:t xml:space="preserve"> </w:t>
            </w:r>
          </w:p>
        </w:tc>
        <w:tc>
          <w:tcPr>
            <w:tcW w:w="726" w:type="dxa"/>
            <w:tcBorders>
              <w:top w:val="nil"/>
              <w:left w:val="nil"/>
              <w:bottom w:val="nil"/>
              <w:right w:val="nil"/>
            </w:tcBorders>
          </w:tcPr>
          <w:p w14:paraId="2892658E" w14:textId="77777777" w:rsidR="00186B2F" w:rsidRDefault="00000000">
            <w:pPr>
              <w:spacing w:after="0" w:line="259" w:lineRule="auto"/>
              <w:ind w:left="0" w:firstLine="0"/>
            </w:pPr>
            <w:r>
              <w:t xml:space="preserve"> </w:t>
            </w:r>
          </w:p>
        </w:tc>
        <w:tc>
          <w:tcPr>
            <w:tcW w:w="730" w:type="dxa"/>
            <w:tcBorders>
              <w:top w:val="nil"/>
              <w:left w:val="nil"/>
              <w:bottom w:val="nil"/>
              <w:right w:val="nil"/>
            </w:tcBorders>
          </w:tcPr>
          <w:p w14:paraId="134EAEFD" w14:textId="77777777" w:rsidR="00186B2F" w:rsidRDefault="00000000">
            <w:pPr>
              <w:spacing w:after="0" w:line="259" w:lineRule="auto"/>
              <w:ind w:left="0" w:firstLine="0"/>
            </w:pPr>
            <w:r>
              <w:t xml:space="preserve"> </w:t>
            </w:r>
          </w:p>
        </w:tc>
        <w:tc>
          <w:tcPr>
            <w:tcW w:w="1576" w:type="dxa"/>
            <w:tcBorders>
              <w:top w:val="nil"/>
              <w:left w:val="nil"/>
              <w:bottom w:val="nil"/>
              <w:right w:val="nil"/>
            </w:tcBorders>
          </w:tcPr>
          <w:p w14:paraId="4C9BCE71" w14:textId="77777777" w:rsidR="00186B2F" w:rsidRDefault="00000000">
            <w:pPr>
              <w:spacing w:after="0" w:line="259" w:lineRule="auto"/>
              <w:ind w:left="0" w:firstLine="0"/>
            </w:pPr>
            <w:r>
              <w:t xml:space="preserve"> </w:t>
            </w:r>
          </w:p>
        </w:tc>
        <w:tc>
          <w:tcPr>
            <w:tcW w:w="790" w:type="dxa"/>
            <w:tcBorders>
              <w:top w:val="nil"/>
              <w:left w:val="nil"/>
              <w:bottom w:val="nil"/>
              <w:right w:val="nil"/>
            </w:tcBorders>
          </w:tcPr>
          <w:p w14:paraId="104B972D" w14:textId="77777777" w:rsidR="00186B2F" w:rsidRDefault="00000000">
            <w:pPr>
              <w:spacing w:after="0" w:line="259" w:lineRule="auto"/>
              <w:ind w:left="0" w:firstLine="0"/>
            </w:pPr>
            <w:r>
              <w:t xml:space="preserve"> </w:t>
            </w:r>
          </w:p>
        </w:tc>
        <w:tc>
          <w:tcPr>
            <w:tcW w:w="786" w:type="dxa"/>
            <w:tcBorders>
              <w:top w:val="nil"/>
              <w:left w:val="nil"/>
              <w:bottom w:val="nil"/>
              <w:right w:val="nil"/>
            </w:tcBorders>
          </w:tcPr>
          <w:p w14:paraId="3EF34FD2" w14:textId="77777777" w:rsidR="00186B2F" w:rsidRDefault="00000000">
            <w:pPr>
              <w:spacing w:after="0" w:line="259" w:lineRule="auto"/>
              <w:ind w:left="0" w:firstLine="0"/>
            </w:pPr>
            <w:r>
              <w:t xml:space="preserve"> </w:t>
            </w:r>
          </w:p>
        </w:tc>
        <w:tc>
          <w:tcPr>
            <w:tcW w:w="552" w:type="dxa"/>
            <w:tcBorders>
              <w:top w:val="nil"/>
              <w:left w:val="nil"/>
              <w:bottom w:val="nil"/>
              <w:right w:val="nil"/>
            </w:tcBorders>
          </w:tcPr>
          <w:p w14:paraId="174A0727" w14:textId="77777777" w:rsidR="00186B2F" w:rsidRDefault="00000000">
            <w:pPr>
              <w:spacing w:after="0" w:line="259" w:lineRule="auto"/>
              <w:ind w:left="0" w:firstLine="0"/>
            </w:pPr>
            <w:r>
              <w:t xml:space="preserve"> </w:t>
            </w:r>
          </w:p>
        </w:tc>
      </w:tr>
      <w:tr w:rsidR="00186B2F" w14:paraId="7880F2E7" w14:textId="77777777">
        <w:trPr>
          <w:trHeight w:val="503"/>
        </w:trPr>
        <w:tc>
          <w:tcPr>
            <w:tcW w:w="2531" w:type="dxa"/>
            <w:tcBorders>
              <w:top w:val="nil"/>
              <w:left w:val="nil"/>
              <w:bottom w:val="nil"/>
              <w:right w:val="nil"/>
            </w:tcBorders>
          </w:tcPr>
          <w:p w14:paraId="5EC81BD5" w14:textId="77777777" w:rsidR="00186B2F" w:rsidRDefault="00000000">
            <w:pPr>
              <w:spacing w:after="0" w:line="259" w:lineRule="auto"/>
              <w:ind w:left="0" w:firstLine="0"/>
            </w:pPr>
            <w:r>
              <w:t xml:space="preserve">Planning &amp; Design </w:t>
            </w:r>
          </w:p>
        </w:tc>
        <w:tc>
          <w:tcPr>
            <w:tcW w:w="725" w:type="dxa"/>
            <w:tcBorders>
              <w:top w:val="nil"/>
              <w:left w:val="nil"/>
              <w:bottom w:val="nil"/>
              <w:right w:val="nil"/>
            </w:tcBorders>
          </w:tcPr>
          <w:p w14:paraId="3DE092B8" w14:textId="77777777" w:rsidR="00186B2F" w:rsidRDefault="00000000">
            <w:pPr>
              <w:spacing w:after="0" w:line="259" w:lineRule="auto"/>
              <w:ind w:left="0" w:firstLine="0"/>
            </w:pPr>
            <w:r>
              <w:t xml:space="preserve"> </w:t>
            </w:r>
          </w:p>
        </w:tc>
        <w:tc>
          <w:tcPr>
            <w:tcW w:w="726" w:type="dxa"/>
            <w:tcBorders>
              <w:top w:val="nil"/>
              <w:left w:val="nil"/>
              <w:bottom w:val="nil"/>
              <w:right w:val="nil"/>
            </w:tcBorders>
            <w:vAlign w:val="bottom"/>
          </w:tcPr>
          <w:p w14:paraId="6B697C9A" w14:textId="77777777" w:rsidR="00186B2F" w:rsidRDefault="00000000">
            <w:pPr>
              <w:spacing w:after="0" w:line="259" w:lineRule="auto"/>
              <w:ind w:left="0" w:firstLine="0"/>
            </w:pPr>
            <w:r>
              <w:rPr>
                <w:rFonts w:ascii="Arial" w:eastAsia="Arial" w:hAnsi="Arial" w:cs="Arial"/>
              </w:rPr>
              <w:t>███</w:t>
            </w:r>
            <w:r>
              <w:t xml:space="preserve"> </w:t>
            </w:r>
          </w:p>
        </w:tc>
        <w:tc>
          <w:tcPr>
            <w:tcW w:w="730" w:type="dxa"/>
            <w:tcBorders>
              <w:top w:val="nil"/>
              <w:left w:val="nil"/>
              <w:bottom w:val="nil"/>
              <w:right w:val="nil"/>
            </w:tcBorders>
          </w:tcPr>
          <w:p w14:paraId="48DDFF07" w14:textId="77777777" w:rsidR="00186B2F" w:rsidRDefault="00000000">
            <w:pPr>
              <w:spacing w:after="0" w:line="259" w:lineRule="auto"/>
              <w:ind w:left="0" w:firstLine="0"/>
            </w:pPr>
            <w:r>
              <w:t xml:space="preserve"> </w:t>
            </w:r>
          </w:p>
        </w:tc>
        <w:tc>
          <w:tcPr>
            <w:tcW w:w="1576" w:type="dxa"/>
            <w:tcBorders>
              <w:top w:val="nil"/>
              <w:left w:val="nil"/>
              <w:bottom w:val="nil"/>
              <w:right w:val="nil"/>
            </w:tcBorders>
          </w:tcPr>
          <w:p w14:paraId="078D9CB8" w14:textId="77777777" w:rsidR="00186B2F" w:rsidRDefault="00000000">
            <w:pPr>
              <w:spacing w:after="0" w:line="259" w:lineRule="auto"/>
              <w:ind w:left="0" w:firstLine="0"/>
            </w:pPr>
            <w:r>
              <w:t xml:space="preserve"> </w:t>
            </w:r>
          </w:p>
        </w:tc>
        <w:tc>
          <w:tcPr>
            <w:tcW w:w="790" w:type="dxa"/>
            <w:tcBorders>
              <w:top w:val="nil"/>
              <w:left w:val="nil"/>
              <w:bottom w:val="nil"/>
              <w:right w:val="nil"/>
            </w:tcBorders>
          </w:tcPr>
          <w:p w14:paraId="5EC1E4E8" w14:textId="77777777" w:rsidR="00186B2F" w:rsidRDefault="00000000">
            <w:pPr>
              <w:spacing w:after="0" w:line="259" w:lineRule="auto"/>
              <w:ind w:left="0" w:firstLine="0"/>
            </w:pPr>
            <w:r>
              <w:t xml:space="preserve"> </w:t>
            </w:r>
          </w:p>
        </w:tc>
        <w:tc>
          <w:tcPr>
            <w:tcW w:w="786" w:type="dxa"/>
            <w:tcBorders>
              <w:top w:val="nil"/>
              <w:left w:val="nil"/>
              <w:bottom w:val="nil"/>
              <w:right w:val="nil"/>
            </w:tcBorders>
          </w:tcPr>
          <w:p w14:paraId="4F777C9C" w14:textId="77777777" w:rsidR="00186B2F" w:rsidRDefault="00000000">
            <w:pPr>
              <w:spacing w:after="0" w:line="259" w:lineRule="auto"/>
              <w:ind w:left="0" w:firstLine="0"/>
            </w:pPr>
            <w:r>
              <w:t xml:space="preserve"> </w:t>
            </w:r>
          </w:p>
        </w:tc>
        <w:tc>
          <w:tcPr>
            <w:tcW w:w="552" w:type="dxa"/>
            <w:tcBorders>
              <w:top w:val="nil"/>
              <w:left w:val="nil"/>
              <w:bottom w:val="nil"/>
              <w:right w:val="nil"/>
            </w:tcBorders>
          </w:tcPr>
          <w:p w14:paraId="35F44ED4" w14:textId="77777777" w:rsidR="00186B2F" w:rsidRDefault="00000000">
            <w:pPr>
              <w:spacing w:after="0" w:line="259" w:lineRule="auto"/>
              <w:ind w:left="0" w:firstLine="0"/>
            </w:pPr>
            <w:r>
              <w:t xml:space="preserve"> </w:t>
            </w:r>
          </w:p>
        </w:tc>
      </w:tr>
      <w:tr w:rsidR="00186B2F" w14:paraId="6F9AAD22" w14:textId="77777777">
        <w:trPr>
          <w:trHeight w:val="500"/>
        </w:trPr>
        <w:tc>
          <w:tcPr>
            <w:tcW w:w="2531" w:type="dxa"/>
            <w:tcBorders>
              <w:top w:val="nil"/>
              <w:left w:val="nil"/>
              <w:bottom w:val="nil"/>
              <w:right w:val="nil"/>
            </w:tcBorders>
          </w:tcPr>
          <w:p w14:paraId="05F38A99" w14:textId="77777777" w:rsidR="00186B2F" w:rsidRDefault="00000000">
            <w:pPr>
              <w:spacing w:after="0" w:line="259" w:lineRule="auto"/>
              <w:ind w:left="0" w:firstLine="0"/>
            </w:pPr>
            <w:r>
              <w:t xml:space="preserve">Procurement </w:t>
            </w:r>
          </w:p>
        </w:tc>
        <w:tc>
          <w:tcPr>
            <w:tcW w:w="725" w:type="dxa"/>
            <w:tcBorders>
              <w:top w:val="nil"/>
              <w:left w:val="nil"/>
              <w:bottom w:val="nil"/>
              <w:right w:val="nil"/>
            </w:tcBorders>
          </w:tcPr>
          <w:p w14:paraId="6B18BAAA" w14:textId="77777777" w:rsidR="00186B2F" w:rsidRDefault="00000000">
            <w:pPr>
              <w:spacing w:after="0" w:line="259" w:lineRule="auto"/>
              <w:ind w:left="0" w:firstLine="0"/>
            </w:pPr>
            <w:r>
              <w:t xml:space="preserve"> </w:t>
            </w:r>
          </w:p>
        </w:tc>
        <w:tc>
          <w:tcPr>
            <w:tcW w:w="726" w:type="dxa"/>
            <w:tcBorders>
              <w:top w:val="nil"/>
              <w:left w:val="nil"/>
              <w:bottom w:val="nil"/>
              <w:right w:val="nil"/>
            </w:tcBorders>
            <w:vAlign w:val="bottom"/>
          </w:tcPr>
          <w:p w14:paraId="2EBDF69B" w14:textId="77777777" w:rsidR="00186B2F" w:rsidRDefault="00000000">
            <w:pPr>
              <w:spacing w:after="0" w:line="259" w:lineRule="auto"/>
              <w:ind w:left="0" w:firstLine="0"/>
            </w:pPr>
            <w:r>
              <w:rPr>
                <w:rFonts w:ascii="Arial" w:eastAsia="Arial" w:hAnsi="Arial" w:cs="Arial"/>
              </w:rPr>
              <w:t>███</w:t>
            </w:r>
            <w:r>
              <w:t xml:space="preserve"> </w:t>
            </w:r>
          </w:p>
        </w:tc>
        <w:tc>
          <w:tcPr>
            <w:tcW w:w="730" w:type="dxa"/>
            <w:tcBorders>
              <w:top w:val="nil"/>
              <w:left w:val="nil"/>
              <w:bottom w:val="nil"/>
              <w:right w:val="nil"/>
            </w:tcBorders>
            <w:vAlign w:val="bottom"/>
          </w:tcPr>
          <w:p w14:paraId="48AA730C" w14:textId="77777777" w:rsidR="00186B2F" w:rsidRDefault="00000000">
            <w:pPr>
              <w:spacing w:after="0" w:line="259" w:lineRule="auto"/>
              <w:ind w:left="0" w:firstLine="0"/>
            </w:pPr>
            <w:r>
              <w:rPr>
                <w:rFonts w:ascii="Arial" w:eastAsia="Arial" w:hAnsi="Arial" w:cs="Arial"/>
              </w:rPr>
              <w:t>█</w:t>
            </w:r>
            <w:r>
              <w:t xml:space="preserve"> </w:t>
            </w:r>
          </w:p>
        </w:tc>
        <w:tc>
          <w:tcPr>
            <w:tcW w:w="1576" w:type="dxa"/>
            <w:tcBorders>
              <w:top w:val="nil"/>
              <w:left w:val="nil"/>
              <w:bottom w:val="nil"/>
              <w:right w:val="nil"/>
            </w:tcBorders>
          </w:tcPr>
          <w:p w14:paraId="4E0C6BED" w14:textId="77777777" w:rsidR="00186B2F" w:rsidRDefault="00000000">
            <w:pPr>
              <w:spacing w:after="0" w:line="259" w:lineRule="auto"/>
              <w:ind w:left="0" w:firstLine="0"/>
            </w:pPr>
            <w:r>
              <w:t xml:space="preserve"> </w:t>
            </w:r>
          </w:p>
        </w:tc>
        <w:tc>
          <w:tcPr>
            <w:tcW w:w="790" w:type="dxa"/>
            <w:tcBorders>
              <w:top w:val="nil"/>
              <w:left w:val="nil"/>
              <w:bottom w:val="nil"/>
              <w:right w:val="nil"/>
            </w:tcBorders>
          </w:tcPr>
          <w:p w14:paraId="4D953166" w14:textId="77777777" w:rsidR="00186B2F" w:rsidRDefault="00000000">
            <w:pPr>
              <w:spacing w:after="0" w:line="259" w:lineRule="auto"/>
              <w:ind w:left="0" w:firstLine="0"/>
            </w:pPr>
            <w:r>
              <w:t xml:space="preserve"> </w:t>
            </w:r>
          </w:p>
        </w:tc>
        <w:tc>
          <w:tcPr>
            <w:tcW w:w="786" w:type="dxa"/>
            <w:tcBorders>
              <w:top w:val="nil"/>
              <w:left w:val="nil"/>
              <w:bottom w:val="nil"/>
              <w:right w:val="nil"/>
            </w:tcBorders>
          </w:tcPr>
          <w:p w14:paraId="6F94E8C6" w14:textId="77777777" w:rsidR="00186B2F" w:rsidRDefault="00000000">
            <w:pPr>
              <w:spacing w:after="0" w:line="259" w:lineRule="auto"/>
              <w:ind w:left="0" w:firstLine="0"/>
            </w:pPr>
            <w:r>
              <w:t xml:space="preserve"> </w:t>
            </w:r>
          </w:p>
        </w:tc>
        <w:tc>
          <w:tcPr>
            <w:tcW w:w="552" w:type="dxa"/>
            <w:tcBorders>
              <w:top w:val="nil"/>
              <w:left w:val="nil"/>
              <w:bottom w:val="nil"/>
              <w:right w:val="nil"/>
            </w:tcBorders>
          </w:tcPr>
          <w:p w14:paraId="3EB2E226" w14:textId="77777777" w:rsidR="00186B2F" w:rsidRDefault="00000000">
            <w:pPr>
              <w:spacing w:after="0" w:line="259" w:lineRule="auto"/>
              <w:ind w:left="0" w:firstLine="0"/>
            </w:pPr>
            <w:r>
              <w:t xml:space="preserve"> </w:t>
            </w:r>
          </w:p>
        </w:tc>
      </w:tr>
      <w:tr w:rsidR="00186B2F" w14:paraId="2DCD67A2" w14:textId="77777777">
        <w:trPr>
          <w:trHeight w:val="500"/>
        </w:trPr>
        <w:tc>
          <w:tcPr>
            <w:tcW w:w="2531" w:type="dxa"/>
            <w:tcBorders>
              <w:top w:val="nil"/>
              <w:left w:val="nil"/>
              <w:bottom w:val="nil"/>
              <w:right w:val="nil"/>
            </w:tcBorders>
          </w:tcPr>
          <w:p w14:paraId="1BF0EFAF" w14:textId="77777777" w:rsidR="00186B2F" w:rsidRDefault="00000000">
            <w:pPr>
              <w:spacing w:after="0" w:line="259" w:lineRule="auto"/>
              <w:ind w:left="0" w:firstLine="0"/>
            </w:pPr>
            <w:r>
              <w:t xml:space="preserve">Site Preparation </w:t>
            </w:r>
          </w:p>
        </w:tc>
        <w:tc>
          <w:tcPr>
            <w:tcW w:w="725" w:type="dxa"/>
            <w:tcBorders>
              <w:top w:val="nil"/>
              <w:left w:val="nil"/>
              <w:bottom w:val="nil"/>
              <w:right w:val="nil"/>
            </w:tcBorders>
          </w:tcPr>
          <w:p w14:paraId="0527C9A5" w14:textId="77777777" w:rsidR="00186B2F" w:rsidRDefault="00000000">
            <w:pPr>
              <w:spacing w:after="0" w:line="259" w:lineRule="auto"/>
              <w:ind w:left="0" w:firstLine="0"/>
            </w:pPr>
            <w:r>
              <w:t xml:space="preserve"> </w:t>
            </w:r>
          </w:p>
        </w:tc>
        <w:tc>
          <w:tcPr>
            <w:tcW w:w="726" w:type="dxa"/>
            <w:tcBorders>
              <w:top w:val="nil"/>
              <w:left w:val="nil"/>
              <w:bottom w:val="nil"/>
              <w:right w:val="nil"/>
            </w:tcBorders>
          </w:tcPr>
          <w:p w14:paraId="626F73D7" w14:textId="77777777" w:rsidR="00186B2F" w:rsidRDefault="00000000">
            <w:pPr>
              <w:spacing w:after="0" w:line="259" w:lineRule="auto"/>
              <w:ind w:left="0" w:firstLine="0"/>
            </w:pPr>
            <w:r>
              <w:t xml:space="preserve"> </w:t>
            </w:r>
          </w:p>
        </w:tc>
        <w:tc>
          <w:tcPr>
            <w:tcW w:w="730" w:type="dxa"/>
            <w:tcBorders>
              <w:top w:val="nil"/>
              <w:left w:val="nil"/>
              <w:bottom w:val="nil"/>
              <w:right w:val="nil"/>
            </w:tcBorders>
            <w:vAlign w:val="bottom"/>
          </w:tcPr>
          <w:p w14:paraId="68BBE215" w14:textId="77777777" w:rsidR="00186B2F" w:rsidRDefault="00000000">
            <w:pPr>
              <w:spacing w:after="0" w:line="259" w:lineRule="auto"/>
              <w:ind w:left="0" w:firstLine="0"/>
            </w:pPr>
            <w:r>
              <w:rPr>
                <w:rFonts w:ascii="Arial" w:eastAsia="Arial" w:hAnsi="Arial" w:cs="Arial"/>
              </w:rPr>
              <w:t>███</w:t>
            </w:r>
            <w:r>
              <w:t xml:space="preserve"> </w:t>
            </w:r>
          </w:p>
        </w:tc>
        <w:tc>
          <w:tcPr>
            <w:tcW w:w="1576" w:type="dxa"/>
            <w:tcBorders>
              <w:top w:val="nil"/>
              <w:left w:val="nil"/>
              <w:bottom w:val="nil"/>
              <w:right w:val="nil"/>
            </w:tcBorders>
          </w:tcPr>
          <w:p w14:paraId="0ADD3DD0" w14:textId="77777777" w:rsidR="00186B2F" w:rsidRDefault="00000000">
            <w:pPr>
              <w:spacing w:after="0" w:line="259" w:lineRule="auto"/>
              <w:ind w:left="0" w:firstLine="0"/>
            </w:pPr>
            <w:r>
              <w:t xml:space="preserve"> </w:t>
            </w:r>
          </w:p>
        </w:tc>
        <w:tc>
          <w:tcPr>
            <w:tcW w:w="790" w:type="dxa"/>
            <w:tcBorders>
              <w:top w:val="nil"/>
              <w:left w:val="nil"/>
              <w:bottom w:val="nil"/>
              <w:right w:val="nil"/>
            </w:tcBorders>
          </w:tcPr>
          <w:p w14:paraId="6499038A" w14:textId="77777777" w:rsidR="00186B2F" w:rsidRDefault="00000000">
            <w:pPr>
              <w:spacing w:after="0" w:line="259" w:lineRule="auto"/>
              <w:ind w:left="0" w:firstLine="0"/>
            </w:pPr>
            <w:r>
              <w:t xml:space="preserve"> </w:t>
            </w:r>
          </w:p>
        </w:tc>
        <w:tc>
          <w:tcPr>
            <w:tcW w:w="786" w:type="dxa"/>
            <w:tcBorders>
              <w:top w:val="nil"/>
              <w:left w:val="nil"/>
              <w:bottom w:val="nil"/>
              <w:right w:val="nil"/>
            </w:tcBorders>
          </w:tcPr>
          <w:p w14:paraId="5D29C110" w14:textId="77777777" w:rsidR="00186B2F" w:rsidRDefault="00000000">
            <w:pPr>
              <w:spacing w:after="0" w:line="259" w:lineRule="auto"/>
              <w:ind w:left="0" w:firstLine="0"/>
            </w:pPr>
            <w:r>
              <w:t xml:space="preserve"> </w:t>
            </w:r>
          </w:p>
        </w:tc>
        <w:tc>
          <w:tcPr>
            <w:tcW w:w="552" w:type="dxa"/>
            <w:tcBorders>
              <w:top w:val="nil"/>
              <w:left w:val="nil"/>
              <w:bottom w:val="nil"/>
              <w:right w:val="nil"/>
            </w:tcBorders>
          </w:tcPr>
          <w:p w14:paraId="25E06D4A" w14:textId="77777777" w:rsidR="00186B2F" w:rsidRDefault="00000000">
            <w:pPr>
              <w:spacing w:after="0" w:line="259" w:lineRule="auto"/>
              <w:ind w:left="0" w:firstLine="0"/>
            </w:pPr>
            <w:r>
              <w:t xml:space="preserve"> </w:t>
            </w:r>
          </w:p>
        </w:tc>
      </w:tr>
      <w:tr w:rsidR="00186B2F" w14:paraId="404AFFB2" w14:textId="77777777">
        <w:trPr>
          <w:trHeight w:val="500"/>
        </w:trPr>
        <w:tc>
          <w:tcPr>
            <w:tcW w:w="2531" w:type="dxa"/>
            <w:tcBorders>
              <w:top w:val="nil"/>
              <w:left w:val="nil"/>
              <w:bottom w:val="nil"/>
              <w:right w:val="nil"/>
            </w:tcBorders>
          </w:tcPr>
          <w:p w14:paraId="3C0D6AB9" w14:textId="77777777" w:rsidR="00186B2F" w:rsidRDefault="00000000">
            <w:pPr>
              <w:spacing w:after="0" w:line="259" w:lineRule="auto"/>
              <w:ind w:left="0" w:firstLine="0"/>
            </w:pPr>
            <w:r>
              <w:t xml:space="preserve">Construction </w:t>
            </w:r>
          </w:p>
        </w:tc>
        <w:tc>
          <w:tcPr>
            <w:tcW w:w="725" w:type="dxa"/>
            <w:tcBorders>
              <w:top w:val="nil"/>
              <w:left w:val="nil"/>
              <w:bottom w:val="nil"/>
              <w:right w:val="nil"/>
            </w:tcBorders>
          </w:tcPr>
          <w:p w14:paraId="69C40FE0" w14:textId="77777777" w:rsidR="00186B2F" w:rsidRDefault="00000000">
            <w:pPr>
              <w:spacing w:after="0" w:line="259" w:lineRule="auto"/>
              <w:ind w:left="0" w:firstLine="0"/>
            </w:pPr>
            <w:r>
              <w:t xml:space="preserve"> </w:t>
            </w:r>
          </w:p>
        </w:tc>
        <w:tc>
          <w:tcPr>
            <w:tcW w:w="726" w:type="dxa"/>
            <w:tcBorders>
              <w:top w:val="nil"/>
              <w:left w:val="nil"/>
              <w:bottom w:val="nil"/>
              <w:right w:val="nil"/>
            </w:tcBorders>
          </w:tcPr>
          <w:p w14:paraId="21A1E7F5" w14:textId="77777777" w:rsidR="00186B2F" w:rsidRDefault="00000000">
            <w:pPr>
              <w:spacing w:after="0" w:line="259" w:lineRule="auto"/>
              <w:ind w:left="0" w:firstLine="0"/>
            </w:pPr>
            <w:r>
              <w:t xml:space="preserve"> </w:t>
            </w:r>
          </w:p>
        </w:tc>
        <w:tc>
          <w:tcPr>
            <w:tcW w:w="730" w:type="dxa"/>
            <w:tcBorders>
              <w:top w:val="nil"/>
              <w:left w:val="nil"/>
              <w:bottom w:val="nil"/>
              <w:right w:val="nil"/>
            </w:tcBorders>
          </w:tcPr>
          <w:p w14:paraId="5B4C64D7" w14:textId="77777777" w:rsidR="00186B2F" w:rsidRDefault="00000000">
            <w:pPr>
              <w:spacing w:after="0" w:line="259" w:lineRule="auto"/>
              <w:ind w:left="0" w:firstLine="0"/>
            </w:pPr>
            <w:r>
              <w:t xml:space="preserve"> </w:t>
            </w:r>
          </w:p>
        </w:tc>
        <w:tc>
          <w:tcPr>
            <w:tcW w:w="1576" w:type="dxa"/>
            <w:tcBorders>
              <w:top w:val="nil"/>
              <w:left w:val="nil"/>
              <w:bottom w:val="nil"/>
              <w:right w:val="nil"/>
            </w:tcBorders>
            <w:vAlign w:val="bottom"/>
          </w:tcPr>
          <w:p w14:paraId="1CC566D9" w14:textId="77777777" w:rsidR="00186B2F" w:rsidRDefault="00000000">
            <w:pPr>
              <w:spacing w:after="0" w:line="259" w:lineRule="auto"/>
              <w:ind w:left="0" w:firstLine="0"/>
            </w:pPr>
            <w:r>
              <w:rPr>
                <w:rFonts w:ascii="Arial" w:eastAsia="Arial" w:hAnsi="Arial" w:cs="Arial"/>
              </w:rPr>
              <w:t>████████</w:t>
            </w:r>
            <w:r>
              <w:t xml:space="preserve"> </w:t>
            </w:r>
          </w:p>
        </w:tc>
        <w:tc>
          <w:tcPr>
            <w:tcW w:w="790" w:type="dxa"/>
            <w:tcBorders>
              <w:top w:val="nil"/>
              <w:left w:val="nil"/>
              <w:bottom w:val="nil"/>
              <w:right w:val="nil"/>
            </w:tcBorders>
          </w:tcPr>
          <w:p w14:paraId="5C074508" w14:textId="77777777" w:rsidR="00186B2F" w:rsidRDefault="00000000">
            <w:pPr>
              <w:spacing w:after="0" w:line="259" w:lineRule="auto"/>
              <w:ind w:left="0" w:firstLine="0"/>
            </w:pPr>
            <w:r>
              <w:t xml:space="preserve"> </w:t>
            </w:r>
          </w:p>
        </w:tc>
        <w:tc>
          <w:tcPr>
            <w:tcW w:w="786" w:type="dxa"/>
            <w:tcBorders>
              <w:top w:val="nil"/>
              <w:left w:val="nil"/>
              <w:bottom w:val="nil"/>
              <w:right w:val="nil"/>
            </w:tcBorders>
          </w:tcPr>
          <w:p w14:paraId="1DF03892" w14:textId="77777777" w:rsidR="00186B2F" w:rsidRDefault="00000000">
            <w:pPr>
              <w:spacing w:after="0" w:line="259" w:lineRule="auto"/>
              <w:ind w:left="0" w:firstLine="0"/>
            </w:pPr>
            <w:r>
              <w:t xml:space="preserve"> </w:t>
            </w:r>
          </w:p>
        </w:tc>
        <w:tc>
          <w:tcPr>
            <w:tcW w:w="552" w:type="dxa"/>
            <w:tcBorders>
              <w:top w:val="nil"/>
              <w:left w:val="nil"/>
              <w:bottom w:val="nil"/>
              <w:right w:val="nil"/>
            </w:tcBorders>
          </w:tcPr>
          <w:p w14:paraId="23B70BC3" w14:textId="77777777" w:rsidR="00186B2F" w:rsidRDefault="00000000">
            <w:pPr>
              <w:spacing w:after="0" w:line="259" w:lineRule="auto"/>
              <w:ind w:left="0" w:firstLine="0"/>
            </w:pPr>
            <w:r>
              <w:t xml:space="preserve"> </w:t>
            </w:r>
          </w:p>
        </w:tc>
      </w:tr>
      <w:tr w:rsidR="00186B2F" w14:paraId="50C834F1" w14:textId="77777777">
        <w:trPr>
          <w:trHeight w:val="500"/>
        </w:trPr>
        <w:tc>
          <w:tcPr>
            <w:tcW w:w="2531" w:type="dxa"/>
            <w:tcBorders>
              <w:top w:val="nil"/>
              <w:left w:val="nil"/>
              <w:bottom w:val="nil"/>
              <w:right w:val="nil"/>
            </w:tcBorders>
          </w:tcPr>
          <w:p w14:paraId="184030EC" w14:textId="77777777" w:rsidR="00186B2F" w:rsidRDefault="00000000">
            <w:pPr>
              <w:spacing w:after="0" w:line="259" w:lineRule="auto"/>
              <w:ind w:left="0" w:firstLine="0"/>
            </w:pPr>
            <w:r>
              <w:t xml:space="preserve">Digital Systems </w:t>
            </w:r>
          </w:p>
        </w:tc>
        <w:tc>
          <w:tcPr>
            <w:tcW w:w="725" w:type="dxa"/>
            <w:tcBorders>
              <w:top w:val="nil"/>
              <w:left w:val="nil"/>
              <w:bottom w:val="nil"/>
              <w:right w:val="nil"/>
            </w:tcBorders>
          </w:tcPr>
          <w:p w14:paraId="71A19EBB" w14:textId="77777777" w:rsidR="00186B2F" w:rsidRDefault="00000000">
            <w:pPr>
              <w:spacing w:after="0" w:line="259" w:lineRule="auto"/>
              <w:ind w:left="0" w:firstLine="0"/>
            </w:pPr>
            <w:r>
              <w:t xml:space="preserve"> </w:t>
            </w:r>
          </w:p>
        </w:tc>
        <w:tc>
          <w:tcPr>
            <w:tcW w:w="726" w:type="dxa"/>
            <w:tcBorders>
              <w:top w:val="nil"/>
              <w:left w:val="nil"/>
              <w:bottom w:val="nil"/>
              <w:right w:val="nil"/>
            </w:tcBorders>
          </w:tcPr>
          <w:p w14:paraId="60535355" w14:textId="77777777" w:rsidR="00186B2F" w:rsidRDefault="00000000">
            <w:pPr>
              <w:spacing w:after="0" w:line="259" w:lineRule="auto"/>
              <w:ind w:left="0" w:firstLine="0"/>
            </w:pPr>
            <w:r>
              <w:t xml:space="preserve"> </w:t>
            </w:r>
          </w:p>
        </w:tc>
        <w:tc>
          <w:tcPr>
            <w:tcW w:w="730" w:type="dxa"/>
            <w:tcBorders>
              <w:top w:val="nil"/>
              <w:left w:val="nil"/>
              <w:bottom w:val="nil"/>
              <w:right w:val="nil"/>
            </w:tcBorders>
          </w:tcPr>
          <w:p w14:paraId="77B0D731" w14:textId="77777777" w:rsidR="00186B2F" w:rsidRDefault="00000000">
            <w:pPr>
              <w:spacing w:after="0" w:line="259" w:lineRule="auto"/>
              <w:ind w:left="0" w:firstLine="0"/>
            </w:pPr>
            <w:r>
              <w:t xml:space="preserve"> </w:t>
            </w:r>
          </w:p>
        </w:tc>
        <w:tc>
          <w:tcPr>
            <w:tcW w:w="1576" w:type="dxa"/>
            <w:tcBorders>
              <w:top w:val="nil"/>
              <w:left w:val="nil"/>
              <w:bottom w:val="nil"/>
              <w:right w:val="nil"/>
            </w:tcBorders>
            <w:vAlign w:val="bottom"/>
          </w:tcPr>
          <w:p w14:paraId="563C618B" w14:textId="77777777" w:rsidR="00186B2F" w:rsidRDefault="00000000">
            <w:pPr>
              <w:spacing w:after="0" w:line="259" w:lineRule="auto"/>
              <w:ind w:left="0" w:firstLine="0"/>
            </w:pPr>
            <w:r>
              <w:rPr>
                <w:rFonts w:ascii="Arial" w:eastAsia="Arial" w:hAnsi="Arial" w:cs="Arial"/>
              </w:rPr>
              <w:t>███</w:t>
            </w:r>
            <w:r>
              <w:t xml:space="preserve"> </w:t>
            </w:r>
          </w:p>
        </w:tc>
        <w:tc>
          <w:tcPr>
            <w:tcW w:w="790" w:type="dxa"/>
            <w:tcBorders>
              <w:top w:val="nil"/>
              <w:left w:val="nil"/>
              <w:bottom w:val="nil"/>
              <w:right w:val="nil"/>
            </w:tcBorders>
            <w:vAlign w:val="bottom"/>
          </w:tcPr>
          <w:p w14:paraId="6576FD51" w14:textId="77777777" w:rsidR="00186B2F" w:rsidRDefault="00000000">
            <w:pPr>
              <w:spacing w:after="0" w:line="259" w:lineRule="auto"/>
              <w:ind w:left="0" w:firstLine="0"/>
            </w:pPr>
            <w:r>
              <w:rPr>
                <w:rFonts w:ascii="Arial" w:eastAsia="Arial" w:hAnsi="Arial" w:cs="Arial"/>
              </w:rPr>
              <w:t>███</w:t>
            </w:r>
            <w:r>
              <w:t xml:space="preserve"> </w:t>
            </w:r>
          </w:p>
        </w:tc>
        <w:tc>
          <w:tcPr>
            <w:tcW w:w="786" w:type="dxa"/>
            <w:tcBorders>
              <w:top w:val="nil"/>
              <w:left w:val="nil"/>
              <w:bottom w:val="nil"/>
              <w:right w:val="nil"/>
            </w:tcBorders>
          </w:tcPr>
          <w:p w14:paraId="20E0F4E1" w14:textId="77777777" w:rsidR="00186B2F" w:rsidRDefault="00000000">
            <w:pPr>
              <w:spacing w:after="0" w:line="259" w:lineRule="auto"/>
              <w:ind w:left="0" w:firstLine="0"/>
            </w:pPr>
            <w:r>
              <w:t xml:space="preserve"> </w:t>
            </w:r>
          </w:p>
        </w:tc>
        <w:tc>
          <w:tcPr>
            <w:tcW w:w="552" w:type="dxa"/>
            <w:tcBorders>
              <w:top w:val="nil"/>
              <w:left w:val="nil"/>
              <w:bottom w:val="nil"/>
              <w:right w:val="nil"/>
            </w:tcBorders>
          </w:tcPr>
          <w:p w14:paraId="711F1727" w14:textId="77777777" w:rsidR="00186B2F" w:rsidRDefault="00000000">
            <w:pPr>
              <w:spacing w:after="0" w:line="259" w:lineRule="auto"/>
              <w:ind w:left="0" w:firstLine="0"/>
            </w:pPr>
            <w:r>
              <w:t xml:space="preserve"> </w:t>
            </w:r>
          </w:p>
        </w:tc>
      </w:tr>
      <w:tr w:rsidR="00186B2F" w14:paraId="2821D6EF" w14:textId="77777777">
        <w:trPr>
          <w:trHeight w:val="715"/>
        </w:trPr>
        <w:tc>
          <w:tcPr>
            <w:tcW w:w="2531" w:type="dxa"/>
            <w:tcBorders>
              <w:top w:val="nil"/>
              <w:left w:val="nil"/>
              <w:bottom w:val="nil"/>
              <w:right w:val="nil"/>
            </w:tcBorders>
          </w:tcPr>
          <w:p w14:paraId="2BA3F278" w14:textId="77777777" w:rsidR="00186B2F" w:rsidRDefault="00000000">
            <w:pPr>
              <w:spacing w:after="24" w:line="259" w:lineRule="auto"/>
              <w:ind w:left="0" w:firstLine="0"/>
            </w:pPr>
            <w:r>
              <w:t xml:space="preserve">Testing &amp; </w:t>
            </w:r>
          </w:p>
          <w:p w14:paraId="4B99B52B" w14:textId="77777777" w:rsidR="00186B2F" w:rsidRDefault="00000000">
            <w:pPr>
              <w:spacing w:after="0" w:line="259" w:lineRule="auto"/>
              <w:ind w:left="0" w:firstLine="0"/>
            </w:pPr>
            <w:r>
              <w:t xml:space="preserve">Commissioning </w:t>
            </w:r>
          </w:p>
        </w:tc>
        <w:tc>
          <w:tcPr>
            <w:tcW w:w="725" w:type="dxa"/>
            <w:tcBorders>
              <w:top w:val="nil"/>
              <w:left w:val="nil"/>
              <w:bottom w:val="nil"/>
              <w:right w:val="nil"/>
            </w:tcBorders>
          </w:tcPr>
          <w:p w14:paraId="62C808B6" w14:textId="77777777" w:rsidR="00186B2F" w:rsidRDefault="00000000">
            <w:pPr>
              <w:spacing w:after="0" w:line="259" w:lineRule="auto"/>
              <w:ind w:left="0" w:firstLine="0"/>
            </w:pPr>
            <w:r>
              <w:t xml:space="preserve"> </w:t>
            </w:r>
          </w:p>
        </w:tc>
        <w:tc>
          <w:tcPr>
            <w:tcW w:w="726" w:type="dxa"/>
            <w:tcBorders>
              <w:top w:val="nil"/>
              <w:left w:val="nil"/>
              <w:bottom w:val="nil"/>
              <w:right w:val="nil"/>
            </w:tcBorders>
          </w:tcPr>
          <w:p w14:paraId="2F032302" w14:textId="77777777" w:rsidR="00186B2F" w:rsidRDefault="00000000">
            <w:pPr>
              <w:spacing w:after="0" w:line="259" w:lineRule="auto"/>
              <w:ind w:left="0" w:firstLine="0"/>
            </w:pPr>
            <w:r>
              <w:t xml:space="preserve"> </w:t>
            </w:r>
          </w:p>
        </w:tc>
        <w:tc>
          <w:tcPr>
            <w:tcW w:w="730" w:type="dxa"/>
            <w:tcBorders>
              <w:top w:val="nil"/>
              <w:left w:val="nil"/>
              <w:bottom w:val="nil"/>
              <w:right w:val="nil"/>
            </w:tcBorders>
          </w:tcPr>
          <w:p w14:paraId="2662C4FE" w14:textId="77777777" w:rsidR="00186B2F" w:rsidRDefault="00000000">
            <w:pPr>
              <w:spacing w:after="0" w:line="259" w:lineRule="auto"/>
              <w:ind w:left="0" w:firstLine="0"/>
            </w:pPr>
            <w:r>
              <w:t xml:space="preserve"> </w:t>
            </w:r>
          </w:p>
        </w:tc>
        <w:tc>
          <w:tcPr>
            <w:tcW w:w="1576" w:type="dxa"/>
            <w:tcBorders>
              <w:top w:val="nil"/>
              <w:left w:val="nil"/>
              <w:bottom w:val="nil"/>
              <w:right w:val="nil"/>
            </w:tcBorders>
          </w:tcPr>
          <w:p w14:paraId="362BFFC4" w14:textId="77777777" w:rsidR="00186B2F" w:rsidRDefault="00000000">
            <w:pPr>
              <w:spacing w:after="0" w:line="259" w:lineRule="auto"/>
              <w:ind w:left="0" w:firstLine="0"/>
            </w:pPr>
            <w:r>
              <w:t xml:space="preserve"> </w:t>
            </w:r>
          </w:p>
        </w:tc>
        <w:tc>
          <w:tcPr>
            <w:tcW w:w="790" w:type="dxa"/>
            <w:tcBorders>
              <w:top w:val="nil"/>
              <w:left w:val="nil"/>
              <w:bottom w:val="nil"/>
              <w:right w:val="nil"/>
            </w:tcBorders>
            <w:vAlign w:val="center"/>
          </w:tcPr>
          <w:p w14:paraId="50FFE495" w14:textId="77777777" w:rsidR="00186B2F" w:rsidRDefault="00000000">
            <w:pPr>
              <w:spacing w:after="0" w:line="259" w:lineRule="auto"/>
              <w:ind w:left="0" w:firstLine="0"/>
            </w:pPr>
            <w:r>
              <w:rPr>
                <w:rFonts w:ascii="Arial" w:eastAsia="Arial" w:hAnsi="Arial" w:cs="Arial"/>
              </w:rPr>
              <w:t>███</w:t>
            </w:r>
            <w:r>
              <w:rPr>
                <w:sz w:val="37"/>
                <w:vertAlign w:val="superscript"/>
              </w:rPr>
              <w:t xml:space="preserve"> </w:t>
            </w:r>
          </w:p>
        </w:tc>
        <w:tc>
          <w:tcPr>
            <w:tcW w:w="786" w:type="dxa"/>
            <w:tcBorders>
              <w:top w:val="nil"/>
              <w:left w:val="nil"/>
              <w:bottom w:val="nil"/>
              <w:right w:val="nil"/>
            </w:tcBorders>
          </w:tcPr>
          <w:p w14:paraId="03F114EE" w14:textId="77777777" w:rsidR="00186B2F" w:rsidRDefault="00000000">
            <w:pPr>
              <w:spacing w:after="0" w:line="259" w:lineRule="auto"/>
              <w:ind w:left="0" w:firstLine="0"/>
            </w:pPr>
            <w:r>
              <w:t xml:space="preserve"> </w:t>
            </w:r>
          </w:p>
        </w:tc>
        <w:tc>
          <w:tcPr>
            <w:tcW w:w="552" w:type="dxa"/>
            <w:tcBorders>
              <w:top w:val="nil"/>
              <w:left w:val="nil"/>
              <w:bottom w:val="nil"/>
              <w:right w:val="nil"/>
            </w:tcBorders>
          </w:tcPr>
          <w:p w14:paraId="52BC980C" w14:textId="77777777" w:rsidR="00186B2F" w:rsidRDefault="00000000">
            <w:pPr>
              <w:spacing w:after="0" w:line="259" w:lineRule="auto"/>
              <w:ind w:left="0" w:firstLine="0"/>
            </w:pPr>
            <w:r>
              <w:t xml:space="preserve"> </w:t>
            </w:r>
          </w:p>
        </w:tc>
      </w:tr>
      <w:tr w:rsidR="00186B2F" w14:paraId="59BEA19D" w14:textId="77777777">
        <w:trPr>
          <w:trHeight w:val="468"/>
        </w:trPr>
        <w:tc>
          <w:tcPr>
            <w:tcW w:w="2531" w:type="dxa"/>
            <w:tcBorders>
              <w:top w:val="nil"/>
              <w:left w:val="nil"/>
              <w:bottom w:val="nil"/>
              <w:right w:val="nil"/>
            </w:tcBorders>
          </w:tcPr>
          <w:p w14:paraId="353F48BF" w14:textId="77777777" w:rsidR="00186B2F" w:rsidRDefault="00000000">
            <w:pPr>
              <w:spacing w:after="0" w:line="259" w:lineRule="auto"/>
              <w:ind w:left="0" w:firstLine="0"/>
            </w:pPr>
            <w:r>
              <w:t xml:space="preserve">Staff Training </w:t>
            </w:r>
          </w:p>
        </w:tc>
        <w:tc>
          <w:tcPr>
            <w:tcW w:w="725" w:type="dxa"/>
            <w:tcBorders>
              <w:top w:val="nil"/>
              <w:left w:val="nil"/>
              <w:bottom w:val="nil"/>
              <w:right w:val="nil"/>
            </w:tcBorders>
          </w:tcPr>
          <w:p w14:paraId="57D68A85" w14:textId="77777777" w:rsidR="00186B2F" w:rsidRDefault="00000000">
            <w:pPr>
              <w:spacing w:after="0" w:line="259" w:lineRule="auto"/>
              <w:ind w:left="0" w:firstLine="0"/>
            </w:pPr>
            <w:r>
              <w:t xml:space="preserve"> </w:t>
            </w:r>
          </w:p>
        </w:tc>
        <w:tc>
          <w:tcPr>
            <w:tcW w:w="726" w:type="dxa"/>
            <w:tcBorders>
              <w:top w:val="nil"/>
              <w:left w:val="nil"/>
              <w:bottom w:val="nil"/>
              <w:right w:val="nil"/>
            </w:tcBorders>
          </w:tcPr>
          <w:p w14:paraId="5C8D06ED" w14:textId="77777777" w:rsidR="00186B2F" w:rsidRDefault="00000000">
            <w:pPr>
              <w:spacing w:after="0" w:line="259" w:lineRule="auto"/>
              <w:ind w:left="0" w:firstLine="0"/>
            </w:pPr>
            <w:r>
              <w:t xml:space="preserve"> </w:t>
            </w:r>
          </w:p>
        </w:tc>
        <w:tc>
          <w:tcPr>
            <w:tcW w:w="730" w:type="dxa"/>
            <w:tcBorders>
              <w:top w:val="nil"/>
              <w:left w:val="nil"/>
              <w:bottom w:val="nil"/>
              <w:right w:val="nil"/>
            </w:tcBorders>
          </w:tcPr>
          <w:p w14:paraId="294FA08B" w14:textId="77777777" w:rsidR="00186B2F" w:rsidRDefault="00000000">
            <w:pPr>
              <w:spacing w:after="0" w:line="259" w:lineRule="auto"/>
              <w:ind w:left="0" w:firstLine="0"/>
            </w:pPr>
            <w:r>
              <w:t xml:space="preserve"> </w:t>
            </w:r>
          </w:p>
        </w:tc>
        <w:tc>
          <w:tcPr>
            <w:tcW w:w="1576" w:type="dxa"/>
            <w:tcBorders>
              <w:top w:val="nil"/>
              <w:left w:val="nil"/>
              <w:bottom w:val="nil"/>
              <w:right w:val="nil"/>
            </w:tcBorders>
          </w:tcPr>
          <w:p w14:paraId="6ECEC44B" w14:textId="77777777" w:rsidR="00186B2F" w:rsidRDefault="00000000">
            <w:pPr>
              <w:spacing w:after="0" w:line="259" w:lineRule="auto"/>
              <w:ind w:left="0" w:firstLine="0"/>
            </w:pPr>
            <w:r>
              <w:t xml:space="preserve"> </w:t>
            </w:r>
          </w:p>
        </w:tc>
        <w:tc>
          <w:tcPr>
            <w:tcW w:w="790" w:type="dxa"/>
            <w:tcBorders>
              <w:top w:val="nil"/>
              <w:left w:val="nil"/>
              <w:bottom w:val="nil"/>
              <w:right w:val="nil"/>
            </w:tcBorders>
          </w:tcPr>
          <w:p w14:paraId="0D4D5C3F" w14:textId="77777777" w:rsidR="00186B2F" w:rsidRDefault="00000000">
            <w:pPr>
              <w:spacing w:after="0" w:line="259" w:lineRule="auto"/>
              <w:ind w:left="0" w:firstLine="0"/>
            </w:pPr>
            <w:r>
              <w:t xml:space="preserve"> </w:t>
            </w:r>
          </w:p>
        </w:tc>
        <w:tc>
          <w:tcPr>
            <w:tcW w:w="786" w:type="dxa"/>
            <w:tcBorders>
              <w:top w:val="nil"/>
              <w:left w:val="nil"/>
              <w:bottom w:val="nil"/>
              <w:right w:val="nil"/>
            </w:tcBorders>
          </w:tcPr>
          <w:p w14:paraId="6BD89F0C" w14:textId="77777777" w:rsidR="00186B2F" w:rsidRDefault="00000000">
            <w:pPr>
              <w:spacing w:after="0" w:line="259" w:lineRule="auto"/>
              <w:ind w:left="0" w:firstLine="0"/>
            </w:pPr>
            <w:r>
              <w:rPr>
                <w:rFonts w:ascii="Arial" w:eastAsia="Arial" w:hAnsi="Arial" w:cs="Arial"/>
              </w:rPr>
              <w:t>██</w:t>
            </w:r>
            <w:r>
              <w:t xml:space="preserve"> </w:t>
            </w:r>
          </w:p>
        </w:tc>
        <w:tc>
          <w:tcPr>
            <w:tcW w:w="552" w:type="dxa"/>
            <w:tcBorders>
              <w:top w:val="nil"/>
              <w:left w:val="nil"/>
              <w:bottom w:val="nil"/>
              <w:right w:val="nil"/>
            </w:tcBorders>
          </w:tcPr>
          <w:p w14:paraId="705A781B" w14:textId="77777777" w:rsidR="00186B2F" w:rsidRDefault="00000000">
            <w:pPr>
              <w:spacing w:after="0" w:line="259" w:lineRule="auto"/>
              <w:ind w:left="0" w:firstLine="0"/>
            </w:pPr>
            <w:r>
              <w:t xml:space="preserve"> </w:t>
            </w:r>
          </w:p>
        </w:tc>
      </w:tr>
      <w:tr w:rsidR="00186B2F" w14:paraId="6DDB3B2D" w14:textId="77777777">
        <w:trPr>
          <w:trHeight w:val="444"/>
        </w:trPr>
        <w:tc>
          <w:tcPr>
            <w:tcW w:w="2531" w:type="dxa"/>
            <w:tcBorders>
              <w:top w:val="nil"/>
              <w:left w:val="nil"/>
              <w:bottom w:val="nil"/>
              <w:right w:val="nil"/>
            </w:tcBorders>
            <w:vAlign w:val="bottom"/>
          </w:tcPr>
          <w:p w14:paraId="014ADCFB" w14:textId="77777777" w:rsidR="00186B2F" w:rsidRDefault="00000000">
            <w:pPr>
              <w:spacing w:after="0" w:line="259" w:lineRule="auto"/>
              <w:ind w:left="0" w:firstLine="0"/>
            </w:pPr>
            <w:r>
              <w:t xml:space="preserve">Final Handover </w:t>
            </w:r>
          </w:p>
        </w:tc>
        <w:tc>
          <w:tcPr>
            <w:tcW w:w="725" w:type="dxa"/>
            <w:tcBorders>
              <w:top w:val="nil"/>
              <w:left w:val="nil"/>
              <w:bottom w:val="nil"/>
              <w:right w:val="nil"/>
            </w:tcBorders>
          </w:tcPr>
          <w:p w14:paraId="300C2D9A" w14:textId="77777777" w:rsidR="00186B2F" w:rsidRDefault="00000000">
            <w:pPr>
              <w:spacing w:after="0" w:line="259" w:lineRule="auto"/>
              <w:ind w:left="0" w:firstLine="0"/>
            </w:pPr>
            <w:r>
              <w:t xml:space="preserve"> </w:t>
            </w:r>
          </w:p>
        </w:tc>
        <w:tc>
          <w:tcPr>
            <w:tcW w:w="726" w:type="dxa"/>
            <w:tcBorders>
              <w:top w:val="nil"/>
              <w:left w:val="nil"/>
              <w:bottom w:val="nil"/>
              <w:right w:val="nil"/>
            </w:tcBorders>
          </w:tcPr>
          <w:p w14:paraId="5E3E2B0F" w14:textId="77777777" w:rsidR="00186B2F" w:rsidRDefault="00000000">
            <w:pPr>
              <w:spacing w:after="0" w:line="259" w:lineRule="auto"/>
              <w:ind w:left="0" w:firstLine="0"/>
            </w:pPr>
            <w:r>
              <w:t xml:space="preserve"> </w:t>
            </w:r>
          </w:p>
        </w:tc>
        <w:tc>
          <w:tcPr>
            <w:tcW w:w="730" w:type="dxa"/>
            <w:tcBorders>
              <w:top w:val="nil"/>
              <w:left w:val="nil"/>
              <w:bottom w:val="nil"/>
              <w:right w:val="nil"/>
            </w:tcBorders>
          </w:tcPr>
          <w:p w14:paraId="1206DA0C" w14:textId="77777777" w:rsidR="00186B2F" w:rsidRDefault="00000000">
            <w:pPr>
              <w:spacing w:after="0" w:line="259" w:lineRule="auto"/>
              <w:ind w:left="0" w:firstLine="0"/>
            </w:pPr>
            <w:r>
              <w:t xml:space="preserve"> </w:t>
            </w:r>
          </w:p>
        </w:tc>
        <w:tc>
          <w:tcPr>
            <w:tcW w:w="1576" w:type="dxa"/>
            <w:tcBorders>
              <w:top w:val="nil"/>
              <w:left w:val="nil"/>
              <w:bottom w:val="nil"/>
              <w:right w:val="nil"/>
            </w:tcBorders>
          </w:tcPr>
          <w:p w14:paraId="2BE7B642" w14:textId="77777777" w:rsidR="00186B2F" w:rsidRDefault="00000000">
            <w:pPr>
              <w:spacing w:after="0" w:line="259" w:lineRule="auto"/>
              <w:ind w:left="0" w:firstLine="0"/>
            </w:pPr>
            <w:r>
              <w:t xml:space="preserve"> </w:t>
            </w:r>
          </w:p>
        </w:tc>
        <w:tc>
          <w:tcPr>
            <w:tcW w:w="790" w:type="dxa"/>
            <w:tcBorders>
              <w:top w:val="nil"/>
              <w:left w:val="nil"/>
              <w:bottom w:val="nil"/>
              <w:right w:val="nil"/>
            </w:tcBorders>
          </w:tcPr>
          <w:p w14:paraId="7347C8C8" w14:textId="77777777" w:rsidR="00186B2F" w:rsidRDefault="00000000">
            <w:pPr>
              <w:spacing w:after="0" w:line="259" w:lineRule="auto"/>
              <w:ind w:left="0" w:firstLine="0"/>
            </w:pPr>
            <w:r>
              <w:t xml:space="preserve"> </w:t>
            </w:r>
          </w:p>
        </w:tc>
        <w:tc>
          <w:tcPr>
            <w:tcW w:w="786" w:type="dxa"/>
            <w:tcBorders>
              <w:top w:val="nil"/>
              <w:left w:val="nil"/>
              <w:bottom w:val="nil"/>
              <w:right w:val="nil"/>
            </w:tcBorders>
          </w:tcPr>
          <w:p w14:paraId="23EE9373" w14:textId="77777777" w:rsidR="00186B2F" w:rsidRDefault="00000000">
            <w:pPr>
              <w:spacing w:after="0" w:line="259" w:lineRule="auto"/>
              <w:ind w:left="0" w:firstLine="0"/>
            </w:pPr>
            <w:r>
              <w:t xml:space="preserve"> </w:t>
            </w:r>
          </w:p>
        </w:tc>
        <w:tc>
          <w:tcPr>
            <w:tcW w:w="552" w:type="dxa"/>
            <w:tcBorders>
              <w:top w:val="nil"/>
              <w:left w:val="nil"/>
              <w:bottom w:val="nil"/>
              <w:right w:val="nil"/>
            </w:tcBorders>
            <w:vAlign w:val="bottom"/>
          </w:tcPr>
          <w:p w14:paraId="129B60BF" w14:textId="77777777" w:rsidR="00186B2F" w:rsidRDefault="00000000">
            <w:pPr>
              <w:spacing w:after="0" w:line="259" w:lineRule="auto"/>
              <w:ind w:left="0" w:firstLine="0"/>
            </w:pPr>
            <w:r>
              <w:rPr>
                <w:rFonts w:ascii="Arial" w:eastAsia="Arial" w:hAnsi="Arial" w:cs="Arial"/>
              </w:rPr>
              <w:t>██</w:t>
            </w:r>
            <w:r>
              <w:t xml:space="preserve"> </w:t>
            </w:r>
          </w:p>
        </w:tc>
      </w:tr>
    </w:tbl>
    <w:p w14:paraId="0E7A2B9B" w14:textId="77777777" w:rsidR="00186B2F" w:rsidRDefault="00000000">
      <w:pPr>
        <w:ind w:left="-5" w:right="10"/>
      </w:pPr>
      <w:r>
        <w:t xml:space="preserve">The Gantt Chart provides a visual representation of project sequencing and enables managers to identify activities on the critical path that could delay overall completion if not carefully monitored. Progress can be reviewed against planned milestones, allowing corrective action to be taken where delays occur. This directly addresses the feedback received from the tutor by demonstrating how project management tools actively support monitoring and control throughout the project rather than simply illustrating the project schedule. </w:t>
      </w:r>
    </w:p>
    <w:p w14:paraId="7FE78F54" w14:textId="77777777" w:rsidR="00186B2F" w:rsidRDefault="00000000">
      <w:pPr>
        <w:spacing w:after="240" w:line="279" w:lineRule="auto"/>
        <w:ind w:left="-5" w:right="96"/>
        <w:jc w:val="both"/>
      </w:pPr>
      <w:r>
        <w:t xml:space="preserve">Furthermore, the Gantt Chart facilitates communication between contractors, transport operators and local authorities by establishing shared timelines and clearly identifying key project milestones.  </w:t>
      </w:r>
    </w:p>
    <w:p w14:paraId="7172884B" w14:textId="77777777" w:rsidR="00186B2F" w:rsidRDefault="00000000">
      <w:pPr>
        <w:spacing w:after="575" w:line="259" w:lineRule="auto"/>
        <w:ind w:left="0" w:firstLine="0"/>
      </w:pPr>
      <w:r>
        <w:t xml:space="preserve"> </w:t>
      </w:r>
    </w:p>
    <w:p w14:paraId="51E38BF9" w14:textId="77777777" w:rsidR="00186B2F" w:rsidRDefault="00000000">
      <w:pPr>
        <w:pStyle w:val="Heading2"/>
        <w:ind w:left="-5"/>
      </w:pPr>
      <w:r>
        <w:t xml:space="preserve">7. Stakeholder Involvement </w:t>
      </w:r>
      <w:r>
        <w:rPr>
          <w:b w:val="0"/>
          <w:sz w:val="40"/>
        </w:rPr>
        <w:t xml:space="preserve"> </w:t>
      </w:r>
    </w:p>
    <w:p w14:paraId="217DAA7F" w14:textId="77777777" w:rsidR="00186B2F" w:rsidRDefault="00000000">
      <w:pPr>
        <w:ind w:left="-5" w:right="10"/>
      </w:pPr>
      <w:r>
        <w:t xml:space="preserve">Stakeholder management is one of the most important aspects of successful project delivery because infrastructure projects affect a wide range of individuals and organisations with differing priorities and expectations. Effective stakeholder engagement improves communication, reduces resistance to change and supports informed </w:t>
      </w:r>
      <w:proofErr w:type="spellStart"/>
      <w:r>
        <w:t>decisionmaking</w:t>
      </w:r>
      <w:proofErr w:type="spellEnd"/>
      <w:r>
        <w:t xml:space="preserve"> throughout the project lifecycle (Bourne, 2015). Failure to manage stakeholders appropriately can result in project delays, disputes, increased costs and reputational damage. </w:t>
      </w:r>
    </w:p>
    <w:p w14:paraId="6D029836" w14:textId="77777777" w:rsidR="00186B2F" w:rsidRDefault="00000000">
      <w:pPr>
        <w:ind w:left="-5" w:right="10"/>
      </w:pPr>
      <w:r>
        <w:lastRenderedPageBreak/>
        <w:t xml:space="preserve">The redevelopment of the central transport hub involves numerous internal and external stakeholders, each with different levels of influence and interest. Local authorities act as the project sponsor and are responsible for governance, funding approval and ensuring that the redevelopment aligns with wider regeneration objectives. The project manager coordinates all project activities and maintains communication between stakeholders while ensuring that project objectives remain aligned with agreed scope, cost and schedule. </w:t>
      </w:r>
    </w:p>
    <w:p w14:paraId="179633CD" w14:textId="77777777" w:rsidR="00186B2F" w:rsidRDefault="00000000">
      <w:pPr>
        <w:ind w:left="-5" w:right="10"/>
      </w:pPr>
      <w:r>
        <w:t xml:space="preserve">Transport operators, including rail, bus and freight organisations, represent high-power stakeholders because their services are directly affected by construction activities and operational planning. Regular consultation meetings and progress reports will enable service providers to prepare contingency arrangements during construction while ensuring that operational requirements are incorporated into the final design. </w:t>
      </w:r>
    </w:p>
    <w:p w14:paraId="784DED67" w14:textId="77777777" w:rsidR="00186B2F" w:rsidRDefault="00000000">
      <w:pPr>
        <w:ind w:left="-5" w:right="10"/>
      </w:pPr>
      <w:r>
        <w:t xml:space="preserve">Members of the public, local businesses and community groups have lower </w:t>
      </w:r>
      <w:proofErr w:type="spellStart"/>
      <w:r>
        <w:t>decisionmaking</w:t>
      </w:r>
      <w:proofErr w:type="spellEnd"/>
      <w:r>
        <w:t xml:space="preserve"> authority but remain important stakeholders because they experience the greatest disruption during construction. Maintaining public confidence requires transparent communication through community engagement events, social media updates, project </w:t>
      </w:r>
    </w:p>
    <w:p w14:paraId="60996F85" w14:textId="77777777" w:rsidR="00186B2F" w:rsidRDefault="00000000">
      <w:pPr>
        <w:ind w:left="-5" w:right="10"/>
      </w:pPr>
      <w:r>
        <w:t xml:space="preserve">websites and regular progress bulletins. Early engagement also enables concerns to be identified before they develop into significant opposition to the project. </w:t>
      </w:r>
    </w:p>
    <w:p w14:paraId="795818C1" w14:textId="77777777" w:rsidR="00186B2F" w:rsidRDefault="00000000">
      <w:pPr>
        <w:ind w:left="-5" w:right="10"/>
      </w:pPr>
      <w:r>
        <w:t xml:space="preserve">A stakeholder communication plan will be implemented throughout the project lifecycle, with communication methods tailored to stakeholder needs. High-power stakeholders will receive detailed monthly performance reports and governance updates, while members of the public will receive accessible information regarding construction progress, expected disruption and alternative transport arrangements. This structured approach encourages collaboration, improves stakeholder satisfaction and supports timely decision-making throughout project delivery. </w:t>
      </w:r>
    </w:p>
    <w:p w14:paraId="43BAA357" w14:textId="77777777" w:rsidR="00186B2F" w:rsidRDefault="00000000">
      <w:pPr>
        <w:spacing w:after="575" w:line="259" w:lineRule="auto"/>
        <w:ind w:left="0" w:firstLine="0"/>
      </w:pPr>
      <w:r>
        <w:t xml:space="preserve"> </w:t>
      </w:r>
    </w:p>
    <w:p w14:paraId="6A192AED" w14:textId="77777777" w:rsidR="00186B2F" w:rsidRDefault="00000000">
      <w:pPr>
        <w:pStyle w:val="Heading2"/>
        <w:ind w:left="-5"/>
      </w:pPr>
      <w:r>
        <w:t xml:space="preserve">8. Allocation of Resources </w:t>
      </w:r>
      <w:r>
        <w:rPr>
          <w:b w:val="0"/>
          <w:sz w:val="40"/>
        </w:rPr>
        <w:t xml:space="preserve"> </w:t>
      </w:r>
    </w:p>
    <w:p w14:paraId="6290BCA2" w14:textId="77777777" w:rsidR="00186B2F" w:rsidRDefault="00000000">
      <w:pPr>
        <w:ind w:left="-5" w:right="10"/>
      </w:pPr>
      <w:r>
        <w:t xml:space="preserve">Successful project delivery depends upon the effective allocation and management of human, financial, physical and technological resources. Resource planning ensures that the right people, equipment and materials are available at the appropriate stage of the project, reducing delays while improving productivity and overall project performance (Kerzner, 2022). </w:t>
      </w:r>
    </w:p>
    <w:p w14:paraId="65A17A53" w14:textId="77777777" w:rsidR="00186B2F" w:rsidRDefault="00000000">
      <w:pPr>
        <w:ind w:left="-5" w:right="10"/>
      </w:pPr>
      <w:r>
        <w:lastRenderedPageBreak/>
        <w:t xml:space="preserve">The project team will consist of a Project Manager supported by civil engineers, architects, structural engineers, quantity surveyors, environmental consultants, procurement specialists, health and safety officers and digital infrastructure experts. Each professional brings specialist knowledge that contributes to achieving the project's technical and strategic objectives. Clearly defined responsibilities reduce duplication of work while improving accountability across multidisciplinary teams. </w:t>
      </w:r>
    </w:p>
    <w:p w14:paraId="7EDEBC6F" w14:textId="77777777" w:rsidR="00186B2F" w:rsidRDefault="00000000">
      <w:pPr>
        <w:ind w:left="-5" w:right="10"/>
      </w:pPr>
      <w:r>
        <w:t xml:space="preserve">Financial resources will be allocated through phased budgeting linked directly to the Work Breakdown Structure. This enables expenditure to be monitored against planned milestones, allowing corrective action to be taken where cost variances occur. Earned Value Management (EVM) techniques may also be applied during project monitoring to evaluate cost and schedule performance against the approved baseline. </w:t>
      </w:r>
    </w:p>
    <w:p w14:paraId="41EFD8F3" w14:textId="77777777" w:rsidR="00186B2F" w:rsidRDefault="00000000">
      <w:pPr>
        <w:ind w:left="-5" w:right="10"/>
      </w:pPr>
      <w:r>
        <w:t xml:space="preserve">Physical resources include construction materials, heavy plant machinery, temporary site facilities and specialist equipment required for demolition, construction and commissioning activities. Procurement activities will prioritise suppliers capable of delivering high-quality materials within agreed timescales while supporting sustainability objectives through responsible sourcing practices. </w:t>
      </w:r>
    </w:p>
    <w:p w14:paraId="2962A80A" w14:textId="77777777" w:rsidR="00186B2F" w:rsidRDefault="00000000">
      <w:pPr>
        <w:ind w:left="-5" w:right="10"/>
      </w:pPr>
      <w:r>
        <w:t xml:space="preserve">Technology also represents an essential project resource. Project management software such as Microsoft Project will support scheduling, resource tracking and progress reporting, while Building Information Modelling (BIM) will facilitate collaboration between design teams and contractors. Digital documentation systems further improve version control, communication and information sharing throughout the redevelopment programme. </w:t>
      </w:r>
    </w:p>
    <w:p w14:paraId="48D53F3B" w14:textId="77777777" w:rsidR="00186B2F" w:rsidRDefault="00000000">
      <w:pPr>
        <w:spacing w:after="576" w:line="259" w:lineRule="auto"/>
        <w:ind w:left="0" w:firstLine="0"/>
      </w:pPr>
      <w:r>
        <w:t xml:space="preserve"> </w:t>
      </w:r>
    </w:p>
    <w:p w14:paraId="37E78BBB" w14:textId="77777777" w:rsidR="00186B2F" w:rsidRDefault="00000000">
      <w:pPr>
        <w:pStyle w:val="Heading2"/>
        <w:ind w:left="-5"/>
      </w:pPr>
      <w:r>
        <w:t>9. Risk Analysis</w:t>
      </w:r>
      <w:r>
        <w:rPr>
          <w:b w:val="0"/>
          <w:sz w:val="40"/>
        </w:rPr>
        <w:t xml:space="preserve"> </w:t>
      </w:r>
    </w:p>
    <w:p w14:paraId="48E861D8" w14:textId="77777777" w:rsidR="00186B2F" w:rsidRDefault="00000000">
      <w:pPr>
        <w:ind w:left="-5" w:right="10"/>
      </w:pPr>
      <w:r>
        <w:t xml:space="preserve">Risk management is a continuous process that identifies, evaluates and responds to uncertainty throughout the project lifecycle. According to the Project Management Institute (2021), effective risk management enables organisations to minimise threats while maximising opportunities, thereby improving the likelihood of successful project delivery. Given the scale and complexity of the transport hub redevelopment, proactive risk management is essential for maintaining project performance. </w:t>
      </w:r>
    </w:p>
    <w:p w14:paraId="15FE7E4D" w14:textId="77777777" w:rsidR="00186B2F" w:rsidRDefault="00000000">
      <w:pPr>
        <w:ind w:left="-5" w:right="10"/>
      </w:pPr>
      <w:r>
        <w:t xml:space="preserve">The redevelopment faces several strategic, operational and financial risks. Construction delays represent one of the most significant threats because adverse weather conditions, unforeseen structural complications or supply chain disruption may delay critical activities. Such delays </w:t>
      </w:r>
      <w:r>
        <w:lastRenderedPageBreak/>
        <w:t xml:space="preserve">increase labour costs, postpone operational handover and may negatively affect public confidence. To minimise this risk, the project schedule includes contingency allowances, regular progress monitoring and alternative procurement arrangements for critical construction materials. </w:t>
      </w:r>
    </w:p>
    <w:p w14:paraId="5F4019DA" w14:textId="77777777" w:rsidR="00186B2F" w:rsidRDefault="00000000">
      <w:pPr>
        <w:ind w:left="-5" w:right="10"/>
      </w:pPr>
      <w:r>
        <w:t xml:space="preserve">Budget overruns are another significant risk commonly associated with major infrastructure projects. Inflation, unexpected design modifications and fluctuations in material prices may increase project expenditure beyond the approved budget. Monthly financial monitoring, cost forecasting and formal change control procedures will therefore be implemented to ensure that any proposed variations are fully evaluated before approval. Maintaining a contingency reserve also provides financial resilience should unforeseen costs arise. </w:t>
      </w:r>
    </w:p>
    <w:p w14:paraId="392C9DC8" w14:textId="77777777" w:rsidR="00186B2F" w:rsidRDefault="00000000">
      <w:pPr>
        <w:ind w:left="-5" w:right="10"/>
      </w:pPr>
      <w:r>
        <w:t xml:space="preserve">Health and safety risks remain a priority throughout construction due to the presence of heavy </w:t>
      </w:r>
      <w:proofErr w:type="gramStart"/>
      <w:r>
        <w:t>machinery,</w:t>
      </w:r>
      <w:proofErr w:type="gramEnd"/>
      <w:r>
        <w:t xml:space="preserve"> demolition works and live transport infrastructure surrounding the construction site. Strict compliance with health and safety legislation, routine site inspections, staff training and contractor audits will reduce the likelihood of workplace accidents while protecting employees, contractors and members of the public. </w:t>
      </w:r>
    </w:p>
    <w:p w14:paraId="7FADD679" w14:textId="77777777" w:rsidR="00186B2F" w:rsidRDefault="00000000">
      <w:pPr>
        <w:ind w:left="-5" w:right="10"/>
      </w:pPr>
      <w:r>
        <w:t xml:space="preserve">Environmental risks must also be considered. Construction activities may generate noise pollution, waste materials and increased carbon emissions, potentially affecting surrounding communities and local ecosystems. Sustainable construction methods, environmental monitoring and responsible waste management practices will therefore be integrated throughout project delivery to minimise environmental impact while supporting national net-zero objectives. </w:t>
      </w:r>
    </w:p>
    <w:p w14:paraId="4B09D179" w14:textId="77777777" w:rsidR="00186B2F" w:rsidRDefault="00000000">
      <w:pPr>
        <w:ind w:left="-5" w:right="10"/>
      </w:pPr>
      <w:r>
        <w:t xml:space="preserve">Stakeholder resistance represents a further project risk. Local businesses and commuters may become dissatisfied if disruption continues for extended periods without effective communication. Maintaining regular stakeholder engagement through consultation meetings, public information campaigns and timely progress updates will improve transparency and reduce opposition to the redevelopment programme. </w:t>
      </w:r>
    </w:p>
    <w:p w14:paraId="52B5EFFD" w14:textId="77777777" w:rsidR="00186B2F" w:rsidRDefault="00000000">
      <w:pPr>
        <w:spacing w:after="576" w:line="259" w:lineRule="auto"/>
        <w:ind w:left="0" w:firstLine="0"/>
      </w:pPr>
      <w:r>
        <w:t xml:space="preserve"> </w:t>
      </w:r>
    </w:p>
    <w:p w14:paraId="28C49F5E" w14:textId="77777777" w:rsidR="00186B2F" w:rsidRDefault="00000000">
      <w:pPr>
        <w:pStyle w:val="Heading2"/>
        <w:ind w:left="-5"/>
      </w:pPr>
      <w:r>
        <w:t>10. Conclusion</w:t>
      </w:r>
      <w:r>
        <w:rPr>
          <w:b w:val="0"/>
          <w:sz w:val="40"/>
        </w:rPr>
        <w:t xml:space="preserve"> </w:t>
      </w:r>
    </w:p>
    <w:p w14:paraId="1A22A68D" w14:textId="77777777" w:rsidR="00186B2F" w:rsidRDefault="00000000">
      <w:pPr>
        <w:ind w:left="-5" w:right="10"/>
      </w:pPr>
      <w:r>
        <w:t xml:space="preserve">The redevelopment of the central transport hub represents a strategically important infrastructure project that will restore transport capacity while supporting economic growth, environmental sustainability and improved accessibility. Delivering a project of this scale </w:t>
      </w:r>
      <w:r>
        <w:lastRenderedPageBreak/>
        <w:t xml:space="preserve">requires more than technical expertise; it demands effective planning, governance, communication and risk management throughout the entire project lifecycle. </w:t>
      </w:r>
    </w:p>
    <w:p w14:paraId="3E5C3B0D" w14:textId="77777777" w:rsidR="00186B2F" w:rsidRDefault="00000000">
      <w:pPr>
        <w:ind w:left="-5" w:right="10"/>
      </w:pPr>
      <w:r>
        <w:t xml:space="preserve">This project management plan has demonstrated how recognised project management techniques can be applied to achieve successful project delivery. The Work Breakdown Structure provides a clear framework for organising project activities, while the Gantt Chart establishes realistic scheduling and enables progress to be monitored against agreed milestones. Stakeholder analysis supports effective communication and collaboration between project participants, resource allocation ensures that personnel and assets are utilised efficiently, and comprehensive risk management enables threats to be identified, assessed and controlled before they significantly affect project performance. </w:t>
      </w:r>
    </w:p>
    <w:p w14:paraId="735234AA" w14:textId="77777777" w:rsidR="00186B2F" w:rsidRDefault="00000000">
      <w:pPr>
        <w:ind w:left="-5" w:right="10"/>
      </w:pPr>
      <w:r>
        <w:t xml:space="preserve">By applying structured project management methodologies alongside continuous monitoring and stakeholder engagement, the redevelopment project is well positioned to achieve its strategic objectives while delivering a modern, safe and sustainable transport hub that meets the future needs of the city and its communities. </w:t>
      </w:r>
    </w:p>
    <w:p w14:paraId="33BB60E2" w14:textId="77777777" w:rsidR="00186B2F" w:rsidRDefault="00000000">
      <w:pPr>
        <w:spacing w:after="29" w:line="259" w:lineRule="auto"/>
        <w:ind w:left="0" w:firstLine="0"/>
      </w:pPr>
      <w:r>
        <w:t xml:space="preserve"> </w:t>
      </w:r>
    </w:p>
    <w:p w14:paraId="36809325" w14:textId="77777777" w:rsidR="00186B2F" w:rsidRDefault="00000000">
      <w:pPr>
        <w:spacing w:after="440" w:line="259" w:lineRule="auto"/>
        <w:ind w:left="0" w:firstLine="0"/>
      </w:pPr>
      <w:r>
        <w:t xml:space="preserve"> </w:t>
      </w:r>
    </w:p>
    <w:p w14:paraId="7D99D27F" w14:textId="77777777" w:rsidR="00186B2F" w:rsidRDefault="00000000">
      <w:pPr>
        <w:spacing w:after="216" w:line="259" w:lineRule="auto"/>
        <w:ind w:left="0" w:firstLine="0"/>
      </w:pPr>
      <w:r>
        <w:rPr>
          <w:b/>
          <w:color w:val="0F4761"/>
          <w:sz w:val="36"/>
        </w:rPr>
        <w:t>References:</w:t>
      </w:r>
      <w:r>
        <w:rPr>
          <w:color w:val="0F4761"/>
          <w:sz w:val="32"/>
        </w:rPr>
        <w:t xml:space="preserve"> </w:t>
      </w:r>
    </w:p>
    <w:p w14:paraId="112D4D19" w14:textId="77777777" w:rsidR="00186B2F" w:rsidRDefault="00000000">
      <w:pPr>
        <w:ind w:left="-5" w:right="10"/>
      </w:pPr>
      <w:r>
        <w:t xml:space="preserve">Association for Project Management (APM) (2019) </w:t>
      </w:r>
      <w:r>
        <w:rPr>
          <w:i/>
        </w:rPr>
        <w:t>APM Body of Knowledge</w:t>
      </w:r>
      <w:r>
        <w:t xml:space="preserve">. 7th </w:t>
      </w:r>
      <w:proofErr w:type="spellStart"/>
      <w:r>
        <w:t>edn</w:t>
      </w:r>
      <w:proofErr w:type="spellEnd"/>
      <w:r>
        <w:t xml:space="preserve">. Princes Risborough: Association for Project Management. </w:t>
      </w:r>
    </w:p>
    <w:p w14:paraId="11F36E68" w14:textId="77777777" w:rsidR="00186B2F" w:rsidRDefault="00000000">
      <w:pPr>
        <w:spacing w:after="243" w:line="279" w:lineRule="auto"/>
        <w:ind w:left="-5"/>
      </w:pPr>
      <w:r>
        <w:t xml:space="preserve">Bourne, L. (2015) </w:t>
      </w:r>
      <w:r>
        <w:rPr>
          <w:i/>
        </w:rPr>
        <w:t>Stakeholder Relationship Management: A Maturity Model for Organisational Implementation</w:t>
      </w:r>
      <w:r>
        <w:t xml:space="preserve">. Farnham: Gower Publishing. </w:t>
      </w:r>
    </w:p>
    <w:p w14:paraId="42DF59B5" w14:textId="77777777" w:rsidR="00186B2F" w:rsidRDefault="00000000">
      <w:pPr>
        <w:ind w:left="-5" w:right="10"/>
      </w:pPr>
      <w:r>
        <w:t xml:space="preserve">Hillson, D. and Murray-Webster, R. (2017) </w:t>
      </w:r>
      <w:r>
        <w:rPr>
          <w:i/>
        </w:rPr>
        <w:t>Understanding and Managing Risk Attitude</w:t>
      </w:r>
      <w:r>
        <w:t xml:space="preserve">. 2nd </w:t>
      </w:r>
      <w:proofErr w:type="spellStart"/>
      <w:r>
        <w:t>edn</w:t>
      </w:r>
      <w:proofErr w:type="spellEnd"/>
      <w:r>
        <w:t xml:space="preserve">. London: Routledge. </w:t>
      </w:r>
    </w:p>
    <w:p w14:paraId="0D814B00" w14:textId="77777777" w:rsidR="00186B2F" w:rsidRDefault="00000000">
      <w:pPr>
        <w:spacing w:after="243" w:line="279" w:lineRule="auto"/>
        <w:ind w:left="-5"/>
      </w:pPr>
      <w:r>
        <w:t xml:space="preserve">International Project Management Association (IPMA) (2015) </w:t>
      </w:r>
      <w:r>
        <w:rPr>
          <w:i/>
        </w:rPr>
        <w:t>Individual Competence Baseline for Project, Programme and Portfolio Management (ICB Version 4.0).</w:t>
      </w:r>
      <w:r>
        <w:t xml:space="preserve"> </w:t>
      </w:r>
      <w:proofErr w:type="spellStart"/>
      <w:r>
        <w:t>Nijkerk</w:t>
      </w:r>
      <w:proofErr w:type="spellEnd"/>
      <w:r>
        <w:t xml:space="preserve">: IPMA. </w:t>
      </w:r>
    </w:p>
    <w:p w14:paraId="3426F519" w14:textId="77777777" w:rsidR="00186B2F" w:rsidRDefault="00000000">
      <w:pPr>
        <w:spacing w:after="243" w:line="279" w:lineRule="auto"/>
        <w:ind w:left="-5"/>
      </w:pPr>
      <w:r>
        <w:t xml:space="preserve">Kerzner, H. (2022) </w:t>
      </w:r>
      <w:r>
        <w:rPr>
          <w:i/>
        </w:rPr>
        <w:t>Project Management: A Systems Approach to Planning, Scheduling, and Controlling</w:t>
      </w:r>
      <w:r>
        <w:t xml:space="preserve">. 13th </w:t>
      </w:r>
      <w:proofErr w:type="spellStart"/>
      <w:r>
        <w:t>edn</w:t>
      </w:r>
      <w:proofErr w:type="spellEnd"/>
      <w:r>
        <w:t xml:space="preserve">. Hoboken, NJ: John Wiley &amp; Sons. </w:t>
      </w:r>
    </w:p>
    <w:p w14:paraId="55959F77" w14:textId="77777777" w:rsidR="00186B2F" w:rsidRDefault="00000000">
      <w:pPr>
        <w:ind w:left="-5" w:right="10"/>
      </w:pPr>
      <w:r>
        <w:t xml:space="preserve">Lock, D. (2020) </w:t>
      </w:r>
      <w:r>
        <w:rPr>
          <w:i/>
        </w:rPr>
        <w:t>Project Management</w:t>
      </w:r>
      <w:r>
        <w:t xml:space="preserve">. 11th </w:t>
      </w:r>
      <w:proofErr w:type="spellStart"/>
      <w:r>
        <w:t>edn</w:t>
      </w:r>
      <w:proofErr w:type="spellEnd"/>
      <w:r>
        <w:t xml:space="preserve">. Abingdon: Routledge. </w:t>
      </w:r>
    </w:p>
    <w:p w14:paraId="68137AD5" w14:textId="77777777" w:rsidR="00186B2F" w:rsidRDefault="00000000">
      <w:pPr>
        <w:ind w:left="-5" w:right="10"/>
      </w:pPr>
      <w:r>
        <w:lastRenderedPageBreak/>
        <w:t xml:space="preserve">Meredith, J.R., Shafer, S.M. and Mantel, S.J. (2022) </w:t>
      </w:r>
      <w:r>
        <w:rPr>
          <w:i/>
        </w:rPr>
        <w:t>Project Management: A Strategic Managerial Approach</w:t>
      </w:r>
      <w:r>
        <w:t xml:space="preserve">. 11th </w:t>
      </w:r>
      <w:proofErr w:type="spellStart"/>
      <w:r>
        <w:t>edn</w:t>
      </w:r>
      <w:proofErr w:type="spellEnd"/>
      <w:r>
        <w:t xml:space="preserve">. Hoboken, NJ: John Wiley &amp; Sons. </w:t>
      </w:r>
    </w:p>
    <w:p w14:paraId="4E5C3F14" w14:textId="77777777" w:rsidR="00186B2F" w:rsidRDefault="00000000">
      <w:pPr>
        <w:ind w:left="-5" w:right="10"/>
      </w:pPr>
      <w:r>
        <w:t xml:space="preserve">Project Management Institute (PMI) (2021) </w:t>
      </w:r>
      <w:r>
        <w:rPr>
          <w:i/>
        </w:rPr>
        <w:t>A Guide to the Project Management Body of Knowledge (PMBOK® Guide).</w:t>
      </w:r>
      <w:r>
        <w:t xml:space="preserve"> 7th </w:t>
      </w:r>
      <w:proofErr w:type="spellStart"/>
      <w:r>
        <w:t>edn</w:t>
      </w:r>
      <w:proofErr w:type="spellEnd"/>
      <w:r>
        <w:t xml:space="preserve">. Newtown Square, PA: Project Management Institute. </w:t>
      </w:r>
    </w:p>
    <w:p w14:paraId="43ECCC37" w14:textId="77777777" w:rsidR="00186B2F" w:rsidRDefault="00000000">
      <w:pPr>
        <w:ind w:left="-5" w:right="10"/>
      </w:pPr>
      <w:r>
        <w:t xml:space="preserve">Project Management Institute (PMI) (2021) </w:t>
      </w:r>
      <w:r>
        <w:rPr>
          <w:i/>
        </w:rPr>
        <w:t>The Standard for Project Management</w:t>
      </w:r>
      <w:r>
        <w:t xml:space="preserve">. Newtown Square, PA: Project Management Institute. </w:t>
      </w:r>
    </w:p>
    <w:p w14:paraId="6E632DAC" w14:textId="77777777" w:rsidR="00186B2F" w:rsidRDefault="00000000">
      <w:pPr>
        <w:ind w:left="-5" w:right="10"/>
      </w:pPr>
      <w:r>
        <w:t xml:space="preserve">Too, E.G. and Weaver, P. (2014) 'The management of project management: A conceptual framework for project governance', </w:t>
      </w:r>
      <w:r>
        <w:rPr>
          <w:i/>
        </w:rPr>
        <w:t>International Journal of Project Management</w:t>
      </w:r>
      <w:r>
        <w:t xml:space="preserve">, 32(8), pp. 1382–1394. </w:t>
      </w:r>
    </w:p>
    <w:p w14:paraId="6DDC1B90" w14:textId="77777777" w:rsidR="00186B2F" w:rsidRDefault="00000000">
      <w:pPr>
        <w:ind w:left="-5" w:right="10"/>
      </w:pPr>
      <w:r>
        <w:t xml:space="preserve">Turner, J.R. (2022) </w:t>
      </w:r>
      <w:r>
        <w:rPr>
          <w:i/>
        </w:rPr>
        <w:t>Handbook of Project-Based Management</w:t>
      </w:r>
      <w:r>
        <w:t xml:space="preserve">. 5th </w:t>
      </w:r>
      <w:proofErr w:type="spellStart"/>
      <w:r>
        <w:t>edn</w:t>
      </w:r>
      <w:proofErr w:type="spellEnd"/>
      <w:r>
        <w:t xml:space="preserve">. New York: </w:t>
      </w:r>
      <w:proofErr w:type="spellStart"/>
      <w:r>
        <w:t>McGrawHill</w:t>
      </w:r>
      <w:proofErr w:type="spellEnd"/>
      <w:r>
        <w:t xml:space="preserve"> Education. </w:t>
      </w:r>
    </w:p>
    <w:p w14:paraId="301A5BB9" w14:textId="77777777" w:rsidR="00186B2F" w:rsidRDefault="00000000">
      <w:pPr>
        <w:spacing w:after="292"/>
        <w:ind w:left="-5" w:right="10"/>
      </w:pPr>
      <w:r>
        <w:t xml:space="preserve">Winch, G.M. (2020) </w:t>
      </w:r>
      <w:r>
        <w:rPr>
          <w:i/>
        </w:rPr>
        <w:t>Managing Construction Projects</w:t>
      </w:r>
      <w:r>
        <w:t xml:space="preserve">. 3rd </w:t>
      </w:r>
      <w:proofErr w:type="spellStart"/>
      <w:r>
        <w:t>edn</w:t>
      </w:r>
      <w:proofErr w:type="spellEnd"/>
      <w:r>
        <w:t xml:space="preserve">. Oxford: Wiley-Blackwell. </w:t>
      </w:r>
    </w:p>
    <w:p w14:paraId="7E3D9E25" w14:textId="77777777" w:rsidR="00186B2F" w:rsidRDefault="00000000">
      <w:pPr>
        <w:spacing w:after="231" w:line="259" w:lineRule="auto"/>
        <w:ind w:left="0" w:firstLine="0"/>
      </w:pPr>
      <w:r>
        <w:rPr>
          <w:color w:val="0F4761"/>
          <w:sz w:val="28"/>
        </w:rPr>
        <w:t xml:space="preserve"> </w:t>
      </w:r>
    </w:p>
    <w:p w14:paraId="1CE8FEC2" w14:textId="77777777" w:rsidR="00186B2F" w:rsidRDefault="00000000">
      <w:pPr>
        <w:spacing w:after="264" w:line="259" w:lineRule="auto"/>
        <w:ind w:left="0" w:firstLine="0"/>
      </w:pPr>
      <w:r>
        <w:t xml:space="preserve"> </w:t>
      </w:r>
    </w:p>
    <w:p w14:paraId="31822222" w14:textId="77777777" w:rsidR="00186B2F" w:rsidRDefault="00000000">
      <w:pPr>
        <w:spacing w:after="264" w:line="259" w:lineRule="auto"/>
        <w:ind w:left="0" w:firstLine="0"/>
      </w:pPr>
      <w:r>
        <w:t xml:space="preserve"> </w:t>
      </w:r>
    </w:p>
    <w:p w14:paraId="68643B08" w14:textId="77777777" w:rsidR="00186B2F" w:rsidRDefault="00000000">
      <w:pPr>
        <w:spacing w:after="0" w:line="259" w:lineRule="auto"/>
        <w:ind w:left="0" w:firstLine="0"/>
      </w:pPr>
      <w:r>
        <w:t xml:space="preserve"> </w:t>
      </w:r>
    </w:p>
    <w:sectPr w:rsidR="00186B2F">
      <w:pgSz w:w="12240" w:h="15840"/>
      <w:pgMar w:top="1440" w:right="1433" w:bottom="145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608D2"/>
    <w:multiLevelType w:val="hybridMultilevel"/>
    <w:tmpl w:val="0CF2E184"/>
    <w:lvl w:ilvl="0" w:tplc="390E333C">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A6216E6">
      <w:start w:val="1"/>
      <w:numFmt w:val="bullet"/>
      <w:lvlRestart w:val="0"/>
      <w:lvlText w:val="▪"/>
      <w:lvlJc w:val="left"/>
      <w:pPr>
        <w:ind w:left="18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DE2A7214">
      <w:start w:val="1"/>
      <w:numFmt w:val="bullet"/>
      <w:lvlText w:val="▪"/>
      <w:lvlJc w:val="left"/>
      <w:pPr>
        <w:ind w:left="25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F1A9ADC">
      <w:start w:val="1"/>
      <w:numFmt w:val="bullet"/>
      <w:lvlText w:val="•"/>
      <w:lvlJc w:val="left"/>
      <w:pPr>
        <w:ind w:left="32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71B47FDC">
      <w:start w:val="1"/>
      <w:numFmt w:val="bullet"/>
      <w:lvlText w:val="o"/>
      <w:lvlJc w:val="left"/>
      <w:pPr>
        <w:ind w:left="39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C787774">
      <w:start w:val="1"/>
      <w:numFmt w:val="bullet"/>
      <w:lvlText w:val="▪"/>
      <w:lvlJc w:val="left"/>
      <w:pPr>
        <w:ind w:left="46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DB48B80">
      <w:start w:val="1"/>
      <w:numFmt w:val="bullet"/>
      <w:lvlText w:val="•"/>
      <w:lvlJc w:val="left"/>
      <w:pPr>
        <w:ind w:left="54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5FE509C">
      <w:start w:val="1"/>
      <w:numFmt w:val="bullet"/>
      <w:lvlText w:val="o"/>
      <w:lvlJc w:val="left"/>
      <w:pPr>
        <w:ind w:left="61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98A1C64">
      <w:start w:val="1"/>
      <w:numFmt w:val="bullet"/>
      <w:lvlText w:val="▪"/>
      <w:lvlJc w:val="left"/>
      <w:pPr>
        <w:ind w:left="68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FFA132B"/>
    <w:multiLevelType w:val="hybridMultilevel"/>
    <w:tmpl w:val="13864320"/>
    <w:lvl w:ilvl="0" w:tplc="ACA8535E">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D32E964">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A781B90">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B8E5BE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412F384">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024CB2A">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00C4E6C">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6C199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6E0F8D2">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D0C7238"/>
    <w:multiLevelType w:val="hybridMultilevel"/>
    <w:tmpl w:val="4DCCE226"/>
    <w:lvl w:ilvl="0" w:tplc="7130B2EC">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E524EF8">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60243D0">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8707BE2">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2E68972">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B82A44C">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D3AC530">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C5C4B2E">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6C67216">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EA114C9"/>
    <w:multiLevelType w:val="hybridMultilevel"/>
    <w:tmpl w:val="2A30E69E"/>
    <w:lvl w:ilvl="0" w:tplc="CF464A06">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B3EEC34">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FCC02BE">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72AB46">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E3CC456">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B065EE4">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8AAB090">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7B485B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598363C">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C7767E2"/>
    <w:multiLevelType w:val="hybridMultilevel"/>
    <w:tmpl w:val="3746D93E"/>
    <w:lvl w:ilvl="0" w:tplc="B4B63CD8">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F1A42B6">
      <w:start w:val="1"/>
      <w:numFmt w:val="bullet"/>
      <w:lvlText w:val="o"/>
      <w:lvlJc w:val="left"/>
      <w:pPr>
        <w:ind w:left="11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5A2AC1C">
      <w:start w:val="1"/>
      <w:numFmt w:val="bullet"/>
      <w:lvlText w:val="▪"/>
      <w:lvlJc w:val="left"/>
      <w:pPr>
        <w:ind w:left="18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2D4648E">
      <w:start w:val="1"/>
      <w:numFmt w:val="bullet"/>
      <w:lvlText w:val="•"/>
      <w:lvlJc w:val="left"/>
      <w:pPr>
        <w:ind w:left="26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8DE66E2">
      <w:start w:val="1"/>
      <w:numFmt w:val="bullet"/>
      <w:lvlText w:val="o"/>
      <w:lvlJc w:val="left"/>
      <w:pPr>
        <w:ind w:left="33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3C24742">
      <w:start w:val="1"/>
      <w:numFmt w:val="bullet"/>
      <w:lvlText w:val="▪"/>
      <w:lvlJc w:val="left"/>
      <w:pPr>
        <w:ind w:left="40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A462548">
      <w:start w:val="1"/>
      <w:numFmt w:val="bullet"/>
      <w:lvlText w:val="•"/>
      <w:lvlJc w:val="left"/>
      <w:pPr>
        <w:ind w:left="477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6363D8C">
      <w:start w:val="1"/>
      <w:numFmt w:val="bullet"/>
      <w:lvlText w:val="o"/>
      <w:lvlJc w:val="left"/>
      <w:pPr>
        <w:ind w:left="54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ADEEB76">
      <w:start w:val="1"/>
      <w:numFmt w:val="bullet"/>
      <w:lvlText w:val="▪"/>
      <w:lvlJc w:val="left"/>
      <w:pPr>
        <w:ind w:left="62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DF044AA"/>
    <w:multiLevelType w:val="hybridMultilevel"/>
    <w:tmpl w:val="D11EEB0A"/>
    <w:lvl w:ilvl="0" w:tplc="A11A0B9E">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DFA886C">
      <w:start w:val="1"/>
      <w:numFmt w:val="bullet"/>
      <w:lvlText w:val="▪"/>
      <w:lvlJc w:val="left"/>
      <w:pPr>
        <w:ind w:left="21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30E42776">
      <w:start w:val="1"/>
      <w:numFmt w:val="bullet"/>
      <w:lvlText w:val="▪"/>
      <w:lvlJc w:val="left"/>
      <w:pPr>
        <w:ind w:left="25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445CF1AA">
      <w:start w:val="1"/>
      <w:numFmt w:val="bullet"/>
      <w:lvlText w:val="•"/>
      <w:lvlJc w:val="left"/>
      <w:pPr>
        <w:ind w:left="32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C81EB63E">
      <w:start w:val="1"/>
      <w:numFmt w:val="bullet"/>
      <w:lvlText w:val="o"/>
      <w:lvlJc w:val="left"/>
      <w:pPr>
        <w:ind w:left="39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A6C1370">
      <w:start w:val="1"/>
      <w:numFmt w:val="bullet"/>
      <w:lvlText w:val="▪"/>
      <w:lvlJc w:val="left"/>
      <w:pPr>
        <w:ind w:left="46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06668FC">
      <w:start w:val="1"/>
      <w:numFmt w:val="bullet"/>
      <w:lvlText w:val="•"/>
      <w:lvlJc w:val="left"/>
      <w:pPr>
        <w:ind w:left="54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77800B2">
      <w:start w:val="1"/>
      <w:numFmt w:val="bullet"/>
      <w:lvlText w:val="o"/>
      <w:lvlJc w:val="left"/>
      <w:pPr>
        <w:ind w:left="61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E8E87AA">
      <w:start w:val="1"/>
      <w:numFmt w:val="bullet"/>
      <w:lvlText w:val="▪"/>
      <w:lvlJc w:val="left"/>
      <w:pPr>
        <w:ind w:left="68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FA646B3"/>
    <w:multiLevelType w:val="hybridMultilevel"/>
    <w:tmpl w:val="EC587B22"/>
    <w:lvl w:ilvl="0" w:tplc="5A52829A">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862FC64">
      <w:start w:val="1"/>
      <w:numFmt w:val="bullet"/>
      <w:lvlText w:val="o"/>
      <w:lvlJc w:val="left"/>
      <w:pPr>
        <w:ind w:left="12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388CA2F8">
      <w:start w:val="1"/>
      <w:numFmt w:val="bullet"/>
      <w:lvlRestart w:val="0"/>
      <w:lvlText w:val="▪"/>
      <w:lvlJc w:val="left"/>
      <w:pPr>
        <w:ind w:left="18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CE68542">
      <w:start w:val="1"/>
      <w:numFmt w:val="bullet"/>
      <w:lvlText w:val="•"/>
      <w:lvlJc w:val="left"/>
      <w:pPr>
        <w:ind w:left="28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C088AF60">
      <w:start w:val="1"/>
      <w:numFmt w:val="bullet"/>
      <w:lvlText w:val="o"/>
      <w:lvlJc w:val="left"/>
      <w:pPr>
        <w:ind w:left="36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E66910E">
      <w:start w:val="1"/>
      <w:numFmt w:val="bullet"/>
      <w:lvlText w:val="▪"/>
      <w:lvlJc w:val="left"/>
      <w:pPr>
        <w:ind w:left="43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8044BCC">
      <w:start w:val="1"/>
      <w:numFmt w:val="bullet"/>
      <w:lvlText w:val="•"/>
      <w:lvlJc w:val="left"/>
      <w:pPr>
        <w:ind w:left="50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3F43A02">
      <w:start w:val="1"/>
      <w:numFmt w:val="bullet"/>
      <w:lvlText w:val="o"/>
      <w:lvlJc w:val="left"/>
      <w:pPr>
        <w:ind w:left="57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6EC8962">
      <w:start w:val="1"/>
      <w:numFmt w:val="bullet"/>
      <w:lvlText w:val="▪"/>
      <w:lvlJc w:val="left"/>
      <w:pPr>
        <w:ind w:left="64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16cid:durableId="758252048">
    <w:abstractNumId w:val="3"/>
  </w:num>
  <w:num w:numId="2" w16cid:durableId="449007190">
    <w:abstractNumId w:val="1"/>
  </w:num>
  <w:num w:numId="3" w16cid:durableId="1352216883">
    <w:abstractNumId w:val="2"/>
  </w:num>
  <w:num w:numId="4" w16cid:durableId="1174803236">
    <w:abstractNumId w:val="5"/>
  </w:num>
  <w:num w:numId="5" w16cid:durableId="1460806710">
    <w:abstractNumId w:val="6"/>
  </w:num>
  <w:num w:numId="6" w16cid:durableId="914627145">
    <w:abstractNumId w:val="4"/>
  </w:num>
  <w:num w:numId="7" w16cid:durableId="387652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6B2F"/>
    <w:rsid w:val="000334BE"/>
    <w:rsid w:val="00186B2F"/>
    <w:rsid w:val="00835AE9"/>
    <w:rsid w:val="0087181C"/>
    <w:rsid w:val="00CA1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9233"/>
  <w15:docId w15:val="{76A04F9D-6708-4740-9582-E804BE1C7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50" w:line="271"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143" w:line="259" w:lineRule="auto"/>
      <w:ind w:left="10" w:hanging="10"/>
      <w:outlineLvl w:val="0"/>
    </w:pPr>
    <w:rPr>
      <w:rFonts w:ascii="Calibri" w:eastAsia="Calibri" w:hAnsi="Calibri" w:cs="Calibri"/>
      <w:b/>
      <w:color w:val="0F4761"/>
      <w:sz w:val="48"/>
    </w:rPr>
  </w:style>
  <w:style w:type="paragraph" w:styleId="Heading2">
    <w:name w:val="heading 2"/>
    <w:next w:val="Normal"/>
    <w:link w:val="Heading2Char"/>
    <w:uiPriority w:val="9"/>
    <w:unhideWhenUsed/>
    <w:qFormat/>
    <w:pPr>
      <w:keepNext/>
      <w:keepLines/>
      <w:spacing w:after="143" w:line="259" w:lineRule="auto"/>
      <w:ind w:left="10" w:hanging="10"/>
      <w:outlineLvl w:val="1"/>
    </w:pPr>
    <w:rPr>
      <w:rFonts w:ascii="Calibri" w:eastAsia="Calibri" w:hAnsi="Calibri" w:cs="Calibri"/>
      <w:b/>
      <w:color w:val="0F4761"/>
      <w:sz w:val="48"/>
    </w:rPr>
  </w:style>
  <w:style w:type="paragraph" w:styleId="Heading3">
    <w:name w:val="heading 3"/>
    <w:next w:val="Normal"/>
    <w:link w:val="Heading3Char"/>
    <w:uiPriority w:val="9"/>
    <w:unhideWhenUsed/>
    <w:qFormat/>
    <w:pPr>
      <w:keepNext/>
      <w:keepLines/>
      <w:spacing w:after="271" w:line="259" w:lineRule="auto"/>
      <w:ind w:left="10" w:hanging="10"/>
      <w:outlineLvl w:val="2"/>
    </w:pPr>
    <w:rPr>
      <w:rFonts w:ascii="Calibri" w:eastAsia="Calibri" w:hAnsi="Calibri" w:cs="Calibri"/>
      <w:b/>
      <w:color w:val="0F476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F4761"/>
      <w:sz w:val="28"/>
    </w:rPr>
  </w:style>
  <w:style w:type="character" w:customStyle="1" w:styleId="Heading1Char">
    <w:name w:val="Heading 1 Char"/>
    <w:link w:val="Heading1"/>
    <w:rPr>
      <w:rFonts w:ascii="Calibri" w:eastAsia="Calibri" w:hAnsi="Calibri" w:cs="Calibri"/>
      <w:b/>
      <w:color w:val="0F4761"/>
      <w:sz w:val="48"/>
    </w:rPr>
  </w:style>
  <w:style w:type="character" w:customStyle="1" w:styleId="Heading2Char">
    <w:name w:val="Heading 2 Char"/>
    <w:link w:val="Heading2"/>
    <w:rPr>
      <w:rFonts w:ascii="Calibri" w:eastAsia="Calibri" w:hAnsi="Calibri" w:cs="Calibri"/>
      <w:b/>
      <w:color w:val="0F4761"/>
      <w:sz w:val="48"/>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3950</Words>
  <Characters>22519</Characters>
  <Application>Microsoft Office Word</Application>
  <DocSecurity>0</DocSecurity>
  <Lines>187</Lines>
  <Paragraphs>52</Paragraphs>
  <ScaleCrop>false</ScaleCrop>
  <Company>Grizli777</Company>
  <LinksUpToDate>false</LinksUpToDate>
  <CharactersWithSpaces>26417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Navid Khan (2419328)</dc:creator>
  <cp:keywords/>
  <cp:lastModifiedBy>Navid Khan (2419328)</cp:lastModifiedBy>
  <cp:revision>2</cp:revision>
  <dcterms:created xsi:type="dcterms:W3CDTF">2026-07-16T20:16:00Z</dcterms:created>
  <dcterms:modified xsi:type="dcterms:W3CDTF">2026-07-16T20:16:00Z</dcterms:modified>
</cp:coreProperties>
</file>