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4A17C6" w14:textId="77777777" w:rsidR="00EE0358" w:rsidRDefault="00EE0358">
      <w:pPr>
        <w:jc w:val="center"/>
        <w:rPr>
          <w:b/>
          <w:sz w:val="32"/>
          <w:szCs w:val="32"/>
        </w:rPr>
      </w:pPr>
    </w:p>
    <w:p w14:paraId="617ED00F" w14:textId="77777777" w:rsidR="00EE0358" w:rsidRDefault="00EE0358">
      <w:pPr>
        <w:jc w:val="center"/>
        <w:rPr>
          <w:b/>
          <w:sz w:val="32"/>
          <w:szCs w:val="32"/>
        </w:rPr>
      </w:pPr>
    </w:p>
    <w:p w14:paraId="5900B414" w14:textId="77777777" w:rsidR="00EE0358" w:rsidRDefault="00EE0358">
      <w:pPr>
        <w:jc w:val="center"/>
        <w:rPr>
          <w:b/>
          <w:sz w:val="32"/>
          <w:szCs w:val="32"/>
        </w:rPr>
      </w:pPr>
    </w:p>
    <w:p w14:paraId="0B093AEF" w14:textId="77777777" w:rsidR="00EE0358" w:rsidRDefault="00EE0358">
      <w:pPr>
        <w:jc w:val="center"/>
        <w:rPr>
          <w:b/>
          <w:sz w:val="32"/>
          <w:szCs w:val="32"/>
        </w:rPr>
      </w:pPr>
    </w:p>
    <w:p w14:paraId="7C26AA3A" w14:textId="77777777" w:rsidR="00EE0358" w:rsidRPr="00C67A8E" w:rsidRDefault="00000000">
      <w:pPr>
        <w:jc w:val="center"/>
        <w:rPr>
          <w:b/>
          <w:sz w:val="32"/>
          <w:szCs w:val="32"/>
        </w:rPr>
      </w:pPr>
      <w:r w:rsidRPr="00C67A8E">
        <w:rPr>
          <w:b/>
          <w:sz w:val="32"/>
          <w:szCs w:val="32"/>
        </w:rPr>
        <w:t xml:space="preserve">Programme: BA Business Management    </w:t>
      </w:r>
    </w:p>
    <w:p w14:paraId="725D773E" w14:textId="77777777" w:rsidR="00EE0358" w:rsidRPr="00C67A8E" w:rsidRDefault="00000000">
      <w:pPr>
        <w:jc w:val="center"/>
        <w:rPr>
          <w:b/>
          <w:sz w:val="32"/>
          <w:szCs w:val="32"/>
        </w:rPr>
      </w:pPr>
      <w:r w:rsidRPr="00C67A8E">
        <w:rPr>
          <w:b/>
          <w:sz w:val="32"/>
          <w:szCs w:val="32"/>
        </w:rPr>
        <w:t xml:space="preserve">Module: Management Economics    </w:t>
      </w:r>
    </w:p>
    <w:p w14:paraId="06B46F40" w14:textId="77777777" w:rsidR="00EE0358" w:rsidRPr="00C67A8E" w:rsidRDefault="00000000">
      <w:pPr>
        <w:jc w:val="center"/>
        <w:rPr>
          <w:b/>
          <w:sz w:val="32"/>
          <w:szCs w:val="32"/>
        </w:rPr>
      </w:pPr>
      <w:r w:rsidRPr="00C67A8E">
        <w:rPr>
          <w:b/>
          <w:sz w:val="32"/>
          <w:szCs w:val="32"/>
        </w:rPr>
        <w:t xml:space="preserve">Module code: LCBB5008  </w:t>
      </w:r>
      <w:r w:rsidRPr="00C67A8E">
        <w:br w:type="page"/>
      </w:r>
    </w:p>
    <w:p w14:paraId="531CA91D" w14:textId="77777777" w:rsidR="00EE0358" w:rsidRPr="00C67A8E" w:rsidRDefault="00000000">
      <w:pPr>
        <w:jc w:val="center"/>
        <w:rPr>
          <w:b/>
        </w:rPr>
      </w:pPr>
      <w:r w:rsidRPr="00C67A8E">
        <w:rPr>
          <w:b/>
        </w:rPr>
        <w:lastRenderedPageBreak/>
        <w:t>Table of Contents</w:t>
      </w:r>
    </w:p>
    <w:sdt>
      <w:sdtPr>
        <w:id w:val="-1143277618"/>
        <w:docPartObj>
          <w:docPartGallery w:val="Table of Contents"/>
          <w:docPartUnique/>
        </w:docPartObj>
      </w:sdtPr>
      <w:sdtContent>
        <w:p w14:paraId="0D90A697" w14:textId="77777777" w:rsidR="00C67A8E" w:rsidRDefault="00000000">
          <w:pPr>
            <w:pStyle w:val="TOC1"/>
            <w:tabs>
              <w:tab w:val="right" w:pos="9350"/>
            </w:tabs>
            <w:rPr>
              <w:noProof/>
            </w:rPr>
          </w:pPr>
          <w:r w:rsidRPr="00C67A8E">
            <w:fldChar w:fldCharType="begin"/>
          </w:r>
          <w:r w:rsidRPr="00C67A8E">
            <w:instrText xml:space="preserve"> TOC \h \u \z \t "Heading 1,1,Heading 2,2,Heading 3,3,Heading 4,4,Heading 5,5,Heading 6,6,"</w:instrText>
          </w:r>
          <w:r w:rsidRPr="00C67A8E">
            <w:fldChar w:fldCharType="separate"/>
          </w:r>
          <w:hyperlink w:anchor="_Toc172220923" w:history="1">
            <w:r w:rsidRPr="00D84476">
              <w:rPr>
                <w:rStyle w:val="Hyperlink"/>
                <w:noProof/>
              </w:rPr>
              <w:t>Introduction</w:t>
            </w:r>
            <w:r>
              <w:rPr>
                <w:noProof/>
                <w:webHidden/>
              </w:rPr>
              <w:tab/>
            </w:r>
            <w:r>
              <w:rPr>
                <w:noProof/>
                <w:webHidden/>
              </w:rPr>
              <w:fldChar w:fldCharType="begin"/>
            </w:r>
            <w:r>
              <w:rPr>
                <w:noProof/>
                <w:webHidden/>
              </w:rPr>
              <w:instrText xml:space="preserve"> PAGEREF _Toc172220923 \h </w:instrText>
            </w:r>
            <w:r>
              <w:rPr>
                <w:noProof/>
                <w:webHidden/>
              </w:rPr>
            </w:r>
            <w:r>
              <w:rPr>
                <w:noProof/>
                <w:webHidden/>
              </w:rPr>
              <w:fldChar w:fldCharType="separate"/>
            </w:r>
            <w:r>
              <w:rPr>
                <w:noProof/>
                <w:webHidden/>
              </w:rPr>
              <w:t>3</w:t>
            </w:r>
            <w:r>
              <w:rPr>
                <w:noProof/>
                <w:webHidden/>
              </w:rPr>
              <w:fldChar w:fldCharType="end"/>
            </w:r>
          </w:hyperlink>
        </w:p>
        <w:p w14:paraId="0153954C" w14:textId="77777777" w:rsidR="00C67A8E" w:rsidRDefault="00000000">
          <w:pPr>
            <w:pStyle w:val="TOC1"/>
            <w:tabs>
              <w:tab w:val="right" w:pos="9350"/>
            </w:tabs>
            <w:rPr>
              <w:noProof/>
            </w:rPr>
          </w:pPr>
          <w:hyperlink w:anchor="_Toc172220924" w:history="1">
            <w:r w:rsidRPr="00D84476">
              <w:rPr>
                <w:rStyle w:val="Hyperlink"/>
                <w:noProof/>
              </w:rPr>
              <w:t>Main Body</w:t>
            </w:r>
            <w:r>
              <w:rPr>
                <w:noProof/>
                <w:webHidden/>
              </w:rPr>
              <w:tab/>
            </w:r>
            <w:r>
              <w:rPr>
                <w:noProof/>
                <w:webHidden/>
              </w:rPr>
              <w:fldChar w:fldCharType="begin"/>
            </w:r>
            <w:r>
              <w:rPr>
                <w:noProof/>
                <w:webHidden/>
              </w:rPr>
              <w:instrText xml:space="preserve"> PAGEREF _Toc172220924 \h </w:instrText>
            </w:r>
            <w:r>
              <w:rPr>
                <w:noProof/>
                <w:webHidden/>
              </w:rPr>
            </w:r>
            <w:r>
              <w:rPr>
                <w:noProof/>
                <w:webHidden/>
              </w:rPr>
              <w:fldChar w:fldCharType="separate"/>
            </w:r>
            <w:r>
              <w:rPr>
                <w:noProof/>
                <w:webHidden/>
              </w:rPr>
              <w:t>3</w:t>
            </w:r>
            <w:r>
              <w:rPr>
                <w:noProof/>
                <w:webHidden/>
              </w:rPr>
              <w:fldChar w:fldCharType="end"/>
            </w:r>
          </w:hyperlink>
        </w:p>
        <w:p w14:paraId="7E933F0D" w14:textId="77777777" w:rsidR="00C67A8E" w:rsidRDefault="00000000">
          <w:pPr>
            <w:pStyle w:val="TOC1"/>
            <w:tabs>
              <w:tab w:val="right" w:pos="9350"/>
            </w:tabs>
            <w:rPr>
              <w:noProof/>
            </w:rPr>
          </w:pPr>
          <w:hyperlink w:anchor="_Toc172220925" w:history="1">
            <w:r w:rsidRPr="00D84476">
              <w:rPr>
                <w:rStyle w:val="Hyperlink"/>
                <w:noProof/>
              </w:rPr>
              <w:t>Conclusion</w:t>
            </w:r>
            <w:r>
              <w:rPr>
                <w:noProof/>
                <w:webHidden/>
              </w:rPr>
              <w:tab/>
            </w:r>
            <w:r>
              <w:rPr>
                <w:noProof/>
                <w:webHidden/>
              </w:rPr>
              <w:fldChar w:fldCharType="begin"/>
            </w:r>
            <w:r>
              <w:rPr>
                <w:noProof/>
                <w:webHidden/>
              </w:rPr>
              <w:instrText xml:space="preserve"> PAGEREF _Toc172220925 \h </w:instrText>
            </w:r>
            <w:r>
              <w:rPr>
                <w:noProof/>
                <w:webHidden/>
              </w:rPr>
            </w:r>
            <w:r>
              <w:rPr>
                <w:noProof/>
                <w:webHidden/>
              </w:rPr>
              <w:fldChar w:fldCharType="separate"/>
            </w:r>
            <w:r>
              <w:rPr>
                <w:noProof/>
                <w:webHidden/>
              </w:rPr>
              <w:t>9</w:t>
            </w:r>
            <w:r>
              <w:rPr>
                <w:noProof/>
                <w:webHidden/>
              </w:rPr>
              <w:fldChar w:fldCharType="end"/>
            </w:r>
          </w:hyperlink>
        </w:p>
        <w:p w14:paraId="71E6C9A3" w14:textId="77777777" w:rsidR="00C67A8E" w:rsidRDefault="00000000">
          <w:pPr>
            <w:pStyle w:val="TOC1"/>
            <w:tabs>
              <w:tab w:val="right" w:pos="9350"/>
            </w:tabs>
            <w:rPr>
              <w:noProof/>
            </w:rPr>
          </w:pPr>
          <w:hyperlink w:anchor="_Toc172220926" w:history="1">
            <w:r w:rsidRPr="00D84476">
              <w:rPr>
                <w:rStyle w:val="Hyperlink"/>
                <w:noProof/>
              </w:rPr>
              <w:t>Reference List</w:t>
            </w:r>
            <w:r>
              <w:rPr>
                <w:noProof/>
                <w:webHidden/>
              </w:rPr>
              <w:tab/>
            </w:r>
            <w:r>
              <w:rPr>
                <w:noProof/>
                <w:webHidden/>
              </w:rPr>
              <w:fldChar w:fldCharType="begin"/>
            </w:r>
            <w:r>
              <w:rPr>
                <w:noProof/>
                <w:webHidden/>
              </w:rPr>
              <w:instrText xml:space="preserve"> PAGEREF _Toc172220926 \h </w:instrText>
            </w:r>
            <w:r>
              <w:rPr>
                <w:noProof/>
                <w:webHidden/>
              </w:rPr>
            </w:r>
            <w:r>
              <w:rPr>
                <w:noProof/>
                <w:webHidden/>
              </w:rPr>
              <w:fldChar w:fldCharType="separate"/>
            </w:r>
            <w:r>
              <w:rPr>
                <w:noProof/>
                <w:webHidden/>
              </w:rPr>
              <w:t>10</w:t>
            </w:r>
            <w:r>
              <w:rPr>
                <w:noProof/>
                <w:webHidden/>
              </w:rPr>
              <w:fldChar w:fldCharType="end"/>
            </w:r>
          </w:hyperlink>
        </w:p>
        <w:p w14:paraId="3DD25798" w14:textId="77777777" w:rsidR="00EE0358" w:rsidRPr="00C67A8E" w:rsidRDefault="00000000">
          <w:pPr>
            <w:widowControl w:val="0"/>
            <w:tabs>
              <w:tab w:val="right" w:pos="9360"/>
            </w:tabs>
            <w:rPr>
              <w:color w:val="000000"/>
            </w:rPr>
          </w:pPr>
          <w:r w:rsidRPr="00C67A8E">
            <w:fldChar w:fldCharType="end"/>
          </w:r>
        </w:p>
      </w:sdtContent>
    </w:sdt>
    <w:p w14:paraId="497732EB" w14:textId="77777777" w:rsidR="00EE0358" w:rsidRPr="00C67A8E" w:rsidRDefault="00000000">
      <w:r w:rsidRPr="00C67A8E">
        <w:br w:type="page"/>
      </w:r>
    </w:p>
    <w:p w14:paraId="7CE92CE5" w14:textId="77777777" w:rsidR="00EE0358" w:rsidRPr="00C67A8E" w:rsidRDefault="00000000">
      <w:pPr>
        <w:pStyle w:val="Heading1"/>
      </w:pPr>
      <w:bookmarkStart w:id="0" w:name="_Toc172220923"/>
      <w:r w:rsidRPr="00C67A8E">
        <w:lastRenderedPageBreak/>
        <w:t>Introduction</w:t>
      </w:r>
      <w:bookmarkEnd w:id="0"/>
      <w:r w:rsidRPr="00C67A8E">
        <w:t xml:space="preserve"> </w:t>
      </w:r>
    </w:p>
    <w:p w14:paraId="186C50FE" w14:textId="77777777" w:rsidR="00EE0358" w:rsidRPr="00C67A8E" w:rsidRDefault="00000000">
      <w:r w:rsidRPr="00C67A8E">
        <w:t>Managerial economics applies to familiar concepts from economics such as demand and cost along with the allocation of resources for aiding the managers in the implementation of proper decisions (</w:t>
      </w:r>
      <w:r w:rsidRPr="00C67A8E">
        <w:rPr>
          <w:color w:val="222222"/>
          <w:highlight w:val="white"/>
        </w:rPr>
        <w:t xml:space="preserve">Samuelson, Marks and Zagorsky, 2021, p.1). </w:t>
      </w:r>
      <w:r w:rsidRPr="00C67A8E">
        <w:t xml:space="preserve">The first task will highlight the fundamental economic problems that are identified in the case study and the suggestion of numerous ways in which the economic problems can be resolved. The next task will highlight the relevance of both demand and supply relative to the case study. The next question aims to address the difference between both the elasticity and inelasticity of both demand and supply along with the cost of the fuel. Lastly, an explanation of the laws of demand and supply will be explained. </w:t>
      </w:r>
    </w:p>
    <w:p w14:paraId="0E6BE73C" w14:textId="77777777" w:rsidR="00EE0358" w:rsidRPr="00C67A8E" w:rsidRDefault="00000000">
      <w:pPr>
        <w:pStyle w:val="Heading1"/>
      </w:pPr>
      <w:bookmarkStart w:id="1" w:name="_Toc172220924"/>
      <w:r w:rsidRPr="00C67A8E">
        <w:t>Main Body</w:t>
      </w:r>
      <w:bookmarkEnd w:id="1"/>
    </w:p>
    <w:p w14:paraId="5C929CCC" w14:textId="77777777" w:rsidR="00EE0358" w:rsidRPr="00C67A8E" w:rsidRDefault="00000000">
      <w:pPr>
        <w:rPr>
          <w:b/>
        </w:rPr>
      </w:pPr>
      <w:r w:rsidRPr="00C67A8E">
        <w:rPr>
          <w:b/>
        </w:rPr>
        <w:t xml:space="preserve">Q1. (a) “Discuss the fundamental economic problems identified in this case study.” </w:t>
      </w:r>
    </w:p>
    <w:p w14:paraId="7F961A31" w14:textId="77777777" w:rsidR="00EE0358" w:rsidRPr="00C67A8E" w:rsidRDefault="00000000">
      <w:r w:rsidRPr="00C67A8E">
        <w:t xml:space="preserve">There were fundamental economic issues identified in the case study.  Numerous firms across the country have been susceptible to the disruption of large numbers of staff going into self-isolation. As of July 2021, around 700,000 people in England and Wales received instruction for self-isolation followed by a rise in the absence rates of 10% to 15% (Instituteforgovernment, 2021). Based on the rise in input costs, UK businesses have started facing a choice of passing the rise in prices to the consumers which mainly resulted in the fall in demand. Despite the global demand being high for shipping components, the closure of key factories has also led to a shortage of economic components such as printed circuit boards and microchips. The impact of the pandemic has also resulted in the shortage of  EU drivers that has significantly disrupted the operations at the petrol stations followed by problems arising in the fuel supply. The shortage of electronic components also led to the shortage of supply of new cars, electronic devices and home appliances making it difficult to meet the rise in global demand. </w:t>
      </w:r>
    </w:p>
    <w:p w14:paraId="3C77D312" w14:textId="77777777" w:rsidR="00EE0358" w:rsidRPr="00C67A8E" w:rsidRDefault="00000000">
      <w:r w:rsidRPr="00C67A8E">
        <w:t>On a broader scale, the current supply chain of the UK market arose due to a shortage of materials, staff shortage and delays taking place in transport. At the same time, there have also been random spikes in demand specifically for construction materials and consumer goods (</w:t>
      </w:r>
      <w:r w:rsidRPr="00C67A8E">
        <w:rPr>
          <w:color w:val="222222"/>
          <w:highlight w:val="white"/>
        </w:rPr>
        <w:t xml:space="preserve">Hutton and Powell, 2021). </w:t>
      </w:r>
      <w:r w:rsidRPr="00C67A8E">
        <w:t xml:space="preserve">Panic buying has been the major contributor to fuel supply issues due to the shortage of disrupted deliveries to the minority of petrol stations. Due to the shortage of HGV drivers in </w:t>
      </w:r>
      <w:r w:rsidRPr="00C67A8E">
        <w:lastRenderedPageBreak/>
        <w:t xml:space="preserve">numerous petrol stations, numerous consumers rushed to the petrol stations to fill their tanks which resulted in a rapid increase in the demand when the supply was already short. </w:t>
      </w:r>
    </w:p>
    <w:p w14:paraId="5BE92A63" w14:textId="77777777" w:rsidR="00EE0358" w:rsidRPr="00C67A8E" w:rsidRDefault="00000000">
      <w:r w:rsidRPr="00C67A8E">
        <w:t xml:space="preserve">During the period of October 2021, around 37% of the individuals in the UK experienced a shortage of fuels in the period of 2 weeks (Ons, 2022). Due to the constraints of panic buying, the shortage of fuel supply was observed at 20% at the peak of the crisis compared to 43% at a normal level (Instituteforgovernment, 2021). The rocketed prices of both petrol and diesel were observed on 4th July 2022 with the prices being at 191.6 and 199.2 for both petrol and diesel respectively. The significant rise in borrowings has been due to meeting the surge in the higher cost of living. It also resulted due to the higher interest rates where the rental prices for the households reached 9.2% at the end of March 2024. </w:t>
      </w:r>
    </w:p>
    <w:p w14:paraId="1B0BF16F" w14:textId="77777777" w:rsidR="00EE0358" w:rsidRPr="00C67A8E" w:rsidRDefault="00000000">
      <w:r w:rsidRPr="00C67A8E">
        <w:t xml:space="preserve">The end of both furlough and redundancies was observed during the introduction of the Coronavirus Job Retention Scheme that aimed to provide support to the staff at the time when businesses were closed. The government paid around £2500 per month to the employees who were furloughed by their respective employers. Bankruptcy was mainly initiated due to the higher cost of living. The families borrowed significant amounts of money due to inadequate funds which resulted in the struggle to keep up with the higher cost of living. Due to the pandemic, the impact on the global supply chain has been more severe due to which both the demand and supply were affected significantly. The COVID-19-induced behaviours saw the preference of the consumption shifts from services to goods that were the result of stockpiling, impulse buying and panic buying. </w:t>
      </w:r>
    </w:p>
    <w:p w14:paraId="3439DE28" w14:textId="77777777" w:rsidR="00EE0358" w:rsidRPr="00C67A8E" w:rsidRDefault="00000000">
      <w:pPr>
        <w:jc w:val="center"/>
      </w:pPr>
      <w:r w:rsidRPr="00C67A8E">
        <w:rPr>
          <w:noProof/>
        </w:rPr>
        <w:drawing>
          <wp:inline distT="114300" distB="114300" distL="114300" distR="114300" wp14:anchorId="304F3D26" wp14:editId="6AE9A1FC">
            <wp:extent cx="5943600" cy="2654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943600" cy="2654300"/>
                    </a:xfrm>
                    <a:prstGeom prst="rect">
                      <a:avLst/>
                    </a:prstGeom>
                    <a:ln w="25400">
                      <a:solidFill>
                        <a:srgbClr val="000000"/>
                      </a:solidFill>
                      <a:prstDash val="solid"/>
                    </a:ln>
                  </pic:spPr>
                </pic:pic>
              </a:graphicData>
            </a:graphic>
          </wp:inline>
        </w:drawing>
      </w:r>
    </w:p>
    <w:p w14:paraId="2B0C6C2A" w14:textId="77777777" w:rsidR="00EE0358" w:rsidRPr="00C67A8E" w:rsidRDefault="00000000">
      <w:pPr>
        <w:jc w:val="center"/>
        <w:rPr>
          <w:b/>
        </w:rPr>
      </w:pPr>
      <w:r w:rsidRPr="00C67A8E">
        <w:rPr>
          <w:b/>
        </w:rPr>
        <w:lastRenderedPageBreak/>
        <w:t xml:space="preserve">Figure 1: Rise in the prices of the commodities of the businesses in the UK </w:t>
      </w:r>
    </w:p>
    <w:p w14:paraId="169E539D" w14:textId="77777777" w:rsidR="00EE0358" w:rsidRPr="00C67A8E" w:rsidRDefault="00000000">
      <w:pPr>
        <w:jc w:val="center"/>
      </w:pPr>
      <w:r w:rsidRPr="00C67A8E">
        <w:t xml:space="preserve">(Source: Instituteforgovernment, 2024). </w:t>
      </w:r>
    </w:p>
    <w:p w14:paraId="52FA6508" w14:textId="77777777" w:rsidR="00EE0358" w:rsidRPr="00C67A8E" w:rsidRDefault="00000000">
      <w:pPr>
        <w:rPr>
          <w:b/>
        </w:rPr>
      </w:pPr>
      <w:r w:rsidRPr="00C67A8E">
        <w:rPr>
          <w:b/>
        </w:rPr>
        <w:t xml:space="preserve">(b) “Suggest various ways in which these economic problems can be resolved.” </w:t>
      </w:r>
    </w:p>
    <w:p w14:paraId="6B02CA2E" w14:textId="77777777" w:rsidR="00EE0358" w:rsidRPr="00C67A8E" w:rsidRDefault="00000000">
      <w:r w:rsidRPr="00C67A8E">
        <w:t xml:space="preserve">The government intervention was introduced to address problems such as the shortage of HGV drivers, Food shortage, energy prices and general supply chain problems. These were done through immigration, regulation, financial support, agency capacity, communications and engaging with the businesses. The communications highlighted the problems of global supply chain disruption leading to the surge in the demand for goods and services followed by Uncontrolled immigration for the recruitment of EU staff at comparatively lower wages. As far as providing relaxation to the workers during the pandemic was concerned, the government provided numerous relaxation strategies to improve the workload that was carried out by the workers. </w:t>
      </w:r>
    </w:p>
    <w:p w14:paraId="65134497" w14:textId="77777777" w:rsidR="00EE0358" w:rsidRPr="00C67A8E" w:rsidRDefault="00000000">
      <w:r w:rsidRPr="00C67A8E">
        <w:t xml:space="preserve">One of them was the delivery of the driver's hours of work for undertaking the carriage of goods in Great Britain. Also, the workers were allowed to carry over the leaves in the tenure of 2 years followed by temporarily raising the threshold of the current debt by £10,000 or more which expired on 31st March 2022 (Gov, 2021). To reduce the shortage of HGV workers, some other relaxation measures were also introduced in uplifting restrictions on late-night deliveries for retailers, supermarkets and any other distribution centres included in the UK. </w:t>
      </w:r>
    </w:p>
    <w:p w14:paraId="2F3B34B1" w14:textId="77777777" w:rsidR="00EE0358" w:rsidRPr="00C67A8E" w:rsidRDefault="00000000">
      <w:r w:rsidRPr="00C67A8E">
        <w:t xml:space="preserve">The shortage of food was addressed by 5500 additional visas for the poultry workers who were provided with the Seasonal Worker Scheme. It was also related to the relaxation of the COVID-19 rules where some of the food workers were subjected to testing regimes including the supermarket distribution centres. The downstream oil protocol was also introduced in the UK market by making exemptions for fuel firms to enter into competitive laws in allowing the sharing of </w:t>
      </w:r>
      <w:r w:rsidR="00C67A8E" w:rsidRPr="00C67A8E">
        <w:t>information (</w:t>
      </w:r>
      <w:r w:rsidRPr="00C67A8E">
        <w:t xml:space="preserve">Instituteforgovernment, 2024). It was done to avoid fuel shortage by making the military personnel available for the delivery of fuel. For the development and improvement of the supplier corroborations network, the technology strategy board helped in facilitating the collaborative supply in R&amp;D to help the suppliers bring innovations to the market. Also, the government introduced a range of measures and policies for addressing the supply chain problems. </w:t>
      </w:r>
      <w:r w:rsidRPr="00C67A8E">
        <w:lastRenderedPageBreak/>
        <w:t xml:space="preserve">It includes providing financial support to address the shortage of labour and measures for increasing the capacity of government agencies. </w:t>
      </w:r>
    </w:p>
    <w:p w14:paraId="0D6129FE" w14:textId="77777777" w:rsidR="00EE0358" w:rsidRPr="00C67A8E" w:rsidRDefault="00000000">
      <w:pPr>
        <w:rPr>
          <w:b/>
        </w:rPr>
      </w:pPr>
      <w:r w:rsidRPr="00C67A8E">
        <w:t xml:space="preserve">The resources and waste strategy introduced by the UK government was completely focused towards an overarching aim for zero avoidable waste by 2050 along with the elimination of plastic waste by 2042 (Gov, 2023). The improvement of the supply chain was initiated by setting up newer internal structures for monitoring the crisis. For improving the supply chain, the national economy recovery taskforce was announced for improving the food chain and responding to the shortage of HGV drivers. By working with the suppliers to reduce the prices, the competition was introduced to lower the prices and bring improvements to the services to increase the choices for the customers through a great range of tariffs. It allowed for the introduction of payment mechanisms that helped in meeting the needs and preferences of the customers. The stakeholder engagement strategy was introduced by the UK government by shaping the principles and being engaged with the approach to use different mechanisms. </w:t>
      </w:r>
    </w:p>
    <w:p w14:paraId="6394B7E2" w14:textId="77777777" w:rsidR="00EE0358" w:rsidRPr="00C67A8E" w:rsidRDefault="00000000">
      <w:pPr>
        <w:rPr>
          <w:b/>
        </w:rPr>
      </w:pPr>
      <w:r w:rsidRPr="00C67A8E">
        <w:rPr>
          <w:b/>
        </w:rPr>
        <w:t xml:space="preserve">Q2. (a) “Why is demand and supply relevant in this case study?” </w:t>
      </w:r>
    </w:p>
    <w:p w14:paraId="5B5F454C" w14:textId="77777777" w:rsidR="00EE0358" w:rsidRPr="00C67A8E" w:rsidRDefault="00000000">
      <w:r w:rsidRPr="00C67A8E">
        <w:t xml:space="preserve">The pricing strategy of supply-demand is that when there is an increase in the supply where consistency is maintained in demand, the price decreases. If there is a higher level of competition among the food and oil businesses, it can increase the demand for the products which also provides an incentive for the suppliers to increase the supply. It can also lead to lower and stable prices for the products and services. During the pandemic, Amazon's online platform management disrupted traditional brick-and-mortar stores and changed the ways based on which consumers can shop. Through the vast selection of products and competitive prices along with convenient options of delivery, amazon revolutionised online shopping during the pandemic thus helping in the expansion of business productivity. According to Nayal </w:t>
      </w:r>
      <w:r w:rsidRPr="00C67A8E">
        <w:rPr>
          <w:i/>
        </w:rPr>
        <w:t>et al.</w:t>
      </w:r>
      <w:r w:rsidRPr="00C67A8E">
        <w:t xml:space="preserve"> (2022), a shift in the business strategy during the pandemic can help companies take better care of their employees along with satisfying the consumer needs to enhance the consumer needs. Relative to the case study, it can help in catering to the rising demand of the consumers by reducing the shortage of workers such as HGV drivers, food and fuel. </w:t>
      </w:r>
    </w:p>
    <w:p w14:paraId="70F25989" w14:textId="77777777" w:rsidR="00EE0358" w:rsidRPr="00C67A8E" w:rsidRDefault="00000000">
      <w:r w:rsidRPr="00C67A8E">
        <w:t xml:space="preserve">IPO can be an efficient financing strategy to raise capital for paying off the debts that may have arisen especially due to the shortage of fuel.  To keep a balance in both the demand and supply of </w:t>
      </w:r>
      <w:r w:rsidRPr="00C67A8E">
        <w:lastRenderedPageBreak/>
        <w:t xml:space="preserve">goods and services during the pandemic, the companies can deploy an inventory management strategy. It can help to avoid stockouts that can disrupt the supply chain and ensure that businesses can cope with temporary outages and delays in stockings. The just-in-time inventory strategy can help reduce the overall costs and can also lower the overall holding costs. Relative to the food products, the JIT management can ensure that the stock arrives as and when required for meeting the demands of the consumers. </w:t>
      </w:r>
    </w:p>
    <w:p w14:paraId="1C61D050" w14:textId="77777777" w:rsidR="00EE0358" w:rsidRPr="00C67A8E" w:rsidRDefault="00000000">
      <w:r w:rsidRPr="00C67A8E">
        <w:t xml:space="preserve">To retain the workers and motivate them to work more productively, companies can offer incentives that might include a formal recognition programme that also includes smaller gifts and bonuses for meeting certain quotas and thresholds. </w:t>
      </w:r>
      <w:r w:rsidRPr="00C67A8E">
        <w:rPr>
          <w:color w:val="222222"/>
          <w:highlight w:val="white"/>
        </w:rPr>
        <w:t xml:space="preserve">Aigner-Walder </w:t>
      </w:r>
      <w:r w:rsidRPr="00C67A8E">
        <w:t xml:space="preserve">(2015) argued that an increase in the unit labour costs can also mean an increase in the wages that might allow for labour productivity. It will result in the quantity of the labour demand decreasing significantly which will result in an upward movement along the demand curve. </w:t>
      </w:r>
    </w:p>
    <w:p w14:paraId="6F814422" w14:textId="77777777" w:rsidR="00EE0358" w:rsidRPr="00C67A8E" w:rsidRDefault="00000000">
      <w:pPr>
        <w:rPr>
          <w:b/>
        </w:rPr>
      </w:pPr>
      <w:r w:rsidRPr="00C67A8E">
        <w:t xml:space="preserve">Corresponding to the above statement, </w:t>
      </w:r>
      <w:r w:rsidRPr="00C67A8E">
        <w:rPr>
          <w:color w:val="222222"/>
          <w:highlight w:val="white"/>
        </w:rPr>
        <w:t xml:space="preserve">Shekarian and Mellat Parast </w:t>
      </w:r>
      <w:r w:rsidRPr="00C67A8E">
        <w:t>(2021) argued that logistics risk management can lower costs, and bring improvements to overall efficiency and minimisation of business disruptions. It can also help in ensuring an equilibrium of both demand and supply for stabilising fuel prices and food products for consumers. Businesses especially in the food sector can highlight the known gaps, optimise the supply line management and relocate inventory in an efficient manner. It can also be useful in managing the shortage of fuel supply for the households by raising the supply assurance to maintain their levels of commitment towards the customers during the supply disruption.</w:t>
      </w:r>
    </w:p>
    <w:p w14:paraId="4D1FB999" w14:textId="77777777" w:rsidR="00EE0358" w:rsidRPr="00C67A8E" w:rsidRDefault="00000000">
      <w:pPr>
        <w:rPr>
          <w:b/>
        </w:rPr>
      </w:pPr>
      <w:r w:rsidRPr="00C67A8E">
        <w:rPr>
          <w:b/>
        </w:rPr>
        <w:t>(b) “What is the difference between elasticity and inelasticity of demand with reference to price changes in the cost of fuel?”</w:t>
      </w:r>
    </w:p>
    <w:p w14:paraId="551FF620" w14:textId="77777777" w:rsidR="00EE0358" w:rsidRPr="00C67A8E" w:rsidRDefault="00000000">
      <w:r w:rsidRPr="00C67A8E">
        <w:t xml:space="preserve">The elasticity of demand or demand elasticity represents the measure of change in the demand for a particular quantity of a product responding to the changes in market variables like income and price. Inelasticity on the other hand represents an economic term that refers to the static quantity of a particular good or service based on the changes observed in the price. Fuel has a lower elasticity of demand which indicates that there is no change in the demand for oil when there is a change in the price. </w:t>
      </w:r>
    </w:p>
    <w:p w14:paraId="463217C5" w14:textId="77777777" w:rsidR="00EE0358" w:rsidRPr="00C67A8E" w:rsidRDefault="00000000">
      <w:pPr>
        <w:rPr>
          <w:b/>
        </w:rPr>
      </w:pPr>
      <w:r w:rsidRPr="00C67A8E">
        <w:lastRenderedPageBreak/>
        <w:t xml:space="preserve">As opined by </w:t>
      </w:r>
      <w:r w:rsidRPr="00C67A8E">
        <w:rPr>
          <w:color w:val="222222"/>
        </w:rPr>
        <w:t xml:space="preserve">Andreyeva </w:t>
      </w:r>
      <w:r w:rsidRPr="00C67A8E">
        <w:rPr>
          <w:i/>
          <w:color w:val="222222"/>
        </w:rPr>
        <w:t>et al.</w:t>
      </w:r>
      <w:r w:rsidRPr="00C67A8E">
        <w:rPr>
          <w:color w:val="222222"/>
        </w:rPr>
        <w:t xml:space="preserve"> (2010), </w:t>
      </w:r>
      <w:r w:rsidRPr="00C67A8E">
        <w:t xml:space="preserve">if the purchased quantity of a commodity falls by 5% that might account for an increase of 10% of the overall price, it represents the scenario of inelasticity. Relative to the case study, the shortage of fuel significantly increased the prices of fuel for the consumers followed by the panic buying of scarce resources that significantly increased the demand among the consumers. The difference between the elastic and inelastic demand are flexibility in prices, protection during the fluctuations in the market and barriers to entry. Elastic goods include luxury items like certain food and beverage items.  On the other hand, the biggest example of an inelastic good is fuel since fuel is a necessary good for households that are used for cooking and running appliances and vehicles. Therefore, a rise in the price does not affect the demand much but a shortfall in the supply increases the prices based on the surging demand in the UK during the pandemic. </w:t>
      </w:r>
    </w:p>
    <w:p w14:paraId="0AC6BADC" w14:textId="77777777" w:rsidR="00EE0358" w:rsidRPr="00C67A8E" w:rsidRDefault="00000000">
      <w:pPr>
        <w:rPr>
          <w:b/>
        </w:rPr>
      </w:pPr>
      <w:r w:rsidRPr="00C67A8E">
        <w:t xml:space="preserve">According to </w:t>
      </w:r>
      <w:r w:rsidRPr="00C67A8E">
        <w:rPr>
          <w:color w:val="222222"/>
          <w:highlight w:val="white"/>
        </w:rPr>
        <w:t xml:space="preserve">Petricek </w:t>
      </w:r>
      <w:r w:rsidRPr="00C67A8E">
        <w:rPr>
          <w:i/>
          <w:color w:val="222222"/>
          <w:highlight w:val="white"/>
        </w:rPr>
        <w:t>et al.</w:t>
      </w:r>
      <w:r w:rsidRPr="00C67A8E">
        <w:rPr>
          <w:color w:val="222222"/>
          <w:highlight w:val="white"/>
        </w:rPr>
        <w:t xml:space="preserve"> </w:t>
      </w:r>
      <w:r w:rsidRPr="00C67A8E">
        <w:t xml:space="preserve">(2020), the elasticity of demand is important since it helps businesses fix the price of their products, helps in the maximisation of profits and can help in pricing a particular substitute. On the contrary, Keil (2023) argued the disadvantages of elasticity of demand that include changes in consumer preferences and income levels and continuous monitoring of the strategies of selling done by the competitors. The increase in petro and diesel prices of 3.2 pence and 4 pence respectively during the pandemic, the elasticity of demand is around 1 due to the increase of prices by 2.28%. As opined by </w:t>
      </w:r>
      <w:r w:rsidRPr="00C67A8E">
        <w:rPr>
          <w:color w:val="222222"/>
          <w:highlight w:val="white"/>
        </w:rPr>
        <w:t xml:space="preserve">McColl </w:t>
      </w:r>
      <w:r w:rsidRPr="00C67A8E">
        <w:rPr>
          <w:i/>
          <w:color w:val="222222"/>
          <w:highlight w:val="white"/>
        </w:rPr>
        <w:t>et al.</w:t>
      </w:r>
      <w:r w:rsidRPr="00C67A8E">
        <w:rPr>
          <w:color w:val="222222"/>
          <w:highlight w:val="white"/>
        </w:rPr>
        <w:t xml:space="preserve"> </w:t>
      </w:r>
      <w:r w:rsidRPr="00C67A8E">
        <w:t xml:space="preserve">(2020), a product having inelastic demand might allow the business to charge higher prices to increase the profit margin due to the limited impact on the units that are sold. Due to the shortage of supply, companies increased fuel prices to keep up with the required profits. On the contrary, </w:t>
      </w:r>
      <w:r w:rsidRPr="00C67A8E">
        <w:rPr>
          <w:color w:val="222222"/>
          <w:highlight w:val="white"/>
        </w:rPr>
        <w:t xml:space="preserve">Giancaspro </w:t>
      </w:r>
      <w:r w:rsidRPr="00C67A8E">
        <w:t xml:space="preserve">(2021) stated the disadvantages of inelasticity of demand where manufacturers can increase the prices to an extent where consumers might not afford it anymore. Based on the shortage of supply, increasing the fuel prices resulted in a scenario where consumers were not able to afford it despite it being a necessity product. </w:t>
      </w:r>
    </w:p>
    <w:p w14:paraId="04FB38AE" w14:textId="77777777" w:rsidR="00EE0358" w:rsidRPr="00C67A8E" w:rsidRDefault="00000000">
      <w:pPr>
        <w:rPr>
          <w:b/>
        </w:rPr>
      </w:pPr>
      <w:r w:rsidRPr="00C67A8E">
        <w:rPr>
          <w:b/>
        </w:rPr>
        <w:t>(c) “List and explain the laws of supply and demand”</w:t>
      </w:r>
    </w:p>
    <w:p w14:paraId="34BA2BE0" w14:textId="77777777" w:rsidR="00EE0358" w:rsidRPr="00C67A8E" w:rsidRDefault="00000000">
      <w:r w:rsidRPr="00C67A8E">
        <w:t xml:space="preserve">The four laws of demand and supply can be related to an increment in the overall demand where the supply remains unchanged and can lead to higher prices and higher quantities. Growth in the appetite for a certain product means that consumers are accepting products at higher prices which might create a profitable opportunity for increasing the supply (Taylor, 2024). The second law is </w:t>
      </w:r>
      <w:r w:rsidRPr="00C67A8E">
        <w:lastRenderedPageBreak/>
        <w:t xml:space="preserve">the decrease in demand where the supply does not change much which might lower quantities and prices. For instance, if consumers are not interested in investing their money in a product, the market prices might be lowered due to fewer opportunities for profit thus resulting in a reduction in overall production. </w:t>
      </w:r>
    </w:p>
    <w:p w14:paraId="653200D9" w14:textId="77777777" w:rsidR="00EE0358" w:rsidRPr="00C67A8E" w:rsidRDefault="00000000">
      <w:pPr>
        <w:rPr>
          <w:b/>
        </w:rPr>
      </w:pPr>
      <w:r w:rsidRPr="00C67A8E">
        <w:t xml:space="preserve">From the views of </w:t>
      </w:r>
      <w:r w:rsidRPr="00C67A8E">
        <w:rPr>
          <w:color w:val="222222"/>
          <w:highlight w:val="white"/>
        </w:rPr>
        <w:t xml:space="preserve">Frank </w:t>
      </w:r>
      <w:r w:rsidRPr="00C67A8E">
        <w:rPr>
          <w:i/>
          <w:color w:val="222222"/>
          <w:highlight w:val="white"/>
        </w:rPr>
        <w:t>et al.</w:t>
      </w:r>
      <w:r w:rsidRPr="00C67A8E">
        <w:rPr>
          <w:color w:val="222222"/>
          <w:highlight w:val="white"/>
        </w:rPr>
        <w:t xml:space="preserve"> </w:t>
      </w:r>
      <w:r w:rsidRPr="00C67A8E">
        <w:t xml:space="preserve">(2021), an increment in the overall supply takes place when the demand does not change which results in lower prices and higher levels of quantities. When there is a higher supply of food compared to the quantity demanded by the consumers, the goods and services become widely available for numerous vendors. Sellers need to decrease the prices to attract customers away from their competitors. Opposing the views, </w:t>
      </w:r>
      <w:r w:rsidRPr="00C67A8E">
        <w:rPr>
          <w:color w:val="222222"/>
          <w:highlight w:val="white"/>
        </w:rPr>
        <w:t xml:space="preserve">Baqaee and Farhi </w:t>
      </w:r>
      <w:r w:rsidRPr="00C67A8E">
        <w:t xml:space="preserve">(2022) argued that a downfall in the overall supply takes place when demand remains unchanged which might lead to higher prices and lower levels of quantities. If there is a shortage of goods such as fuel in the case study, consumers will be paying more for securing if fuel is available or not. </w:t>
      </w:r>
    </w:p>
    <w:p w14:paraId="4A5761D1" w14:textId="77777777" w:rsidR="00EE0358" w:rsidRPr="00C67A8E" w:rsidRDefault="00000000">
      <w:pPr>
        <w:pStyle w:val="Heading1"/>
      </w:pPr>
      <w:bookmarkStart w:id="2" w:name="_Toc172220925"/>
      <w:r w:rsidRPr="00C67A8E">
        <w:t>Conclusion</w:t>
      </w:r>
      <w:bookmarkEnd w:id="2"/>
      <w:r w:rsidRPr="00C67A8E">
        <w:t xml:space="preserve"> </w:t>
      </w:r>
    </w:p>
    <w:p w14:paraId="155078BA" w14:textId="77777777" w:rsidR="00EE0358" w:rsidRPr="00C67A8E" w:rsidRDefault="00000000">
      <w:r w:rsidRPr="00C67A8E">
        <w:t xml:space="preserve">From the findings of the essay, the fundamental economic issues that hampered the UK economy are the shortage of labour and fuel at the onset of the pandemic. It also resulted in the shift of the consumer preferences from services to goods. Therefore, the UK Government took certain measures to curb these problems such as providing relaxation on the covid-19 measures. Apart from that, visas were provided to the workers to ensure the production of food efficiently. Rising fuel prices indicate an inelasticity of demand where the rise in price does not affect the demand for the consumers. Both demand and supply laws are relative to each other and an equilibrium between those laws is important for maintaining an equilibrium scenario. </w:t>
      </w:r>
      <w:r w:rsidRPr="00C67A8E">
        <w:br w:type="page"/>
      </w:r>
    </w:p>
    <w:p w14:paraId="4B343D54" w14:textId="77777777" w:rsidR="00EE0358" w:rsidRPr="00C67A8E" w:rsidRDefault="00000000">
      <w:pPr>
        <w:pStyle w:val="Heading1"/>
      </w:pPr>
      <w:bookmarkStart w:id="3" w:name="_Toc172220926"/>
      <w:r w:rsidRPr="00C67A8E">
        <w:lastRenderedPageBreak/>
        <w:t>Reference List</w:t>
      </w:r>
      <w:bookmarkEnd w:id="3"/>
    </w:p>
    <w:p w14:paraId="31908DCB" w14:textId="77777777" w:rsidR="00D56715" w:rsidRPr="00C67A8E" w:rsidRDefault="00D56715">
      <w:r w:rsidRPr="00C67A8E">
        <w:rPr>
          <w:highlight w:val="white"/>
        </w:rPr>
        <w:t xml:space="preserve">Aigner-Walder, B. (2015) ‘Effects of the Demographic Changes on Private Consumption: An Almost Ideal Demand System Analysis for Austria.’ </w:t>
      </w:r>
      <w:r w:rsidRPr="00C67A8E">
        <w:rPr>
          <w:i/>
          <w:highlight w:val="white"/>
        </w:rPr>
        <w:t>Journal of Economic &amp; Social Studies (JECOSS)</w:t>
      </w:r>
      <w:r w:rsidRPr="00C67A8E">
        <w:rPr>
          <w:highlight w:val="white"/>
        </w:rPr>
        <w:t xml:space="preserve">, </w:t>
      </w:r>
      <w:r w:rsidRPr="00C67A8E">
        <w:rPr>
          <w:i/>
          <w:highlight w:val="white"/>
        </w:rPr>
        <w:t>5</w:t>
      </w:r>
      <w:r w:rsidRPr="00C67A8E">
        <w:rPr>
          <w:highlight w:val="white"/>
        </w:rPr>
        <w:t xml:space="preserve">(1). </w:t>
      </w:r>
      <w:r w:rsidRPr="00C67A8E">
        <w:t xml:space="preserve">Available at: </w:t>
      </w:r>
      <w:hyperlink r:id="rId7" w:anchor="page=33">
        <w:r w:rsidRPr="00C67A8E">
          <w:t>https://core.ac.uk/download/pdf/153450093.pdf#page=33</w:t>
        </w:r>
      </w:hyperlink>
    </w:p>
    <w:p w14:paraId="119C61E4" w14:textId="77777777" w:rsidR="00D56715" w:rsidRPr="00C67A8E" w:rsidRDefault="00D56715">
      <w:r w:rsidRPr="00C67A8E">
        <w:t xml:space="preserve">Andreyeva, T., Long, M.W. and Brownell, K.D. (2010) ‘The impact of food prices on consumption: a systematic review of research on the price elasticity of demand for food.’ </w:t>
      </w:r>
      <w:r w:rsidRPr="00C67A8E">
        <w:rPr>
          <w:i/>
        </w:rPr>
        <w:t>American journal of public health</w:t>
      </w:r>
      <w:r w:rsidRPr="00C67A8E">
        <w:t xml:space="preserve">, </w:t>
      </w:r>
      <w:r w:rsidRPr="00C67A8E">
        <w:rPr>
          <w:i/>
        </w:rPr>
        <w:t>100</w:t>
      </w:r>
      <w:r w:rsidRPr="00C67A8E">
        <w:t xml:space="preserve">(2), pp.216-222. Available at: </w:t>
      </w:r>
      <w:hyperlink r:id="rId8">
        <w:r w:rsidRPr="00C67A8E">
          <w:t>https://ajph.aphapublications.org/doi/pdf/10.2105/AJPH.2008.151415</w:t>
        </w:r>
      </w:hyperlink>
    </w:p>
    <w:p w14:paraId="376423B2" w14:textId="77777777" w:rsidR="00D56715" w:rsidRPr="00C67A8E" w:rsidRDefault="00D56715">
      <w:pPr>
        <w:rPr>
          <w:highlight w:val="white"/>
        </w:rPr>
      </w:pPr>
      <w:r w:rsidRPr="00C67A8E">
        <w:rPr>
          <w:highlight w:val="white"/>
        </w:rPr>
        <w:t xml:space="preserve">Baqaee, D. and Farhi, E. (2022) ‘Supply and demand in disaggregated Keynesian economies with an application to the Covid-19 crisis.’ </w:t>
      </w:r>
      <w:r w:rsidRPr="00C67A8E">
        <w:rPr>
          <w:i/>
          <w:highlight w:val="white"/>
        </w:rPr>
        <w:t>American Economic Review</w:t>
      </w:r>
      <w:r w:rsidRPr="00C67A8E">
        <w:rPr>
          <w:highlight w:val="white"/>
        </w:rPr>
        <w:t xml:space="preserve">, </w:t>
      </w:r>
      <w:r w:rsidRPr="00C67A8E">
        <w:rPr>
          <w:i/>
          <w:highlight w:val="white"/>
        </w:rPr>
        <w:t>112</w:t>
      </w:r>
      <w:r w:rsidRPr="00C67A8E">
        <w:rPr>
          <w:highlight w:val="white"/>
        </w:rPr>
        <w:t xml:space="preserve">(5), pp.1397-1436. Available at: </w:t>
      </w:r>
      <w:hyperlink r:id="rId9">
        <w:r w:rsidRPr="00C67A8E">
          <w:rPr>
            <w:highlight w:val="white"/>
          </w:rPr>
          <w:t>https://www.nber.org/system/files/working_papers/w27152/w27152.pdf</w:t>
        </w:r>
      </w:hyperlink>
    </w:p>
    <w:p w14:paraId="17BA4287" w14:textId="77777777" w:rsidR="00D56715" w:rsidRPr="00C67A8E" w:rsidRDefault="00D56715">
      <w:pPr>
        <w:rPr>
          <w:highlight w:val="white"/>
        </w:rPr>
      </w:pPr>
      <w:r w:rsidRPr="00C67A8E">
        <w:rPr>
          <w:highlight w:val="white"/>
        </w:rPr>
        <w:t xml:space="preserve">Frank, R.G., McGuire, T.G. and Nason, I. (2021) ‘The evolution of supply and demand in markets for generic drugs.’ </w:t>
      </w:r>
      <w:r w:rsidRPr="00C67A8E">
        <w:rPr>
          <w:i/>
          <w:highlight w:val="white"/>
        </w:rPr>
        <w:t>The Milbank Quarterly</w:t>
      </w:r>
      <w:r w:rsidRPr="00C67A8E">
        <w:rPr>
          <w:highlight w:val="white"/>
        </w:rPr>
        <w:t xml:space="preserve">, </w:t>
      </w:r>
      <w:r w:rsidRPr="00C67A8E">
        <w:rPr>
          <w:i/>
          <w:highlight w:val="white"/>
        </w:rPr>
        <w:t>99</w:t>
      </w:r>
      <w:r w:rsidRPr="00C67A8E">
        <w:rPr>
          <w:highlight w:val="white"/>
        </w:rPr>
        <w:t xml:space="preserve">(3), pp.828-852. Available at: </w:t>
      </w:r>
      <w:hyperlink r:id="rId10">
        <w:r w:rsidRPr="00C67A8E">
          <w:rPr>
            <w:highlight w:val="white"/>
          </w:rPr>
          <w:t>https://doi.org/10.1111%2F1468-0009.12517</w:t>
        </w:r>
      </w:hyperlink>
    </w:p>
    <w:p w14:paraId="5F96E6DE" w14:textId="77777777" w:rsidR="00D56715" w:rsidRPr="00C67A8E" w:rsidRDefault="00D56715">
      <w:pPr>
        <w:rPr>
          <w:highlight w:val="white"/>
        </w:rPr>
      </w:pPr>
      <w:r w:rsidRPr="00C67A8E">
        <w:rPr>
          <w:highlight w:val="white"/>
        </w:rPr>
        <w:t xml:space="preserve">Giancaspro, M. (2021) ‘Perilous fires, pandemics and price gouging: The need to protect consumers from unfair pricing practices during times of crisis.’ </w:t>
      </w:r>
      <w:r w:rsidRPr="00C67A8E">
        <w:rPr>
          <w:i/>
          <w:highlight w:val="white"/>
        </w:rPr>
        <w:t>UNSWLJ</w:t>
      </w:r>
      <w:r w:rsidRPr="00C67A8E">
        <w:rPr>
          <w:highlight w:val="white"/>
        </w:rPr>
        <w:t xml:space="preserve">, </w:t>
      </w:r>
      <w:r w:rsidRPr="00C67A8E">
        <w:rPr>
          <w:i/>
          <w:highlight w:val="white"/>
        </w:rPr>
        <w:t>44</w:t>
      </w:r>
      <w:r w:rsidRPr="00C67A8E">
        <w:rPr>
          <w:highlight w:val="white"/>
        </w:rPr>
        <w:t>, p.1458. Available at:</w:t>
      </w:r>
      <w:hyperlink r:id="rId11">
        <w:r w:rsidRPr="00C67A8E">
          <w:rPr>
            <w:highlight w:val="white"/>
          </w:rPr>
          <w:t>https://www.unswlawjournal.unsw.edu.au/wp-content/uploads/2021/11/Issue-444-Giancaspro.pdf</w:t>
        </w:r>
      </w:hyperlink>
    </w:p>
    <w:p w14:paraId="3B23CAD6" w14:textId="77777777" w:rsidR="00D56715" w:rsidRPr="00C67A8E" w:rsidRDefault="00D56715">
      <w:pPr>
        <w:rPr>
          <w:highlight w:val="white"/>
        </w:rPr>
      </w:pPr>
      <w:r w:rsidRPr="00C67A8E">
        <w:rPr>
          <w:highlight w:val="white"/>
        </w:rPr>
        <w:t xml:space="preserve">Gov (2021) </w:t>
      </w:r>
      <w:r w:rsidRPr="00C67A8E">
        <w:rPr>
          <w:i/>
          <w:highlight w:val="white"/>
        </w:rPr>
        <w:t>Rules that have been relaxed to help businesses during the coronavirus (COVID-19) pandemic</w:t>
      </w:r>
      <w:r w:rsidRPr="00C67A8E">
        <w:rPr>
          <w:highlight w:val="white"/>
        </w:rPr>
        <w:t xml:space="preserve"> </w:t>
      </w:r>
      <w:r w:rsidRPr="00C67A8E">
        <w:t xml:space="preserve">[Online] Available at: </w:t>
      </w:r>
      <w:hyperlink r:id="rId12">
        <w:r w:rsidRPr="00C67A8E">
          <w:rPr>
            <w:highlight w:val="white"/>
          </w:rPr>
          <w:t>https://www.gov.uk/guidance/rules-that-have-been-relaxed-to-help-businesses-during-the-coronavirus-pandemic</w:t>
        </w:r>
      </w:hyperlink>
      <w:r w:rsidRPr="00C67A8E">
        <w:t>[Accessed: 18 July 2024]</w:t>
      </w:r>
    </w:p>
    <w:p w14:paraId="672934B4" w14:textId="77777777" w:rsidR="00D56715" w:rsidRPr="00C67A8E" w:rsidRDefault="00D56715">
      <w:pPr>
        <w:rPr>
          <w:highlight w:val="white"/>
        </w:rPr>
      </w:pPr>
      <w:r w:rsidRPr="00C67A8E">
        <w:rPr>
          <w:highlight w:val="white"/>
        </w:rPr>
        <w:t xml:space="preserve">Gov (2023) </w:t>
      </w:r>
      <w:r w:rsidRPr="00C67A8E">
        <w:rPr>
          <w:i/>
          <w:highlight w:val="white"/>
        </w:rPr>
        <w:t>The waste prevention programme for England: Maximising Resources, Minimising Waste</w:t>
      </w:r>
      <w:r w:rsidRPr="00C67A8E">
        <w:rPr>
          <w:highlight w:val="white"/>
        </w:rPr>
        <w:t xml:space="preserve"> </w:t>
      </w:r>
      <w:r w:rsidRPr="00C67A8E">
        <w:t>[Online] Available at:</w:t>
      </w:r>
      <w:hyperlink r:id="rId13">
        <w:r w:rsidRPr="00C67A8E">
          <w:rPr>
            <w:highlight w:val="white"/>
          </w:rPr>
          <w:t>https://www.gov.uk/government/publications/waste-prevention-programme-for-england-maximising-resources-minimising-waste/the-waste-prevention-programme-for-england-maximising-resources-minimising-waste</w:t>
        </w:r>
      </w:hyperlink>
      <w:r w:rsidRPr="00C67A8E">
        <w:t>[Accessed: 18 July 2024]</w:t>
      </w:r>
    </w:p>
    <w:p w14:paraId="32D7C9BD" w14:textId="77777777" w:rsidR="00D56715" w:rsidRPr="00C67A8E" w:rsidRDefault="00D56715">
      <w:pPr>
        <w:rPr>
          <w:highlight w:val="white"/>
        </w:rPr>
      </w:pPr>
      <w:r w:rsidRPr="00C67A8E">
        <w:rPr>
          <w:highlight w:val="white"/>
        </w:rPr>
        <w:t xml:space="preserve">Hutton, G. and Powell, A. (2021)  </w:t>
      </w:r>
      <w:r w:rsidRPr="00C67A8E">
        <w:rPr>
          <w:i/>
          <w:highlight w:val="white"/>
        </w:rPr>
        <w:t>UK supply chain problems</w:t>
      </w:r>
      <w:r w:rsidRPr="00C67A8E">
        <w:rPr>
          <w:highlight w:val="white"/>
        </w:rPr>
        <w:t xml:space="preserve"> </w:t>
      </w:r>
      <w:r w:rsidRPr="00C67A8E">
        <w:t xml:space="preserve">[Online] Available at: </w:t>
      </w:r>
      <w:hyperlink r:id="rId14" w:anchor=":~:text=Broadly%2C%20the%20UK's%20current%20supply,consumer%20goods%20and%20construction%20materials">
        <w:r w:rsidRPr="00C67A8E">
          <w:rPr>
            <w:highlight w:val="white"/>
          </w:rPr>
          <w:t>https://commonslibrary.parliament.uk/research-briefings/cbp-</w:t>
        </w:r>
        <w:r w:rsidRPr="00C67A8E">
          <w:rPr>
            <w:highlight w:val="white"/>
          </w:rPr>
          <w:lastRenderedPageBreak/>
          <w:t>9350/#:~:text=Broadly%2C%20the%20UK's%20current%20supply,consumer%20goods%20and%20construction%20materials</w:t>
        </w:r>
      </w:hyperlink>
      <w:r w:rsidRPr="00C67A8E">
        <w:rPr>
          <w:highlight w:val="white"/>
        </w:rPr>
        <w:t>.</w:t>
      </w:r>
      <w:r w:rsidRPr="00C67A8E">
        <w:t>[Accessed: 18 July 2024]</w:t>
      </w:r>
    </w:p>
    <w:p w14:paraId="1B63242A" w14:textId="77777777" w:rsidR="00D56715" w:rsidRPr="00C67A8E" w:rsidRDefault="00D56715">
      <w:r w:rsidRPr="00C67A8E">
        <w:t xml:space="preserve">Instituteforgovernment (2021) </w:t>
      </w:r>
      <w:r w:rsidRPr="00C67A8E">
        <w:rPr>
          <w:i/>
        </w:rPr>
        <w:t>Supply chain problems</w:t>
      </w:r>
      <w:r w:rsidRPr="00C67A8E">
        <w:t xml:space="preserve"> [Online] Available at: </w:t>
      </w:r>
      <w:hyperlink r:id="rId15">
        <w:r w:rsidRPr="00C67A8E">
          <w:t>Supply chain problems | Institute for Government</w:t>
        </w:r>
      </w:hyperlink>
      <w:r w:rsidRPr="00C67A8E">
        <w:t xml:space="preserve"> [Accessed: 18 July 2024]</w:t>
      </w:r>
    </w:p>
    <w:p w14:paraId="456F2431" w14:textId="77777777" w:rsidR="00D56715" w:rsidRPr="00C67A8E" w:rsidRDefault="00D56715">
      <w:pPr>
        <w:rPr>
          <w:highlight w:val="white"/>
        </w:rPr>
      </w:pPr>
      <w:r w:rsidRPr="00C67A8E">
        <w:rPr>
          <w:highlight w:val="white"/>
        </w:rPr>
        <w:t xml:space="preserve">Keil, S. (2023) ‘The challenging estimation of trade elasticities: Tackling the inconclusive Eurozone evidence.’ </w:t>
      </w:r>
      <w:r w:rsidRPr="00C67A8E">
        <w:rPr>
          <w:i/>
          <w:highlight w:val="white"/>
        </w:rPr>
        <w:t>The World Economy</w:t>
      </w:r>
      <w:r w:rsidRPr="00C67A8E">
        <w:rPr>
          <w:highlight w:val="white"/>
        </w:rPr>
        <w:t xml:space="preserve">, </w:t>
      </w:r>
      <w:r w:rsidRPr="00C67A8E">
        <w:rPr>
          <w:i/>
          <w:highlight w:val="white"/>
        </w:rPr>
        <w:t>46</w:t>
      </w:r>
      <w:r w:rsidRPr="00C67A8E">
        <w:rPr>
          <w:highlight w:val="white"/>
        </w:rPr>
        <w:t xml:space="preserve">(5), pp.1235-1263. Available at: 10.1111/twec.13333 </w:t>
      </w:r>
    </w:p>
    <w:p w14:paraId="53CC49D6" w14:textId="77777777" w:rsidR="00D56715" w:rsidRPr="00C67A8E" w:rsidRDefault="00D56715">
      <w:pPr>
        <w:rPr>
          <w:highlight w:val="white"/>
        </w:rPr>
      </w:pPr>
      <w:r w:rsidRPr="00C67A8E">
        <w:rPr>
          <w:highlight w:val="white"/>
        </w:rPr>
        <w:t xml:space="preserve">McColl, R., Macgilchrist, R. and Rafiq, S. (2020) ‘Estimating cannibalizing effects of sales promotions: The impact of price cuts and store type.’ </w:t>
      </w:r>
      <w:r w:rsidRPr="00C67A8E">
        <w:rPr>
          <w:i/>
          <w:highlight w:val="white"/>
        </w:rPr>
        <w:t>Journal of Retailing and Consumer Services</w:t>
      </w:r>
      <w:r w:rsidRPr="00C67A8E">
        <w:rPr>
          <w:highlight w:val="white"/>
        </w:rPr>
        <w:t xml:space="preserve">, </w:t>
      </w:r>
      <w:r w:rsidRPr="00C67A8E">
        <w:rPr>
          <w:i/>
          <w:highlight w:val="white"/>
        </w:rPr>
        <w:t>53</w:t>
      </w:r>
      <w:r w:rsidRPr="00C67A8E">
        <w:rPr>
          <w:highlight w:val="white"/>
        </w:rPr>
        <w:t xml:space="preserve">, p.101982. Available at: </w:t>
      </w:r>
      <w:hyperlink r:id="rId16">
        <w:r w:rsidRPr="00C67A8E">
          <w:rPr>
            <w:highlight w:val="white"/>
          </w:rPr>
          <w:t>https://www.sciencedirect.com/science/article/am/pii/S0969698919300608</w:t>
        </w:r>
      </w:hyperlink>
    </w:p>
    <w:p w14:paraId="5F396F02" w14:textId="77777777" w:rsidR="00D56715" w:rsidRPr="00C67A8E" w:rsidRDefault="00D56715">
      <w:pPr>
        <w:rPr>
          <w:highlight w:val="white"/>
        </w:rPr>
      </w:pPr>
      <w:r w:rsidRPr="00C67A8E">
        <w:rPr>
          <w:highlight w:val="white"/>
        </w:rPr>
        <w:t xml:space="preserve">Nayal, P., Pandey, N. and Paul, J. (2022) ‘Covid‐19 pandemic and consumer‐employee‐organization wellbeing: A dynamic capability theory approach.’ </w:t>
      </w:r>
      <w:r w:rsidRPr="00C67A8E">
        <w:rPr>
          <w:i/>
          <w:highlight w:val="white"/>
        </w:rPr>
        <w:t>Journal of Consumer Affairs</w:t>
      </w:r>
      <w:r w:rsidRPr="00C67A8E">
        <w:rPr>
          <w:highlight w:val="white"/>
        </w:rPr>
        <w:t xml:space="preserve">, </w:t>
      </w:r>
      <w:r w:rsidRPr="00C67A8E">
        <w:rPr>
          <w:i/>
          <w:highlight w:val="white"/>
        </w:rPr>
        <w:t>56</w:t>
      </w:r>
      <w:r w:rsidRPr="00C67A8E">
        <w:rPr>
          <w:highlight w:val="white"/>
        </w:rPr>
        <w:t xml:space="preserve">(1), pp.359-390. Available at: </w:t>
      </w:r>
      <w:hyperlink r:id="rId17">
        <w:r w:rsidRPr="00C67A8E">
          <w:rPr>
            <w:highlight w:val="white"/>
          </w:rPr>
          <w:t>https://doi.org/10.1111%2Fjoca.12399</w:t>
        </w:r>
      </w:hyperlink>
    </w:p>
    <w:p w14:paraId="39647884" w14:textId="77777777" w:rsidR="00D56715" w:rsidRPr="00C67A8E" w:rsidRDefault="00D56715">
      <w:pPr>
        <w:rPr>
          <w:b/>
        </w:rPr>
      </w:pPr>
      <w:r w:rsidRPr="00C67A8E">
        <w:rPr>
          <w:highlight w:val="white"/>
        </w:rPr>
        <w:t xml:space="preserve">Ons (2022) </w:t>
      </w:r>
      <w:r w:rsidRPr="00C67A8E">
        <w:rPr>
          <w:i/>
          <w:highlight w:val="white"/>
        </w:rPr>
        <w:t>Behavioural impacts of rising automotive fuel prices on consumer fuel demand, UK: July 2021 to August 2022</w:t>
      </w:r>
      <w:r w:rsidRPr="00C67A8E">
        <w:rPr>
          <w:highlight w:val="white"/>
        </w:rPr>
        <w:t xml:space="preserve"> </w:t>
      </w:r>
      <w:r w:rsidRPr="00C67A8E">
        <w:t xml:space="preserve">[Online] Available at: </w:t>
      </w:r>
      <w:hyperlink r:id="rId18" w:anchor=":~:text=Automotive%20fuel%20prices%20remained%20stable,personal%20experiences%20of%20shortages%20of%20">
        <w:r w:rsidRPr="00C67A8E">
          <w:rPr>
            <w:highlight w:val="white"/>
          </w:rPr>
          <w:t>https://www.ons.gov.uk/economy/economicoutputandproductivity/output/articles/behaviouralimpactsofrisingautomotivefuelpricesonconsumerfueldemandukjuly2021toaugust2022/2022-09-02/pdf#:~:text=Automotive%20fuel%20prices%20remained%20stable,personal%20experiences%20of%20shortages%20of%20</w:t>
        </w:r>
      </w:hyperlink>
      <w:r w:rsidRPr="00C67A8E">
        <w:rPr>
          <w:highlight w:val="white"/>
        </w:rPr>
        <w:t>.</w:t>
      </w:r>
      <w:r w:rsidRPr="00C67A8E">
        <w:t>[Accessed: 18 July 2024]</w:t>
      </w:r>
    </w:p>
    <w:p w14:paraId="5E704328" w14:textId="77777777" w:rsidR="00D56715" w:rsidRPr="00C67A8E" w:rsidRDefault="00D56715">
      <w:pPr>
        <w:rPr>
          <w:highlight w:val="white"/>
        </w:rPr>
      </w:pPr>
      <w:r w:rsidRPr="00C67A8E">
        <w:rPr>
          <w:highlight w:val="white"/>
        </w:rPr>
        <w:t xml:space="preserve">Petricek, M., Chalupa, S. and Chadt, K. (2020) Identification of consumer behavior based on price elasticity: A case study of the Prague market of accommodation services. </w:t>
      </w:r>
      <w:r w:rsidRPr="00C67A8E">
        <w:rPr>
          <w:i/>
          <w:highlight w:val="white"/>
        </w:rPr>
        <w:t>Sustainability</w:t>
      </w:r>
      <w:r w:rsidRPr="00C67A8E">
        <w:rPr>
          <w:highlight w:val="white"/>
        </w:rPr>
        <w:t xml:space="preserve">, </w:t>
      </w:r>
      <w:r w:rsidRPr="00C67A8E">
        <w:rPr>
          <w:i/>
          <w:highlight w:val="white"/>
        </w:rPr>
        <w:t>12</w:t>
      </w:r>
      <w:r w:rsidRPr="00C67A8E">
        <w:rPr>
          <w:highlight w:val="white"/>
        </w:rPr>
        <w:t xml:space="preserve">(22), p.9452. Available at: </w:t>
      </w:r>
      <w:hyperlink r:id="rId19">
        <w:r w:rsidRPr="00C67A8E">
          <w:rPr>
            <w:highlight w:val="white"/>
          </w:rPr>
          <w:t>https://doi.org/10.3390/su12229452</w:t>
        </w:r>
      </w:hyperlink>
    </w:p>
    <w:p w14:paraId="13CD4241" w14:textId="77777777" w:rsidR="00D56715" w:rsidRPr="00C67A8E" w:rsidRDefault="00D56715">
      <w:pPr>
        <w:rPr>
          <w:highlight w:val="white"/>
        </w:rPr>
      </w:pPr>
      <w:r w:rsidRPr="00C67A8E">
        <w:rPr>
          <w:highlight w:val="white"/>
        </w:rPr>
        <w:t xml:space="preserve">Samuelson, W.F., Marks, S.G. and Zagorsky, J.L. (2021) </w:t>
      </w:r>
      <w:r w:rsidRPr="00C67A8E">
        <w:rPr>
          <w:i/>
          <w:highlight w:val="white"/>
        </w:rPr>
        <w:t>Managerial economics</w:t>
      </w:r>
      <w:r w:rsidRPr="00C67A8E">
        <w:rPr>
          <w:highlight w:val="white"/>
        </w:rPr>
        <w:t>. John Wiley &amp; Sons.</w:t>
      </w:r>
    </w:p>
    <w:p w14:paraId="44738098" w14:textId="77777777" w:rsidR="00D56715" w:rsidRPr="00C67A8E" w:rsidRDefault="00D56715">
      <w:pPr>
        <w:rPr>
          <w:highlight w:val="white"/>
        </w:rPr>
      </w:pPr>
      <w:r w:rsidRPr="00C67A8E">
        <w:rPr>
          <w:highlight w:val="white"/>
        </w:rPr>
        <w:t xml:space="preserve">Shekarian, M. and Mellat Parast, M. (2021) ‘An Integrative approach to supply chain disruption risk and resilience management: a literature review.’ </w:t>
      </w:r>
      <w:r w:rsidRPr="00C67A8E">
        <w:rPr>
          <w:i/>
          <w:highlight w:val="white"/>
        </w:rPr>
        <w:t xml:space="preserve">International Journal of Logistics Research </w:t>
      </w:r>
      <w:r w:rsidRPr="00C67A8E">
        <w:rPr>
          <w:i/>
          <w:highlight w:val="white"/>
        </w:rPr>
        <w:lastRenderedPageBreak/>
        <w:t>and Applications</w:t>
      </w:r>
      <w:r w:rsidRPr="00C67A8E">
        <w:rPr>
          <w:highlight w:val="white"/>
        </w:rPr>
        <w:t xml:space="preserve">, </w:t>
      </w:r>
      <w:r w:rsidRPr="00C67A8E">
        <w:rPr>
          <w:i/>
          <w:highlight w:val="white"/>
        </w:rPr>
        <w:t>24</w:t>
      </w:r>
      <w:r w:rsidRPr="00C67A8E">
        <w:rPr>
          <w:highlight w:val="white"/>
        </w:rPr>
        <w:t xml:space="preserve">(5), pp.427-455. Available at: </w:t>
      </w:r>
      <w:hyperlink r:id="rId20">
        <w:r w:rsidRPr="00C67A8E">
          <w:rPr>
            <w:highlight w:val="white"/>
          </w:rPr>
          <w:t>https://doi.org/10.1080/13675567.2020.1763935</w:t>
        </w:r>
      </w:hyperlink>
    </w:p>
    <w:p w14:paraId="1E191DEA" w14:textId="77777777" w:rsidR="00D56715" w:rsidRPr="00C67A8E" w:rsidRDefault="00D56715">
      <w:pPr>
        <w:rPr>
          <w:highlight w:val="white"/>
        </w:rPr>
      </w:pPr>
      <w:r w:rsidRPr="00C67A8E">
        <w:t xml:space="preserve">Taylor, R. (2024) </w:t>
      </w:r>
      <w:r w:rsidRPr="00C67A8E">
        <w:rPr>
          <w:i/>
        </w:rPr>
        <w:t>An SME's Guide to Supply and Demand</w:t>
      </w:r>
      <w:r w:rsidRPr="00C67A8E">
        <w:t xml:space="preserve"> [Online] Available at: </w:t>
      </w:r>
      <w:hyperlink r:id="rId21">
        <w:r w:rsidRPr="00C67A8E">
          <w:rPr>
            <w:highlight w:val="white"/>
          </w:rPr>
          <w:t>What is Supply and Demand? - Fleximize</w:t>
        </w:r>
      </w:hyperlink>
      <w:r w:rsidRPr="00C67A8E">
        <w:t xml:space="preserve"> [Accessed: 18 July 2024]</w:t>
      </w:r>
    </w:p>
    <w:p w14:paraId="16D65B19" w14:textId="77777777" w:rsidR="00EE0358" w:rsidRPr="00C67A8E" w:rsidRDefault="00EE0358"/>
    <w:p w14:paraId="38717C3D" w14:textId="77777777" w:rsidR="00EE0358" w:rsidRPr="00C67A8E" w:rsidRDefault="00EE0358"/>
    <w:p w14:paraId="74B805CD" w14:textId="77777777" w:rsidR="00EE0358" w:rsidRPr="00C67A8E" w:rsidRDefault="00EE0358">
      <w:pPr>
        <w:widowControl w:val="0"/>
        <w:pBdr>
          <w:top w:val="nil"/>
          <w:left w:val="nil"/>
          <w:bottom w:val="nil"/>
          <w:right w:val="nil"/>
          <w:between w:val="nil"/>
        </w:pBdr>
        <w:spacing w:before="0" w:after="0" w:line="276" w:lineRule="auto"/>
        <w:jc w:val="left"/>
      </w:pPr>
    </w:p>
    <w:p w14:paraId="52C37AEA" w14:textId="77777777" w:rsidR="00EE0358" w:rsidRPr="00C67A8E" w:rsidRDefault="00EE0358">
      <w:pPr>
        <w:widowControl w:val="0"/>
        <w:pBdr>
          <w:top w:val="nil"/>
          <w:left w:val="nil"/>
          <w:bottom w:val="nil"/>
          <w:right w:val="nil"/>
          <w:between w:val="nil"/>
        </w:pBdr>
        <w:spacing w:before="0" w:after="0" w:line="276" w:lineRule="auto"/>
        <w:jc w:val="left"/>
      </w:pPr>
    </w:p>
    <w:sectPr w:rsidR="00EE0358" w:rsidRPr="00C67A8E">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7C9D37" w14:textId="77777777" w:rsidR="00F43E25" w:rsidRDefault="00F43E25">
      <w:pPr>
        <w:spacing w:before="0" w:after="0" w:line="240" w:lineRule="auto"/>
      </w:pPr>
      <w:r>
        <w:separator/>
      </w:r>
    </w:p>
  </w:endnote>
  <w:endnote w:type="continuationSeparator" w:id="0">
    <w:p w14:paraId="652D70E6" w14:textId="77777777" w:rsidR="00F43E25" w:rsidRDefault="00F43E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C097C4" w14:textId="77777777" w:rsidR="00EE0358" w:rsidRDefault="00000000">
    <w:pPr>
      <w:jc w:val="right"/>
    </w:pPr>
    <w:r>
      <w:fldChar w:fldCharType="begin"/>
    </w:r>
    <w:r>
      <w:instrText>PAGE</w:instrText>
    </w:r>
    <w:r>
      <w:fldChar w:fldCharType="separate"/>
    </w:r>
    <w:r w:rsidR="00C67A8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07D37A" w14:textId="77777777" w:rsidR="00F43E25" w:rsidRDefault="00F43E25">
      <w:pPr>
        <w:spacing w:before="0" w:after="0" w:line="240" w:lineRule="auto"/>
      </w:pPr>
      <w:r>
        <w:separator/>
      </w:r>
    </w:p>
  </w:footnote>
  <w:footnote w:type="continuationSeparator" w:id="0">
    <w:p w14:paraId="46A9F56A" w14:textId="77777777" w:rsidR="00F43E25" w:rsidRDefault="00F43E2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358"/>
    <w:rsid w:val="002831B4"/>
    <w:rsid w:val="00A97EE2"/>
    <w:rsid w:val="00C67A8E"/>
    <w:rsid w:val="00D56715"/>
    <w:rsid w:val="00D84476"/>
    <w:rsid w:val="00EE0358"/>
    <w:rsid w:val="00F43E25"/>
    <w:rsid w:val="00F6276F"/>
    <w:rsid w:val="00FA64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94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C67A8E"/>
    <w:pPr>
      <w:spacing w:after="100"/>
    </w:pPr>
  </w:style>
  <w:style w:type="character" w:styleId="Hyperlink">
    <w:name w:val="Hyperlink"/>
    <w:basedOn w:val="DefaultParagraphFont"/>
    <w:uiPriority w:val="99"/>
    <w:unhideWhenUsed/>
    <w:rsid w:val="00C67A8E"/>
    <w:rPr>
      <w:color w:val="0000FF" w:themeColor="hyperlink"/>
      <w:u w:val="single"/>
    </w:rPr>
  </w:style>
  <w:style w:type="paragraph" w:styleId="Header">
    <w:name w:val="header"/>
    <w:basedOn w:val="Normal"/>
    <w:link w:val="HeaderChar"/>
    <w:uiPriority w:val="99"/>
    <w:unhideWhenUsed/>
    <w:rsid w:val="002831B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831B4"/>
    <w:rPr>
      <w:lang w:val="en-GB"/>
    </w:rPr>
  </w:style>
  <w:style w:type="paragraph" w:styleId="Footer">
    <w:name w:val="footer"/>
    <w:basedOn w:val="Normal"/>
    <w:link w:val="FooterChar"/>
    <w:uiPriority w:val="99"/>
    <w:unhideWhenUsed/>
    <w:rsid w:val="002831B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831B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ajph.aphapublications.org/doi/pdf/10.2105/AJPH.2008.151415" TargetMode="External"/><Relationship Id="rId13"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18" Type="http://schemas.openxmlformats.org/officeDocument/2006/relationships/hyperlink" Target="https://www.ons.gov.uk/economy/economicoutputandproductivity/output/articles/behaviouralimpactsofrisingautomotivefuelpricesonconsumerfueldemandukjuly2021toaugust2022/2022-09-02/pdf" TargetMode="External"/><Relationship Id="rId3" Type="http://schemas.openxmlformats.org/officeDocument/2006/relationships/webSettings" Target="webSettings.xml"/><Relationship Id="rId21" Type="http://schemas.openxmlformats.org/officeDocument/2006/relationships/hyperlink" Target="https://fleximize.com/articles/002211/what-is-supply-and-demand" TargetMode="External"/><Relationship Id="rId7" Type="http://schemas.openxmlformats.org/officeDocument/2006/relationships/hyperlink" Target="https://core.ac.uk/download/pdf/153450093.pdf" TargetMode="External"/><Relationship Id="rId12" Type="http://schemas.openxmlformats.org/officeDocument/2006/relationships/hyperlink" Target="https://www.gov.uk/guidance/rules-that-have-been-relaxed-to-help-businesses-during-the-coronavirus-pandemic" TargetMode="External"/><Relationship Id="rId17" Type="http://schemas.openxmlformats.org/officeDocument/2006/relationships/hyperlink" Target="https://doi.org/10.1111%2Fjoca.12399" TargetMode="External"/><Relationship Id="rId2" Type="http://schemas.openxmlformats.org/officeDocument/2006/relationships/settings" Target="settings.xml"/><Relationship Id="rId16" Type="http://schemas.openxmlformats.org/officeDocument/2006/relationships/hyperlink" Target="https://www.sciencedirect.com/science/article/am/pii/S0969698919300608" TargetMode="External"/><Relationship Id="rId20" Type="http://schemas.openxmlformats.org/officeDocument/2006/relationships/hyperlink" Target="https://doi.org/10.1080/13675567.2020.176393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unswlawjournal.unsw.edu.au/wp-content/uploads/2021/11/Issue-444-Giancaspro.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instituteforgovernment.org.uk/explainer/supply-chain-problems" TargetMode="External"/><Relationship Id="rId23" Type="http://schemas.openxmlformats.org/officeDocument/2006/relationships/fontTable" Target="fontTable.xml"/><Relationship Id="rId10" Type="http://schemas.openxmlformats.org/officeDocument/2006/relationships/hyperlink" Target="https://doi.org/10.1111%2F1468-0009.12517" TargetMode="External"/><Relationship Id="rId19" Type="http://schemas.openxmlformats.org/officeDocument/2006/relationships/hyperlink" Target="https://doi.org/10.3390/su12229452" TargetMode="External"/><Relationship Id="rId4" Type="http://schemas.openxmlformats.org/officeDocument/2006/relationships/footnotes" Target="footnotes.xml"/><Relationship Id="rId9" Type="http://schemas.openxmlformats.org/officeDocument/2006/relationships/hyperlink" Target="https://www.nber.org/system/files/working_papers/w27152/w27152.pdf" TargetMode="External"/><Relationship Id="rId14" Type="http://schemas.openxmlformats.org/officeDocument/2006/relationships/hyperlink" Target="https://commonslibrary.parliament.uk/research-briefings/cbp-935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3380</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2024-07-18T13:18:00Z</dcterms:created>
  <dcterms:modified xsi:type="dcterms:W3CDTF">2024-07-18T13:21:00Z</dcterms:modified>
</cp:coreProperties>
</file>