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60A71073" w14:textId="77777777" w:rsidR="003C6BF7" w:rsidRDefault="003C6BF7" w:rsidP="00D9264C">
      <w:pPr>
        <w:pStyle w:val="Author"/>
        <w:spacing w:before="5pt" w:beforeAutospacing="1" w:after="5pt" w:afterAutospacing="1"/>
        <w:rPr>
          <w:sz w:val="48"/>
          <w:szCs w:val="48"/>
          <w:u w:val="single"/>
        </w:rPr>
      </w:pPr>
    </w:p>
    <w:p w14:paraId="5C24E09C" w14:textId="77777777" w:rsidR="003C6BF7" w:rsidRDefault="003C6BF7" w:rsidP="00D9264C">
      <w:pPr>
        <w:pStyle w:val="Author"/>
        <w:spacing w:before="5pt" w:beforeAutospacing="1" w:after="5pt" w:afterAutospacing="1"/>
        <w:rPr>
          <w:sz w:val="56"/>
          <w:szCs w:val="56"/>
          <w:u w:val="single"/>
        </w:rPr>
      </w:pPr>
    </w:p>
    <w:p w14:paraId="0F07ADEA" w14:textId="77777777" w:rsidR="003C6BF7" w:rsidRDefault="003C6BF7" w:rsidP="00D9264C">
      <w:pPr>
        <w:pStyle w:val="Author"/>
        <w:spacing w:before="5pt" w:beforeAutospacing="1" w:after="5pt" w:afterAutospacing="1"/>
        <w:rPr>
          <w:sz w:val="56"/>
          <w:szCs w:val="56"/>
          <w:u w:val="single"/>
        </w:rPr>
      </w:pPr>
    </w:p>
    <w:p w14:paraId="1D62AEF2" w14:textId="77777777" w:rsidR="003C6BF7" w:rsidRDefault="003C6BF7" w:rsidP="00D9264C">
      <w:pPr>
        <w:pStyle w:val="Author"/>
        <w:spacing w:before="5pt" w:beforeAutospacing="1" w:after="5pt" w:afterAutospacing="1"/>
        <w:rPr>
          <w:sz w:val="56"/>
          <w:szCs w:val="56"/>
          <w:u w:val="single"/>
        </w:rPr>
      </w:pPr>
    </w:p>
    <w:p w14:paraId="017A103E" w14:textId="77777777" w:rsidR="003C6BF7" w:rsidRDefault="003C6BF7" w:rsidP="00D9264C">
      <w:pPr>
        <w:pStyle w:val="Author"/>
        <w:spacing w:before="5pt" w:beforeAutospacing="1" w:after="5pt" w:afterAutospacing="1"/>
        <w:rPr>
          <w:sz w:val="56"/>
          <w:szCs w:val="56"/>
          <w:u w:val="single"/>
        </w:rPr>
      </w:pPr>
    </w:p>
    <w:p w14:paraId="19F4647D" w14:textId="6DDE3A93" w:rsidR="003C6BF7" w:rsidRPr="003C6BF7" w:rsidRDefault="003C6BF7" w:rsidP="00D9264C">
      <w:pPr>
        <w:pStyle w:val="Author"/>
        <w:spacing w:before="5pt" w:beforeAutospacing="1" w:after="5pt" w:afterAutospacing="1"/>
        <w:rPr>
          <w:sz w:val="56"/>
          <w:szCs w:val="56"/>
          <w:u w:val="single"/>
        </w:rPr>
      </w:pPr>
      <w:r w:rsidRPr="003C6BF7">
        <w:rPr>
          <w:sz w:val="56"/>
          <w:szCs w:val="56"/>
          <w:u w:val="single"/>
        </w:rPr>
        <w:t>Victoria Price</w:t>
      </w:r>
    </w:p>
    <w:p w14:paraId="4B35B46F" w14:textId="265B2335" w:rsidR="003C6BF7" w:rsidRPr="003C6BF7" w:rsidRDefault="003C6BF7" w:rsidP="00D9264C">
      <w:pPr>
        <w:pStyle w:val="Author"/>
        <w:spacing w:before="5pt" w:beforeAutospacing="1" w:after="5pt" w:afterAutospacing="1"/>
        <w:rPr>
          <w:sz w:val="56"/>
          <w:szCs w:val="56"/>
          <w:u w:val="single"/>
        </w:rPr>
      </w:pPr>
      <w:r w:rsidRPr="003C6BF7">
        <w:rPr>
          <w:sz w:val="56"/>
          <w:szCs w:val="56"/>
          <w:u w:val="single"/>
        </w:rPr>
        <w:t>2315903</w:t>
      </w:r>
    </w:p>
    <w:p w14:paraId="0AC108EC" w14:textId="61ED6A63" w:rsidR="003C6BF7" w:rsidRPr="003C6BF7" w:rsidRDefault="003C6BF7" w:rsidP="00D9264C">
      <w:pPr>
        <w:pStyle w:val="Author"/>
        <w:spacing w:before="5pt" w:beforeAutospacing="1" w:after="5pt" w:afterAutospacing="1"/>
        <w:rPr>
          <w:sz w:val="56"/>
          <w:szCs w:val="56"/>
          <w:u w:val="single"/>
        </w:rPr>
      </w:pPr>
      <w:r w:rsidRPr="003C6BF7">
        <w:rPr>
          <w:sz w:val="56"/>
          <w:szCs w:val="56"/>
          <w:u w:val="single"/>
        </w:rPr>
        <w:t xml:space="preserve">Data and Information Systems </w:t>
      </w:r>
    </w:p>
    <w:p w14:paraId="51CA32E7" w14:textId="6DACA167" w:rsidR="003C6BF7" w:rsidRPr="003C6BF7" w:rsidRDefault="003C6BF7" w:rsidP="00D9264C">
      <w:pPr>
        <w:pStyle w:val="Author"/>
        <w:spacing w:before="5pt" w:beforeAutospacing="1" w:after="5pt" w:afterAutospacing="1"/>
        <w:rPr>
          <w:sz w:val="56"/>
          <w:szCs w:val="56"/>
          <w:u w:val="single"/>
        </w:rPr>
      </w:pPr>
      <w:r w:rsidRPr="003C6BF7">
        <w:rPr>
          <w:sz w:val="56"/>
          <w:szCs w:val="56"/>
          <w:u w:val="single"/>
        </w:rPr>
        <w:t xml:space="preserve">Networks and Cybersecurity Essentials </w:t>
      </w:r>
    </w:p>
    <w:p w14:paraId="567AD9A3" w14:textId="38F80C20" w:rsidR="003C6BF7" w:rsidRPr="003C6BF7" w:rsidRDefault="003C6BF7" w:rsidP="00D9264C">
      <w:pPr>
        <w:pStyle w:val="Author"/>
        <w:spacing w:before="5pt" w:beforeAutospacing="1" w:after="5pt" w:afterAutospacing="1"/>
        <w:rPr>
          <w:sz w:val="56"/>
          <w:szCs w:val="56"/>
          <w:u w:val="single"/>
        </w:rPr>
      </w:pPr>
      <w:r w:rsidRPr="003C6BF7">
        <w:rPr>
          <w:sz w:val="56"/>
          <w:szCs w:val="56"/>
          <w:u w:val="single"/>
        </w:rPr>
        <w:t>ACCA4024</w:t>
      </w:r>
    </w:p>
    <w:p w14:paraId="0F2ABC06" w14:textId="77777777" w:rsidR="003C6BF7" w:rsidRDefault="003C6BF7" w:rsidP="00D9264C">
      <w:pPr>
        <w:pStyle w:val="Author"/>
        <w:spacing w:before="5pt" w:beforeAutospacing="1" w:after="5pt" w:afterAutospacing="1"/>
        <w:rPr>
          <w:sz w:val="48"/>
          <w:szCs w:val="48"/>
          <w:u w:val="single"/>
        </w:rPr>
      </w:pPr>
    </w:p>
    <w:p w14:paraId="2B68A3C0" w14:textId="77777777" w:rsidR="003C6BF7" w:rsidRDefault="003C6BF7" w:rsidP="00D9264C">
      <w:pPr>
        <w:pStyle w:val="Author"/>
        <w:spacing w:before="5pt" w:beforeAutospacing="1" w:after="5pt" w:afterAutospacing="1"/>
        <w:rPr>
          <w:sz w:val="48"/>
          <w:szCs w:val="48"/>
          <w:u w:val="single"/>
        </w:rPr>
      </w:pPr>
    </w:p>
    <w:p w14:paraId="174A4853" w14:textId="77777777" w:rsidR="003C6BF7" w:rsidRDefault="003C6BF7" w:rsidP="00D9264C">
      <w:pPr>
        <w:pStyle w:val="Author"/>
        <w:spacing w:before="5pt" w:beforeAutospacing="1" w:after="5pt" w:afterAutospacing="1"/>
        <w:rPr>
          <w:sz w:val="48"/>
          <w:szCs w:val="48"/>
          <w:u w:val="single"/>
        </w:rPr>
      </w:pPr>
    </w:p>
    <w:p w14:paraId="0B48BF3E" w14:textId="77777777" w:rsidR="003C6BF7" w:rsidRDefault="003C6BF7" w:rsidP="00D9264C">
      <w:pPr>
        <w:pStyle w:val="Author"/>
        <w:spacing w:before="5pt" w:beforeAutospacing="1" w:after="5pt" w:afterAutospacing="1"/>
        <w:rPr>
          <w:sz w:val="48"/>
          <w:szCs w:val="48"/>
          <w:u w:val="single"/>
        </w:rPr>
      </w:pPr>
    </w:p>
    <w:p w14:paraId="4AE16C03" w14:textId="77777777" w:rsidR="003C6BF7" w:rsidRDefault="003C6BF7" w:rsidP="00D9264C">
      <w:pPr>
        <w:pStyle w:val="Author"/>
        <w:spacing w:before="5pt" w:beforeAutospacing="1" w:after="5pt" w:afterAutospacing="1"/>
        <w:rPr>
          <w:sz w:val="48"/>
          <w:szCs w:val="48"/>
          <w:u w:val="single"/>
        </w:rPr>
      </w:pPr>
    </w:p>
    <w:p w14:paraId="352C2268" w14:textId="77777777" w:rsidR="003C6BF7" w:rsidRDefault="003C6BF7" w:rsidP="00D9264C">
      <w:pPr>
        <w:pStyle w:val="Author"/>
        <w:spacing w:before="5pt" w:beforeAutospacing="1" w:after="5pt" w:afterAutospacing="1"/>
        <w:rPr>
          <w:sz w:val="48"/>
          <w:szCs w:val="48"/>
          <w:u w:val="single"/>
        </w:rPr>
      </w:pPr>
    </w:p>
    <w:p w14:paraId="5EAE1633" w14:textId="77777777" w:rsidR="003C6BF7" w:rsidRDefault="003C6BF7" w:rsidP="00D9264C">
      <w:pPr>
        <w:pStyle w:val="Author"/>
        <w:spacing w:before="5pt" w:beforeAutospacing="1" w:after="5pt" w:afterAutospacing="1"/>
        <w:rPr>
          <w:sz w:val="48"/>
          <w:szCs w:val="48"/>
          <w:u w:val="single"/>
        </w:rPr>
      </w:pPr>
    </w:p>
    <w:p w14:paraId="67C983DF" w14:textId="45989206" w:rsidR="00D9264C" w:rsidRPr="00FC2745" w:rsidRDefault="00D9264C" w:rsidP="00D9264C">
      <w:pPr>
        <w:pStyle w:val="Author"/>
        <w:spacing w:before="5pt" w:beforeAutospacing="1" w:after="5pt" w:afterAutospacing="1"/>
        <w:rPr>
          <w:sz w:val="48"/>
          <w:szCs w:val="48"/>
          <w:u w:val="single"/>
        </w:rPr>
      </w:pPr>
      <w:r>
        <w:rPr>
          <w:sz w:val="48"/>
          <w:szCs w:val="48"/>
          <w:u w:val="single"/>
        </w:rPr>
        <w:lastRenderedPageBreak/>
        <w:t xml:space="preserve">FinSecure LTD – Proposed Comprehensive CyberSecurity Policy and Plan </w:t>
      </w:r>
    </w:p>
    <w:p w14:paraId="38D4E5F8" w14:textId="77777777" w:rsidR="00D9264C" w:rsidRDefault="00D9264C" w:rsidP="00D9264C">
      <w:pPr>
        <w:pStyle w:val="Author"/>
        <w:spacing w:before="5pt" w:beforeAutospacing="1" w:after="5pt" w:afterAutospacing="1" w:line="6pt" w:lineRule="auto"/>
        <w:rPr>
          <w:sz w:val="16"/>
          <w:szCs w:val="16"/>
        </w:rPr>
      </w:pPr>
    </w:p>
    <w:p w14:paraId="5A871A68" w14:textId="77777777" w:rsidR="00D9264C" w:rsidRPr="00CA4392" w:rsidRDefault="00D9264C" w:rsidP="00D9264C">
      <w:pPr>
        <w:pStyle w:val="Author"/>
        <w:spacing w:before="5pt" w:beforeAutospacing="1" w:after="5pt" w:afterAutospacing="1" w:line="6pt" w:lineRule="auto"/>
        <w:rPr>
          <w:sz w:val="16"/>
          <w:szCs w:val="16"/>
        </w:rPr>
        <w:sectPr w:rsidR="00D9264C" w:rsidRPr="00CA4392" w:rsidSect="00D9264C">
          <w:footerReference w:type="first" r:id="rId8"/>
          <w:type w:val="continuous"/>
          <w:pgSz w:w="595.30pt" w:h="841.90pt" w:code="9"/>
          <w:pgMar w:top="27pt" w:right="44.65pt" w:bottom="72pt" w:left="44.65pt" w:header="36pt" w:footer="36pt" w:gutter="0pt"/>
          <w:cols w:space="36pt"/>
          <w:titlePg/>
          <w:docGrid w:linePitch="360"/>
        </w:sectPr>
      </w:pPr>
    </w:p>
    <w:p w14:paraId="0C0CF448" w14:textId="3C6C990F" w:rsidR="00D9264C" w:rsidRPr="00DD7547" w:rsidRDefault="00D9264C" w:rsidP="00D9264C">
      <w:pPr>
        <w:pStyle w:val="Abstract"/>
        <w:rPr>
          <w:i/>
          <w:iCs/>
        </w:rPr>
      </w:pPr>
      <w:r w:rsidRPr="00DD7547">
        <w:rPr>
          <w:i/>
          <w:iCs/>
        </w:rPr>
        <w:t>Abstract</w:t>
      </w:r>
      <w:r w:rsidRPr="00DD7547">
        <w:t xml:space="preserve">— </w:t>
      </w:r>
      <w:r w:rsidR="00DD7547">
        <w:t xml:space="preserve">As there have been </w:t>
      </w:r>
      <w:proofErr w:type="gramStart"/>
      <w:r w:rsidR="00DD7547">
        <w:t>some</w:t>
      </w:r>
      <w:proofErr w:type="gramEnd"/>
      <w:r w:rsidR="00DD7547">
        <w:t xml:space="preserve"> recent attack attempts on FinSecure LTD, an improved Cybersecurity </w:t>
      </w:r>
      <w:r w:rsidR="00292A36">
        <w:t xml:space="preserve">policy, procedure and training program will be implemented. In the following report, outlined will </w:t>
      </w:r>
      <w:r w:rsidR="00343C70">
        <w:t xml:space="preserve">be policies that the organization will be following, how the policies will be implemented, mitigation measures and the training program that will be provided to each employee. The intended outcome of the training and policy procedures is to increase staff awareness of potential risks, threats and methods of attack as well as </w:t>
      </w:r>
      <w:r w:rsidR="00CF4C4D">
        <w:t>to increase</w:t>
      </w:r>
      <w:r w:rsidR="00343C70">
        <w:t xml:space="preserve"> the overall protection of FinSecure LTD as a whole and the sensitive data that is held within the network.</w:t>
      </w:r>
    </w:p>
    <w:p w14:paraId="6804223B" w14:textId="04CB53C2" w:rsidR="00D9264C" w:rsidRPr="004D72B5" w:rsidRDefault="00D9264C" w:rsidP="00D9264C">
      <w:pPr>
        <w:pStyle w:val="Keywords"/>
      </w:pPr>
      <w:r w:rsidRPr="00343C70">
        <w:t xml:space="preserve">Keywords— </w:t>
      </w:r>
      <w:r w:rsidR="00343C70">
        <w:t>Cybersecurity, threats, organization, data</w:t>
      </w:r>
    </w:p>
    <w:p w14:paraId="01A2147E" w14:textId="77777777" w:rsidR="00D9264C" w:rsidRPr="00D632BE" w:rsidRDefault="00D9264C" w:rsidP="00D9264C">
      <w:pPr>
        <w:pStyle w:val="Heading1"/>
      </w:pPr>
      <w:r w:rsidRPr="00D632BE">
        <w:t>Introduction</w:t>
      </w:r>
    </w:p>
    <w:p w14:paraId="41F8DE32" w14:textId="694749FE" w:rsidR="00D9264C" w:rsidRPr="005B520E" w:rsidRDefault="00D9264C" w:rsidP="00D9264C">
      <w:pPr>
        <w:pStyle w:val="BodyText"/>
      </w:pPr>
      <w:r>
        <w:t>FinSecure LTD has recently experienced a myriad of cyberattacks including phishing attempts and records of unauthorised users  attempting to access sensitive data within the network. It is the responsibility of all employees of this organisation to have understanding and knowledge on how to combat these attacks. Additionally, there must be a plan in place to protect the data of the organisation, employees and customers. Within this report, there is further information on potential internal and external threats, security measures that will be put in place and how they will be implemented, and a monitor and response process that all colleagues will be trained on. The aim of this report is to inform and educate the employees of this company on how to mitigate risks and defend against potential cyber-attacks. FinSecure holds a lot of sensitive data that needs to be effectively and correctly secured. As well as informing on potential attacks, this report will also be providing a devised plan and proposition on ways that FinSecure can become a safer and more secure organisation by implementing a multitude of technological countermeasures</w:t>
      </w:r>
      <w:r w:rsidR="002777B6">
        <w:t xml:space="preserve"> </w:t>
      </w:r>
      <w:r w:rsidR="002777B6" w:rsidRPr="005B520E">
        <w:t>[1]</w:t>
      </w:r>
      <w:r w:rsidR="002777B6">
        <w:t>.</w:t>
      </w:r>
    </w:p>
    <w:p w14:paraId="0370F564" w14:textId="77777777" w:rsidR="00D9264C" w:rsidRPr="006B6B66" w:rsidRDefault="00D9264C" w:rsidP="00D9264C">
      <w:pPr>
        <w:pStyle w:val="Heading1"/>
      </w:pPr>
      <w:r>
        <w:t xml:space="preserve">Potential Threats </w:t>
      </w:r>
    </w:p>
    <w:p w14:paraId="1F82B860" w14:textId="77777777" w:rsidR="00D9264C" w:rsidRDefault="00D9264C" w:rsidP="00D9264C">
      <w:pPr>
        <w:pStyle w:val="Heading2"/>
      </w:pPr>
      <w:r>
        <w:t>Internal Threats</w:t>
      </w:r>
    </w:p>
    <w:p w14:paraId="74E7F371" w14:textId="6671BC44" w:rsidR="00D9264C" w:rsidRPr="005B520E" w:rsidRDefault="00D9264C" w:rsidP="00D9264C">
      <w:pPr>
        <w:pStyle w:val="BodyText"/>
      </w:pPr>
      <w:r>
        <w:t>Most potential internal threats to an organisation derive from employees either with malicious intent to distribute sensitive data, complacency or unintentional leaks. This type of threat is defined as an ‘Insider Threat’</w:t>
      </w:r>
      <w:r w:rsidR="002777B6">
        <w:t xml:space="preserve"> </w:t>
      </w:r>
      <w:r w:rsidR="002777B6" w:rsidRPr="005B520E">
        <w:t>[</w:t>
      </w:r>
      <w:r w:rsidR="002777B6">
        <w:t>2</w:t>
      </w:r>
      <w:r w:rsidR="002777B6" w:rsidRPr="005B520E">
        <w:t>]</w:t>
      </w:r>
      <w:r w:rsidR="002777B6">
        <w:t>.</w:t>
      </w:r>
      <w:r>
        <w:t xml:space="preserve"> Unpatched or outdated systems can make it easier for hackers to gain access to confidential information. If systems are not updated to the most current defence mechanisms to potential attacks, it leaves the organisation on a more vulnerable position to successful leaks. Additionally, insider trading is a common internal threat, especially to an organisation where the employee involved could have financial gain from obtaining sensitive information. </w:t>
      </w:r>
    </w:p>
    <w:p w14:paraId="01733B94" w14:textId="77777777" w:rsidR="00D9264C" w:rsidRPr="005B520E" w:rsidRDefault="00D9264C" w:rsidP="00D9264C">
      <w:pPr>
        <w:pStyle w:val="Heading2"/>
      </w:pPr>
      <w:r>
        <w:t xml:space="preserve">External Threats </w:t>
      </w:r>
    </w:p>
    <w:p w14:paraId="3CC14441" w14:textId="7C68195B" w:rsidR="00D9264C" w:rsidRDefault="00D9264C" w:rsidP="00D9264C">
      <w:pPr>
        <w:pStyle w:val="BodyText"/>
      </w:pPr>
      <w:r>
        <w:t>Phishing and Spear Phishing is a common method of cyber-attack in which attackers will impersonate clients and masquerade as a trusted entity in order to gain access to valuable information</w:t>
      </w:r>
      <w:r w:rsidR="002777B6">
        <w:t xml:space="preserve"> </w:t>
      </w:r>
      <w:r w:rsidR="002777B6" w:rsidRPr="005B520E">
        <w:t>[</w:t>
      </w:r>
      <w:r w:rsidR="002777B6">
        <w:t>3</w:t>
      </w:r>
      <w:r w:rsidR="002777B6" w:rsidRPr="005B520E">
        <w:t>]</w:t>
      </w:r>
      <w:r w:rsidR="002777B6">
        <w:t>.</w:t>
      </w:r>
      <w:r>
        <w:t xml:space="preserve"> Another method of cyber-attack from external threats is Business Email Compromise (BEC). This method of attack is done via e-mail where there is a malicious manipulation of conversation for financial gain</w:t>
      </w:r>
      <w:r w:rsidR="002777B6">
        <w:t xml:space="preserve"> </w:t>
      </w:r>
      <w:r w:rsidR="002777B6" w:rsidRPr="005B520E">
        <w:t>[</w:t>
      </w:r>
      <w:r w:rsidR="002777B6">
        <w:t>4</w:t>
      </w:r>
      <w:r w:rsidR="002777B6" w:rsidRPr="005B520E">
        <w:t>]</w:t>
      </w:r>
      <w:r w:rsidR="002777B6">
        <w:t>.</w:t>
      </w:r>
    </w:p>
    <w:p w14:paraId="5D6440E3" w14:textId="77777777" w:rsidR="00D9264C" w:rsidRPr="005B520E" w:rsidRDefault="00D9264C" w:rsidP="00D9264C">
      <w:pPr>
        <w:pStyle w:val="BodyText"/>
        <w:ind w:firstLine="0pt"/>
      </w:pPr>
      <w:r>
        <w:t xml:space="preserve">Each of these methods of cyber-attack blatant violation of compliance of regulatory policies. </w:t>
      </w:r>
    </w:p>
    <w:p w14:paraId="6A1A3082" w14:textId="43C3451B" w:rsidR="00D9264C" w:rsidRDefault="00437A37" w:rsidP="00D9264C">
      <w:pPr>
        <w:pStyle w:val="Heading1"/>
      </w:pPr>
      <w:r>
        <w:t xml:space="preserve">Regulatory </w:t>
      </w:r>
      <w:r w:rsidR="00167285">
        <w:t>B</w:t>
      </w:r>
      <w:r>
        <w:t>odies</w:t>
      </w:r>
    </w:p>
    <w:p w14:paraId="558C3719" w14:textId="4171475E" w:rsidR="00123945" w:rsidRPr="00123945" w:rsidRDefault="00D9264C" w:rsidP="00123945">
      <w:pPr>
        <w:pStyle w:val="BodyText"/>
      </w:pPr>
      <w:r>
        <w:t>In order for organisations to be efficiently protected and secure, they must abide b</w:t>
      </w:r>
      <w:r w:rsidR="00796593">
        <w:t xml:space="preserve">y industry standards. </w:t>
      </w:r>
      <w:r w:rsidR="002F18AF">
        <w:t>One example of a structured guideline includes ISO 27001 which provides a structured framework on how an organisation can keep a robust and effective Information Security Management System (ISMS)</w:t>
      </w:r>
      <w:r w:rsidR="002777B6">
        <w:t xml:space="preserve"> </w:t>
      </w:r>
      <w:r w:rsidR="002777B6" w:rsidRPr="002777B6">
        <w:t>[</w:t>
      </w:r>
      <w:r w:rsidR="002777B6">
        <w:t>5</w:t>
      </w:r>
      <w:r w:rsidR="002777B6" w:rsidRPr="002777B6">
        <w:t>]</w:t>
      </w:r>
      <w:r w:rsidR="002777B6">
        <w:t>.</w:t>
      </w:r>
      <w:r w:rsidR="002F18AF">
        <w:t xml:space="preserve"> To ensure the confidentiality and security of customer data, the General Data Protection Regulation (GDPR) is implemented into an organisations security policy and procedure. </w:t>
      </w:r>
      <w:r w:rsidR="00123945">
        <w:t xml:space="preserve">Additionally, the NIST structure is applicable to any organisation within the United States. In order for FinSecure LTD to be effectively protected from cybersecurity attacks and to ensure that it is accurately governed, then a plan must be put in place to adhere to set policies and regulations. </w:t>
      </w:r>
    </w:p>
    <w:p w14:paraId="3BBE718C" w14:textId="4D213D9D" w:rsidR="00D9264C" w:rsidRDefault="00437A37" w:rsidP="00437A37">
      <w:pPr>
        <w:pStyle w:val="Heading1"/>
      </w:pPr>
      <w:r>
        <w:t xml:space="preserve">Implementing </w:t>
      </w:r>
      <w:r w:rsidR="00167285">
        <w:t>P</w:t>
      </w:r>
      <w:r>
        <w:t>olicies</w:t>
      </w:r>
    </w:p>
    <w:p w14:paraId="566110C5" w14:textId="21DE311C" w:rsidR="00A25AD1" w:rsidRDefault="00A25AD1" w:rsidP="00A25AD1">
      <w:pPr>
        <w:ind w:start="14.40pt"/>
        <w:jc w:val="both"/>
      </w:pPr>
      <w:r>
        <w:t xml:space="preserve">To abide by both GDPR and ISO 27001 regulations, below is a list of policies that will be implemented into the cybersecurity protocol. These include but are not limited </w:t>
      </w:r>
      <w:r w:rsidR="00B64CFC">
        <w:t>to -</w:t>
      </w:r>
    </w:p>
    <w:p w14:paraId="7868C109" w14:textId="77777777" w:rsidR="00A25AD1" w:rsidRPr="00A25AD1" w:rsidRDefault="00A25AD1" w:rsidP="00A25AD1">
      <w:pPr>
        <w:ind w:start="14.40pt"/>
        <w:jc w:val="both"/>
      </w:pPr>
    </w:p>
    <w:p w14:paraId="4D44DD0B" w14:textId="6A8DB643" w:rsidR="00D9264C" w:rsidRPr="005B520E" w:rsidRDefault="00A25AD1" w:rsidP="00D9264C">
      <w:pPr>
        <w:pStyle w:val="bulletlist"/>
      </w:pPr>
      <w:r>
        <w:t>Information Security is vital to an organisations reputation and protection of sensitive data. An Information Security Policy will be a combination of both Iso 27001’s framework and GDPR regulation to ensure the security of all sensitive information. There will be a set outline for Data Mapping and Access Controls to minimise the risk of insider leaks and unauthorised access to information</w:t>
      </w:r>
      <w:r w:rsidR="000F2014">
        <w:t xml:space="preserve"> (Annex A protocol will be implemented within this policy).</w:t>
      </w:r>
    </w:p>
    <w:p w14:paraId="65E0CD7B" w14:textId="7E391208" w:rsidR="00D9264C" w:rsidRPr="005B520E" w:rsidRDefault="000F2014" w:rsidP="00D9264C">
      <w:pPr>
        <w:pStyle w:val="bulletlist"/>
      </w:pPr>
      <w:r>
        <w:t xml:space="preserve">Regular Audits will be completed to ensure the data we store and the effectiveness of the process is compliant with the relevant requirements. Audits will be completed quarterly and </w:t>
      </w:r>
      <w:r w:rsidR="00B62B11">
        <w:t xml:space="preserve">reviewed to ensure that all policies we abide by are up to date and still effective. </w:t>
      </w:r>
    </w:p>
    <w:p w14:paraId="46A0080D" w14:textId="78E793AA" w:rsidR="00B62B11" w:rsidRPr="005B520E" w:rsidRDefault="00B62B11" w:rsidP="00B62B11">
      <w:pPr>
        <w:pStyle w:val="bulletlist"/>
      </w:pPr>
      <w:r>
        <w:t xml:space="preserve">A policy for Incident Response and Action will be implemented for all employees that may face any type of cyberattack or have any concerns they wish to raise. </w:t>
      </w:r>
      <w:r w:rsidR="00970713">
        <w:t xml:space="preserve">An Incident Response process is vital for detecting, containing and eradicating threats [6]. </w:t>
      </w:r>
      <w:r>
        <w:t xml:space="preserve">There will be an exact process for how an employee can raise a concern, a set timescale for review and how they will receive a response and the actions that will be taken. As an organisation, FinSecure LTD needs to make their working environment feel safe for their employees to raise any concerns and ensure the reputation of the company is positive so the customers feel secure. </w:t>
      </w:r>
    </w:p>
    <w:p w14:paraId="4D55C46D" w14:textId="6DDEACE6" w:rsidR="00D9264C" w:rsidRDefault="00B62B11" w:rsidP="00D9264C">
      <w:pPr>
        <w:pStyle w:val="BodyText"/>
      </w:pPr>
      <w:r>
        <w:t>One of the main priorities as an organisation in the cyber world is to have a positive secur</w:t>
      </w:r>
      <w:r w:rsidR="00EE5078">
        <w:t xml:space="preserve">ity reputation. To ensure that potential clients and customers feel safe knowing that their chosen company has a secure cybersecurity policy. </w:t>
      </w:r>
      <w:r w:rsidR="00437A37">
        <w:t xml:space="preserve">This is why we are proposing a new comprehensive security plan with specific measures to mitigate potential threats and how to monitor and respond to concerns. </w:t>
      </w:r>
    </w:p>
    <w:p w14:paraId="6E32982C" w14:textId="02E9D943" w:rsidR="00437A37" w:rsidRDefault="00167285" w:rsidP="00437A37">
      <w:pPr>
        <w:pStyle w:val="Heading1"/>
      </w:pPr>
      <w:r>
        <w:lastRenderedPageBreak/>
        <w:t>M</w:t>
      </w:r>
      <w:r w:rsidR="00437A37">
        <w:t xml:space="preserve">itigation </w:t>
      </w:r>
      <w:r>
        <w:t>M</w:t>
      </w:r>
      <w:r w:rsidR="00437A37">
        <w:t xml:space="preserve">easures </w:t>
      </w:r>
    </w:p>
    <w:p w14:paraId="1598BEC7" w14:textId="2E222B30" w:rsidR="00D91350" w:rsidRDefault="00D91350" w:rsidP="00D91350">
      <w:pPr>
        <w:pStyle w:val="Heading2"/>
      </w:pPr>
      <w:r>
        <w:t>Multi-Factor Authentication (MFA)</w:t>
      </w:r>
    </w:p>
    <w:p w14:paraId="1F081EF7" w14:textId="77777777" w:rsidR="00D91350" w:rsidRPr="00D91350" w:rsidRDefault="00D91350" w:rsidP="00D91350"/>
    <w:p w14:paraId="373865FF" w14:textId="3AA783ED" w:rsidR="00D9264C" w:rsidRDefault="00D91350" w:rsidP="00D9264C">
      <w:pPr>
        <w:pStyle w:val="bulletlist"/>
      </w:pPr>
      <w:r>
        <w:t xml:space="preserve">Enforcing MFA for all users within the organisation who may have access to sensitive data. This will also be implemented for all users, with additional steps to access the network for any remote users. Another way that MFA will be increased, is ensuring that all processes of MFA relating to a customer’s access is up to date when contacting the company via telephone or using an online banking application. </w:t>
      </w:r>
    </w:p>
    <w:p w14:paraId="5C625690" w14:textId="439FC7CD" w:rsidR="00426CF2" w:rsidRDefault="00D91350" w:rsidP="00426CF2">
      <w:pPr>
        <w:pStyle w:val="bulletlist"/>
        <w:numPr>
          <w:ilvl w:val="0"/>
          <w:numId w:val="0"/>
        </w:numPr>
        <w:ind w:start="14.40pt"/>
      </w:pPr>
      <w:r w:rsidRPr="00D91350">
        <w:rPr>
          <w:b/>
          <w:bCs/>
        </w:rPr>
        <w:t>Mitigated Threats</w:t>
      </w:r>
      <w:r>
        <w:t xml:space="preserve"> : Unauthorised access, phishing.</w:t>
      </w:r>
    </w:p>
    <w:p w14:paraId="428E8C2B" w14:textId="42023531" w:rsidR="00D91350" w:rsidRDefault="00D91350" w:rsidP="00D91350">
      <w:pPr>
        <w:pStyle w:val="Heading2"/>
      </w:pPr>
      <w:r>
        <w:t>Data Encryption</w:t>
      </w:r>
    </w:p>
    <w:p w14:paraId="1EE49756" w14:textId="7A175212" w:rsidR="00D91350" w:rsidRDefault="00EB6B24" w:rsidP="00D9264C">
      <w:pPr>
        <w:pStyle w:val="bulletlist"/>
      </w:pPr>
      <w:r>
        <w:t>Data encryption is a critical method of mitigation in the modern technology field [7]. e</w:t>
      </w:r>
      <w:r w:rsidR="00D91350">
        <w:t xml:space="preserve">nsuring all computers used by employees have disk encryption on all devices used. Additionally, end-to-end encryption will be implemented to any communication methods between the organisation and the user to protect all private data is kept confidential to that user and FinSecure LTD. </w:t>
      </w:r>
    </w:p>
    <w:p w14:paraId="43A9F976" w14:textId="69F91C44" w:rsidR="00D91350" w:rsidRDefault="00D91350" w:rsidP="00D91350">
      <w:pPr>
        <w:pStyle w:val="bulletlist"/>
        <w:numPr>
          <w:ilvl w:val="0"/>
          <w:numId w:val="0"/>
        </w:numPr>
        <w:ind w:start="14.40pt"/>
      </w:pPr>
      <w:r w:rsidRPr="00DA4890">
        <w:rPr>
          <w:b/>
          <w:bCs/>
        </w:rPr>
        <w:t>Mitigated Threats</w:t>
      </w:r>
      <w:r>
        <w:t xml:space="preserve"> : </w:t>
      </w:r>
      <w:r w:rsidR="00DA4890">
        <w:t>Data Breaches, outsider interception.</w:t>
      </w:r>
    </w:p>
    <w:p w14:paraId="2AC01CBE" w14:textId="185D4B88" w:rsidR="00DA4890" w:rsidRPr="005B520E" w:rsidRDefault="00DA4890" w:rsidP="00DA4890">
      <w:pPr>
        <w:pStyle w:val="Heading2"/>
      </w:pPr>
      <w:r>
        <w:t>Third-Party Risk Management</w:t>
      </w:r>
    </w:p>
    <w:p w14:paraId="09ADBBC9" w14:textId="2ECCCBBC" w:rsidR="00D9264C" w:rsidRDefault="00DA4890" w:rsidP="00D9264C">
      <w:pPr>
        <w:pStyle w:val="bulletlist"/>
      </w:pPr>
      <w:r>
        <w:t xml:space="preserve">Ensuring that all potential Third-Party vendors or clients have a full background check is vital to the decision-making process when sharing any sensitive data with them. If the Third Party in question passes all checks, ensuring there is a strict contract </w:t>
      </w:r>
      <w:r w:rsidR="00165DDE">
        <w:t xml:space="preserve">in place where they agree to all cybersecurity policies we implement. Additionally, we will review their performance with us quarterly, ensure they are abiding to all policies stated in the contract and assess if we wish to continue the contract with them. </w:t>
      </w:r>
    </w:p>
    <w:p w14:paraId="27584CFC" w14:textId="09F22723" w:rsidR="00165DDE" w:rsidRDefault="00165DDE" w:rsidP="00165DDE">
      <w:pPr>
        <w:pStyle w:val="bulletlist"/>
        <w:numPr>
          <w:ilvl w:val="0"/>
          <w:numId w:val="0"/>
        </w:numPr>
        <w:ind w:start="14.40pt"/>
      </w:pPr>
      <w:r w:rsidRPr="00167285">
        <w:rPr>
          <w:b/>
          <w:bCs/>
        </w:rPr>
        <w:t>Mitigated Threats</w:t>
      </w:r>
      <w:r>
        <w:t xml:space="preserve"> : Third-Party breaches, </w:t>
      </w:r>
      <w:r w:rsidR="00167285">
        <w:t>Man-in-the-Middle Attacks.</w:t>
      </w:r>
    </w:p>
    <w:p w14:paraId="769F56F3" w14:textId="38436A5D" w:rsidR="00D9264C" w:rsidRDefault="00167285" w:rsidP="00167285">
      <w:pPr>
        <w:pStyle w:val="Heading2"/>
      </w:pPr>
      <w:r>
        <w:t>Firewall and Intrusion/Threat Detection</w:t>
      </w:r>
    </w:p>
    <w:p w14:paraId="0A75E149" w14:textId="786DEEA0" w:rsidR="00167285" w:rsidRDefault="00167285" w:rsidP="00167285">
      <w:pPr>
        <w:pStyle w:val="bulletlist"/>
      </w:pPr>
      <w:r>
        <w:t xml:space="preserve">Implementation of a centralised log-in system where all attempts are logged and monitored to detect any suspicious activity. A Firewall will be deployed at all entry and exit points to control any traffic passing through the access points. Through this firewall, any suspicious attempts at log-in will be blocked and reported to a centralised reporting system. </w:t>
      </w:r>
      <w:r w:rsidR="003C6BF7">
        <w:t xml:space="preserve">If any legitimate log-in attempts are blocked or unverified, IT Support will either contact within 1 hour or they can contact them directly to rectify the issue and regain access to the centralised system. </w:t>
      </w:r>
    </w:p>
    <w:p w14:paraId="142334FB" w14:textId="66C87248" w:rsidR="00167285" w:rsidRDefault="00167285" w:rsidP="00167285">
      <w:pPr>
        <w:pStyle w:val="bulletlist"/>
        <w:numPr>
          <w:ilvl w:val="0"/>
          <w:numId w:val="0"/>
        </w:numPr>
        <w:ind w:start="28.80pt" w:hanging="14.40pt"/>
      </w:pPr>
      <w:r w:rsidRPr="00167285">
        <w:rPr>
          <w:b/>
          <w:bCs/>
        </w:rPr>
        <w:t>Mitigated Threats</w:t>
      </w:r>
      <w:r>
        <w:t xml:space="preserve"> : Unauthorised access. </w:t>
      </w:r>
    </w:p>
    <w:p w14:paraId="32002CD6" w14:textId="3880568E" w:rsidR="00426CF2" w:rsidRDefault="00426CF2" w:rsidP="00426CF2">
      <w:pPr>
        <w:pStyle w:val="bulletlist"/>
        <w:numPr>
          <w:ilvl w:val="0"/>
          <w:numId w:val="0"/>
        </w:numPr>
      </w:pPr>
      <w:r>
        <w:rPr>
          <w:b/>
          <w:bCs/>
        </w:rPr>
        <w:tab/>
      </w:r>
      <w:r w:rsidRPr="00426CF2">
        <w:t xml:space="preserve">MFA and </w:t>
      </w:r>
      <w:r>
        <w:t xml:space="preserve">encryption evidence the usage of the CIA triad when implementing mitigation procedures. This is because they prove that the confidentiality and integrity of data that we hold within the network is incredibly important to the organisation. </w:t>
      </w:r>
    </w:p>
    <w:p w14:paraId="390F7213" w14:textId="7C317077" w:rsidR="00426CF2" w:rsidRDefault="00426CF2" w:rsidP="00426CF2">
      <w:pPr>
        <w:pStyle w:val="bulletlist"/>
        <w:numPr>
          <w:ilvl w:val="0"/>
          <w:numId w:val="0"/>
        </w:numPr>
      </w:pPr>
    </w:p>
    <w:p w14:paraId="4A32723B" w14:textId="77777777" w:rsidR="00426CF2" w:rsidRPr="00426CF2" w:rsidRDefault="00426CF2" w:rsidP="00426CF2">
      <w:pPr>
        <w:pStyle w:val="bulletlist"/>
        <w:numPr>
          <w:ilvl w:val="0"/>
          <w:numId w:val="0"/>
        </w:numPr>
      </w:pPr>
    </w:p>
    <w:p w14:paraId="54E0BE1A" w14:textId="3CF215C0" w:rsidR="00426CF2" w:rsidRDefault="00426CF2" w:rsidP="00426CF2">
      <w:pPr>
        <w:pStyle w:val="Heading1"/>
        <w:numPr>
          <w:ilvl w:val="0"/>
          <w:numId w:val="0"/>
        </w:numPr>
        <w:jc w:val="both"/>
      </w:pPr>
      <w:r w:rsidRPr="00426CF2">
        <w:drawing>
          <wp:anchor distT="0" distB="0" distL="114300" distR="114300" simplePos="0" relativeHeight="251661312" behindDoc="1" locked="0" layoutInCell="1" allowOverlap="1" wp14:anchorId="045903DF" wp14:editId="7AB8B242">
            <wp:simplePos x="0" y="0"/>
            <wp:positionH relativeFrom="column">
              <wp:posOffset>657986</wp:posOffset>
            </wp:positionH>
            <wp:positionV relativeFrom="paragraph">
              <wp:posOffset>546</wp:posOffset>
            </wp:positionV>
            <wp:extent cx="1903063" cy="1621084"/>
            <wp:effectExtent l="0" t="0" r="2540" b="0"/>
            <wp:wrapTight wrapText="bothSides">
              <wp:wrapPolygon edited="0">
                <wp:start x="0" y="0"/>
                <wp:lineTo x="0" y="21329"/>
                <wp:lineTo x="21413" y="21329"/>
                <wp:lineTo x="21413" y="0"/>
                <wp:lineTo x="0" y="0"/>
              </wp:wrapPolygon>
            </wp:wrapTight>
            <wp:docPr id="952620531" name="Picture 1" descr="A triangle with different colors and text&#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52620531" name="Picture 1" descr="A triangle with different colors and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03063" cy="1621084"/>
                    </a:xfrm>
                    <a:prstGeom prst="rect">
                      <a:avLst/>
                    </a:prstGeom>
                  </pic:spPr>
                </pic:pic>
              </a:graphicData>
            </a:graphic>
          </wp:anchor>
        </w:drawing>
      </w:r>
    </w:p>
    <w:p w14:paraId="41505B86" w14:textId="77777777" w:rsidR="00426CF2" w:rsidRDefault="00426CF2" w:rsidP="00426CF2">
      <w:pPr>
        <w:pStyle w:val="Heading1"/>
        <w:numPr>
          <w:ilvl w:val="0"/>
          <w:numId w:val="0"/>
        </w:numPr>
        <w:jc w:val="both"/>
      </w:pPr>
    </w:p>
    <w:p w14:paraId="5B977321" w14:textId="77777777" w:rsidR="00426CF2" w:rsidRDefault="00426CF2" w:rsidP="00426CF2">
      <w:pPr>
        <w:pStyle w:val="Heading1"/>
        <w:numPr>
          <w:ilvl w:val="0"/>
          <w:numId w:val="0"/>
        </w:numPr>
        <w:jc w:val="both"/>
      </w:pPr>
    </w:p>
    <w:p w14:paraId="20610978" w14:textId="77777777" w:rsidR="00426CF2" w:rsidRDefault="00426CF2" w:rsidP="00426CF2">
      <w:pPr>
        <w:pStyle w:val="Heading1"/>
        <w:numPr>
          <w:ilvl w:val="0"/>
          <w:numId w:val="0"/>
        </w:numPr>
        <w:jc w:val="both"/>
      </w:pPr>
    </w:p>
    <w:p w14:paraId="4AB38052" w14:textId="77777777" w:rsidR="00426CF2" w:rsidRDefault="00426CF2" w:rsidP="00426CF2">
      <w:pPr>
        <w:pStyle w:val="Heading1"/>
        <w:numPr>
          <w:ilvl w:val="0"/>
          <w:numId w:val="0"/>
        </w:numPr>
        <w:jc w:val="both"/>
      </w:pPr>
    </w:p>
    <w:p w14:paraId="7FB912F5" w14:textId="77777777" w:rsidR="00426CF2" w:rsidRDefault="00426CF2" w:rsidP="00426CF2">
      <w:pPr>
        <w:pStyle w:val="Heading1"/>
        <w:numPr>
          <w:ilvl w:val="0"/>
          <w:numId w:val="0"/>
        </w:numPr>
        <w:jc w:val="both"/>
      </w:pPr>
    </w:p>
    <w:p w14:paraId="36D5F558" w14:textId="2E394084" w:rsidR="00426CF2" w:rsidRDefault="00426CF2" w:rsidP="00426CF2">
      <w:pPr>
        <w:pStyle w:val="Heading1"/>
        <w:numPr>
          <w:ilvl w:val="0"/>
          <w:numId w:val="0"/>
        </w:numPr>
        <w:jc w:val="both"/>
      </w:pPr>
      <w:r>
        <w:drawing>
          <wp:anchor distT="0" distB="0" distL="114300" distR="114300" simplePos="0" relativeHeight="251663360" behindDoc="1" locked="0" layoutInCell="1" allowOverlap="1" wp14:anchorId="22B68309" wp14:editId="2DFA69C7">
            <wp:simplePos x="0" y="0"/>
            <wp:positionH relativeFrom="column">
              <wp:posOffset>657860</wp:posOffset>
            </wp:positionH>
            <wp:positionV relativeFrom="paragraph">
              <wp:posOffset>241935</wp:posOffset>
            </wp:positionV>
            <wp:extent cx="1931670" cy="276860"/>
            <wp:effectExtent l="0" t="0" r="11430" b="8890"/>
            <wp:wrapTight wrapText="bothSides">
              <wp:wrapPolygon edited="0">
                <wp:start x="0" y="0"/>
                <wp:lineTo x="0" y="20807"/>
                <wp:lineTo x="21515" y="20807"/>
                <wp:lineTo x="21515" y="0"/>
                <wp:lineTo x="0" y="0"/>
              </wp:wrapPolygon>
            </wp:wrapTight>
            <wp:docPr id="641755337" name="Text Box 1"/>
            <wp:cNvGraphicFramePr/>
            <a:graphic xmlns:a="http://purl.oclc.org/ooxml/drawingml/main">
              <a:graphicData uri="http://schemas.microsoft.com/office/word/2010/wordprocessingShape">
                <wp:wsp>
                  <wp:cNvSpPr txBox="1"/>
                  <wp:spPr>
                    <a:xfrm>
                      <a:off x="0" y="0"/>
                      <a:ext cx="1931670" cy="276860"/>
                    </a:xfrm>
                    <a:prstGeom prst="rect">
                      <a:avLst/>
                    </a:prstGeom>
                    <a:noFill/>
                    <a:ln>
                      <a:noFill/>
                    </a:ln>
                  </wp:spPr>
                  <wp:txbx>
                    <wne:txbxContent>
                      <w:p w14:paraId="39E5D74E" w14:textId="2489FDA8" w:rsidR="00426CF2" w:rsidRPr="003C6BF7" w:rsidRDefault="00426CF2" w:rsidP="00426CF2">
                        <w:pPr>
                          <w:pStyle w:val="Heading1"/>
                          <w:numPr>
                            <w:ilvl w:val="0"/>
                            <w:numId w:val="0"/>
                          </w:numPr>
                          <w:rPr>
                            <w:sz w:val="14"/>
                            <w:szCs w:val="14"/>
                          </w:rPr>
                        </w:pPr>
                        <w:r w:rsidRPr="003C6BF7">
                          <w:rPr>
                            <w:sz w:val="14"/>
                            <w:szCs w:val="14"/>
                          </w:rPr>
                          <w:t xml:space="preserve">Figure </w:t>
                        </w:r>
                        <w:r w:rsidRPr="003C6BF7">
                          <w:rPr>
                            <w:sz w:val="14"/>
                            <w:szCs w:val="14"/>
                          </w:rPr>
                          <w:fldChar w:fldCharType="begin"/>
                        </w:r>
                        <w:r w:rsidRPr="003C6BF7">
                          <w:rPr>
                            <w:sz w:val="14"/>
                            <w:szCs w:val="14"/>
                          </w:rPr>
                          <w:instrText xml:space="preserve"> SEQ Figure \* ARABIC </w:instrText>
                        </w:r>
                        <w:r w:rsidRPr="003C6BF7">
                          <w:rPr>
                            <w:sz w:val="14"/>
                            <w:szCs w:val="14"/>
                          </w:rPr>
                          <w:fldChar w:fldCharType="separate"/>
                        </w:r>
                        <w:r w:rsidRPr="003C6BF7">
                          <w:rPr>
                            <w:sz w:val="14"/>
                            <w:szCs w:val="14"/>
                          </w:rPr>
                          <w:t>1</w:t>
                        </w:r>
                        <w:r w:rsidRPr="003C6BF7">
                          <w:rPr>
                            <w:sz w:val="14"/>
                            <w:szCs w:val="14"/>
                          </w:rPr>
                          <w:fldChar w:fldCharType="end"/>
                        </w:r>
                        <w:r w:rsidRPr="003C6BF7">
                          <w:rPr>
                            <w:sz w:val="14"/>
                            <w:szCs w:val="14"/>
                          </w:rPr>
                          <w:t>: The CIA Triad</w:t>
                        </w:r>
                      </w:p>
                    </wne:txbxContent>
                  </wp:txbx>
                  <wp:bodyPr rot="0" spcFirstLastPara="0" vertOverflow="overflow" horzOverflow="overflow" vert="horz" wrap="square" lIns="0" tIns="0" rIns="0" bIns="0" numCol="1" spcCol="0" rtlCol="0" fromWordArt="0" anchor="t" anchorCtr="0" forceAA="0" compatLnSpc="1">
                    <a:prstTxWarp prst="textNoShape">
                      <a:avLst/>
                    </a:prstTxWarp>
                    <a:noAutofit/>
                  </wp:bodyPr>
                </wp:wsp>
              </a:graphicData>
            </a:graphic>
            <wp14:sizeRelH relativeFrom="margin">
              <wp14:pctWidth>0%</wp14:pctWidth>
            </wp14:sizeRelH>
            <wp14:sizeRelV relativeFrom="margin">
              <wp14:pctHeight>0%</wp14:pctHeight>
            </wp14:sizeRelV>
          </wp:anchor>
        </w:drawing>
      </w:r>
    </w:p>
    <w:p w14:paraId="4DE88494" w14:textId="21E3F657" w:rsidR="00426CF2" w:rsidRDefault="00426CF2" w:rsidP="00426CF2">
      <w:pPr>
        <w:pStyle w:val="Heading1"/>
        <w:numPr>
          <w:ilvl w:val="0"/>
          <w:numId w:val="0"/>
        </w:numPr>
        <w:jc w:val="both"/>
      </w:pPr>
    </w:p>
    <w:p w14:paraId="350940A2" w14:textId="4185CBE6" w:rsidR="00D9264C" w:rsidRDefault="00D9264C" w:rsidP="00167285">
      <w:pPr>
        <w:pStyle w:val="Heading1"/>
      </w:pPr>
      <w:r>
        <w:t>M</w:t>
      </w:r>
      <w:r w:rsidR="00167285">
        <w:t xml:space="preserve">onitoring and Response </w:t>
      </w:r>
    </w:p>
    <w:p w14:paraId="5ACAC677" w14:textId="0D3606BC" w:rsidR="00CF20DE" w:rsidRPr="00CF20DE" w:rsidRDefault="00CF20DE" w:rsidP="00CF20DE"/>
    <w:p w14:paraId="3F014B56" w14:textId="25D3BA5B" w:rsidR="00D9264C" w:rsidRDefault="00CF20DE" w:rsidP="00CF20DE">
      <w:pPr>
        <w:ind w:start="14.40pt"/>
        <w:jc w:val="both"/>
      </w:pPr>
      <w:r>
        <w:t xml:space="preserve">To comply with ISO 27035, there must be a monitoring and response procedure in place to efficiently deal with any suspicious activity. As discussed, there will be a monitored centralized log-in system which will flag any suspicious activity. This will go through to the IT Support team who will investigate and contact the user whose details are being used to log-in. When discussing with them, the issue can be rectified directly. They will be contacted within 1 hour or can contact the helpline directly if they need assistance before that </w:t>
      </w:r>
      <w:r w:rsidR="00B64CFC">
        <w:t>period</w:t>
      </w:r>
      <w:r>
        <w:t xml:space="preserve">. </w:t>
      </w:r>
    </w:p>
    <w:p w14:paraId="2EC7538D" w14:textId="51DFA09D" w:rsidR="00CF20DE" w:rsidRDefault="00CF20DE" w:rsidP="00CF20DE">
      <w:pPr>
        <w:ind w:start="14.40pt"/>
        <w:jc w:val="both"/>
      </w:pPr>
    </w:p>
    <w:p w14:paraId="4EC75022" w14:textId="16913DE5" w:rsidR="00CF20DE" w:rsidRDefault="00CF20DE" w:rsidP="00CF20DE">
      <w:pPr>
        <w:ind w:start="14.40pt"/>
        <w:jc w:val="both"/>
      </w:pPr>
      <w:r>
        <w:t xml:space="preserve">If a user or employee has any concerns about suspicious activity on the network, they can use the contact details for IT Support if they want to speak to someone urgently, or they can use the Incident Response Form. This will be shown to all employees during the Cybersecurity Training </w:t>
      </w:r>
      <w:r w:rsidR="008A2088">
        <w:t>Program,</w:t>
      </w:r>
      <w:r>
        <w:t xml:space="preserve"> </w:t>
      </w:r>
      <w:r w:rsidR="008A2088">
        <w:t xml:space="preserve">so they understand how to use the form, the process following any submission and any alternative methods of contact. </w:t>
      </w:r>
    </w:p>
    <w:p w14:paraId="3DC81BC3" w14:textId="2C687ABF" w:rsidR="003C6BF7" w:rsidRDefault="009765A8" w:rsidP="003C6BF7">
      <w:pPr>
        <w:pStyle w:val="Heading1"/>
        <w:numPr>
          <w:ilvl w:val="0"/>
          <w:numId w:val="0"/>
        </w:numPr>
        <w:jc w:val="both"/>
      </w:pPr>
      <w:r w:rsidRPr="00CF20DE">
        <w:drawing>
          <wp:anchor distT="0" distB="0" distL="114300" distR="114300" simplePos="0" relativeHeight="251658240" behindDoc="1" locked="0" layoutInCell="1" allowOverlap="1" wp14:anchorId="1E0D3696" wp14:editId="5128FC4D">
            <wp:simplePos x="0" y="0"/>
            <wp:positionH relativeFrom="column">
              <wp:posOffset>191770</wp:posOffset>
            </wp:positionH>
            <wp:positionV relativeFrom="paragraph">
              <wp:posOffset>323264</wp:posOffset>
            </wp:positionV>
            <wp:extent cx="2681752" cy="997528"/>
            <wp:effectExtent l="0" t="0" r="4445" b="0"/>
            <wp:wrapTight wrapText="bothSides">
              <wp:wrapPolygon edited="0">
                <wp:start x="0" y="0"/>
                <wp:lineTo x="0" y="21050"/>
                <wp:lineTo x="21482" y="21050"/>
                <wp:lineTo x="21482" y="0"/>
                <wp:lineTo x="0" y="0"/>
              </wp:wrapPolygon>
            </wp:wrapTight>
            <wp:docPr id="384852931" name="Picture 1" descr="A diagram of a diagram&#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84852931" name="Picture 1" descr="A diagram of a dia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1752" cy="997528"/>
                    </a:xfrm>
                    <a:prstGeom prst="rect">
                      <a:avLst/>
                    </a:prstGeom>
                  </pic:spPr>
                </pic:pic>
              </a:graphicData>
            </a:graphic>
          </wp:anchor>
        </w:drawing>
      </w:r>
      <w:r w:rsidR="003C6BF7">
        <w:drawing>
          <wp:anchor distT="0" distB="0" distL="114300" distR="114300" simplePos="0" relativeHeight="251660288" behindDoc="1" locked="0" layoutInCell="1" allowOverlap="1" wp14:anchorId="0EFE2234" wp14:editId="5B3C3785">
            <wp:simplePos x="0" y="0"/>
            <wp:positionH relativeFrom="column">
              <wp:posOffset>153491</wp:posOffset>
            </wp:positionH>
            <wp:positionV relativeFrom="paragraph">
              <wp:posOffset>1270581</wp:posOffset>
            </wp:positionV>
            <wp:extent cx="2647950" cy="260985"/>
            <wp:effectExtent l="0" t="0" r="0" b="5715"/>
            <wp:wrapTight wrapText="bothSides">
              <wp:wrapPolygon edited="0">
                <wp:start x="0" y="0"/>
                <wp:lineTo x="0" y="20496"/>
                <wp:lineTo x="21445" y="20496"/>
                <wp:lineTo x="21445" y="0"/>
                <wp:lineTo x="0" y="0"/>
              </wp:wrapPolygon>
            </wp:wrapTight>
            <wp:docPr id="66895407" name="Text Box 1"/>
            <wp:cNvGraphicFramePr/>
            <a:graphic xmlns:a="http://purl.oclc.org/ooxml/drawingml/main">
              <a:graphicData uri="http://schemas.microsoft.com/office/word/2010/wordprocessingShape">
                <wp:wsp>
                  <wp:cNvSpPr txBox="1"/>
                  <wp:spPr>
                    <a:xfrm>
                      <a:off x="0" y="0"/>
                      <a:ext cx="2647950" cy="260985"/>
                    </a:xfrm>
                    <a:prstGeom prst="rect">
                      <a:avLst/>
                    </a:prstGeom>
                    <a:noFill/>
                    <a:ln>
                      <a:noFill/>
                    </a:ln>
                  </wp:spPr>
                  <wp:txbx>
                    <wne:txbxContent>
                      <w:p w14:paraId="40783B3B" w14:textId="06982235" w:rsidR="00CF20DE" w:rsidRPr="00314E78" w:rsidRDefault="00CF20DE" w:rsidP="00314E78">
                        <w:pPr>
                          <w:pStyle w:val="Heading5"/>
                          <w:rPr>
                            <w:sz w:val="14"/>
                            <w:szCs w:val="14"/>
                          </w:rPr>
                        </w:pPr>
                        <w:r w:rsidRPr="00314E78">
                          <w:rPr>
                            <w:sz w:val="14"/>
                            <w:szCs w:val="14"/>
                          </w:rPr>
                          <w:t xml:space="preserve">Figure </w:t>
                        </w:r>
                        <w:r w:rsidRPr="00314E78">
                          <w:rPr>
                            <w:sz w:val="14"/>
                            <w:szCs w:val="14"/>
                          </w:rPr>
                          <w:fldChar w:fldCharType="begin"/>
                        </w:r>
                        <w:r w:rsidRPr="00314E78">
                          <w:rPr>
                            <w:sz w:val="14"/>
                            <w:szCs w:val="14"/>
                          </w:rPr>
                          <w:instrText xml:space="preserve"> SEQ Figure \* ARABIC </w:instrText>
                        </w:r>
                        <w:r w:rsidRPr="00314E78">
                          <w:rPr>
                            <w:sz w:val="14"/>
                            <w:szCs w:val="14"/>
                          </w:rPr>
                          <w:fldChar w:fldCharType="separate"/>
                        </w:r>
                        <w:r w:rsidR="00426CF2">
                          <w:rPr>
                            <w:sz w:val="14"/>
                            <w:szCs w:val="14"/>
                          </w:rPr>
                          <w:t>2</w:t>
                        </w:r>
                        <w:r w:rsidRPr="00314E78">
                          <w:rPr>
                            <w:sz w:val="14"/>
                            <w:szCs w:val="14"/>
                          </w:rPr>
                          <w:fldChar w:fldCharType="end"/>
                        </w:r>
                        <w:r w:rsidRPr="00314E78">
                          <w:rPr>
                            <w:sz w:val="14"/>
                            <w:szCs w:val="14"/>
                          </w:rPr>
                          <w:t>: Process for Monitor and Response</w:t>
                        </w:r>
                      </w:p>
                    </wne:txbxContent>
                  </wp:txbx>
                  <wp:bodyPr rot="0" spcFirstLastPara="0" vertOverflow="overflow" horzOverflow="overflow" vert="horz" wrap="square" lIns="0" tIns="0" rIns="0" bIns="0" numCol="1" spcCol="0" rtlCol="0" fromWordArt="0" anchor="t" anchorCtr="0" forceAA="0" compatLnSpc="1">
                    <a:prstTxWarp prst="textNoShape">
                      <a:avLst/>
                    </a:prstTxWarp>
                    <a:noAutofit/>
                  </wp:bodyPr>
                </wp:wsp>
              </a:graphicData>
            </a:graphic>
            <wp14:sizeRelH relativeFrom="margin">
              <wp14:pctWidth>0%</wp14:pctWidth>
            </wp14:sizeRelH>
            <wp14:sizeRelV relativeFrom="margin">
              <wp14:pctHeight>0%</wp14:pctHeight>
            </wp14:sizeRelV>
          </wp:anchor>
        </w:drawing>
      </w:r>
    </w:p>
    <w:p w14:paraId="2FB3FCD5" w14:textId="5DCA87C9" w:rsidR="00D9264C" w:rsidRDefault="008A2088" w:rsidP="008A2088">
      <w:pPr>
        <w:pStyle w:val="Heading1"/>
      </w:pPr>
      <w:r>
        <w:t xml:space="preserve">Training and Awareness Program </w:t>
      </w:r>
    </w:p>
    <w:p w14:paraId="1D55EFFC" w14:textId="1A01FE20" w:rsidR="00DD7547" w:rsidRPr="00DD7547" w:rsidRDefault="00DD7547" w:rsidP="00DD7547">
      <w:pPr>
        <w:jc w:val="both"/>
      </w:pPr>
    </w:p>
    <w:p w14:paraId="27E7D86C" w14:textId="77777777" w:rsidR="00DD7547" w:rsidRDefault="008A2088" w:rsidP="008A2088">
      <w:pPr>
        <w:pStyle w:val="BodyText"/>
      </w:pPr>
      <w:r>
        <w:t xml:space="preserve">To maximise the chances of </w:t>
      </w:r>
      <w:r w:rsidR="00B54154">
        <w:t xml:space="preserve">employees successfully being able to report any concerns correctly and to understand the implications of ignoring potential threats, there will be a training program that all employees will need to take part in. At the beginning of the training, the payroll of any participants will be noted to guarantee all employees have been fully trained. </w:t>
      </w:r>
    </w:p>
    <w:p w14:paraId="6B614859" w14:textId="7C419A8A" w:rsidR="00DD7547" w:rsidRDefault="00DD7547" w:rsidP="00DD7547">
      <w:pPr>
        <w:pStyle w:val="Heading2"/>
      </w:pPr>
      <w:r>
        <w:t xml:space="preserve">During the Initial Training </w:t>
      </w:r>
    </w:p>
    <w:p w14:paraId="26F74202" w14:textId="2124BC32" w:rsidR="00D9264C" w:rsidRDefault="00B54154" w:rsidP="008A2088">
      <w:pPr>
        <w:pStyle w:val="BodyText"/>
      </w:pPr>
      <w:r>
        <w:t xml:space="preserve">A member of the IT Support team will be holding the training sessions </w:t>
      </w:r>
      <w:r w:rsidR="00DD7547">
        <w:t xml:space="preserve">over Teams </w:t>
      </w:r>
      <w:r>
        <w:t>and will be providing information on all the below topics:</w:t>
      </w:r>
    </w:p>
    <w:p w14:paraId="787B87AF" w14:textId="5C5D359D" w:rsidR="00B54154" w:rsidRDefault="00DD7547" w:rsidP="00B54154">
      <w:pPr>
        <w:pStyle w:val="BodyText"/>
        <w:numPr>
          <w:ilvl w:val="0"/>
          <w:numId w:val="25"/>
        </w:numPr>
      </w:pPr>
      <w:r>
        <w:lastRenderedPageBreak/>
        <w:t>Different types of threats (external and internal)</w:t>
      </w:r>
    </w:p>
    <w:p w14:paraId="3FD22195" w14:textId="5F0E5CEF" w:rsidR="00DD7547" w:rsidRDefault="00DD7547" w:rsidP="00B54154">
      <w:pPr>
        <w:pStyle w:val="BodyText"/>
        <w:numPr>
          <w:ilvl w:val="0"/>
          <w:numId w:val="25"/>
        </w:numPr>
      </w:pPr>
      <w:r>
        <w:t xml:space="preserve">Examples of potential threats </w:t>
      </w:r>
    </w:p>
    <w:p w14:paraId="7EBDFED8" w14:textId="0D5FFCBE" w:rsidR="00DD7547" w:rsidRDefault="00DD7547" w:rsidP="00B54154">
      <w:pPr>
        <w:pStyle w:val="BodyText"/>
        <w:numPr>
          <w:ilvl w:val="0"/>
          <w:numId w:val="25"/>
        </w:numPr>
      </w:pPr>
      <w:r>
        <w:t>How to recognise a potential concern</w:t>
      </w:r>
    </w:p>
    <w:p w14:paraId="709EC9AF" w14:textId="7BE1A0DC" w:rsidR="00DD7547" w:rsidRDefault="00DD7547" w:rsidP="00B54154">
      <w:pPr>
        <w:pStyle w:val="BodyText"/>
        <w:numPr>
          <w:ilvl w:val="0"/>
          <w:numId w:val="25"/>
        </w:numPr>
      </w:pPr>
      <w:r>
        <w:t xml:space="preserve">Methods of reporting concerns </w:t>
      </w:r>
    </w:p>
    <w:p w14:paraId="16507D47" w14:textId="12B2D963" w:rsidR="00DD7547" w:rsidRDefault="00DD7547" w:rsidP="00DD7547">
      <w:pPr>
        <w:pStyle w:val="BodyText"/>
        <w:numPr>
          <w:ilvl w:val="0"/>
          <w:numId w:val="25"/>
        </w:numPr>
      </w:pPr>
      <w:r>
        <w:t>The testing process (simulations of potential concerns will be sent to all colleagues. If more than one is not flagged, a repeat training program will be provided)</w:t>
      </w:r>
    </w:p>
    <w:p w14:paraId="1ADDBE79" w14:textId="47E5DC67" w:rsidR="00DD7547" w:rsidRDefault="00DD7547" w:rsidP="00DD7547">
      <w:pPr>
        <w:pStyle w:val="Heading2"/>
      </w:pPr>
      <w:r>
        <w:t>Following the Training Call</w:t>
      </w:r>
    </w:p>
    <w:p w14:paraId="4E214F06" w14:textId="40DE8E18" w:rsidR="00FE0B80" w:rsidRDefault="00EB6B24" w:rsidP="00DD7547">
      <w:pPr>
        <w:ind w:start="14.40pt"/>
        <w:jc w:val="both"/>
      </w:pPr>
      <w:r>
        <w:t xml:space="preserve">Employees will be encouraged to ask as </w:t>
      </w:r>
      <w:proofErr w:type="gramStart"/>
      <w:r>
        <w:t>many</w:t>
      </w:r>
      <w:proofErr w:type="gramEnd"/>
      <w:r>
        <w:t xml:space="preserve"> follow-up questions as are needed to strengthen their knowledge</w:t>
      </w:r>
      <w:r w:rsidR="00DD7547">
        <w:t xml:space="preserve">. They are more than welcome to contact the IT Support Team to get answers to any queries. All colleagues will also receive a copy of the presentation so they can </w:t>
      </w:r>
      <w:r w:rsidR="00426CF2">
        <w:t>refer</w:t>
      </w:r>
      <w:r w:rsidR="00DD7547">
        <w:t xml:space="preserve"> to that if they need a refresher.</w:t>
      </w:r>
    </w:p>
    <w:p w14:paraId="5B708831" w14:textId="77777777" w:rsidR="00FE0B80" w:rsidRDefault="00FE0B80" w:rsidP="00DD7547">
      <w:pPr>
        <w:ind w:start="14.40pt"/>
        <w:jc w:val="both"/>
      </w:pPr>
    </w:p>
    <w:p w14:paraId="0725AB07" w14:textId="5D40166C" w:rsidR="00FE0B80" w:rsidRDefault="00FE0B80" w:rsidP="00FE0B80">
      <w:pPr>
        <w:pStyle w:val="Heading1"/>
      </w:pPr>
      <w:r>
        <w:t>Conclusion</w:t>
      </w:r>
    </w:p>
    <w:p w14:paraId="354D77E7" w14:textId="2A960314" w:rsidR="00FE0B80" w:rsidRPr="00FE0B80" w:rsidRDefault="00FE0B80" w:rsidP="00FE0B80">
      <w:pPr>
        <w:ind w:firstLine="36pt"/>
        <w:jc w:val="both"/>
      </w:pPr>
      <w:r>
        <w:t xml:space="preserve">In summary, if the policies and training program are </w:t>
      </w:r>
      <w:proofErr w:type="gramStart"/>
      <w:r>
        <w:t>carried out</w:t>
      </w:r>
      <w:proofErr w:type="gramEnd"/>
      <w:r>
        <w:t xml:space="preserve">, the knowledge of staff and resilience to potential attacks will be increased </w:t>
      </w:r>
      <w:r w:rsidR="00B813A8">
        <w:t>and</w:t>
      </w:r>
      <w:r>
        <w:t xml:space="preserve"> improve overall security. The key threats that this organization may face have been </w:t>
      </w:r>
      <w:proofErr w:type="gramStart"/>
      <w:r>
        <w:t>identified</w:t>
      </w:r>
      <w:proofErr w:type="gramEnd"/>
      <w:r w:rsidR="002777B6">
        <w:t xml:space="preserve">, the process of </w:t>
      </w:r>
      <w:proofErr w:type="gramStart"/>
      <w:r w:rsidR="002777B6">
        <w:t>monitor</w:t>
      </w:r>
      <w:proofErr w:type="gramEnd"/>
      <w:r w:rsidR="002777B6">
        <w:t xml:space="preserve"> and response has been discussed, mitigation processes have been </w:t>
      </w:r>
      <w:proofErr w:type="spellStart"/>
      <w:r w:rsidR="002777B6">
        <w:t>disclosed</w:t>
      </w:r>
      <w:r w:rsidR="005A360F">
        <w:t>F</w:t>
      </w:r>
      <w:proofErr w:type="spellEnd"/>
      <w:r w:rsidR="002777B6">
        <w:t xml:space="preserve">, and an outline of the training program has been provided. It is important that the importance of cybersecurity is understood by all employees. Awareness of how vital it is to protect sensitive information is crucial to the decrease of attacks and improvement of the FinSecure LTD reputation. </w:t>
      </w:r>
    </w:p>
    <w:p w14:paraId="5AD64F3A" w14:textId="5861E30F" w:rsidR="00CF4C4D" w:rsidRPr="00DD7547" w:rsidRDefault="00CF4C4D" w:rsidP="003C6BF7">
      <w:pPr>
        <w:jc w:val="both"/>
      </w:pPr>
    </w:p>
    <w:p w14:paraId="25B57822" w14:textId="77777777" w:rsidR="00EB6B24" w:rsidRDefault="00EB6B24" w:rsidP="00EB6B24">
      <w:pPr>
        <w:pStyle w:val="Heading1"/>
        <w:numPr>
          <w:ilvl w:val="0"/>
          <w:numId w:val="0"/>
        </w:numPr>
        <w:jc w:val="both"/>
      </w:pPr>
    </w:p>
    <w:p w14:paraId="7C4C62BC" w14:textId="77341FD0" w:rsidR="00B54154" w:rsidRDefault="00B54154" w:rsidP="00B54154">
      <w:pPr>
        <w:pStyle w:val="Heading1"/>
      </w:pPr>
      <w:r>
        <w:t>References</w:t>
      </w:r>
    </w:p>
    <w:p w14:paraId="3BDFBF44" w14:textId="11B97710" w:rsidR="00CF4C4D" w:rsidRDefault="002777B6" w:rsidP="00CF4C4D">
      <w:pPr>
        <w:pStyle w:val="BodyText"/>
        <w:ind w:start="14.40pt" w:firstLine="0pt"/>
        <w:jc w:val="start"/>
      </w:pPr>
      <w:r w:rsidRPr="005B520E">
        <w:t>[1]</w:t>
      </w:r>
      <w:r>
        <w:t xml:space="preserve"> </w:t>
      </w:r>
      <w:r w:rsidR="00CF4C4D" w:rsidRPr="00CF4C4D">
        <w:t>D. Ghelani, “Cyber Security, Cyber Threats, Implications and Future Perspectives: A Review,” *Am. J. Sci. Eng. Technol.*, vol. 3, no. 6, pp. 12–19, 2022.</w:t>
      </w:r>
    </w:p>
    <w:p w14:paraId="13CEC3A2" w14:textId="3E6F141E" w:rsidR="00CF4C4D" w:rsidRDefault="00CF4C4D" w:rsidP="00CF4C4D">
      <w:pPr>
        <w:pStyle w:val="BodyText"/>
        <w:ind w:start="14.40pt" w:firstLine="0pt"/>
        <w:jc w:val="start"/>
        <w:rPr>
          <w:lang w:val="en-US"/>
        </w:rPr>
      </w:pPr>
      <w:r w:rsidRPr="005B520E">
        <w:t>[</w:t>
      </w:r>
      <w:r>
        <w:t>2</w:t>
      </w:r>
      <w:r w:rsidRPr="005B520E">
        <w:t>]</w:t>
      </w:r>
      <w:r>
        <w:t xml:space="preserve"> </w:t>
      </w:r>
      <w:r w:rsidRPr="00CF4C4D">
        <w:rPr>
          <w:lang w:val="en-US"/>
        </w:rPr>
        <w:t>“Defining insider threats | CISA,” </w:t>
      </w:r>
      <w:r w:rsidRPr="00CF4C4D">
        <w:rPr>
          <w:i/>
          <w:iCs/>
          <w:lang w:val="en-US"/>
        </w:rPr>
        <w:t>Cybersecurity and Infrastructure</w:t>
      </w:r>
      <w:r>
        <w:rPr>
          <w:i/>
          <w:iCs/>
          <w:lang w:val="en-US"/>
        </w:rPr>
        <w:t xml:space="preserve"> </w:t>
      </w:r>
      <w:r w:rsidRPr="00CF4C4D">
        <w:rPr>
          <w:i/>
          <w:iCs/>
          <w:lang w:val="en-US"/>
        </w:rPr>
        <w:t>Security Agency CISA</w:t>
      </w:r>
      <w:r w:rsidRPr="00CF4C4D">
        <w:rPr>
          <w:lang w:val="en-US"/>
        </w:rPr>
        <w:t>. </w:t>
      </w:r>
      <w:hyperlink r:id="rId11" w:history="1">
        <w:r w:rsidRPr="00003CBD">
          <w:rPr>
            <w:rStyle w:val="Hyperlink"/>
            <w:lang w:val="en-US"/>
          </w:rPr>
          <w:t>https://www.cisa.gov/topics/physical-security/insider-threat-mitigation/defining-insider-threats</w:t>
        </w:r>
      </w:hyperlink>
    </w:p>
    <w:p w14:paraId="1298C3F8" w14:textId="46639758" w:rsidR="00CF4C4D" w:rsidRPr="005B520E" w:rsidRDefault="00CF4C4D" w:rsidP="00CF4C4D">
      <w:pPr>
        <w:pStyle w:val="BodyText"/>
        <w:ind w:start="14.40pt" w:firstLine="0pt"/>
        <w:jc w:val="start"/>
      </w:pPr>
      <w:r>
        <w:rPr>
          <w:lang w:val="en-US"/>
        </w:rPr>
        <w:t xml:space="preserve">[3] </w:t>
      </w:r>
      <w:r w:rsidRPr="00CF4C4D">
        <w:rPr>
          <w:lang w:val="en-US"/>
        </w:rPr>
        <w:t>P. Sharma, B. Dash, and M. F. Ansari, “Anti-Phishing Techniques – A review of cyber defense mechanisms,” Jul. 31,</w:t>
      </w:r>
      <w:r>
        <w:rPr>
          <w:lang w:val="en-US"/>
        </w:rPr>
        <w:t xml:space="preserve"> </w:t>
      </w:r>
      <w:r w:rsidRPr="00CF4C4D">
        <w:rPr>
          <w:lang w:val="en-US"/>
        </w:rPr>
        <w:t>2022. https://papers.ssrn.com/sol3/papers.cfm?abstract_id=4335354</w:t>
      </w:r>
    </w:p>
    <w:p w14:paraId="13580B12" w14:textId="3032ED7E" w:rsidR="00CF4C4D" w:rsidRDefault="00CF4C4D" w:rsidP="00CF4C4D">
      <w:pPr>
        <w:pStyle w:val="references"/>
        <w:numPr>
          <w:ilvl w:val="0"/>
          <w:numId w:val="0"/>
        </w:numPr>
        <w:ind w:start="18pt" w:hanging="3.60pt"/>
        <w:jc w:val="start"/>
        <w:rPr>
          <w:sz w:val="20"/>
          <w:szCs w:val="20"/>
        </w:rPr>
      </w:pPr>
      <w:r w:rsidRPr="00CF4C4D">
        <w:rPr>
          <w:sz w:val="20"/>
          <w:szCs w:val="20"/>
        </w:rPr>
        <w:t>[4] “A review of Tactics, Techniques, and Procedures (TTPs) of MITRE Framework for Business Email Compromise (BEC) Attacks,” </w:t>
      </w:r>
      <w:r w:rsidRPr="00CF4C4D">
        <w:rPr>
          <w:i/>
          <w:iCs/>
          <w:sz w:val="20"/>
          <w:szCs w:val="20"/>
        </w:rPr>
        <w:t>IEEE Journals &amp; Magazine | IEEE Xplore</w:t>
      </w:r>
      <w:r w:rsidRPr="00CF4C4D">
        <w:rPr>
          <w:sz w:val="20"/>
          <w:szCs w:val="20"/>
        </w:rPr>
        <w:t>, 2025. </w:t>
      </w:r>
      <w:hyperlink r:id="rId12" w:history="1">
        <w:r w:rsidRPr="00003CBD">
          <w:rPr>
            <w:rStyle w:val="Hyperlink"/>
            <w:sz w:val="20"/>
            <w:szCs w:val="20"/>
          </w:rPr>
          <w:t>https://ieeexplore.ieee.org/abstract/document/10930853</w:t>
        </w:r>
      </w:hyperlink>
    </w:p>
    <w:p w14:paraId="535934B4" w14:textId="77777777" w:rsidR="00CF4C4D" w:rsidRDefault="00CF4C4D" w:rsidP="00CF4C4D">
      <w:pPr>
        <w:pStyle w:val="references"/>
        <w:numPr>
          <w:ilvl w:val="0"/>
          <w:numId w:val="0"/>
        </w:numPr>
        <w:ind w:start="17.70pt"/>
        <w:jc w:val="start"/>
        <w:rPr>
          <w:sz w:val="20"/>
          <w:szCs w:val="20"/>
        </w:rPr>
      </w:pPr>
    </w:p>
    <w:p w14:paraId="50C4B98B" w14:textId="2D5DE497" w:rsidR="00CF4C4D" w:rsidRDefault="00CF4C4D" w:rsidP="00CF4C4D">
      <w:pPr>
        <w:pStyle w:val="references"/>
        <w:numPr>
          <w:ilvl w:val="0"/>
          <w:numId w:val="0"/>
        </w:numPr>
        <w:ind w:start="18pt" w:hanging="3.60pt"/>
        <w:jc w:val="start"/>
      </w:pPr>
      <w:r>
        <w:rPr>
          <w:sz w:val="20"/>
          <w:szCs w:val="20"/>
        </w:rPr>
        <w:t xml:space="preserve">[5] </w:t>
      </w:r>
      <w:r w:rsidRPr="00CF4C4D">
        <w:rPr>
          <w:sz w:val="20"/>
          <w:szCs w:val="20"/>
        </w:rPr>
        <w:t>Admin, “The Ultimate Guide to ISO 27001,” </w:t>
      </w:r>
      <w:r w:rsidRPr="00CF4C4D">
        <w:rPr>
          <w:i/>
          <w:iCs/>
          <w:sz w:val="20"/>
          <w:szCs w:val="20"/>
        </w:rPr>
        <w:t>ISMS.online</w:t>
      </w:r>
      <w:r w:rsidRPr="00CF4C4D">
        <w:rPr>
          <w:sz w:val="20"/>
          <w:szCs w:val="20"/>
        </w:rPr>
        <w:t>, Dec. 19, 2024. </w:t>
      </w:r>
      <w:hyperlink r:id="rId13" w:history="1">
        <w:r w:rsidRPr="00003CBD">
          <w:rPr>
            <w:rStyle w:val="Hyperlink"/>
            <w:sz w:val="20"/>
            <w:szCs w:val="20"/>
          </w:rPr>
          <w:t>https://www.isms.online/iso-27001/</w:t>
        </w:r>
      </w:hyperlink>
    </w:p>
    <w:p w14:paraId="3EE00188" w14:textId="77777777" w:rsidR="00970713" w:rsidRDefault="00970713" w:rsidP="00CF4C4D">
      <w:pPr>
        <w:pStyle w:val="references"/>
        <w:numPr>
          <w:ilvl w:val="0"/>
          <w:numId w:val="0"/>
        </w:numPr>
        <w:ind w:start="18pt" w:hanging="3.60pt"/>
        <w:jc w:val="start"/>
      </w:pPr>
    </w:p>
    <w:p w14:paraId="648B0368" w14:textId="1CE93E97" w:rsidR="00970713" w:rsidRDefault="00970713" w:rsidP="00CF4C4D">
      <w:pPr>
        <w:pStyle w:val="references"/>
        <w:numPr>
          <w:ilvl w:val="0"/>
          <w:numId w:val="0"/>
        </w:numPr>
        <w:ind w:start="18pt" w:hanging="3.60pt"/>
        <w:jc w:val="start"/>
        <w:rPr>
          <w:sz w:val="20"/>
          <w:szCs w:val="20"/>
        </w:rPr>
      </w:pPr>
      <w:r>
        <w:rPr>
          <w:sz w:val="20"/>
          <w:szCs w:val="20"/>
        </w:rPr>
        <w:t xml:space="preserve">[6] </w:t>
      </w:r>
      <w:r w:rsidRPr="00970713">
        <w:rPr>
          <w:sz w:val="20"/>
          <w:szCs w:val="20"/>
        </w:rPr>
        <w:t>H. Naseer, K. Desouza, S. B. Maynard, and A. Ahmad, “Enabling cybersecurity incident response agility through dynamic capabilities: the role of real-time analytics,” </w:t>
      </w:r>
      <w:r w:rsidRPr="00970713">
        <w:rPr>
          <w:i/>
          <w:iCs/>
          <w:sz w:val="20"/>
          <w:szCs w:val="20"/>
        </w:rPr>
        <w:t>Eur. J. Inf. Syst.</w:t>
      </w:r>
      <w:r w:rsidRPr="00970713">
        <w:rPr>
          <w:sz w:val="20"/>
          <w:szCs w:val="20"/>
        </w:rPr>
        <w:t>, vol. 33, no. 2, pp. 200–220, 2024.</w:t>
      </w:r>
    </w:p>
    <w:p w14:paraId="078F666D" w14:textId="77777777" w:rsidR="00EB6B24" w:rsidRDefault="00EB6B24" w:rsidP="00CF4C4D">
      <w:pPr>
        <w:pStyle w:val="references"/>
        <w:numPr>
          <w:ilvl w:val="0"/>
          <w:numId w:val="0"/>
        </w:numPr>
        <w:ind w:start="18pt" w:hanging="3.60pt"/>
        <w:jc w:val="start"/>
        <w:rPr>
          <w:sz w:val="20"/>
          <w:szCs w:val="20"/>
        </w:rPr>
      </w:pPr>
    </w:p>
    <w:p w14:paraId="2A2D98B7" w14:textId="5729D0C5" w:rsidR="00EB6B24" w:rsidRDefault="00EB6B24" w:rsidP="00CF4C4D">
      <w:pPr>
        <w:pStyle w:val="references"/>
        <w:numPr>
          <w:ilvl w:val="0"/>
          <w:numId w:val="0"/>
        </w:numPr>
        <w:ind w:start="18pt" w:hanging="3.60pt"/>
        <w:jc w:val="start"/>
        <w:rPr>
          <w:sz w:val="20"/>
          <w:szCs w:val="20"/>
        </w:rPr>
      </w:pPr>
      <w:r>
        <w:rPr>
          <w:sz w:val="20"/>
          <w:szCs w:val="20"/>
        </w:rPr>
        <w:t xml:space="preserve">[7] </w:t>
      </w:r>
      <w:r w:rsidRPr="00EB6B24">
        <w:rPr>
          <w:sz w:val="20"/>
          <w:szCs w:val="20"/>
        </w:rPr>
        <w:t>A. Atadoga, O. A. Farayola, B. S. Ayinla, O. O. Amoo, T. O. Abrahams, and F. Osasona, “A comparative review of data encryption methods in the USA and Europe,” </w:t>
      </w:r>
      <w:r w:rsidRPr="00EB6B24">
        <w:rPr>
          <w:i/>
          <w:iCs/>
          <w:sz w:val="20"/>
          <w:szCs w:val="20"/>
        </w:rPr>
        <w:t>Comput. sci. IT res. j.</w:t>
      </w:r>
      <w:r w:rsidRPr="00EB6B24">
        <w:rPr>
          <w:sz w:val="20"/>
          <w:szCs w:val="20"/>
        </w:rPr>
        <w:t>, vol. 5, no. 2, pp. 447–460, 2024.</w:t>
      </w:r>
    </w:p>
    <w:p w14:paraId="0B609A43" w14:textId="77777777" w:rsidR="00970713" w:rsidRPr="00970713" w:rsidRDefault="00970713" w:rsidP="00CF4C4D">
      <w:pPr>
        <w:pStyle w:val="references"/>
        <w:numPr>
          <w:ilvl w:val="0"/>
          <w:numId w:val="0"/>
        </w:numPr>
        <w:ind w:start="18pt" w:hanging="3.60pt"/>
        <w:jc w:val="start"/>
        <w:rPr>
          <w:sz w:val="20"/>
          <w:szCs w:val="20"/>
        </w:rPr>
      </w:pPr>
    </w:p>
    <w:p w14:paraId="42F75E24" w14:textId="77777777" w:rsidR="00CF4C4D" w:rsidRPr="00CF4C4D" w:rsidRDefault="00CF4C4D" w:rsidP="00CF4C4D">
      <w:pPr>
        <w:pStyle w:val="references"/>
        <w:numPr>
          <w:ilvl w:val="0"/>
          <w:numId w:val="0"/>
        </w:numPr>
        <w:ind w:start="18pt" w:hanging="3.60pt"/>
        <w:jc w:val="start"/>
        <w:rPr>
          <w:sz w:val="20"/>
          <w:szCs w:val="20"/>
        </w:rPr>
      </w:pPr>
    </w:p>
    <w:p w14:paraId="7B5DB615" w14:textId="77777777" w:rsidR="00D9264C" w:rsidRPr="00F96569" w:rsidRDefault="00D9264C" w:rsidP="003C6BF7">
      <w:pPr>
        <w:pStyle w:val="references"/>
        <w:numPr>
          <w:ilvl w:val="0"/>
          <w:numId w:val="0"/>
        </w:numPr>
        <w:spacing w:line="12pt" w:lineRule="auto"/>
        <w:rPr>
          <w:rFonts w:eastAsia="SimSun"/>
          <w:b/>
          <w:noProof w:val="0"/>
          <w:color w:val="FF0000"/>
          <w:spacing w:val="-1"/>
          <w:sz w:val="20"/>
          <w:szCs w:val="20"/>
          <w:lang w:val="x-none" w:eastAsia="x-none"/>
        </w:rPr>
        <w:sectPr w:rsidR="00D9264C" w:rsidRPr="00F96569" w:rsidSect="00D9264C">
          <w:type w:val="continuous"/>
          <w:pgSz w:w="595.30pt" w:h="841.90pt" w:code="9"/>
          <w:pgMar w:top="54pt" w:right="45.35pt" w:bottom="72pt" w:left="45.35pt" w:header="36pt" w:footer="36pt" w:gutter="0pt"/>
          <w:cols w:num="2" w:space="18pt"/>
          <w:docGrid w:linePitch="360"/>
        </w:sectPr>
      </w:pPr>
    </w:p>
    <w:p w14:paraId="2CBC4D6A" w14:textId="5C59456E" w:rsidR="00836367" w:rsidRPr="00F96569" w:rsidRDefault="00836367" w:rsidP="00D9264C">
      <w:pPr>
        <w:pStyle w:val="papertitle"/>
        <w:spacing w:before="5pt" w:beforeAutospacing="1" w:after="5pt" w:afterAutospacing="1"/>
        <w:jc w:val="both"/>
        <w:rPr>
          <w:rFonts w:eastAsia="SimSun"/>
          <w:b/>
          <w:noProof w:val="0"/>
          <w:color w:val="FF0000"/>
          <w:spacing w:val="-1"/>
          <w:sz w:val="20"/>
          <w:szCs w:val="20"/>
          <w:lang w:val="x-none" w:eastAsia="x-none"/>
        </w:rPr>
        <w:sectPr w:rsidR="00836367" w:rsidRPr="00F96569" w:rsidSect="003B4E04">
          <w:footerReference w:type="first" r:id="rId14"/>
          <w:type w:val="continuous"/>
          <w:pgSz w:w="595.30pt" w:h="841.90pt" w:code="9"/>
          <w:pgMar w:top="54pt" w:right="45.35pt" w:bottom="72pt" w:left="45.35pt" w:header="36pt" w:footer="36pt" w:gutter="0pt"/>
          <w:cols w:num="2" w:space="18pt"/>
          <w:docGrid w:linePitch="360"/>
        </w:sectPr>
      </w:pPr>
    </w:p>
    <w:p w14:paraId="4EF2B8B8" w14:textId="216123EF" w:rsidR="009303D9" w:rsidRDefault="009303D9" w:rsidP="00CF4C4D">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7E9884C0" w14:textId="77777777" w:rsidR="00E70A5D" w:rsidRDefault="00E70A5D" w:rsidP="001A3B3D">
      <w:r>
        <w:separator/>
      </w:r>
    </w:p>
  </w:endnote>
  <w:endnote w:type="continuationSeparator" w:id="0">
    <w:p w14:paraId="274B5D57" w14:textId="77777777" w:rsidR="00E70A5D" w:rsidRDefault="00E70A5D"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2BB67156" w14:textId="77777777" w:rsidR="00D9264C" w:rsidRPr="006F6D3D" w:rsidRDefault="00D9264C" w:rsidP="0056610F">
    <w:pPr>
      <w:pStyle w:val="Footer"/>
      <w:jc w:val="start"/>
      <w:rPr>
        <w:sz w:val="16"/>
        <w:szCs w:val="16"/>
      </w:rP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3A192D39" w14:textId="77777777" w:rsidR="00E70A5D" w:rsidRDefault="00E70A5D" w:rsidP="001A3B3D">
      <w:r>
        <w:separator/>
      </w:r>
    </w:p>
  </w:footnote>
  <w:footnote w:type="continuationSeparator" w:id="0">
    <w:p w14:paraId="6360D0B0" w14:textId="77777777" w:rsidR="00E70A5D" w:rsidRDefault="00E70A5D"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AA941BC"/>
    <w:multiLevelType w:val="hybridMultilevel"/>
    <w:tmpl w:val="8B1A065A"/>
    <w:lvl w:ilvl="0" w:tplc="CF64D8CC">
      <w:numFmt w:val="bullet"/>
      <w:lvlText w:val="-"/>
      <w:lvlJc w:val="start"/>
      <w:pPr>
        <w:ind w:start="32.40pt" w:hanging="18pt"/>
      </w:pPr>
      <w:rPr>
        <w:rFonts w:ascii="Times New Roman" w:eastAsia="SimSun" w:hAnsi="Times New Roman" w:cs="Times New Roman" w:hint="default"/>
      </w:rPr>
    </w:lvl>
    <w:lvl w:ilvl="1" w:tplc="08090003" w:tentative="1">
      <w:start w:val="1"/>
      <w:numFmt w:val="bullet"/>
      <w:lvlText w:val="o"/>
      <w:lvlJc w:val="start"/>
      <w:pPr>
        <w:ind w:start="68.40pt" w:hanging="18pt"/>
      </w:pPr>
      <w:rPr>
        <w:rFonts w:ascii="Courier New" w:hAnsi="Courier New" w:cs="Courier New" w:hint="default"/>
      </w:rPr>
    </w:lvl>
    <w:lvl w:ilvl="2" w:tplc="08090005" w:tentative="1">
      <w:start w:val="1"/>
      <w:numFmt w:val="bullet"/>
      <w:lvlText w:val=""/>
      <w:lvlJc w:val="start"/>
      <w:pPr>
        <w:ind w:start="104.40pt" w:hanging="18pt"/>
      </w:pPr>
      <w:rPr>
        <w:rFonts w:ascii="Wingdings" w:hAnsi="Wingdings" w:hint="default"/>
      </w:rPr>
    </w:lvl>
    <w:lvl w:ilvl="3" w:tplc="08090001" w:tentative="1">
      <w:start w:val="1"/>
      <w:numFmt w:val="bullet"/>
      <w:lvlText w:val=""/>
      <w:lvlJc w:val="start"/>
      <w:pPr>
        <w:ind w:start="140.40pt" w:hanging="18pt"/>
      </w:pPr>
      <w:rPr>
        <w:rFonts w:ascii="Symbol" w:hAnsi="Symbol" w:hint="default"/>
      </w:rPr>
    </w:lvl>
    <w:lvl w:ilvl="4" w:tplc="08090003" w:tentative="1">
      <w:start w:val="1"/>
      <w:numFmt w:val="bullet"/>
      <w:lvlText w:val="o"/>
      <w:lvlJc w:val="start"/>
      <w:pPr>
        <w:ind w:start="176.40pt" w:hanging="18pt"/>
      </w:pPr>
      <w:rPr>
        <w:rFonts w:ascii="Courier New" w:hAnsi="Courier New" w:cs="Courier New" w:hint="default"/>
      </w:rPr>
    </w:lvl>
    <w:lvl w:ilvl="5" w:tplc="08090005" w:tentative="1">
      <w:start w:val="1"/>
      <w:numFmt w:val="bullet"/>
      <w:lvlText w:val=""/>
      <w:lvlJc w:val="start"/>
      <w:pPr>
        <w:ind w:start="212.40pt" w:hanging="18pt"/>
      </w:pPr>
      <w:rPr>
        <w:rFonts w:ascii="Wingdings" w:hAnsi="Wingdings" w:hint="default"/>
      </w:rPr>
    </w:lvl>
    <w:lvl w:ilvl="6" w:tplc="08090001" w:tentative="1">
      <w:start w:val="1"/>
      <w:numFmt w:val="bullet"/>
      <w:lvlText w:val=""/>
      <w:lvlJc w:val="start"/>
      <w:pPr>
        <w:ind w:start="248.40pt" w:hanging="18pt"/>
      </w:pPr>
      <w:rPr>
        <w:rFonts w:ascii="Symbol" w:hAnsi="Symbol" w:hint="default"/>
      </w:rPr>
    </w:lvl>
    <w:lvl w:ilvl="7" w:tplc="08090003" w:tentative="1">
      <w:start w:val="1"/>
      <w:numFmt w:val="bullet"/>
      <w:lvlText w:val="o"/>
      <w:lvlJc w:val="start"/>
      <w:pPr>
        <w:ind w:start="284.40pt" w:hanging="18pt"/>
      </w:pPr>
      <w:rPr>
        <w:rFonts w:ascii="Courier New" w:hAnsi="Courier New" w:cs="Courier New" w:hint="default"/>
      </w:rPr>
    </w:lvl>
    <w:lvl w:ilvl="8" w:tplc="08090005" w:tentative="1">
      <w:start w:val="1"/>
      <w:numFmt w:val="bullet"/>
      <w:lvlText w:val=""/>
      <w:lvlJc w:val="start"/>
      <w:pPr>
        <w:ind w:start="320.40pt" w:hanging="18pt"/>
      </w:pPr>
      <w:rPr>
        <w:rFonts w:ascii="Wingdings" w:hAnsi="Wingdings" w:hint="default"/>
      </w:rPr>
    </w:lvl>
  </w:abstractNum>
  <w:abstractNum w:abstractNumId="15" w15:restartNumberingAfterBreak="0">
    <w:nsid w:val="321057B8"/>
    <w:multiLevelType w:val="hybridMultilevel"/>
    <w:tmpl w:val="16925BC0"/>
    <w:lvl w:ilvl="0" w:tplc="08090019">
      <w:start w:val="1"/>
      <w:numFmt w:val="lowerLetter"/>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6"/>
  </w:num>
  <w:num w:numId="2" w16cid:durableId="568543031">
    <w:abstractNumId w:val="21"/>
  </w:num>
  <w:num w:numId="3" w16cid:durableId="1207790780">
    <w:abstractNumId w:val="13"/>
  </w:num>
  <w:num w:numId="4" w16cid:durableId="629168631">
    <w:abstractNumId w:val="18"/>
  </w:num>
  <w:num w:numId="5" w16cid:durableId="1032806882">
    <w:abstractNumId w:val="18"/>
  </w:num>
  <w:num w:numId="6" w16cid:durableId="1614826021">
    <w:abstractNumId w:val="18"/>
  </w:num>
  <w:num w:numId="7" w16cid:durableId="1871990542">
    <w:abstractNumId w:val="18"/>
  </w:num>
  <w:num w:numId="8" w16cid:durableId="2088458160">
    <w:abstractNumId w:val="20"/>
  </w:num>
  <w:num w:numId="9" w16cid:durableId="231694775">
    <w:abstractNumId w:val="22"/>
  </w:num>
  <w:num w:numId="10" w16cid:durableId="2126189682">
    <w:abstractNumId w:val="17"/>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9"/>
  </w:num>
  <w:num w:numId="25" w16cid:durableId="902645209">
    <w:abstractNumId w:val="14"/>
  </w:num>
  <w:num w:numId="26" w16cid:durableId="816800050">
    <w:abstractNumId w:val="15"/>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758A"/>
    <w:rsid w:val="000C1E68"/>
    <w:rsid w:val="000F2014"/>
    <w:rsid w:val="00123945"/>
    <w:rsid w:val="00165DDE"/>
    <w:rsid w:val="00167285"/>
    <w:rsid w:val="001A2EFD"/>
    <w:rsid w:val="001A3B3D"/>
    <w:rsid w:val="001B67DC"/>
    <w:rsid w:val="002254A9"/>
    <w:rsid w:val="00233D97"/>
    <w:rsid w:val="002347A2"/>
    <w:rsid w:val="002777B6"/>
    <w:rsid w:val="002850E3"/>
    <w:rsid w:val="00292A36"/>
    <w:rsid w:val="002F18AF"/>
    <w:rsid w:val="00314E78"/>
    <w:rsid w:val="00343C70"/>
    <w:rsid w:val="00354FCF"/>
    <w:rsid w:val="003A19E2"/>
    <w:rsid w:val="003B2B40"/>
    <w:rsid w:val="003B4E04"/>
    <w:rsid w:val="003C6BF7"/>
    <w:rsid w:val="003F5A08"/>
    <w:rsid w:val="00420716"/>
    <w:rsid w:val="00426CF2"/>
    <w:rsid w:val="004325FB"/>
    <w:rsid w:val="00437A37"/>
    <w:rsid w:val="004432BA"/>
    <w:rsid w:val="0044407E"/>
    <w:rsid w:val="00447BB9"/>
    <w:rsid w:val="0046031D"/>
    <w:rsid w:val="00473AC9"/>
    <w:rsid w:val="00494C78"/>
    <w:rsid w:val="004D72B5"/>
    <w:rsid w:val="0054439F"/>
    <w:rsid w:val="00551B7F"/>
    <w:rsid w:val="00552C59"/>
    <w:rsid w:val="0056610F"/>
    <w:rsid w:val="00575BCA"/>
    <w:rsid w:val="005A360F"/>
    <w:rsid w:val="005B0344"/>
    <w:rsid w:val="005B520E"/>
    <w:rsid w:val="005E2800"/>
    <w:rsid w:val="00605825"/>
    <w:rsid w:val="00645D22"/>
    <w:rsid w:val="00651A08"/>
    <w:rsid w:val="00654204"/>
    <w:rsid w:val="00670434"/>
    <w:rsid w:val="006A5D82"/>
    <w:rsid w:val="006B6B66"/>
    <w:rsid w:val="006F6D3D"/>
    <w:rsid w:val="00715BEA"/>
    <w:rsid w:val="00740EEA"/>
    <w:rsid w:val="00794804"/>
    <w:rsid w:val="00796593"/>
    <w:rsid w:val="007B33F1"/>
    <w:rsid w:val="007B6DDA"/>
    <w:rsid w:val="007C0308"/>
    <w:rsid w:val="007C2FF2"/>
    <w:rsid w:val="007D6232"/>
    <w:rsid w:val="007F1F99"/>
    <w:rsid w:val="007F768F"/>
    <w:rsid w:val="0080791D"/>
    <w:rsid w:val="008147B5"/>
    <w:rsid w:val="00836367"/>
    <w:rsid w:val="00873603"/>
    <w:rsid w:val="008A2088"/>
    <w:rsid w:val="008A2C7D"/>
    <w:rsid w:val="008B6524"/>
    <w:rsid w:val="008C4B23"/>
    <w:rsid w:val="008F6E2C"/>
    <w:rsid w:val="009303D9"/>
    <w:rsid w:val="00933C64"/>
    <w:rsid w:val="00970713"/>
    <w:rsid w:val="00972203"/>
    <w:rsid w:val="009765A8"/>
    <w:rsid w:val="009F1D79"/>
    <w:rsid w:val="00A059B3"/>
    <w:rsid w:val="00A25AD1"/>
    <w:rsid w:val="00AD4A10"/>
    <w:rsid w:val="00AE3409"/>
    <w:rsid w:val="00B11A60"/>
    <w:rsid w:val="00B22613"/>
    <w:rsid w:val="00B44A76"/>
    <w:rsid w:val="00B54154"/>
    <w:rsid w:val="00B62B11"/>
    <w:rsid w:val="00B64CFC"/>
    <w:rsid w:val="00B768D1"/>
    <w:rsid w:val="00B813A8"/>
    <w:rsid w:val="00BA1025"/>
    <w:rsid w:val="00BC3420"/>
    <w:rsid w:val="00BD670B"/>
    <w:rsid w:val="00BE7D3C"/>
    <w:rsid w:val="00BF2ECD"/>
    <w:rsid w:val="00BF5FF6"/>
    <w:rsid w:val="00C0207F"/>
    <w:rsid w:val="00C16117"/>
    <w:rsid w:val="00C3075A"/>
    <w:rsid w:val="00C919A4"/>
    <w:rsid w:val="00CA4392"/>
    <w:rsid w:val="00CC393F"/>
    <w:rsid w:val="00CF20DE"/>
    <w:rsid w:val="00CF4C4D"/>
    <w:rsid w:val="00D2176E"/>
    <w:rsid w:val="00D632BE"/>
    <w:rsid w:val="00D72D06"/>
    <w:rsid w:val="00D7522C"/>
    <w:rsid w:val="00D7536F"/>
    <w:rsid w:val="00D76668"/>
    <w:rsid w:val="00D91350"/>
    <w:rsid w:val="00D9264C"/>
    <w:rsid w:val="00DA4890"/>
    <w:rsid w:val="00DD7547"/>
    <w:rsid w:val="00E07383"/>
    <w:rsid w:val="00E165BC"/>
    <w:rsid w:val="00E61E12"/>
    <w:rsid w:val="00E70A5D"/>
    <w:rsid w:val="00E7596C"/>
    <w:rsid w:val="00E878F2"/>
    <w:rsid w:val="00EB6B24"/>
    <w:rsid w:val="00ED0149"/>
    <w:rsid w:val="00EE5078"/>
    <w:rsid w:val="00EF7DE3"/>
    <w:rsid w:val="00F03103"/>
    <w:rsid w:val="00F271DE"/>
    <w:rsid w:val="00F627DA"/>
    <w:rsid w:val="00F7288F"/>
    <w:rsid w:val="00F847A6"/>
    <w:rsid w:val="00F9441B"/>
    <w:rsid w:val="00FA4C32"/>
    <w:rsid w:val="00FE0B80"/>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link w:val="Heading3Char"/>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link w:val="Heading4Char"/>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link w:val="Heading5Char"/>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customStyle="1" w:styleId="Heading1Char">
    <w:name w:val="Heading 1 Char"/>
    <w:basedOn w:val="DefaultParagraphFont"/>
    <w:link w:val="Heading1"/>
    <w:rsid w:val="00D9264C"/>
    <w:rPr>
      <w:smallCaps/>
      <w:noProof/>
    </w:rPr>
  </w:style>
  <w:style w:type="character" w:customStyle="1" w:styleId="Heading2Char">
    <w:name w:val="Heading 2 Char"/>
    <w:basedOn w:val="DefaultParagraphFont"/>
    <w:link w:val="Heading2"/>
    <w:rsid w:val="00D9264C"/>
    <w:rPr>
      <w:i/>
      <w:iCs/>
      <w:noProof/>
    </w:rPr>
  </w:style>
  <w:style w:type="character" w:customStyle="1" w:styleId="Heading3Char">
    <w:name w:val="Heading 3 Char"/>
    <w:basedOn w:val="DefaultParagraphFont"/>
    <w:link w:val="Heading3"/>
    <w:rsid w:val="00D9264C"/>
    <w:rPr>
      <w:i/>
      <w:iCs/>
      <w:noProof/>
    </w:rPr>
  </w:style>
  <w:style w:type="character" w:customStyle="1" w:styleId="Heading4Char">
    <w:name w:val="Heading 4 Char"/>
    <w:basedOn w:val="DefaultParagraphFont"/>
    <w:link w:val="Heading4"/>
    <w:rsid w:val="00D9264C"/>
    <w:rPr>
      <w:i/>
      <w:iCs/>
      <w:noProof/>
    </w:rPr>
  </w:style>
  <w:style w:type="character" w:customStyle="1" w:styleId="Heading5Char">
    <w:name w:val="Heading 5 Char"/>
    <w:basedOn w:val="DefaultParagraphFont"/>
    <w:link w:val="Heading5"/>
    <w:rsid w:val="00D9264C"/>
    <w:rPr>
      <w:smallCaps/>
      <w:noProof/>
    </w:rPr>
  </w:style>
  <w:style w:type="paragraph" w:styleId="Caption">
    <w:name w:val="caption"/>
    <w:basedOn w:val="Normal"/>
    <w:next w:val="Normal"/>
    <w:unhideWhenUsed/>
    <w:qFormat/>
    <w:rsid w:val="00CF20DE"/>
    <w:pPr>
      <w:spacing w:after="10pt"/>
    </w:pPr>
    <w:rPr>
      <w:i/>
      <w:iCs/>
      <w:color w:val="44546A" w:themeColor="text2"/>
      <w:sz w:val="18"/>
      <w:szCs w:val="18"/>
    </w:rPr>
  </w:style>
  <w:style w:type="paragraph" w:styleId="ListParagraph">
    <w:name w:val="List Paragraph"/>
    <w:basedOn w:val="Normal"/>
    <w:uiPriority w:val="34"/>
    <w:qFormat/>
    <w:rsid w:val="00DD7547"/>
    <w:pPr>
      <w:ind w:start="36pt"/>
      <w:contextualSpacing/>
    </w:pPr>
  </w:style>
  <w:style w:type="character" w:styleId="Hyperlink">
    <w:name w:val="Hyperlink"/>
    <w:basedOn w:val="DefaultParagraphFont"/>
    <w:rsid w:val="00CF4C4D"/>
    <w:rPr>
      <w:color w:val="0563C1" w:themeColor="hyperlink"/>
      <w:u w:val="single"/>
    </w:rPr>
  </w:style>
  <w:style w:type="character" w:styleId="UnresolvedMention">
    <w:name w:val="Unresolved Mention"/>
    <w:basedOn w:val="DefaultParagraphFont"/>
    <w:uiPriority w:val="99"/>
    <w:semiHidden/>
    <w:unhideWhenUsed/>
    <w:rsid w:val="00CF4C4D"/>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290021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481194049">
          <w:marLeft w:val="0pt"/>
          <w:marRight w:val="0pt"/>
          <w:marTop w:val="0pt"/>
          <w:marBottom w:val="0pt"/>
          <w:divBdr>
            <w:top w:val="none" w:sz="0" w:space="0" w:color="auto"/>
            <w:left w:val="none" w:sz="0" w:space="0" w:color="auto"/>
            <w:bottom w:val="none" w:sz="0" w:space="0" w:color="auto"/>
            <w:right w:val="none" w:sz="0" w:space="0" w:color="auto"/>
          </w:divBdr>
        </w:div>
      </w:divsChild>
    </w:div>
    <w:div w:id="121269518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996570849">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hyperlink" Target="https://www.isms.online/iso-27001/" TargetMode="External"/><Relationship Id="rId3" Type="http://purl.oclc.org/ooxml/officeDocument/relationships/styles" Target="styles.xml"/><Relationship Id="rId7" Type="http://purl.oclc.org/ooxml/officeDocument/relationships/endnotes" Target="endnotes.xml"/><Relationship Id="rId12" Type="http://purl.oclc.org/ooxml/officeDocument/relationships/hyperlink" Target="https://ieeexplore.ieee.org/abstract/document/10930853" TargetMode="External"/><Relationship Id="rId2" Type="http://purl.oclc.org/ooxml/officeDocument/relationships/numbering" Target="numbering.xml"/><Relationship Id="rId16" Type="http://purl.oclc.org/ooxml/officeDocument/relationships/theme" Target="theme/theme1.xml"/><Relationship Id="rId1" Type="http://purl.oclc.org/ooxml/officeDocument/relationships/customXml" Target="../customXml/item1.xml"/><Relationship Id="rId6" Type="http://purl.oclc.org/ooxml/officeDocument/relationships/footnotes" Target="footnotes.xml"/><Relationship Id="rId11" Type="http://purl.oclc.org/ooxml/officeDocument/relationships/hyperlink" Target="https://www.cisa.gov/topics/physical-security/insider-threat-mitigation/defining-insider-threats" TargetMode="External"/><Relationship Id="rId5" Type="http://purl.oclc.org/ooxml/officeDocument/relationships/webSettings" Target="webSettings.xml"/><Relationship Id="rId15" Type="http://purl.oclc.org/ooxml/officeDocument/relationships/fontTable" Target="fontTable.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footer" Target="footer2.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TotalTime>
  <Pages>4</Pages>
  <Words>1933</Words>
  <Characters>11020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victoria price</cp:lastModifiedBy>
  <cp:revision>2</cp:revision>
  <dcterms:created xsi:type="dcterms:W3CDTF">2025-05-10T20:41:00Z</dcterms:created>
  <dcterms:modified xsi:type="dcterms:W3CDTF">2025-05-10T20:41:00Z</dcterms:modified>
</cp:coreProperties>
</file>