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BE4CC" w14:textId="77777777" w:rsidR="005B4F31" w:rsidRPr="00703DFF" w:rsidRDefault="005B4F31" w:rsidP="005B4F31">
      <w:pPr>
        <w:spacing w:after="0" w:line="240" w:lineRule="auto"/>
        <w:jc w:val="center"/>
        <w:rPr>
          <w:i/>
          <w:iCs/>
          <w:kern w:val="0"/>
          <w:sz w:val="24"/>
          <w:szCs w:val="24"/>
          <w14:ligatures w14:val="none"/>
        </w:rPr>
      </w:pPr>
      <w:r w:rsidRPr="00703DFF">
        <w:rPr>
          <w:i/>
          <w:iCs/>
          <w:kern w:val="0"/>
          <w:sz w:val="24"/>
          <w:szCs w:val="24"/>
          <w14:ligatures w14:val="none"/>
        </w:rPr>
        <w:t>Ordnance, Munitions and Explosives</w:t>
      </w:r>
    </w:p>
    <w:p w14:paraId="74751EAD" w14:textId="77777777" w:rsidR="005B4F31" w:rsidRPr="00703DFF" w:rsidRDefault="005B4F31" w:rsidP="005B4F31">
      <w:pPr>
        <w:spacing w:after="0" w:line="240" w:lineRule="auto"/>
        <w:jc w:val="center"/>
        <w:rPr>
          <w:kern w:val="0"/>
          <w:sz w:val="24"/>
          <w:szCs w:val="24"/>
          <w14:ligatures w14:val="none"/>
        </w:rPr>
      </w:pPr>
    </w:p>
    <w:p w14:paraId="4C26D85F" w14:textId="77777777" w:rsidR="005B4F31" w:rsidRPr="00703DFF" w:rsidRDefault="005B4F31" w:rsidP="005B4F31">
      <w:pPr>
        <w:spacing w:after="0" w:line="240" w:lineRule="auto"/>
        <w:jc w:val="center"/>
        <w:rPr>
          <w:kern w:val="0"/>
          <w:sz w:val="24"/>
          <w:szCs w:val="24"/>
          <w14:ligatures w14:val="none"/>
        </w:rPr>
      </w:pPr>
      <w:r w:rsidRPr="00703DFF">
        <w:rPr>
          <w:noProof/>
          <w:kern w:val="0"/>
          <w:sz w:val="24"/>
          <w:szCs w:val="24"/>
          <w14:ligatures w14:val="none"/>
        </w:rPr>
        <w:drawing>
          <wp:inline distT="0" distB="0" distL="0" distR="0" wp14:anchorId="43E6F02A" wp14:editId="0D9866A3">
            <wp:extent cx="2097405" cy="6946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0947825E" w14:textId="77777777" w:rsidR="005B4F31" w:rsidRPr="00703DFF" w:rsidRDefault="005B4F31" w:rsidP="005B4F31">
      <w:pPr>
        <w:spacing w:after="0" w:line="240" w:lineRule="auto"/>
        <w:jc w:val="center"/>
        <w:rPr>
          <w:kern w:val="0"/>
          <w:sz w:val="24"/>
          <w:szCs w:val="24"/>
          <w14:ligatures w14:val="none"/>
        </w:rPr>
      </w:pPr>
    </w:p>
    <w:p w14:paraId="1760F910" w14:textId="77777777" w:rsidR="005B4F31" w:rsidRPr="00703DFF" w:rsidRDefault="005B4F31" w:rsidP="005B4F31">
      <w:pPr>
        <w:spacing w:after="0" w:line="240" w:lineRule="auto"/>
        <w:jc w:val="center"/>
        <w:rPr>
          <w:kern w:val="0"/>
          <w:sz w:val="24"/>
          <w:szCs w:val="24"/>
          <w14:ligatures w14:val="none"/>
        </w:rPr>
      </w:pPr>
    </w:p>
    <w:p w14:paraId="7E3F9507" w14:textId="77777777" w:rsidR="005B4F31" w:rsidRPr="00703DFF" w:rsidRDefault="005B4F31" w:rsidP="005B4F31">
      <w:pPr>
        <w:spacing w:after="0" w:line="240" w:lineRule="auto"/>
        <w:jc w:val="center"/>
        <w:rPr>
          <w:kern w:val="0"/>
          <w:sz w:val="24"/>
          <w:szCs w:val="24"/>
          <w14:ligatures w14:val="none"/>
        </w:rPr>
      </w:pPr>
    </w:p>
    <w:p w14:paraId="684532EA" w14:textId="77777777" w:rsidR="005B4F31" w:rsidRPr="00703DFF" w:rsidRDefault="005B4F31" w:rsidP="005B4F31">
      <w:pPr>
        <w:spacing w:after="0" w:line="240" w:lineRule="auto"/>
        <w:jc w:val="center"/>
        <w:rPr>
          <w:kern w:val="0"/>
          <w:sz w:val="24"/>
          <w:szCs w:val="24"/>
          <w14:ligatures w14:val="none"/>
        </w:rPr>
      </w:pPr>
    </w:p>
    <w:p w14:paraId="41BF2123" w14:textId="77777777" w:rsidR="005B4F31" w:rsidRPr="00703DFF" w:rsidRDefault="005B4F31" w:rsidP="005B4F31">
      <w:pPr>
        <w:spacing w:after="0" w:line="240" w:lineRule="auto"/>
        <w:jc w:val="center"/>
        <w:rPr>
          <w:kern w:val="0"/>
          <w:sz w:val="24"/>
          <w:szCs w:val="24"/>
          <w14:ligatures w14:val="none"/>
        </w:rPr>
      </w:pPr>
    </w:p>
    <w:p w14:paraId="5C67054B" w14:textId="77777777" w:rsidR="005B4F31" w:rsidRPr="00703DFF" w:rsidRDefault="005B4F31" w:rsidP="005B4F31">
      <w:pPr>
        <w:spacing w:after="0" w:line="240" w:lineRule="auto"/>
        <w:rPr>
          <w:kern w:val="0"/>
          <w:sz w:val="24"/>
          <w:szCs w:val="24"/>
          <w14:ligatures w14:val="none"/>
        </w:rPr>
      </w:pPr>
    </w:p>
    <w:p w14:paraId="7742F652" w14:textId="77777777" w:rsidR="005B4F31" w:rsidRPr="00703DFF" w:rsidRDefault="005B4F31" w:rsidP="005B4F31">
      <w:pPr>
        <w:spacing w:after="0" w:line="240" w:lineRule="auto"/>
        <w:rPr>
          <w:kern w:val="0"/>
          <w:sz w:val="24"/>
          <w:szCs w:val="24"/>
          <w14:ligatures w14:val="none"/>
        </w:rPr>
      </w:pPr>
    </w:p>
    <w:p w14:paraId="5EF08D17" w14:textId="77777777" w:rsidR="005B4F31" w:rsidRPr="00703DFF" w:rsidRDefault="005B4F31" w:rsidP="005B4F31">
      <w:pPr>
        <w:spacing w:after="0" w:line="240" w:lineRule="auto"/>
        <w:rPr>
          <w:kern w:val="0"/>
          <w:sz w:val="24"/>
          <w:szCs w:val="24"/>
          <w14:ligatures w14:val="none"/>
        </w:rPr>
      </w:pPr>
    </w:p>
    <w:p w14:paraId="4D619B5F" w14:textId="77777777" w:rsidR="005B4F31" w:rsidRPr="00703DFF" w:rsidRDefault="005B4F31" w:rsidP="005B4F31">
      <w:pPr>
        <w:spacing w:after="0" w:line="240" w:lineRule="auto"/>
        <w:jc w:val="center"/>
        <w:rPr>
          <w:kern w:val="0"/>
          <w:sz w:val="24"/>
          <w:szCs w:val="24"/>
          <w14:ligatures w14:val="none"/>
        </w:rPr>
      </w:pPr>
    </w:p>
    <w:p w14:paraId="34927A8E" w14:textId="77777777" w:rsidR="005B4F31" w:rsidRPr="00703DFF" w:rsidRDefault="005B4F31" w:rsidP="005B4F31">
      <w:pPr>
        <w:spacing w:after="0" w:line="240" w:lineRule="auto"/>
        <w:jc w:val="center"/>
        <w:rPr>
          <w:kern w:val="0"/>
          <w:sz w:val="24"/>
          <w:szCs w:val="24"/>
          <w14:ligatures w14:val="none"/>
        </w:rPr>
      </w:pPr>
    </w:p>
    <w:p w14:paraId="72747AC4" w14:textId="77777777" w:rsidR="005B4F31" w:rsidRPr="00703DFF" w:rsidRDefault="005B4F31" w:rsidP="005B4F31">
      <w:pPr>
        <w:spacing w:after="0" w:line="240" w:lineRule="auto"/>
        <w:jc w:val="center"/>
        <w:rPr>
          <w:kern w:val="0"/>
          <w:sz w:val="24"/>
          <w:szCs w:val="24"/>
          <w14:ligatures w14:val="none"/>
        </w:rPr>
      </w:pPr>
    </w:p>
    <w:p w14:paraId="7996A198" w14:textId="77777777" w:rsidR="005B4F31" w:rsidRPr="00703DFF" w:rsidRDefault="005B4F31" w:rsidP="005B4F31">
      <w:pPr>
        <w:spacing w:after="0" w:line="240" w:lineRule="auto"/>
        <w:jc w:val="center"/>
        <w:rPr>
          <w:kern w:val="0"/>
          <w:sz w:val="24"/>
          <w:szCs w:val="24"/>
          <w14:ligatures w14:val="none"/>
        </w:rPr>
      </w:pPr>
    </w:p>
    <w:p w14:paraId="22C22FBE" w14:textId="77777777" w:rsidR="005B4F31" w:rsidRDefault="005B4F31" w:rsidP="005B4F31">
      <w:pPr>
        <w:spacing w:after="0" w:line="240" w:lineRule="auto"/>
        <w:jc w:val="center"/>
        <w:rPr>
          <w:kern w:val="0"/>
          <w:sz w:val="24"/>
          <w:szCs w:val="24"/>
          <w14:ligatures w14:val="none"/>
        </w:rPr>
      </w:pPr>
    </w:p>
    <w:p w14:paraId="0EAE58AE" w14:textId="77777777" w:rsidR="005B4F31" w:rsidRDefault="005B4F31" w:rsidP="005B4F31">
      <w:pPr>
        <w:spacing w:after="0" w:line="240" w:lineRule="auto"/>
        <w:jc w:val="center"/>
        <w:rPr>
          <w:kern w:val="0"/>
          <w:sz w:val="24"/>
          <w:szCs w:val="24"/>
          <w14:ligatures w14:val="none"/>
        </w:rPr>
      </w:pPr>
    </w:p>
    <w:p w14:paraId="518CB7B8" w14:textId="77777777" w:rsidR="005B4F31" w:rsidRPr="00703DFF" w:rsidRDefault="005B4F31" w:rsidP="005B4F31">
      <w:pPr>
        <w:spacing w:after="0" w:line="240" w:lineRule="auto"/>
        <w:jc w:val="center"/>
        <w:rPr>
          <w:kern w:val="0"/>
          <w:sz w:val="24"/>
          <w:szCs w:val="24"/>
          <w14:ligatures w14:val="none"/>
        </w:rPr>
      </w:pPr>
    </w:p>
    <w:p w14:paraId="1E70E3A4" w14:textId="009BF692" w:rsidR="005B4F31" w:rsidRPr="00703DFF" w:rsidRDefault="005B4F31" w:rsidP="005B4F31">
      <w:pPr>
        <w:spacing w:after="0" w:line="240" w:lineRule="auto"/>
        <w:jc w:val="center"/>
        <w:rPr>
          <w:b/>
          <w:i/>
          <w:iCs/>
          <w:kern w:val="0"/>
          <w:sz w:val="36"/>
          <w:szCs w:val="36"/>
          <w14:ligatures w14:val="none"/>
        </w:rPr>
      </w:pPr>
      <w:r>
        <w:rPr>
          <w:b/>
          <w:i/>
          <w:iCs/>
          <w:kern w:val="0"/>
          <w:sz w:val="36"/>
          <w:szCs w:val="36"/>
          <w14:ligatures w14:val="none"/>
        </w:rPr>
        <w:t>Council Request for Safety Report: Siting an Ammunition Depot on the SA1 Waterfront</w:t>
      </w:r>
    </w:p>
    <w:p w14:paraId="6BD9BD3A" w14:textId="4933B071" w:rsidR="005B4F31" w:rsidRPr="00703DFF" w:rsidRDefault="005B4F31" w:rsidP="005B4F31">
      <w:pPr>
        <w:spacing w:after="0" w:line="240" w:lineRule="auto"/>
        <w:jc w:val="center"/>
        <w:rPr>
          <w:bCs/>
          <w:i/>
          <w:iCs/>
          <w:kern w:val="0"/>
          <w:sz w:val="28"/>
          <w:szCs w:val="28"/>
          <w14:ligatures w14:val="none"/>
        </w:rPr>
      </w:pPr>
      <w:r>
        <w:rPr>
          <w:bCs/>
          <w:i/>
          <w:iCs/>
          <w:kern w:val="0"/>
          <w:sz w:val="28"/>
          <w:szCs w:val="28"/>
          <w14:ligatures w14:val="none"/>
        </w:rPr>
        <w:t>OME Safety Management &amp; Legislation</w:t>
      </w:r>
    </w:p>
    <w:p w14:paraId="1B3D522F" w14:textId="77777777" w:rsidR="005B4F31" w:rsidRPr="00703DFF" w:rsidRDefault="005B4F31" w:rsidP="005B4F31">
      <w:pPr>
        <w:spacing w:after="0" w:line="240" w:lineRule="auto"/>
        <w:rPr>
          <w:kern w:val="0"/>
          <w:sz w:val="36"/>
          <w:szCs w:val="36"/>
          <w14:ligatures w14:val="none"/>
        </w:rPr>
      </w:pPr>
    </w:p>
    <w:p w14:paraId="1A868F25" w14:textId="77777777" w:rsidR="005B4F31" w:rsidRPr="00703DFF" w:rsidRDefault="005B4F31" w:rsidP="005B4F31">
      <w:pPr>
        <w:spacing w:after="0" w:line="240" w:lineRule="auto"/>
        <w:jc w:val="center"/>
        <w:rPr>
          <w:kern w:val="0"/>
          <w:sz w:val="36"/>
          <w:szCs w:val="36"/>
          <w14:ligatures w14:val="none"/>
        </w:rPr>
      </w:pPr>
    </w:p>
    <w:p w14:paraId="372E4F84" w14:textId="77777777" w:rsidR="005B4F31" w:rsidRPr="00703DFF" w:rsidRDefault="005B4F31" w:rsidP="005B4F31">
      <w:pPr>
        <w:spacing w:after="0" w:line="240" w:lineRule="auto"/>
        <w:jc w:val="center"/>
        <w:rPr>
          <w:kern w:val="0"/>
          <w:sz w:val="36"/>
          <w:szCs w:val="36"/>
          <w14:ligatures w14:val="none"/>
        </w:rPr>
      </w:pPr>
    </w:p>
    <w:p w14:paraId="06AD42F7" w14:textId="77777777" w:rsidR="005B4F31" w:rsidRPr="00703DFF" w:rsidRDefault="005B4F31" w:rsidP="005B4F31">
      <w:pPr>
        <w:spacing w:after="0" w:line="240" w:lineRule="auto"/>
        <w:jc w:val="center"/>
        <w:rPr>
          <w:kern w:val="0"/>
          <w:sz w:val="36"/>
          <w:szCs w:val="36"/>
          <w14:ligatures w14:val="none"/>
        </w:rPr>
      </w:pPr>
    </w:p>
    <w:p w14:paraId="3FEEA033" w14:textId="77777777" w:rsidR="005B4F31" w:rsidRPr="00703DFF" w:rsidRDefault="005B4F31" w:rsidP="005B4F31">
      <w:pPr>
        <w:spacing w:after="0" w:line="240" w:lineRule="auto"/>
        <w:rPr>
          <w:kern w:val="0"/>
          <w:sz w:val="36"/>
          <w:szCs w:val="36"/>
          <w14:ligatures w14:val="none"/>
        </w:rPr>
      </w:pPr>
    </w:p>
    <w:p w14:paraId="40848D48" w14:textId="77777777" w:rsidR="005B4F31" w:rsidRPr="00703DFF" w:rsidRDefault="005B4F31" w:rsidP="005B4F31">
      <w:pPr>
        <w:spacing w:after="0" w:line="240" w:lineRule="auto"/>
        <w:jc w:val="center"/>
        <w:rPr>
          <w:kern w:val="0"/>
          <w:sz w:val="36"/>
          <w:szCs w:val="36"/>
          <w14:ligatures w14:val="none"/>
        </w:rPr>
      </w:pPr>
    </w:p>
    <w:p w14:paraId="382CEB4F" w14:textId="77777777" w:rsidR="005B4F31" w:rsidRDefault="005B4F31" w:rsidP="005B4F31">
      <w:pPr>
        <w:spacing w:after="0" w:line="240" w:lineRule="auto"/>
        <w:rPr>
          <w:kern w:val="0"/>
          <w:sz w:val="36"/>
          <w:szCs w:val="36"/>
          <w14:ligatures w14:val="none"/>
        </w:rPr>
      </w:pPr>
    </w:p>
    <w:p w14:paraId="2E4BFB9C" w14:textId="77777777" w:rsidR="005B4F31" w:rsidRDefault="005B4F31" w:rsidP="005B4F31">
      <w:pPr>
        <w:spacing w:after="0" w:line="240" w:lineRule="auto"/>
        <w:rPr>
          <w:kern w:val="0"/>
          <w:sz w:val="36"/>
          <w:szCs w:val="36"/>
          <w14:ligatures w14:val="none"/>
        </w:rPr>
      </w:pPr>
    </w:p>
    <w:p w14:paraId="34005535" w14:textId="77777777" w:rsidR="005B4F31" w:rsidRDefault="005B4F31" w:rsidP="005B4F31">
      <w:pPr>
        <w:spacing w:after="0" w:line="240" w:lineRule="auto"/>
        <w:rPr>
          <w:kern w:val="0"/>
          <w:sz w:val="36"/>
          <w:szCs w:val="36"/>
          <w14:ligatures w14:val="none"/>
        </w:rPr>
      </w:pPr>
    </w:p>
    <w:p w14:paraId="0BD19B50" w14:textId="77777777" w:rsidR="005B4F31" w:rsidRDefault="005B4F31" w:rsidP="005B4F31">
      <w:pPr>
        <w:spacing w:after="0" w:line="240" w:lineRule="auto"/>
        <w:rPr>
          <w:kern w:val="0"/>
          <w:sz w:val="36"/>
          <w:szCs w:val="36"/>
          <w14:ligatures w14:val="none"/>
        </w:rPr>
      </w:pPr>
    </w:p>
    <w:p w14:paraId="0340035D" w14:textId="77777777" w:rsidR="005B4F31" w:rsidRDefault="005B4F31" w:rsidP="005B4F31">
      <w:pPr>
        <w:spacing w:after="0" w:line="240" w:lineRule="auto"/>
        <w:rPr>
          <w:kern w:val="0"/>
          <w:sz w:val="36"/>
          <w:szCs w:val="36"/>
          <w14:ligatures w14:val="none"/>
        </w:rPr>
      </w:pPr>
    </w:p>
    <w:p w14:paraId="49CDBC35" w14:textId="77777777" w:rsidR="005B4F31" w:rsidRPr="00703DFF" w:rsidRDefault="005B4F31" w:rsidP="005B4F31">
      <w:pPr>
        <w:spacing w:after="0" w:line="240" w:lineRule="auto"/>
        <w:rPr>
          <w:kern w:val="0"/>
          <w:sz w:val="36"/>
          <w:szCs w:val="36"/>
          <w14:ligatures w14:val="none"/>
        </w:rPr>
      </w:pPr>
    </w:p>
    <w:p w14:paraId="74BA2AA6" w14:textId="77777777" w:rsidR="005B4F31" w:rsidRPr="00703DFF" w:rsidRDefault="005B4F31" w:rsidP="005B4F31">
      <w:pPr>
        <w:spacing w:after="0" w:line="240" w:lineRule="auto"/>
        <w:jc w:val="center"/>
        <w:rPr>
          <w:kern w:val="0"/>
          <w:sz w:val="36"/>
          <w:szCs w:val="36"/>
          <w14:ligatures w14:val="none"/>
        </w:rPr>
      </w:pPr>
      <w:r w:rsidRPr="00703DFF">
        <w:rPr>
          <w:i/>
          <w:iCs/>
          <w:kern w:val="0"/>
          <w:sz w:val="24"/>
          <w:szCs w:val="24"/>
          <w14:ligatures w14:val="none"/>
        </w:rPr>
        <w:t>Ewan Simpson</w:t>
      </w:r>
      <w:r w:rsidRPr="00703DFF">
        <w:rPr>
          <w:kern w:val="0"/>
          <w:sz w:val="36"/>
          <w:szCs w:val="36"/>
          <w14:ligatures w14:val="none"/>
        </w:rPr>
        <w:t xml:space="preserve"> </w:t>
      </w:r>
    </w:p>
    <w:p w14:paraId="25031AA4" w14:textId="77777777" w:rsidR="005B4F31" w:rsidRPr="00703DFF" w:rsidRDefault="005B4F31" w:rsidP="005B4F31">
      <w:pPr>
        <w:spacing w:after="0" w:line="240" w:lineRule="auto"/>
        <w:jc w:val="center"/>
        <w:rPr>
          <w:i/>
          <w:iCs/>
          <w:kern w:val="0"/>
          <w:sz w:val="24"/>
          <w:szCs w:val="24"/>
          <w14:ligatures w14:val="none"/>
        </w:rPr>
      </w:pPr>
      <w:r w:rsidRPr="00703DFF">
        <w:rPr>
          <w:i/>
          <w:iCs/>
          <w:kern w:val="0"/>
          <w:sz w:val="24"/>
          <w:szCs w:val="24"/>
          <w14:ligatures w14:val="none"/>
        </w:rPr>
        <w:t>2115523</w:t>
      </w:r>
    </w:p>
    <w:p w14:paraId="0321D4A2" w14:textId="6E19D1FB" w:rsidR="005B4F31" w:rsidRPr="00703DFF" w:rsidRDefault="005B4F31" w:rsidP="005B4F31">
      <w:pPr>
        <w:spacing w:after="0" w:line="240" w:lineRule="auto"/>
        <w:jc w:val="center"/>
        <w:rPr>
          <w:i/>
          <w:iCs/>
          <w:kern w:val="0"/>
          <w:sz w:val="24"/>
          <w:szCs w:val="24"/>
          <w14:ligatures w14:val="none"/>
        </w:rPr>
      </w:pPr>
      <w:r>
        <w:rPr>
          <w:i/>
          <w:iCs/>
          <w:kern w:val="0"/>
          <w:sz w:val="24"/>
          <w:szCs w:val="24"/>
          <w14:ligatures w14:val="none"/>
        </w:rPr>
        <w:t>December 2025</w:t>
      </w:r>
    </w:p>
    <w:p w14:paraId="7A983241" w14:textId="77777777" w:rsidR="004A3C90" w:rsidRDefault="004A3C90"/>
    <w:p w14:paraId="094EB93E" w14:textId="5C86F3F4" w:rsidR="006F4B7F" w:rsidRDefault="006F4B7F">
      <w:pPr>
        <w:rPr>
          <w:sz w:val="32"/>
          <w:szCs w:val="32"/>
        </w:rPr>
      </w:pPr>
      <w:r>
        <w:rPr>
          <w:sz w:val="32"/>
          <w:szCs w:val="32"/>
        </w:rPr>
        <w:lastRenderedPageBreak/>
        <w:t>Contents:</w:t>
      </w:r>
    </w:p>
    <w:p w14:paraId="673E80F0" w14:textId="6F4A194F" w:rsidR="006F4B7F" w:rsidRDefault="006F4B7F" w:rsidP="006F4B7F">
      <w:pPr>
        <w:pStyle w:val="ListParagraph"/>
        <w:numPr>
          <w:ilvl w:val="0"/>
          <w:numId w:val="12"/>
        </w:numPr>
        <w:rPr>
          <w:sz w:val="32"/>
          <w:szCs w:val="32"/>
        </w:rPr>
      </w:pPr>
      <w:r>
        <w:rPr>
          <w:sz w:val="32"/>
          <w:szCs w:val="32"/>
        </w:rPr>
        <w:t>Abstract (3)</w:t>
      </w:r>
    </w:p>
    <w:p w14:paraId="5EF23638" w14:textId="5065CF6B" w:rsidR="006F4B7F" w:rsidRDefault="006F4B7F" w:rsidP="006F4B7F">
      <w:pPr>
        <w:pStyle w:val="ListParagraph"/>
        <w:numPr>
          <w:ilvl w:val="0"/>
          <w:numId w:val="12"/>
        </w:numPr>
        <w:rPr>
          <w:sz w:val="32"/>
          <w:szCs w:val="32"/>
        </w:rPr>
      </w:pPr>
      <w:r>
        <w:rPr>
          <w:sz w:val="32"/>
          <w:szCs w:val="32"/>
        </w:rPr>
        <w:t>Introduction (3)</w:t>
      </w:r>
    </w:p>
    <w:p w14:paraId="78DAD9F3" w14:textId="00C4FC13" w:rsidR="006F4B7F" w:rsidRDefault="006F4B7F" w:rsidP="006F4B7F">
      <w:pPr>
        <w:pStyle w:val="ListParagraph"/>
        <w:numPr>
          <w:ilvl w:val="0"/>
          <w:numId w:val="12"/>
        </w:numPr>
        <w:rPr>
          <w:sz w:val="32"/>
          <w:szCs w:val="32"/>
        </w:rPr>
      </w:pPr>
      <w:r>
        <w:rPr>
          <w:sz w:val="32"/>
          <w:szCs w:val="32"/>
        </w:rPr>
        <w:t xml:space="preserve">Legal and Regulatory Framework </w:t>
      </w:r>
    </w:p>
    <w:p w14:paraId="13028027" w14:textId="36D1D028" w:rsidR="006F4B7F" w:rsidRPr="006F4B7F" w:rsidRDefault="006F4B7F" w:rsidP="006F4B7F">
      <w:pPr>
        <w:pStyle w:val="ListParagraph"/>
        <w:numPr>
          <w:ilvl w:val="1"/>
          <w:numId w:val="12"/>
        </w:numPr>
        <w:rPr>
          <w:sz w:val="28"/>
          <w:szCs w:val="28"/>
        </w:rPr>
      </w:pPr>
      <w:r w:rsidRPr="006F4B7F">
        <w:rPr>
          <w:sz w:val="28"/>
          <w:szCs w:val="28"/>
        </w:rPr>
        <w:t>Explosives Legislation Overview (3)</w:t>
      </w:r>
    </w:p>
    <w:p w14:paraId="48078DB4" w14:textId="164DDA8D" w:rsidR="006F4B7F" w:rsidRPr="006F4B7F" w:rsidRDefault="006F4B7F" w:rsidP="006F4B7F">
      <w:pPr>
        <w:pStyle w:val="ListParagraph"/>
        <w:numPr>
          <w:ilvl w:val="1"/>
          <w:numId w:val="12"/>
        </w:numPr>
        <w:rPr>
          <w:sz w:val="28"/>
          <w:szCs w:val="28"/>
        </w:rPr>
      </w:pPr>
      <w:r w:rsidRPr="006F4B7F">
        <w:rPr>
          <w:sz w:val="28"/>
          <w:szCs w:val="28"/>
        </w:rPr>
        <w:t>Core Legal Principles (4)</w:t>
      </w:r>
    </w:p>
    <w:p w14:paraId="2026C540" w14:textId="1DFCD72D" w:rsidR="006F4B7F" w:rsidRDefault="006F4B7F" w:rsidP="006F4B7F">
      <w:pPr>
        <w:pStyle w:val="ListParagraph"/>
        <w:numPr>
          <w:ilvl w:val="0"/>
          <w:numId w:val="12"/>
        </w:numPr>
        <w:rPr>
          <w:sz w:val="32"/>
          <w:szCs w:val="32"/>
        </w:rPr>
      </w:pPr>
      <w:r>
        <w:rPr>
          <w:sz w:val="32"/>
          <w:szCs w:val="32"/>
        </w:rPr>
        <w:t>Technical Assessment of the Proposal</w:t>
      </w:r>
    </w:p>
    <w:p w14:paraId="75A970A5" w14:textId="3B8B63E3" w:rsidR="006F4B7F" w:rsidRDefault="006F4B7F" w:rsidP="006F4B7F">
      <w:pPr>
        <w:pStyle w:val="ListParagraph"/>
        <w:numPr>
          <w:ilvl w:val="1"/>
          <w:numId w:val="12"/>
        </w:numPr>
        <w:rPr>
          <w:sz w:val="28"/>
          <w:szCs w:val="28"/>
        </w:rPr>
      </w:pPr>
      <w:r w:rsidRPr="006F4B7F">
        <w:rPr>
          <w:sz w:val="28"/>
          <w:szCs w:val="28"/>
        </w:rPr>
        <w:t>Summary of Proposed Storage Quantities</w:t>
      </w:r>
      <w:r>
        <w:rPr>
          <w:sz w:val="28"/>
          <w:szCs w:val="28"/>
        </w:rPr>
        <w:t xml:space="preserve"> (4)</w:t>
      </w:r>
    </w:p>
    <w:p w14:paraId="5C828FF1" w14:textId="1E9F6877" w:rsidR="006F4B7F" w:rsidRDefault="006F4B7F" w:rsidP="006F4B7F">
      <w:pPr>
        <w:pStyle w:val="ListParagraph"/>
        <w:numPr>
          <w:ilvl w:val="1"/>
          <w:numId w:val="12"/>
        </w:numPr>
        <w:rPr>
          <w:sz w:val="28"/>
          <w:szCs w:val="28"/>
        </w:rPr>
      </w:pPr>
      <w:r w:rsidRPr="006F4B7F">
        <w:rPr>
          <w:sz w:val="28"/>
          <w:szCs w:val="28"/>
        </w:rPr>
        <w:t>Compatibility Group Analysis (IATG 01.50)</w:t>
      </w:r>
      <w:r>
        <w:rPr>
          <w:sz w:val="28"/>
          <w:szCs w:val="28"/>
        </w:rPr>
        <w:t xml:space="preserve"> (4)</w:t>
      </w:r>
    </w:p>
    <w:p w14:paraId="5536E9AF" w14:textId="038484E4" w:rsidR="006F4B7F" w:rsidRDefault="006F4B7F" w:rsidP="006F4B7F">
      <w:pPr>
        <w:pStyle w:val="ListParagraph"/>
        <w:numPr>
          <w:ilvl w:val="1"/>
          <w:numId w:val="12"/>
        </w:numPr>
        <w:rPr>
          <w:sz w:val="28"/>
          <w:szCs w:val="28"/>
        </w:rPr>
      </w:pPr>
      <w:r w:rsidRPr="006F4B7F">
        <w:rPr>
          <w:sz w:val="28"/>
          <w:szCs w:val="28"/>
        </w:rPr>
        <w:t>Quantity-Distance (QD) Requirements</w:t>
      </w:r>
      <w:r>
        <w:rPr>
          <w:sz w:val="28"/>
          <w:szCs w:val="28"/>
        </w:rPr>
        <w:t xml:space="preserve"> (5)</w:t>
      </w:r>
    </w:p>
    <w:p w14:paraId="0F14AE19" w14:textId="550A8E4C" w:rsidR="00DA2A6B" w:rsidRDefault="00DA2A6B" w:rsidP="00DA2A6B">
      <w:pPr>
        <w:pStyle w:val="ListParagraph"/>
        <w:numPr>
          <w:ilvl w:val="0"/>
          <w:numId w:val="12"/>
        </w:numPr>
        <w:rPr>
          <w:sz w:val="32"/>
          <w:szCs w:val="32"/>
        </w:rPr>
      </w:pPr>
      <w:r w:rsidRPr="00DA2A6B">
        <w:rPr>
          <w:sz w:val="32"/>
          <w:szCs w:val="32"/>
        </w:rPr>
        <w:t>Safety and Risk Evaluation</w:t>
      </w:r>
    </w:p>
    <w:p w14:paraId="7DC30A16" w14:textId="6F341CD2" w:rsidR="00DA2A6B" w:rsidRPr="00DA2A6B" w:rsidRDefault="00DA2A6B" w:rsidP="00DA2A6B">
      <w:pPr>
        <w:pStyle w:val="ListParagraph"/>
        <w:numPr>
          <w:ilvl w:val="1"/>
          <w:numId w:val="12"/>
        </w:numPr>
        <w:rPr>
          <w:sz w:val="28"/>
          <w:szCs w:val="28"/>
        </w:rPr>
      </w:pPr>
      <w:r w:rsidRPr="00DA2A6B">
        <w:rPr>
          <w:sz w:val="28"/>
          <w:szCs w:val="28"/>
        </w:rPr>
        <w:t>Hazard Identification</w:t>
      </w:r>
      <w:r>
        <w:rPr>
          <w:sz w:val="28"/>
          <w:szCs w:val="28"/>
        </w:rPr>
        <w:t xml:space="preserve"> (7)</w:t>
      </w:r>
    </w:p>
    <w:p w14:paraId="11E233C6" w14:textId="7658A319" w:rsidR="00DA2A6B" w:rsidRPr="00DA2A6B" w:rsidRDefault="00DA2A6B" w:rsidP="00DA2A6B">
      <w:pPr>
        <w:pStyle w:val="ListParagraph"/>
        <w:numPr>
          <w:ilvl w:val="1"/>
          <w:numId w:val="12"/>
        </w:numPr>
        <w:rPr>
          <w:sz w:val="28"/>
          <w:szCs w:val="28"/>
        </w:rPr>
      </w:pPr>
      <w:r w:rsidRPr="00DA2A6B">
        <w:rPr>
          <w:sz w:val="28"/>
          <w:szCs w:val="28"/>
        </w:rPr>
        <w:t>Risk Assessment and ALARP</w:t>
      </w:r>
      <w:r>
        <w:rPr>
          <w:sz w:val="28"/>
          <w:szCs w:val="28"/>
        </w:rPr>
        <w:t xml:space="preserve"> (7)</w:t>
      </w:r>
    </w:p>
    <w:p w14:paraId="53048CD1" w14:textId="5C5F38DC" w:rsidR="00DA2A6B" w:rsidRPr="00DA2A6B" w:rsidRDefault="00DA2A6B" w:rsidP="00DA2A6B">
      <w:pPr>
        <w:pStyle w:val="ListParagraph"/>
        <w:numPr>
          <w:ilvl w:val="1"/>
          <w:numId w:val="12"/>
        </w:numPr>
        <w:rPr>
          <w:sz w:val="28"/>
          <w:szCs w:val="28"/>
        </w:rPr>
      </w:pPr>
      <w:r w:rsidRPr="00DA2A6B">
        <w:rPr>
          <w:sz w:val="28"/>
          <w:szCs w:val="28"/>
        </w:rPr>
        <w:t>Environmental and Social Context</w:t>
      </w:r>
      <w:r>
        <w:rPr>
          <w:sz w:val="28"/>
          <w:szCs w:val="28"/>
        </w:rPr>
        <w:t xml:space="preserve"> (7)</w:t>
      </w:r>
    </w:p>
    <w:p w14:paraId="736F03E6" w14:textId="12F92617" w:rsidR="00DA2A6B" w:rsidRDefault="00DA2A6B" w:rsidP="00DA2A6B">
      <w:pPr>
        <w:pStyle w:val="ListParagraph"/>
        <w:numPr>
          <w:ilvl w:val="0"/>
          <w:numId w:val="12"/>
        </w:numPr>
        <w:rPr>
          <w:sz w:val="32"/>
          <w:szCs w:val="32"/>
        </w:rPr>
      </w:pPr>
      <w:r>
        <w:rPr>
          <w:sz w:val="32"/>
          <w:szCs w:val="32"/>
        </w:rPr>
        <w:t>Summary (7)</w:t>
      </w:r>
    </w:p>
    <w:p w14:paraId="7A3E2506" w14:textId="12132570" w:rsidR="00DA2A6B" w:rsidRDefault="00DA2A6B" w:rsidP="00DA2A6B">
      <w:pPr>
        <w:pStyle w:val="ListParagraph"/>
        <w:numPr>
          <w:ilvl w:val="0"/>
          <w:numId w:val="12"/>
        </w:numPr>
        <w:rPr>
          <w:sz w:val="32"/>
          <w:szCs w:val="32"/>
        </w:rPr>
      </w:pPr>
      <w:r w:rsidRPr="00DA2A6B">
        <w:rPr>
          <w:sz w:val="32"/>
          <w:szCs w:val="32"/>
        </w:rPr>
        <w:t>Advice for Maritime Users</w:t>
      </w:r>
      <w:r>
        <w:rPr>
          <w:sz w:val="32"/>
          <w:szCs w:val="32"/>
        </w:rPr>
        <w:t xml:space="preserve"> (8)</w:t>
      </w:r>
    </w:p>
    <w:p w14:paraId="507D80D7" w14:textId="220F7B2C" w:rsidR="00DA2A6B" w:rsidRDefault="00DA2A6B" w:rsidP="00DA2A6B">
      <w:pPr>
        <w:pStyle w:val="ListParagraph"/>
        <w:numPr>
          <w:ilvl w:val="0"/>
          <w:numId w:val="12"/>
        </w:numPr>
        <w:rPr>
          <w:sz w:val="32"/>
          <w:szCs w:val="32"/>
        </w:rPr>
      </w:pPr>
      <w:r w:rsidRPr="00DA2A6B">
        <w:rPr>
          <w:sz w:val="32"/>
          <w:szCs w:val="32"/>
        </w:rPr>
        <w:t>Conclusions and Recommendations</w:t>
      </w:r>
      <w:r>
        <w:rPr>
          <w:sz w:val="32"/>
          <w:szCs w:val="32"/>
        </w:rPr>
        <w:t xml:space="preserve"> (9)</w:t>
      </w:r>
    </w:p>
    <w:p w14:paraId="5839F39E" w14:textId="7A6BCCC5" w:rsidR="00DA2A6B" w:rsidRPr="00DA2A6B" w:rsidRDefault="00DA2A6B" w:rsidP="00DA2A6B">
      <w:pPr>
        <w:pStyle w:val="ListParagraph"/>
        <w:numPr>
          <w:ilvl w:val="1"/>
          <w:numId w:val="12"/>
        </w:numPr>
        <w:rPr>
          <w:sz w:val="28"/>
          <w:szCs w:val="28"/>
        </w:rPr>
      </w:pPr>
      <w:r w:rsidRPr="00DA2A6B">
        <w:rPr>
          <w:sz w:val="28"/>
          <w:szCs w:val="28"/>
        </w:rPr>
        <w:t>Key recommendations</w:t>
      </w:r>
      <w:r>
        <w:rPr>
          <w:sz w:val="28"/>
          <w:szCs w:val="28"/>
        </w:rPr>
        <w:t xml:space="preserve"> (9)</w:t>
      </w:r>
    </w:p>
    <w:p w14:paraId="3F2F6BC0" w14:textId="1EA4EBC3" w:rsidR="00DA2A6B" w:rsidRPr="00DA2A6B" w:rsidRDefault="00DA2A6B" w:rsidP="00DA2A6B">
      <w:pPr>
        <w:pStyle w:val="ListParagraph"/>
        <w:numPr>
          <w:ilvl w:val="1"/>
          <w:numId w:val="12"/>
        </w:numPr>
        <w:rPr>
          <w:sz w:val="28"/>
          <w:szCs w:val="28"/>
        </w:rPr>
      </w:pPr>
      <w:r w:rsidRPr="00DA2A6B">
        <w:rPr>
          <w:sz w:val="28"/>
          <w:szCs w:val="28"/>
        </w:rPr>
        <w:t>Safety Questions for Risk Reduction</w:t>
      </w:r>
      <w:r>
        <w:rPr>
          <w:sz w:val="28"/>
          <w:szCs w:val="28"/>
        </w:rPr>
        <w:t xml:space="preserve"> (9)</w:t>
      </w:r>
    </w:p>
    <w:p w14:paraId="0326D910" w14:textId="71CD3C96" w:rsidR="00DA2A6B" w:rsidRPr="00DA2A6B" w:rsidRDefault="00DA2A6B" w:rsidP="00DA2A6B">
      <w:pPr>
        <w:pStyle w:val="ListParagraph"/>
        <w:numPr>
          <w:ilvl w:val="0"/>
          <w:numId w:val="12"/>
        </w:numPr>
        <w:rPr>
          <w:sz w:val="32"/>
          <w:szCs w:val="32"/>
        </w:rPr>
      </w:pPr>
      <w:r>
        <w:rPr>
          <w:sz w:val="32"/>
          <w:szCs w:val="32"/>
        </w:rPr>
        <w:t>References (</w:t>
      </w:r>
      <w:r w:rsidR="00595056">
        <w:rPr>
          <w:sz w:val="32"/>
          <w:szCs w:val="32"/>
        </w:rPr>
        <w:t>10</w:t>
      </w:r>
      <w:r>
        <w:rPr>
          <w:sz w:val="32"/>
          <w:szCs w:val="32"/>
        </w:rPr>
        <w:t>)</w:t>
      </w:r>
    </w:p>
    <w:p w14:paraId="05A6BF99" w14:textId="77777777" w:rsidR="006F4B7F" w:rsidRPr="00DA2A6B" w:rsidRDefault="006F4B7F" w:rsidP="00DA2A6B">
      <w:pPr>
        <w:rPr>
          <w:sz w:val="28"/>
          <w:szCs w:val="28"/>
        </w:rPr>
      </w:pPr>
    </w:p>
    <w:p w14:paraId="2E98E647" w14:textId="77777777" w:rsidR="006F4B7F" w:rsidRDefault="006F4B7F">
      <w:pPr>
        <w:rPr>
          <w:sz w:val="32"/>
          <w:szCs w:val="32"/>
        </w:rPr>
      </w:pPr>
    </w:p>
    <w:p w14:paraId="7E69F64D" w14:textId="77777777" w:rsidR="006F4B7F" w:rsidRDefault="006F4B7F">
      <w:pPr>
        <w:rPr>
          <w:sz w:val="32"/>
          <w:szCs w:val="32"/>
        </w:rPr>
      </w:pPr>
    </w:p>
    <w:p w14:paraId="1ABA7595" w14:textId="77777777" w:rsidR="006F4B7F" w:rsidRDefault="006F4B7F">
      <w:pPr>
        <w:rPr>
          <w:sz w:val="32"/>
          <w:szCs w:val="32"/>
        </w:rPr>
      </w:pPr>
    </w:p>
    <w:p w14:paraId="1D7CE824" w14:textId="77777777" w:rsidR="006F4B7F" w:rsidRDefault="006F4B7F">
      <w:pPr>
        <w:rPr>
          <w:sz w:val="32"/>
          <w:szCs w:val="32"/>
        </w:rPr>
      </w:pPr>
    </w:p>
    <w:p w14:paraId="19EC133D" w14:textId="77777777" w:rsidR="006F4B7F" w:rsidRDefault="006F4B7F">
      <w:pPr>
        <w:rPr>
          <w:sz w:val="32"/>
          <w:szCs w:val="32"/>
        </w:rPr>
      </w:pPr>
    </w:p>
    <w:p w14:paraId="03B629FE" w14:textId="77777777" w:rsidR="006F4B7F" w:rsidRDefault="006F4B7F">
      <w:pPr>
        <w:rPr>
          <w:sz w:val="32"/>
          <w:szCs w:val="32"/>
        </w:rPr>
      </w:pPr>
    </w:p>
    <w:p w14:paraId="00CC76F7" w14:textId="77777777" w:rsidR="006F4B7F" w:rsidRDefault="006F4B7F">
      <w:pPr>
        <w:rPr>
          <w:sz w:val="32"/>
          <w:szCs w:val="32"/>
        </w:rPr>
      </w:pPr>
    </w:p>
    <w:p w14:paraId="784E8272" w14:textId="77777777" w:rsidR="006F4B7F" w:rsidRDefault="006F4B7F">
      <w:pPr>
        <w:rPr>
          <w:sz w:val="32"/>
          <w:szCs w:val="32"/>
        </w:rPr>
      </w:pPr>
    </w:p>
    <w:p w14:paraId="5179E9F1" w14:textId="77777777" w:rsidR="00DA2A6B" w:rsidRDefault="00DA2A6B">
      <w:pPr>
        <w:rPr>
          <w:sz w:val="32"/>
          <w:szCs w:val="32"/>
        </w:rPr>
      </w:pPr>
    </w:p>
    <w:p w14:paraId="535B6DB6" w14:textId="4561BC19" w:rsidR="00456B42" w:rsidRDefault="00456B42">
      <w:pPr>
        <w:rPr>
          <w:sz w:val="32"/>
          <w:szCs w:val="32"/>
        </w:rPr>
      </w:pPr>
      <w:r>
        <w:rPr>
          <w:sz w:val="32"/>
          <w:szCs w:val="32"/>
        </w:rPr>
        <w:lastRenderedPageBreak/>
        <w:t>Abstract:</w:t>
      </w:r>
    </w:p>
    <w:p w14:paraId="5404B86D" w14:textId="67412598" w:rsidR="00456B42" w:rsidRPr="00456B42" w:rsidRDefault="00456B42">
      <w:pPr>
        <w:rPr>
          <w:sz w:val="24"/>
          <w:szCs w:val="24"/>
        </w:rPr>
      </w:pPr>
      <w:r>
        <w:rPr>
          <w:sz w:val="24"/>
          <w:szCs w:val="24"/>
        </w:rPr>
        <w:t xml:space="preserve">This report critically evaluates the proposal by BigBang Storage Solutions to construct a five-unit </w:t>
      </w:r>
      <w:r w:rsidR="00AF22A9">
        <w:rPr>
          <w:sz w:val="24"/>
          <w:szCs w:val="24"/>
        </w:rPr>
        <w:t>earth-covered explosive storehouse ammunition depot at the SA1 Waterfront, Swansea. Each ESH will be able to hold up to 1000kg of each hazard division (1.1, 1.2, 1.3, 1.4) and there will be a total of 7500kg NEQ stored there. Using the International Ammunition Technical Guidelines (IATG)</w:t>
      </w:r>
      <w:r w:rsidR="006F4B7F">
        <w:rPr>
          <w:sz w:val="24"/>
          <w:szCs w:val="24"/>
        </w:rPr>
        <w:t xml:space="preserve"> as the primary regulator framework, the assessment examines hazard classification, compatibility grouping and quantity-distance requirements for hazard divisions 1.1 – 1.4. Findings demonstrate that the proposed inhabited building distance of 125m and vulnerable building distance of 300m fall substantially below IATG minimums, which for 1000 – 1500kg HD1.1 typically exceed 400m and 500m respectively. The proposed layout also lacks traverses, significantly increasing the likelihood of sympathetic detonation between ESHs and elevating the effective explosive weight. Compatibility arrangements appear non-compliant without strict segregation, particularly regarding HD 1.1B, 1.1F and 1.2F items. Environmental and maritime risks are intensified by the densely populated, mixed use waterfront location and constrained marine navigational routes. The report concludes that the proposed site is unsuitable for explosive storage and recommends alternative siting in a lower-density inland industrial zone. A comprehensive safety plan, revised QD assessment and full quantitative risk assessment are required before any future proposal can proceed. </w:t>
      </w:r>
    </w:p>
    <w:p w14:paraId="1F70C975" w14:textId="242C523B" w:rsidR="00021989" w:rsidRDefault="00F34CBE">
      <w:pPr>
        <w:rPr>
          <w:sz w:val="32"/>
          <w:szCs w:val="32"/>
        </w:rPr>
      </w:pPr>
      <w:r>
        <w:rPr>
          <w:sz w:val="32"/>
          <w:szCs w:val="32"/>
        </w:rPr>
        <w:t>Introduction:</w:t>
      </w:r>
    </w:p>
    <w:p w14:paraId="19D27FFE" w14:textId="0C33B0F9" w:rsidR="00F34CBE" w:rsidRPr="00F34CBE" w:rsidRDefault="00F34CBE" w:rsidP="00F34CBE">
      <w:pPr>
        <w:rPr>
          <w:sz w:val="24"/>
          <w:szCs w:val="24"/>
        </w:rPr>
      </w:pPr>
      <w:r w:rsidRPr="00F34CBE">
        <w:rPr>
          <w:sz w:val="24"/>
          <w:szCs w:val="24"/>
        </w:rPr>
        <w:t xml:space="preserve">Explosives storage near populated or maritime areas demands rigorous adherence to safety legislation and international best practice. The City and County of Swansea Council has received a proposal from BigBang Storage Solutions to establish an ammunition depot consisting of five earth-covered </w:t>
      </w:r>
      <w:r w:rsidR="00456B42">
        <w:rPr>
          <w:sz w:val="24"/>
          <w:szCs w:val="24"/>
        </w:rPr>
        <w:t>explosive storehouses</w:t>
      </w:r>
      <w:r w:rsidRPr="00F34CBE">
        <w:rPr>
          <w:sz w:val="24"/>
          <w:szCs w:val="24"/>
        </w:rPr>
        <w:t xml:space="preserve"> (ESHs) at the SA1 Waterfront — a location characterised by mixed commercial, residential and recreational use.</w:t>
      </w:r>
    </w:p>
    <w:p w14:paraId="2178A498" w14:textId="761C13D5" w:rsidR="00F34CBE" w:rsidRDefault="00F34CBE" w:rsidP="00F34CBE">
      <w:pPr>
        <w:rPr>
          <w:sz w:val="24"/>
          <w:szCs w:val="24"/>
        </w:rPr>
      </w:pPr>
      <w:r w:rsidRPr="00F34CBE">
        <w:rPr>
          <w:sz w:val="24"/>
          <w:szCs w:val="24"/>
        </w:rPr>
        <w:t>The Council, lacking internal ordnance and munitions expertise, has requested an independent academic safety review to validate the proposed safety distances and identify key risks and control measures. This report interprets and applies explosives legislation, with particular reference to IATG guidelines, to determine whether the proposal provides adequate protection to the public, infrastructure and maritime users.</w:t>
      </w:r>
    </w:p>
    <w:p w14:paraId="505CC907" w14:textId="77777777" w:rsidR="00186C69" w:rsidRDefault="00186C69" w:rsidP="00F34CBE">
      <w:pPr>
        <w:rPr>
          <w:sz w:val="24"/>
          <w:szCs w:val="24"/>
        </w:rPr>
      </w:pPr>
    </w:p>
    <w:p w14:paraId="110EEED1" w14:textId="570C7918" w:rsidR="00186C69" w:rsidRDefault="00186C69" w:rsidP="00F34CBE">
      <w:pPr>
        <w:rPr>
          <w:sz w:val="32"/>
          <w:szCs w:val="32"/>
        </w:rPr>
      </w:pPr>
      <w:r>
        <w:rPr>
          <w:sz w:val="32"/>
          <w:szCs w:val="32"/>
        </w:rPr>
        <w:t>Legal and Regulator</w:t>
      </w:r>
      <w:r w:rsidR="00E64C8B">
        <w:rPr>
          <w:sz w:val="32"/>
          <w:szCs w:val="32"/>
        </w:rPr>
        <w:t>y</w:t>
      </w:r>
      <w:r>
        <w:rPr>
          <w:sz w:val="32"/>
          <w:szCs w:val="32"/>
        </w:rPr>
        <w:t xml:space="preserve"> Framework</w:t>
      </w:r>
      <w:r w:rsidR="00E64C8B">
        <w:rPr>
          <w:sz w:val="32"/>
          <w:szCs w:val="32"/>
        </w:rPr>
        <w:t>:</w:t>
      </w:r>
    </w:p>
    <w:p w14:paraId="35F6CCD2" w14:textId="1BD12D4E" w:rsidR="00E64C8B" w:rsidRDefault="00E64C8B" w:rsidP="00F34CBE">
      <w:pPr>
        <w:rPr>
          <w:sz w:val="28"/>
          <w:szCs w:val="28"/>
        </w:rPr>
      </w:pPr>
      <w:r>
        <w:rPr>
          <w:sz w:val="28"/>
          <w:szCs w:val="28"/>
        </w:rPr>
        <w:t>Explosives Legislation Overview</w:t>
      </w:r>
    </w:p>
    <w:p w14:paraId="6B3A9D34" w14:textId="1C1E5DC4" w:rsidR="00E64C8B" w:rsidRDefault="004F05BF" w:rsidP="00F34CBE">
      <w:pPr>
        <w:rPr>
          <w:sz w:val="24"/>
          <w:szCs w:val="24"/>
        </w:rPr>
      </w:pPr>
      <w:r>
        <w:rPr>
          <w:sz w:val="24"/>
          <w:szCs w:val="24"/>
        </w:rPr>
        <w:t>Explosives safety management is primarily guided by three regulatory domains:</w:t>
      </w:r>
    </w:p>
    <w:p w14:paraId="1CE5ADFE" w14:textId="111479CA" w:rsidR="004F05BF" w:rsidRDefault="004F05BF" w:rsidP="004F05BF">
      <w:pPr>
        <w:pStyle w:val="ListParagraph"/>
        <w:numPr>
          <w:ilvl w:val="0"/>
          <w:numId w:val="1"/>
        </w:numPr>
        <w:rPr>
          <w:sz w:val="24"/>
          <w:szCs w:val="24"/>
        </w:rPr>
      </w:pPr>
      <w:r>
        <w:rPr>
          <w:sz w:val="24"/>
          <w:szCs w:val="24"/>
        </w:rPr>
        <w:t>International Standards: IATG modules covering hazard classification, compatibility, quantity-distances (QD), licensing and storage design</w:t>
      </w:r>
      <w:r w:rsidR="0083677F">
        <w:rPr>
          <w:sz w:val="24"/>
          <w:szCs w:val="24"/>
        </w:rPr>
        <w:t>.</w:t>
      </w:r>
    </w:p>
    <w:p w14:paraId="30A47D51" w14:textId="40B492EB" w:rsidR="004F05BF" w:rsidRDefault="004F05BF" w:rsidP="004F05BF">
      <w:pPr>
        <w:pStyle w:val="ListParagraph"/>
        <w:numPr>
          <w:ilvl w:val="0"/>
          <w:numId w:val="1"/>
        </w:numPr>
        <w:rPr>
          <w:sz w:val="24"/>
          <w:szCs w:val="24"/>
        </w:rPr>
      </w:pPr>
      <w:r>
        <w:rPr>
          <w:sz w:val="24"/>
          <w:szCs w:val="24"/>
        </w:rPr>
        <w:lastRenderedPageBreak/>
        <w:t xml:space="preserve">UN Transport Regulations: The UN Recommendations on the Transport of Dangerous Goods (Orange Book), providing hazard classification and packaging requirements. </w:t>
      </w:r>
    </w:p>
    <w:p w14:paraId="272F2B7D" w14:textId="69A48AE6" w:rsidR="004F05BF" w:rsidRDefault="004F05BF" w:rsidP="004F05BF">
      <w:pPr>
        <w:pStyle w:val="ListParagraph"/>
        <w:numPr>
          <w:ilvl w:val="0"/>
          <w:numId w:val="1"/>
        </w:numPr>
        <w:rPr>
          <w:sz w:val="24"/>
          <w:szCs w:val="24"/>
        </w:rPr>
      </w:pPr>
      <w:r>
        <w:rPr>
          <w:sz w:val="24"/>
          <w:szCs w:val="24"/>
        </w:rPr>
        <w:t>UK Regulations: The Explosives Regulations 2014 (ER2014) govern storage licensing and risk control for civilian explosives</w:t>
      </w:r>
      <w:sdt>
        <w:sdtPr>
          <w:rPr>
            <w:sz w:val="24"/>
            <w:szCs w:val="24"/>
          </w:rPr>
          <w:id w:val="-629391437"/>
          <w:citation/>
        </w:sdtPr>
        <w:sdtEndPr/>
        <w:sdtContent>
          <w:r w:rsidR="00932B28">
            <w:rPr>
              <w:sz w:val="24"/>
              <w:szCs w:val="24"/>
            </w:rPr>
            <w:fldChar w:fldCharType="begin"/>
          </w:r>
          <w:r w:rsidR="00932B28">
            <w:rPr>
              <w:sz w:val="24"/>
              <w:szCs w:val="24"/>
            </w:rPr>
            <w:instrText xml:space="preserve"> CITATION HSE14 \l 2057 </w:instrText>
          </w:r>
          <w:r w:rsidR="00932B28">
            <w:rPr>
              <w:sz w:val="24"/>
              <w:szCs w:val="24"/>
            </w:rPr>
            <w:fldChar w:fldCharType="separate"/>
          </w:r>
          <w:r w:rsidR="00932B28">
            <w:rPr>
              <w:noProof/>
              <w:sz w:val="24"/>
              <w:szCs w:val="24"/>
            </w:rPr>
            <w:t xml:space="preserve"> </w:t>
          </w:r>
          <w:r w:rsidR="00932B28" w:rsidRPr="00932B28">
            <w:rPr>
              <w:noProof/>
              <w:sz w:val="24"/>
              <w:szCs w:val="24"/>
            </w:rPr>
            <w:t>[1]</w:t>
          </w:r>
          <w:r w:rsidR="00932B28">
            <w:rPr>
              <w:sz w:val="24"/>
              <w:szCs w:val="24"/>
            </w:rPr>
            <w:fldChar w:fldCharType="end"/>
          </w:r>
        </w:sdtContent>
      </w:sdt>
      <w:r>
        <w:rPr>
          <w:sz w:val="24"/>
          <w:szCs w:val="24"/>
        </w:rPr>
        <w:t>.</w:t>
      </w:r>
    </w:p>
    <w:p w14:paraId="55B24616" w14:textId="2065D9E3" w:rsidR="004F05BF" w:rsidRDefault="004F05BF" w:rsidP="004F05BF">
      <w:pPr>
        <w:rPr>
          <w:sz w:val="24"/>
          <w:szCs w:val="24"/>
        </w:rPr>
      </w:pPr>
      <w:r>
        <w:rPr>
          <w:sz w:val="24"/>
          <w:szCs w:val="24"/>
        </w:rPr>
        <w:t>Although ER2014 is UK-specific</w:t>
      </w:r>
      <w:r w:rsidR="0041130D">
        <w:rPr>
          <w:sz w:val="24"/>
          <w:szCs w:val="24"/>
        </w:rPr>
        <w:t>, IATG is used here as a neutral technical framework suitable for academic analysis.</w:t>
      </w:r>
    </w:p>
    <w:p w14:paraId="748DD38E" w14:textId="1C2808CC" w:rsidR="0041130D" w:rsidRDefault="0083677F" w:rsidP="004F05BF">
      <w:pPr>
        <w:rPr>
          <w:sz w:val="28"/>
          <w:szCs w:val="28"/>
        </w:rPr>
      </w:pPr>
      <w:r>
        <w:rPr>
          <w:sz w:val="28"/>
          <w:szCs w:val="28"/>
        </w:rPr>
        <w:t>Core Legal Principles</w:t>
      </w:r>
    </w:p>
    <w:p w14:paraId="0C26EEDA" w14:textId="72CF333C" w:rsidR="0083677F" w:rsidRDefault="0083677F" w:rsidP="004F05BF">
      <w:pPr>
        <w:rPr>
          <w:sz w:val="24"/>
          <w:szCs w:val="24"/>
        </w:rPr>
      </w:pPr>
      <w:r>
        <w:rPr>
          <w:sz w:val="24"/>
          <w:szCs w:val="24"/>
        </w:rPr>
        <w:t>Across all regulatory systems, five fundamental principles are consistent:</w:t>
      </w:r>
    </w:p>
    <w:p w14:paraId="5C512DFF" w14:textId="6AEE0DB4" w:rsidR="0083677F" w:rsidRDefault="0083677F" w:rsidP="0083677F">
      <w:pPr>
        <w:pStyle w:val="ListParagraph"/>
        <w:numPr>
          <w:ilvl w:val="0"/>
          <w:numId w:val="3"/>
        </w:numPr>
        <w:rPr>
          <w:sz w:val="24"/>
          <w:szCs w:val="24"/>
        </w:rPr>
      </w:pPr>
      <w:r>
        <w:rPr>
          <w:sz w:val="24"/>
          <w:szCs w:val="24"/>
        </w:rPr>
        <w:t>Hazard classification and compatibility must be correct (IATG 01.50)</w:t>
      </w:r>
      <w:sdt>
        <w:sdtPr>
          <w:rPr>
            <w:sz w:val="24"/>
            <w:szCs w:val="24"/>
          </w:rPr>
          <w:id w:val="953443248"/>
          <w:citation/>
        </w:sdtPr>
        <w:sdtEndPr/>
        <w:sdtContent>
          <w:r w:rsidR="00932B28">
            <w:rPr>
              <w:sz w:val="24"/>
              <w:szCs w:val="24"/>
            </w:rPr>
            <w:fldChar w:fldCharType="begin"/>
          </w:r>
          <w:r w:rsidR="00932B28">
            <w:rPr>
              <w:sz w:val="24"/>
              <w:szCs w:val="24"/>
            </w:rPr>
            <w:instrText xml:space="preserve"> CITATION UNS211 \l 2057 </w:instrText>
          </w:r>
          <w:r w:rsidR="00932B28">
            <w:rPr>
              <w:sz w:val="24"/>
              <w:szCs w:val="24"/>
            </w:rPr>
            <w:fldChar w:fldCharType="separate"/>
          </w:r>
          <w:r w:rsidR="00932B28">
            <w:rPr>
              <w:noProof/>
              <w:sz w:val="24"/>
              <w:szCs w:val="24"/>
            </w:rPr>
            <w:t xml:space="preserve"> </w:t>
          </w:r>
          <w:r w:rsidR="00932B28" w:rsidRPr="00932B28">
            <w:rPr>
              <w:noProof/>
              <w:sz w:val="24"/>
              <w:szCs w:val="24"/>
            </w:rPr>
            <w:t>[2]</w:t>
          </w:r>
          <w:r w:rsidR="00932B28">
            <w:rPr>
              <w:sz w:val="24"/>
              <w:szCs w:val="24"/>
            </w:rPr>
            <w:fldChar w:fldCharType="end"/>
          </w:r>
        </w:sdtContent>
      </w:sdt>
      <w:r>
        <w:rPr>
          <w:sz w:val="24"/>
          <w:szCs w:val="24"/>
        </w:rPr>
        <w:t>.</w:t>
      </w:r>
    </w:p>
    <w:p w14:paraId="766B6527" w14:textId="6DAEC426" w:rsidR="0083677F" w:rsidRDefault="0083677F" w:rsidP="0083677F">
      <w:pPr>
        <w:pStyle w:val="ListParagraph"/>
        <w:numPr>
          <w:ilvl w:val="0"/>
          <w:numId w:val="3"/>
        </w:numPr>
        <w:rPr>
          <w:sz w:val="24"/>
          <w:szCs w:val="24"/>
        </w:rPr>
      </w:pPr>
      <w:r>
        <w:rPr>
          <w:sz w:val="24"/>
          <w:szCs w:val="24"/>
        </w:rPr>
        <w:t>Minimum safety distances must be met based on NEQ and Hazard Division (IATG 02.20)</w:t>
      </w:r>
      <w:sdt>
        <w:sdtPr>
          <w:rPr>
            <w:sz w:val="24"/>
            <w:szCs w:val="24"/>
          </w:rPr>
          <w:id w:val="623889663"/>
          <w:citation/>
        </w:sdtPr>
        <w:sdtEndPr/>
        <w:sdtContent>
          <w:r w:rsidR="00932B28">
            <w:rPr>
              <w:sz w:val="24"/>
              <w:szCs w:val="24"/>
            </w:rPr>
            <w:fldChar w:fldCharType="begin"/>
          </w:r>
          <w:r w:rsidR="00932B28">
            <w:rPr>
              <w:sz w:val="24"/>
              <w:szCs w:val="24"/>
            </w:rPr>
            <w:instrText xml:space="preserve"> CITATION UNS212 \l 2057 </w:instrText>
          </w:r>
          <w:r w:rsidR="00932B28">
            <w:rPr>
              <w:sz w:val="24"/>
              <w:szCs w:val="24"/>
            </w:rPr>
            <w:fldChar w:fldCharType="separate"/>
          </w:r>
          <w:r w:rsidR="00932B28">
            <w:rPr>
              <w:noProof/>
              <w:sz w:val="24"/>
              <w:szCs w:val="24"/>
            </w:rPr>
            <w:t xml:space="preserve"> </w:t>
          </w:r>
          <w:r w:rsidR="00932B28" w:rsidRPr="00932B28">
            <w:rPr>
              <w:noProof/>
              <w:sz w:val="24"/>
              <w:szCs w:val="24"/>
            </w:rPr>
            <w:t>[3]</w:t>
          </w:r>
          <w:r w:rsidR="00932B28">
            <w:rPr>
              <w:sz w:val="24"/>
              <w:szCs w:val="24"/>
            </w:rPr>
            <w:fldChar w:fldCharType="end"/>
          </w:r>
        </w:sdtContent>
      </w:sdt>
      <w:r>
        <w:rPr>
          <w:sz w:val="24"/>
          <w:szCs w:val="24"/>
        </w:rPr>
        <w:t>.</w:t>
      </w:r>
    </w:p>
    <w:p w14:paraId="6DEE5A70" w14:textId="0B24695B" w:rsidR="0083677F" w:rsidRDefault="0083677F" w:rsidP="0083677F">
      <w:pPr>
        <w:pStyle w:val="ListParagraph"/>
        <w:numPr>
          <w:ilvl w:val="0"/>
          <w:numId w:val="3"/>
        </w:numPr>
        <w:rPr>
          <w:sz w:val="24"/>
          <w:szCs w:val="24"/>
        </w:rPr>
      </w:pPr>
      <w:r>
        <w:rPr>
          <w:sz w:val="24"/>
          <w:szCs w:val="24"/>
        </w:rPr>
        <w:t>Risk must be reduced as low as reasonably practicable (ALARP).</w:t>
      </w:r>
    </w:p>
    <w:p w14:paraId="5746C946" w14:textId="16A00085" w:rsidR="0083677F" w:rsidRDefault="0083677F" w:rsidP="0083677F">
      <w:pPr>
        <w:pStyle w:val="ListParagraph"/>
        <w:numPr>
          <w:ilvl w:val="0"/>
          <w:numId w:val="3"/>
        </w:numPr>
        <w:rPr>
          <w:sz w:val="24"/>
          <w:szCs w:val="24"/>
        </w:rPr>
      </w:pPr>
      <w:r>
        <w:rPr>
          <w:sz w:val="24"/>
          <w:szCs w:val="24"/>
        </w:rPr>
        <w:t>Infrastructure must be designed to reduce or direct blast effects (IATG 05.20)</w:t>
      </w:r>
      <w:sdt>
        <w:sdtPr>
          <w:rPr>
            <w:sz w:val="24"/>
            <w:szCs w:val="24"/>
          </w:rPr>
          <w:id w:val="185259176"/>
          <w:citation/>
        </w:sdtPr>
        <w:sdtEndPr/>
        <w:sdtContent>
          <w:r w:rsidR="00EC3741">
            <w:rPr>
              <w:sz w:val="24"/>
              <w:szCs w:val="24"/>
            </w:rPr>
            <w:fldChar w:fldCharType="begin"/>
          </w:r>
          <w:r w:rsidR="00EC3741">
            <w:rPr>
              <w:sz w:val="24"/>
              <w:szCs w:val="24"/>
            </w:rPr>
            <w:instrText xml:space="preserve"> CITATION UNS213 \l 2057 </w:instrText>
          </w:r>
          <w:r w:rsidR="00EC3741">
            <w:rPr>
              <w:sz w:val="24"/>
              <w:szCs w:val="24"/>
            </w:rPr>
            <w:fldChar w:fldCharType="separate"/>
          </w:r>
          <w:r w:rsidR="00EC3741">
            <w:rPr>
              <w:noProof/>
              <w:sz w:val="24"/>
              <w:szCs w:val="24"/>
            </w:rPr>
            <w:t xml:space="preserve"> </w:t>
          </w:r>
          <w:r w:rsidR="00EC3741" w:rsidRPr="00EC3741">
            <w:rPr>
              <w:noProof/>
              <w:sz w:val="24"/>
              <w:szCs w:val="24"/>
            </w:rPr>
            <w:t>[4]</w:t>
          </w:r>
          <w:r w:rsidR="00EC3741">
            <w:rPr>
              <w:sz w:val="24"/>
              <w:szCs w:val="24"/>
            </w:rPr>
            <w:fldChar w:fldCharType="end"/>
          </w:r>
        </w:sdtContent>
      </w:sdt>
      <w:r>
        <w:rPr>
          <w:sz w:val="24"/>
          <w:szCs w:val="24"/>
        </w:rPr>
        <w:t>.</w:t>
      </w:r>
    </w:p>
    <w:p w14:paraId="0D9BF361" w14:textId="1326946B" w:rsidR="0083677F" w:rsidRDefault="0083677F" w:rsidP="0083677F">
      <w:pPr>
        <w:pStyle w:val="ListParagraph"/>
        <w:numPr>
          <w:ilvl w:val="0"/>
          <w:numId w:val="3"/>
        </w:numPr>
        <w:rPr>
          <w:sz w:val="24"/>
          <w:szCs w:val="24"/>
        </w:rPr>
      </w:pPr>
      <w:r>
        <w:rPr>
          <w:sz w:val="24"/>
          <w:szCs w:val="24"/>
        </w:rPr>
        <w:t>The licensing authority must be able to demonstrate duty of care and defensible decision-making (IATG 02.30)</w:t>
      </w:r>
      <w:sdt>
        <w:sdtPr>
          <w:rPr>
            <w:sz w:val="24"/>
            <w:szCs w:val="24"/>
          </w:rPr>
          <w:id w:val="1983182241"/>
          <w:citation/>
        </w:sdtPr>
        <w:sdtEndPr/>
        <w:sdtContent>
          <w:r w:rsidR="00EC3741">
            <w:rPr>
              <w:sz w:val="24"/>
              <w:szCs w:val="24"/>
            </w:rPr>
            <w:fldChar w:fldCharType="begin"/>
          </w:r>
          <w:r w:rsidR="00EC3741">
            <w:rPr>
              <w:sz w:val="24"/>
              <w:szCs w:val="24"/>
            </w:rPr>
            <w:instrText xml:space="preserve"> CITATION UNS214 \l 2057 </w:instrText>
          </w:r>
          <w:r w:rsidR="00EC3741">
            <w:rPr>
              <w:sz w:val="24"/>
              <w:szCs w:val="24"/>
            </w:rPr>
            <w:fldChar w:fldCharType="separate"/>
          </w:r>
          <w:r w:rsidR="00EC3741">
            <w:rPr>
              <w:noProof/>
              <w:sz w:val="24"/>
              <w:szCs w:val="24"/>
            </w:rPr>
            <w:t xml:space="preserve"> </w:t>
          </w:r>
          <w:r w:rsidR="00EC3741" w:rsidRPr="00EC3741">
            <w:rPr>
              <w:noProof/>
              <w:sz w:val="24"/>
              <w:szCs w:val="24"/>
            </w:rPr>
            <w:t>[5]</w:t>
          </w:r>
          <w:r w:rsidR="00EC3741">
            <w:rPr>
              <w:sz w:val="24"/>
              <w:szCs w:val="24"/>
            </w:rPr>
            <w:fldChar w:fldCharType="end"/>
          </w:r>
        </w:sdtContent>
      </w:sdt>
      <w:r>
        <w:rPr>
          <w:sz w:val="24"/>
          <w:szCs w:val="24"/>
        </w:rPr>
        <w:t>.</w:t>
      </w:r>
    </w:p>
    <w:p w14:paraId="7F108F1B" w14:textId="77777777" w:rsidR="0083677F" w:rsidRDefault="0083677F" w:rsidP="0083677F">
      <w:pPr>
        <w:rPr>
          <w:sz w:val="24"/>
          <w:szCs w:val="24"/>
        </w:rPr>
      </w:pPr>
    </w:p>
    <w:p w14:paraId="664F2782" w14:textId="72F070C5" w:rsidR="0083677F" w:rsidRDefault="0083677F" w:rsidP="0083677F">
      <w:pPr>
        <w:rPr>
          <w:sz w:val="32"/>
          <w:szCs w:val="32"/>
        </w:rPr>
      </w:pPr>
      <w:r>
        <w:rPr>
          <w:sz w:val="32"/>
          <w:szCs w:val="32"/>
        </w:rPr>
        <w:t>Technical Assessment of the Proposal:</w:t>
      </w:r>
    </w:p>
    <w:p w14:paraId="16A5486D" w14:textId="55B6BC10" w:rsidR="0083677F" w:rsidRDefault="0083677F" w:rsidP="0083677F">
      <w:pPr>
        <w:rPr>
          <w:sz w:val="28"/>
          <w:szCs w:val="28"/>
        </w:rPr>
      </w:pPr>
      <w:bookmarkStart w:id="0" w:name="_Hlk216425663"/>
      <w:r>
        <w:rPr>
          <w:sz w:val="28"/>
          <w:szCs w:val="28"/>
        </w:rPr>
        <w:t>Summary of Proposed Storage Quantities</w:t>
      </w:r>
    </w:p>
    <w:bookmarkEnd w:id="0"/>
    <w:p w14:paraId="2B582277" w14:textId="775A31C6" w:rsidR="0083677F" w:rsidRDefault="00B6667B" w:rsidP="0083677F">
      <w:pPr>
        <w:rPr>
          <w:sz w:val="24"/>
          <w:szCs w:val="24"/>
        </w:rPr>
      </w:pPr>
      <w:r>
        <w:rPr>
          <w:sz w:val="24"/>
          <w:szCs w:val="24"/>
        </w:rPr>
        <w:t xml:space="preserve">BigBang Storage Solutions propose five earth-covered explosive storehouses (ESH), each capable of holding up to 1000kg NEQ of each hazard division. The ESHs are untraversed and with </w:t>
      </w:r>
      <w:r w:rsidR="00773C24">
        <w:rPr>
          <w:sz w:val="24"/>
          <w:szCs w:val="24"/>
        </w:rPr>
        <w:t>“directional effects for blast described as side of magazine perpendicular to the direction of the exp</w:t>
      </w:r>
      <w:r w:rsidR="00E71DFD">
        <w:rPr>
          <w:sz w:val="24"/>
          <w:szCs w:val="24"/>
        </w:rPr>
        <w:t>osed</w:t>
      </w:r>
      <w:r w:rsidR="00773C24">
        <w:rPr>
          <w:sz w:val="24"/>
          <w:szCs w:val="24"/>
        </w:rPr>
        <w:t xml:space="preserve"> site (ES)”. This means the ESHs are designed with a weak face for blast venting, with the reinforced and earth-covered side walls oriented at 90 degrees to the venting direction. This design ensures overpressure is released through the weaker side consistent with IATG 05.20 principles of directional blast management. It ensures the </w:t>
      </w:r>
      <w:r w:rsidR="00B14D36">
        <w:rPr>
          <w:sz w:val="24"/>
          <w:szCs w:val="24"/>
        </w:rPr>
        <w:t>blast is vented away from the exposed site</w:t>
      </w:r>
      <w:sdt>
        <w:sdtPr>
          <w:rPr>
            <w:sz w:val="24"/>
            <w:szCs w:val="24"/>
          </w:rPr>
          <w:id w:val="-491104617"/>
          <w:citation/>
        </w:sdtPr>
        <w:sdtEndPr/>
        <w:sdtContent>
          <w:r w:rsidR="00EC3741">
            <w:rPr>
              <w:sz w:val="24"/>
              <w:szCs w:val="24"/>
            </w:rPr>
            <w:fldChar w:fldCharType="begin"/>
          </w:r>
          <w:r w:rsidR="00EC3741">
            <w:rPr>
              <w:sz w:val="24"/>
              <w:szCs w:val="24"/>
            </w:rPr>
            <w:instrText xml:space="preserve"> CITATION UNS213 \l 2057 </w:instrText>
          </w:r>
          <w:r w:rsidR="00EC3741">
            <w:rPr>
              <w:sz w:val="24"/>
              <w:szCs w:val="24"/>
            </w:rPr>
            <w:fldChar w:fldCharType="separate"/>
          </w:r>
          <w:r w:rsidR="00EC3741">
            <w:rPr>
              <w:noProof/>
              <w:sz w:val="24"/>
              <w:szCs w:val="24"/>
            </w:rPr>
            <w:t xml:space="preserve"> </w:t>
          </w:r>
          <w:r w:rsidR="00EC3741" w:rsidRPr="00EC3741">
            <w:rPr>
              <w:noProof/>
              <w:sz w:val="24"/>
              <w:szCs w:val="24"/>
            </w:rPr>
            <w:t>[4]</w:t>
          </w:r>
          <w:r w:rsidR="00EC3741">
            <w:rPr>
              <w:sz w:val="24"/>
              <w:szCs w:val="24"/>
            </w:rPr>
            <w:fldChar w:fldCharType="end"/>
          </w:r>
        </w:sdtContent>
      </w:sdt>
      <w:r w:rsidR="00B14D36">
        <w:rPr>
          <w:sz w:val="24"/>
          <w:szCs w:val="24"/>
        </w:rPr>
        <w:t>.</w:t>
      </w:r>
    </w:p>
    <w:p w14:paraId="67B83F16" w14:textId="2F374A5A" w:rsidR="00773C24" w:rsidRDefault="00773C24" w:rsidP="0083677F">
      <w:pPr>
        <w:rPr>
          <w:sz w:val="24"/>
          <w:szCs w:val="24"/>
        </w:rPr>
      </w:pPr>
      <w:r>
        <w:rPr>
          <w:sz w:val="24"/>
          <w:szCs w:val="24"/>
        </w:rPr>
        <w:t>The total quantities by hazard division are:</w:t>
      </w:r>
    </w:p>
    <w:tbl>
      <w:tblPr>
        <w:tblStyle w:val="TableGrid"/>
        <w:tblW w:w="0" w:type="auto"/>
        <w:tblLook w:val="04A0" w:firstRow="1" w:lastRow="0" w:firstColumn="1" w:lastColumn="0" w:noHBand="0" w:noVBand="1"/>
      </w:tblPr>
      <w:tblGrid>
        <w:gridCol w:w="1980"/>
        <w:gridCol w:w="1276"/>
        <w:gridCol w:w="5760"/>
      </w:tblGrid>
      <w:tr w:rsidR="00773C24" w14:paraId="2E3484D8" w14:textId="77777777" w:rsidTr="00773C24">
        <w:tc>
          <w:tcPr>
            <w:tcW w:w="1980" w:type="dxa"/>
          </w:tcPr>
          <w:p w14:paraId="75BAF94C" w14:textId="3F276D1C" w:rsidR="00773C24" w:rsidRDefault="00773C24" w:rsidP="0083677F">
            <w:pPr>
              <w:rPr>
                <w:sz w:val="24"/>
                <w:szCs w:val="24"/>
              </w:rPr>
            </w:pPr>
            <w:r>
              <w:rPr>
                <w:sz w:val="24"/>
                <w:szCs w:val="24"/>
              </w:rPr>
              <w:t>Hazard Division</w:t>
            </w:r>
          </w:p>
        </w:tc>
        <w:tc>
          <w:tcPr>
            <w:tcW w:w="1276" w:type="dxa"/>
          </w:tcPr>
          <w:p w14:paraId="20FADDC2" w14:textId="567C6B18" w:rsidR="00773C24" w:rsidRDefault="00773C24" w:rsidP="0083677F">
            <w:pPr>
              <w:rPr>
                <w:sz w:val="24"/>
                <w:szCs w:val="24"/>
              </w:rPr>
            </w:pPr>
            <w:r>
              <w:rPr>
                <w:sz w:val="24"/>
                <w:szCs w:val="24"/>
              </w:rPr>
              <w:t>NEQ (kg)</w:t>
            </w:r>
          </w:p>
        </w:tc>
        <w:tc>
          <w:tcPr>
            <w:tcW w:w="5760" w:type="dxa"/>
          </w:tcPr>
          <w:p w14:paraId="531A2CC6" w14:textId="70D09581" w:rsidR="00773C24" w:rsidRDefault="00773C24" w:rsidP="0083677F">
            <w:pPr>
              <w:rPr>
                <w:sz w:val="24"/>
                <w:szCs w:val="24"/>
              </w:rPr>
            </w:pPr>
            <w:r>
              <w:rPr>
                <w:sz w:val="24"/>
                <w:szCs w:val="24"/>
              </w:rPr>
              <w:t>Notable Sub-Classifications</w:t>
            </w:r>
          </w:p>
        </w:tc>
      </w:tr>
      <w:tr w:rsidR="00773C24" w14:paraId="1C4B01A9" w14:textId="77777777" w:rsidTr="00773C24">
        <w:tc>
          <w:tcPr>
            <w:tcW w:w="1980" w:type="dxa"/>
          </w:tcPr>
          <w:p w14:paraId="2FD90EF0" w14:textId="74C8E055" w:rsidR="00773C24" w:rsidRDefault="00773C24" w:rsidP="0083677F">
            <w:pPr>
              <w:rPr>
                <w:sz w:val="24"/>
                <w:szCs w:val="24"/>
              </w:rPr>
            </w:pPr>
            <w:r>
              <w:rPr>
                <w:sz w:val="24"/>
                <w:szCs w:val="24"/>
              </w:rPr>
              <w:t>1.1</w:t>
            </w:r>
          </w:p>
        </w:tc>
        <w:tc>
          <w:tcPr>
            <w:tcW w:w="1276" w:type="dxa"/>
          </w:tcPr>
          <w:p w14:paraId="351ED711" w14:textId="6EDD6A4A" w:rsidR="00773C24" w:rsidRDefault="00773C24" w:rsidP="0083677F">
            <w:pPr>
              <w:rPr>
                <w:sz w:val="24"/>
                <w:szCs w:val="24"/>
              </w:rPr>
            </w:pPr>
            <w:r>
              <w:rPr>
                <w:sz w:val="24"/>
                <w:szCs w:val="24"/>
              </w:rPr>
              <w:t>5000</w:t>
            </w:r>
          </w:p>
        </w:tc>
        <w:tc>
          <w:tcPr>
            <w:tcW w:w="5760" w:type="dxa"/>
          </w:tcPr>
          <w:p w14:paraId="7B2D84C2" w14:textId="28668E66" w:rsidR="00773C24" w:rsidRDefault="00773C24" w:rsidP="0083677F">
            <w:pPr>
              <w:rPr>
                <w:sz w:val="24"/>
                <w:szCs w:val="24"/>
              </w:rPr>
            </w:pPr>
            <w:r>
              <w:rPr>
                <w:sz w:val="24"/>
                <w:szCs w:val="24"/>
              </w:rPr>
              <w:t>1.1B (50), 1.1D (3200), 1.1E (1250), 1.1F (500),</w:t>
            </w:r>
          </w:p>
        </w:tc>
      </w:tr>
      <w:tr w:rsidR="00773C24" w14:paraId="29EC671B" w14:textId="77777777" w:rsidTr="00773C24">
        <w:tc>
          <w:tcPr>
            <w:tcW w:w="1980" w:type="dxa"/>
          </w:tcPr>
          <w:p w14:paraId="048B7B8D" w14:textId="5EA24A3B" w:rsidR="00773C24" w:rsidRDefault="00773C24" w:rsidP="0083677F">
            <w:pPr>
              <w:rPr>
                <w:sz w:val="24"/>
                <w:szCs w:val="24"/>
              </w:rPr>
            </w:pPr>
            <w:r>
              <w:rPr>
                <w:sz w:val="24"/>
                <w:szCs w:val="24"/>
              </w:rPr>
              <w:t>1.2</w:t>
            </w:r>
          </w:p>
        </w:tc>
        <w:tc>
          <w:tcPr>
            <w:tcW w:w="1276" w:type="dxa"/>
          </w:tcPr>
          <w:p w14:paraId="760F8AD0" w14:textId="1349A220" w:rsidR="00773C24" w:rsidRDefault="00773C24" w:rsidP="0083677F">
            <w:pPr>
              <w:rPr>
                <w:sz w:val="24"/>
                <w:szCs w:val="24"/>
              </w:rPr>
            </w:pPr>
            <w:r>
              <w:rPr>
                <w:sz w:val="24"/>
                <w:szCs w:val="24"/>
              </w:rPr>
              <w:t>500</w:t>
            </w:r>
          </w:p>
        </w:tc>
        <w:tc>
          <w:tcPr>
            <w:tcW w:w="5760" w:type="dxa"/>
          </w:tcPr>
          <w:p w14:paraId="4D4D4F6A" w14:textId="24C804A2" w:rsidR="00773C24" w:rsidRDefault="00773C24" w:rsidP="0083677F">
            <w:pPr>
              <w:rPr>
                <w:sz w:val="24"/>
                <w:szCs w:val="24"/>
              </w:rPr>
            </w:pPr>
            <w:r>
              <w:rPr>
                <w:sz w:val="24"/>
                <w:szCs w:val="24"/>
              </w:rPr>
              <w:t>1.2C (350), 1.2D (100), 1.2F (50),</w:t>
            </w:r>
          </w:p>
        </w:tc>
      </w:tr>
      <w:tr w:rsidR="00773C24" w14:paraId="7F255DEB" w14:textId="77777777" w:rsidTr="00773C24">
        <w:tc>
          <w:tcPr>
            <w:tcW w:w="1980" w:type="dxa"/>
          </w:tcPr>
          <w:p w14:paraId="16D85667" w14:textId="72677012" w:rsidR="00773C24" w:rsidRDefault="00773C24" w:rsidP="0083677F">
            <w:pPr>
              <w:rPr>
                <w:sz w:val="24"/>
                <w:szCs w:val="24"/>
              </w:rPr>
            </w:pPr>
            <w:r>
              <w:rPr>
                <w:sz w:val="24"/>
                <w:szCs w:val="24"/>
              </w:rPr>
              <w:t>1.3</w:t>
            </w:r>
          </w:p>
        </w:tc>
        <w:tc>
          <w:tcPr>
            <w:tcW w:w="1276" w:type="dxa"/>
          </w:tcPr>
          <w:p w14:paraId="04775881" w14:textId="449AA25D" w:rsidR="00773C24" w:rsidRDefault="00773C24" w:rsidP="0083677F">
            <w:pPr>
              <w:rPr>
                <w:sz w:val="24"/>
                <w:szCs w:val="24"/>
              </w:rPr>
            </w:pPr>
            <w:r>
              <w:rPr>
                <w:sz w:val="24"/>
                <w:szCs w:val="24"/>
              </w:rPr>
              <w:t>1000</w:t>
            </w:r>
          </w:p>
        </w:tc>
        <w:tc>
          <w:tcPr>
            <w:tcW w:w="5760" w:type="dxa"/>
          </w:tcPr>
          <w:p w14:paraId="718B1158" w14:textId="7C02017E" w:rsidR="00773C24" w:rsidRDefault="00773C24" w:rsidP="0083677F">
            <w:pPr>
              <w:rPr>
                <w:sz w:val="24"/>
                <w:szCs w:val="24"/>
              </w:rPr>
            </w:pPr>
            <w:r>
              <w:rPr>
                <w:sz w:val="24"/>
                <w:szCs w:val="24"/>
              </w:rPr>
              <w:t>1.3C</w:t>
            </w:r>
          </w:p>
        </w:tc>
      </w:tr>
      <w:tr w:rsidR="00773C24" w14:paraId="11AE5AA4" w14:textId="77777777" w:rsidTr="00773C24">
        <w:tc>
          <w:tcPr>
            <w:tcW w:w="1980" w:type="dxa"/>
          </w:tcPr>
          <w:p w14:paraId="6D3C493A" w14:textId="37347DA8" w:rsidR="00773C24" w:rsidRDefault="00773C24" w:rsidP="0083677F">
            <w:pPr>
              <w:rPr>
                <w:sz w:val="24"/>
                <w:szCs w:val="24"/>
              </w:rPr>
            </w:pPr>
            <w:r>
              <w:rPr>
                <w:sz w:val="24"/>
                <w:szCs w:val="24"/>
              </w:rPr>
              <w:t>1.4</w:t>
            </w:r>
          </w:p>
        </w:tc>
        <w:tc>
          <w:tcPr>
            <w:tcW w:w="1276" w:type="dxa"/>
          </w:tcPr>
          <w:p w14:paraId="3CD22EC8" w14:textId="797FB617" w:rsidR="00773C24" w:rsidRDefault="00773C24" w:rsidP="0083677F">
            <w:pPr>
              <w:rPr>
                <w:sz w:val="24"/>
                <w:szCs w:val="24"/>
              </w:rPr>
            </w:pPr>
            <w:r>
              <w:rPr>
                <w:sz w:val="24"/>
                <w:szCs w:val="24"/>
              </w:rPr>
              <w:t>1000</w:t>
            </w:r>
          </w:p>
        </w:tc>
        <w:tc>
          <w:tcPr>
            <w:tcW w:w="5760" w:type="dxa"/>
          </w:tcPr>
          <w:p w14:paraId="66597A1B" w14:textId="166981AD" w:rsidR="00773C24" w:rsidRDefault="00773C24" w:rsidP="0083677F">
            <w:pPr>
              <w:rPr>
                <w:sz w:val="24"/>
                <w:szCs w:val="24"/>
              </w:rPr>
            </w:pPr>
            <w:r>
              <w:rPr>
                <w:sz w:val="24"/>
                <w:szCs w:val="24"/>
              </w:rPr>
              <w:t>1.4S</w:t>
            </w:r>
          </w:p>
        </w:tc>
      </w:tr>
    </w:tbl>
    <w:p w14:paraId="7442CB4E" w14:textId="4D0DCA3A" w:rsidR="00773C24" w:rsidRPr="0083677F" w:rsidRDefault="00773C24" w:rsidP="0083677F">
      <w:pPr>
        <w:rPr>
          <w:sz w:val="24"/>
          <w:szCs w:val="24"/>
        </w:rPr>
      </w:pPr>
      <w:r>
        <w:rPr>
          <w:sz w:val="24"/>
          <w:szCs w:val="24"/>
        </w:rPr>
        <w:t>Total 7500kg NEQ</w:t>
      </w:r>
    </w:p>
    <w:p w14:paraId="08F10556" w14:textId="168765E4" w:rsidR="00186C69" w:rsidRDefault="00415E77" w:rsidP="00F34CBE">
      <w:pPr>
        <w:rPr>
          <w:sz w:val="28"/>
          <w:szCs w:val="28"/>
        </w:rPr>
      </w:pPr>
      <w:bookmarkStart w:id="1" w:name="_Hlk216425698"/>
      <w:r>
        <w:rPr>
          <w:sz w:val="28"/>
          <w:szCs w:val="28"/>
        </w:rPr>
        <w:t>Compatibility Group Analysis (IATG 01.50)</w:t>
      </w:r>
    </w:p>
    <w:bookmarkEnd w:id="1"/>
    <w:p w14:paraId="7425B026" w14:textId="59DAAEF1" w:rsidR="00415E77" w:rsidRDefault="00415E77" w:rsidP="00F34CBE">
      <w:pPr>
        <w:rPr>
          <w:sz w:val="24"/>
          <w:szCs w:val="24"/>
        </w:rPr>
      </w:pPr>
      <w:r>
        <w:rPr>
          <w:sz w:val="24"/>
          <w:szCs w:val="24"/>
        </w:rPr>
        <w:t xml:space="preserve">Compatibility grouping ensures items stored together will not interact dangerously. Under IATG 01.50 Table 4, </w:t>
      </w:r>
      <w:r w:rsidR="00682425">
        <w:rPr>
          <w:sz w:val="24"/>
          <w:szCs w:val="24"/>
        </w:rPr>
        <w:t xml:space="preserve">the proposed mix of groups presents significant storage </w:t>
      </w:r>
      <w:r w:rsidR="00682425">
        <w:rPr>
          <w:sz w:val="24"/>
          <w:szCs w:val="24"/>
        </w:rPr>
        <w:lastRenderedPageBreak/>
        <w:t>limitations. Group B is “articles containing a primary explosive substance and not containing two or more effective protective features”, with examples such as detonators and blasting caps</w:t>
      </w:r>
      <w:sdt>
        <w:sdtPr>
          <w:rPr>
            <w:sz w:val="24"/>
            <w:szCs w:val="24"/>
          </w:rPr>
          <w:id w:val="-2017373147"/>
          <w:citation/>
        </w:sdtPr>
        <w:sdtEndPr/>
        <w:sdtContent>
          <w:r w:rsidR="00EC3741">
            <w:rPr>
              <w:sz w:val="24"/>
              <w:szCs w:val="24"/>
            </w:rPr>
            <w:fldChar w:fldCharType="begin"/>
          </w:r>
          <w:r w:rsidR="00EC3741">
            <w:rPr>
              <w:sz w:val="24"/>
              <w:szCs w:val="24"/>
            </w:rPr>
            <w:instrText xml:space="preserve"> CITATION UNS211 \l 2057 </w:instrText>
          </w:r>
          <w:r w:rsidR="00EC3741">
            <w:rPr>
              <w:sz w:val="24"/>
              <w:szCs w:val="24"/>
            </w:rPr>
            <w:fldChar w:fldCharType="separate"/>
          </w:r>
          <w:r w:rsidR="00EC3741">
            <w:rPr>
              <w:noProof/>
              <w:sz w:val="24"/>
              <w:szCs w:val="24"/>
            </w:rPr>
            <w:t xml:space="preserve"> </w:t>
          </w:r>
          <w:r w:rsidR="00EC3741" w:rsidRPr="00EC3741">
            <w:rPr>
              <w:noProof/>
              <w:sz w:val="24"/>
              <w:szCs w:val="24"/>
            </w:rPr>
            <w:t>[2]</w:t>
          </w:r>
          <w:r w:rsidR="00EC3741">
            <w:rPr>
              <w:sz w:val="24"/>
              <w:szCs w:val="24"/>
            </w:rPr>
            <w:fldChar w:fldCharType="end"/>
          </w:r>
        </w:sdtContent>
      </w:sdt>
      <w:r w:rsidR="00682425">
        <w:rPr>
          <w:sz w:val="24"/>
          <w:szCs w:val="24"/>
        </w:rPr>
        <w:t>. These m</w:t>
      </w:r>
      <w:r w:rsidR="00A57E1F">
        <w:rPr>
          <w:sz w:val="24"/>
          <w:szCs w:val="24"/>
        </w:rPr>
        <w:t>ay be stored</w:t>
      </w:r>
      <w:r w:rsidR="00710AD4">
        <w:rPr>
          <w:sz w:val="24"/>
          <w:szCs w:val="24"/>
        </w:rPr>
        <w:t xml:space="preserve"> with</w:t>
      </w:r>
      <w:r w:rsidR="00A57E1F">
        <w:rPr>
          <w:sz w:val="24"/>
          <w:szCs w:val="24"/>
        </w:rPr>
        <w:t xml:space="preserve"> groups C, D, E, and F, however; </w:t>
      </w:r>
      <w:r w:rsidR="00710AD4">
        <w:rPr>
          <w:sz w:val="24"/>
          <w:szCs w:val="24"/>
        </w:rPr>
        <w:t xml:space="preserve">they shall be treated as group F, due to being stored with the articles to which they will be assembled. </w:t>
      </w:r>
      <w:r w:rsidR="002B2B6A">
        <w:rPr>
          <w:sz w:val="24"/>
          <w:szCs w:val="24"/>
        </w:rPr>
        <w:t>Following that, group F explosive articles may be stored in the same building as groups C, D and E, as long as they are segregated effectively to prevent propagation. Group S items are usually permitted with most other groups if packaging prevents propagation, but mixed storage with group B or F may invalidate “S” classification</w:t>
      </w:r>
      <w:sdt>
        <w:sdtPr>
          <w:rPr>
            <w:sz w:val="24"/>
            <w:szCs w:val="24"/>
          </w:rPr>
          <w:id w:val="-763990431"/>
          <w:citation/>
        </w:sdtPr>
        <w:sdtEndPr/>
        <w:sdtContent>
          <w:r w:rsidR="00EC3741">
            <w:rPr>
              <w:sz w:val="24"/>
              <w:szCs w:val="24"/>
            </w:rPr>
            <w:fldChar w:fldCharType="begin"/>
          </w:r>
          <w:r w:rsidR="00EC3741">
            <w:rPr>
              <w:sz w:val="24"/>
              <w:szCs w:val="24"/>
            </w:rPr>
            <w:instrText xml:space="preserve"> CITATION UNS211 \l 2057 </w:instrText>
          </w:r>
          <w:r w:rsidR="00EC3741">
            <w:rPr>
              <w:sz w:val="24"/>
              <w:szCs w:val="24"/>
            </w:rPr>
            <w:fldChar w:fldCharType="separate"/>
          </w:r>
          <w:r w:rsidR="00EC3741">
            <w:rPr>
              <w:noProof/>
              <w:sz w:val="24"/>
              <w:szCs w:val="24"/>
            </w:rPr>
            <w:t xml:space="preserve"> </w:t>
          </w:r>
          <w:r w:rsidR="00EC3741" w:rsidRPr="00EC3741">
            <w:rPr>
              <w:noProof/>
              <w:sz w:val="24"/>
              <w:szCs w:val="24"/>
            </w:rPr>
            <w:t>[2]</w:t>
          </w:r>
          <w:r w:rsidR="00EC3741">
            <w:rPr>
              <w:sz w:val="24"/>
              <w:szCs w:val="24"/>
            </w:rPr>
            <w:fldChar w:fldCharType="end"/>
          </w:r>
        </w:sdtContent>
      </w:sdt>
      <w:r w:rsidR="002B2B6A">
        <w:rPr>
          <w:sz w:val="24"/>
          <w:szCs w:val="24"/>
        </w:rPr>
        <w:t xml:space="preserve">. Ideally, each ESH would be designed for single-group storage, but with only 5 ESHs being built, and only 1000kg of each hazard division allowed in each one, it would require mixed storage. Looking at the amounts of each hazard division and classification, it appears non-compliant unless strict segregation and licensing are introduced. </w:t>
      </w:r>
    </w:p>
    <w:tbl>
      <w:tblPr>
        <w:tblStyle w:val="TableGrid"/>
        <w:tblW w:w="0" w:type="auto"/>
        <w:tblLook w:val="04A0" w:firstRow="1" w:lastRow="0" w:firstColumn="1" w:lastColumn="0" w:noHBand="0" w:noVBand="1"/>
      </w:tblPr>
      <w:tblGrid>
        <w:gridCol w:w="1803"/>
        <w:gridCol w:w="1803"/>
        <w:gridCol w:w="1803"/>
        <w:gridCol w:w="1803"/>
        <w:gridCol w:w="1804"/>
      </w:tblGrid>
      <w:tr w:rsidR="002B2B6A" w14:paraId="74467CE8" w14:textId="77777777" w:rsidTr="002B2B6A">
        <w:tc>
          <w:tcPr>
            <w:tcW w:w="1803" w:type="dxa"/>
          </w:tcPr>
          <w:p w14:paraId="0972120A" w14:textId="3805386D" w:rsidR="002B2B6A" w:rsidRDefault="002B2B6A" w:rsidP="00F34CBE">
            <w:pPr>
              <w:rPr>
                <w:sz w:val="24"/>
                <w:szCs w:val="24"/>
              </w:rPr>
            </w:pPr>
            <w:r>
              <w:rPr>
                <w:sz w:val="24"/>
                <w:szCs w:val="24"/>
              </w:rPr>
              <w:t>ESH 1</w:t>
            </w:r>
          </w:p>
        </w:tc>
        <w:tc>
          <w:tcPr>
            <w:tcW w:w="1803" w:type="dxa"/>
          </w:tcPr>
          <w:p w14:paraId="782AC20D" w14:textId="46486258" w:rsidR="002B2B6A" w:rsidRDefault="002B2B6A" w:rsidP="00F34CBE">
            <w:pPr>
              <w:rPr>
                <w:sz w:val="24"/>
                <w:szCs w:val="24"/>
              </w:rPr>
            </w:pPr>
            <w:r>
              <w:rPr>
                <w:sz w:val="24"/>
                <w:szCs w:val="24"/>
              </w:rPr>
              <w:t>ESH 2</w:t>
            </w:r>
          </w:p>
        </w:tc>
        <w:tc>
          <w:tcPr>
            <w:tcW w:w="1803" w:type="dxa"/>
          </w:tcPr>
          <w:p w14:paraId="1B636450" w14:textId="4667A08C" w:rsidR="002B2B6A" w:rsidRDefault="002B2B6A" w:rsidP="00F34CBE">
            <w:pPr>
              <w:rPr>
                <w:sz w:val="24"/>
                <w:szCs w:val="24"/>
              </w:rPr>
            </w:pPr>
            <w:r>
              <w:rPr>
                <w:sz w:val="24"/>
                <w:szCs w:val="24"/>
              </w:rPr>
              <w:t>ESH 3</w:t>
            </w:r>
          </w:p>
        </w:tc>
        <w:tc>
          <w:tcPr>
            <w:tcW w:w="1803" w:type="dxa"/>
          </w:tcPr>
          <w:p w14:paraId="4F0C00A4" w14:textId="7A536BD5" w:rsidR="002B2B6A" w:rsidRDefault="002B2B6A" w:rsidP="00F34CBE">
            <w:pPr>
              <w:rPr>
                <w:sz w:val="24"/>
                <w:szCs w:val="24"/>
              </w:rPr>
            </w:pPr>
            <w:r>
              <w:rPr>
                <w:sz w:val="24"/>
                <w:szCs w:val="24"/>
              </w:rPr>
              <w:t>ESH 4</w:t>
            </w:r>
          </w:p>
        </w:tc>
        <w:tc>
          <w:tcPr>
            <w:tcW w:w="1804" w:type="dxa"/>
          </w:tcPr>
          <w:p w14:paraId="1A817A88" w14:textId="7223F9FF" w:rsidR="002B2B6A" w:rsidRDefault="002B2B6A" w:rsidP="00F34CBE">
            <w:pPr>
              <w:rPr>
                <w:sz w:val="24"/>
                <w:szCs w:val="24"/>
              </w:rPr>
            </w:pPr>
            <w:r>
              <w:rPr>
                <w:sz w:val="24"/>
                <w:szCs w:val="24"/>
              </w:rPr>
              <w:t>ESH 5</w:t>
            </w:r>
          </w:p>
        </w:tc>
      </w:tr>
      <w:tr w:rsidR="002B2B6A" w14:paraId="7C1635A7" w14:textId="77777777" w:rsidTr="002B2B6A">
        <w:tc>
          <w:tcPr>
            <w:tcW w:w="1803" w:type="dxa"/>
          </w:tcPr>
          <w:p w14:paraId="4F32D7C0" w14:textId="74DF5A8F" w:rsidR="002B2B6A" w:rsidRPr="00784996" w:rsidRDefault="002B2B6A" w:rsidP="00F34CBE">
            <w:pPr>
              <w:rPr>
                <w:color w:val="FF0000"/>
                <w:sz w:val="24"/>
                <w:szCs w:val="24"/>
              </w:rPr>
            </w:pPr>
            <w:r w:rsidRPr="00784996">
              <w:rPr>
                <w:color w:val="FF0000"/>
                <w:sz w:val="24"/>
                <w:szCs w:val="24"/>
              </w:rPr>
              <w:t>500kg 1.1F</w:t>
            </w:r>
          </w:p>
        </w:tc>
        <w:tc>
          <w:tcPr>
            <w:tcW w:w="1803" w:type="dxa"/>
          </w:tcPr>
          <w:p w14:paraId="6C8BCA2C" w14:textId="4199C4BD" w:rsidR="002B2B6A" w:rsidRPr="00784996" w:rsidRDefault="002B2B6A" w:rsidP="00F34CBE">
            <w:pPr>
              <w:rPr>
                <w:color w:val="FF0000"/>
                <w:sz w:val="24"/>
                <w:szCs w:val="24"/>
              </w:rPr>
            </w:pPr>
            <w:r w:rsidRPr="00784996">
              <w:rPr>
                <w:color w:val="FF0000"/>
                <w:sz w:val="24"/>
                <w:szCs w:val="24"/>
              </w:rPr>
              <w:t>200kg 1.1D</w:t>
            </w:r>
          </w:p>
        </w:tc>
        <w:tc>
          <w:tcPr>
            <w:tcW w:w="1803" w:type="dxa"/>
          </w:tcPr>
          <w:p w14:paraId="49D7E9A1" w14:textId="1EDE4E1C" w:rsidR="002B2B6A" w:rsidRPr="00784996" w:rsidRDefault="002B2B6A" w:rsidP="00F34CBE">
            <w:pPr>
              <w:rPr>
                <w:color w:val="FF0000"/>
                <w:sz w:val="24"/>
                <w:szCs w:val="24"/>
              </w:rPr>
            </w:pPr>
            <w:r w:rsidRPr="00784996">
              <w:rPr>
                <w:color w:val="FF0000"/>
                <w:sz w:val="24"/>
                <w:szCs w:val="24"/>
              </w:rPr>
              <w:t>1000kg 1.1D</w:t>
            </w:r>
          </w:p>
        </w:tc>
        <w:tc>
          <w:tcPr>
            <w:tcW w:w="1803" w:type="dxa"/>
          </w:tcPr>
          <w:p w14:paraId="7B2A91D6" w14:textId="524CDCF7" w:rsidR="002B2B6A" w:rsidRPr="00784996" w:rsidRDefault="002B2B6A" w:rsidP="00F34CBE">
            <w:pPr>
              <w:rPr>
                <w:color w:val="FF0000"/>
                <w:sz w:val="24"/>
                <w:szCs w:val="24"/>
              </w:rPr>
            </w:pPr>
            <w:r w:rsidRPr="00784996">
              <w:rPr>
                <w:color w:val="FF0000"/>
                <w:sz w:val="24"/>
                <w:szCs w:val="24"/>
              </w:rPr>
              <w:t>1000kg 1.1D</w:t>
            </w:r>
          </w:p>
        </w:tc>
        <w:tc>
          <w:tcPr>
            <w:tcW w:w="1804" w:type="dxa"/>
          </w:tcPr>
          <w:p w14:paraId="2B29C278" w14:textId="27C6B32C" w:rsidR="002B2B6A" w:rsidRPr="00784996" w:rsidRDefault="002B2B6A" w:rsidP="00F34CBE">
            <w:pPr>
              <w:rPr>
                <w:color w:val="FF0000"/>
                <w:sz w:val="24"/>
                <w:szCs w:val="24"/>
              </w:rPr>
            </w:pPr>
            <w:r w:rsidRPr="00784996">
              <w:rPr>
                <w:color w:val="FF0000"/>
                <w:sz w:val="24"/>
                <w:szCs w:val="24"/>
              </w:rPr>
              <w:t>1000kg 1.1D</w:t>
            </w:r>
          </w:p>
        </w:tc>
      </w:tr>
      <w:tr w:rsidR="002B2B6A" w14:paraId="3E2B0DA8" w14:textId="77777777" w:rsidTr="002B2B6A">
        <w:tc>
          <w:tcPr>
            <w:tcW w:w="1803" w:type="dxa"/>
          </w:tcPr>
          <w:p w14:paraId="7B15537B" w14:textId="35B39738" w:rsidR="002B2B6A" w:rsidRPr="00784996" w:rsidRDefault="002B2B6A" w:rsidP="00F34CBE">
            <w:pPr>
              <w:rPr>
                <w:color w:val="FF0000"/>
                <w:sz w:val="24"/>
                <w:szCs w:val="24"/>
              </w:rPr>
            </w:pPr>
            <w:r w:rsidRPr="00784996">
              <w:rPr>
                <w:color w:val="FF0000"/>
                <w:sz w:val="24"/>
                <w:szCs w:val="24"/>
              </w:rPr>
              <w:t>50kg 1.1B</w:t>
            </w:r>
          </w:p>
        </w:tc>
        <w:tc>
          <w:tcPr>
            <w:tcW w:w="1803" w:type="dxa"/>
          </w:tcPr>
          <w:p w14:paraId="7C3093C9" w14:textId="6B85E886" w:rsidR="002B2B6A" w:rsidRPr="00784996" w:rsidRDefault="002B2B6A" w:rsidP="00F34CBE">
            <w:pPr>
              <w:rPr>
                <w:color w:val="FF0000"/>
                <w:sz w:val="24"/>
                <w:szCs w:val="24"/>
              </w:rPr>
            </w:pPr>
            <w:r w:rsidRPr="00784996">
              <w:rPr>
                <w:color w:val="FF0000"/>
                <w:sz w:val="24"/>
                <w:szCs w:val="24"/>
              </w:rPr>
              <w:t>800kg 1.1E</w:t>
            </w:r>
          </w:p>
        </w:tc>
        <w:tc>
          <w:tcPr>
            <w:tcW w:w="1803" w:type="dxa"/>
          </w:tcPr>
          <w:p w14:paraId="6EA27AD5" w14:textId="0C11958C" w:rsidR="002B2B6A" w:rsidRPr="00784996" w:rsidRDefault="002B2B6A" w:rsidP="00F34CBE">
            <w:pPr>
              <w:rPr>
                <w:color w:val="7030A0"/>
                <w:sz w:val="24"/>
                <w:szCs w:val="24"/>
              </w:rPr>
            </w:pPr>
            <w:r w:rsidRPr="00784996">
              <w:rPr>
                <w:color w:val="7030A0"/>
                <w:sz w:val="24"/>
                <w:szCs w:val="24"/>
              </w:rPr>
              <w:t>250kg 1.4S</w:t>
            </w:r>
          </w:p>
        </w:tc>
        <w:tc>
          <w:tcPr>
            <w:tcW w:w="1803" w:type="dxa"/>
          </w:tcPr>
          <w:p w14:paraId="6A4F1E1C" w14:textId="2FE9CDE6" w:rsidR="002B2B6A" w:rsidRPr="00784996" w:rsidRDefault="002B2B6A" w:rsidP="00F34CBE">
            <w:pPr>
              <w:rPr>
                <w:color w:val="7030A0"/>
                <w:sz w:val="24"/>
                <w:szCs w:val="24"/>
              </w:rPr>
            </w:pPr>
            <w:r w:rsidRPr="00784996">
              <w:rPr>
                <w:color w:val="7030A0"/>
                <w:sz w:val="24"/>
                <w:szCs w:val="24"/>
              </w:rPr>
              <w:t>250kg 1.4S</w:t>
            </w:r>
          </w:p>
        </w:tc>
        <w:tc>
          <w:tcPr>
            <w:tcW w:w="1804" w:type="dxa"/>
          </w:tcPr>
          <w:p w14:paraId="78430530" w14:textId="4D18C416" w:rsidR="002B2B6A" w:rsidRPr="00784996" w:rsidRDefault="002B2B6A" w:rsidP="00F34CBE">
            <w:pPr>
              <w:rPr>
                <w:color w:val="7030A0"/>
                <w:sz w:val="24"/>
                <w:szCs w:val="24"/>
              </w:rPr>
            </w:pPr>
            <w:r w:rsidRPr="00784996">
              <w:rPr>
                <w:color w:val="7030A0"/>
                <w:sz w:val="24"/>
                <w:szCs w:val="24"/>
              </w:rPr>
              <w:t>250kg 1.4S</w:t>
            </w:r>
          </w:p>
        </w:tc>
      </w:tr>
      <w:tr w:rsidR="002B2B6A" w14:paraId="7D1666C7" w14:textId="77777777" w:rsidTr="002B2B6A">
        <w:tc>
          <w:tcPr>
            <w:tcW w:w="1803" w:type="dxa"/>
          </w:tcPr>
          <w:p w14:paraId="14B7AC64" w14:textId="346E5AEF" w:rsidR="002B2B6A" w:rsidRPr="00784996" w:rsidRDefault="002B2B6A" w:rsidP="00F34CBE">
            <w:pPr>
              <w:rPr>
                <w:color w:val="FF0000"/>
                <w:sz w:val="24"/>
                <w:szCs w:val="24"/>
              </w:rPr>
            </w:pPr>
            <w:r w:rsidRPr="00784996">
              <w:rPr>
                <w:color w:val="FF0000"/>
                <w:sz w:val="24"/>
                <w:szCs w:val="24"/>
              </w:rPr>
              <w:t>450kg 1.1E</w:t>
            </w:r>
          </w:p>
        </w:tc>
        <w:tc>
          <w:tcPr>
            <w:tcW w:w="1803" w:type="dxa"/>
          </w:tcPr>
          <w:p w14:paraId="655D414E" w14:textId="4E5D700A" w:rsidR="002B2B6A" w:rsidRPr="00784996" w:rsidRDefault="002B2B6A" w:rsidP="00F34CBE">
            <w:pPr>
              <w:rPr>
                <w:color w:val="7030A0"/>
                <w:sz w:val="24"/>
                <w:szCs w:val="24"/>
              </w:rPr>
            </w:pPr>
            <w:r w:rsidRPr="00784996">
              <w:rPr>
                <w:color w:val="7030A0"/>
                <w:sz w:val="24"/>
                <w:szCs w:val="24"/>
              </w:rPr>
              <w:t>250kg 1.4S</w:t>
            </w:r>
          </w:p>
        </w:tc>
        <w:tc>
          <w:tcPr>
            <w:tcW w:w="1803" w:type="dxa"/>
          </w:tcPr>
          <w:p w14:paraId="459F4A64" w14:textId="41E03046" w:rsidR="002B2B6A" w:rsidRPr="00784996" w:rsidRDefault="002B2B6A" w:rsidP="00F34CBE">
            <w:pPr>
              <w:rPr>
                <w:color w:val="00B050"/>
                <w:sz w:val="24"/>
                <w:szCs w:val="24"/>
              </w:rPr>
            </w:pPr>
            <w:r w:rsidRPr="00784996">
              <w:rPr>
                <w:color w:val="00B050"/>
                <w:sz w:val="24"/>
                <w:szCs w:val="24"/>
              </w:rPr>
              <w:t>250kg 1.3C</w:t>
            </w:r>
          </w:p>
        </w:tc>
        <w:tc>
          <w:tcPr>
            <w:tcW w:w="1803" w:type="dxa"/>
          </w:tcPr>
          <w:p w14:paraId="0AF5BE3D" w14:textId="1350B11C" w:rsidR="002B2B6A" w:rsidRPr="00784996" w:rsidRDefault="002B2B6A" w:rsidP="00F34CBE">
            <w:pPr>
              <w:rPr>
                <w:color w:val="00B050"/>
                <w:sz w:val="24"/>
                <w:szCs w:val="24"/>
              </w:rPr>
            </w:pPr>
            <w:r w:rsidRPr="00784996">
              <w:rPr>
                <w:color w:val="00B050"/>
                <w:sz w:val="24"/>
                <w:szCs w:val="24"/>
              </w:rPr>
              <w:t>250kg 1.3C</w:t>
            </w:r>
          </w:p>
        </w:tc>
        <w:tc>
          <w:tcPr>
            <w:tcW w:w="1804" w:type="dxa"/>
          </w:tcPr>
          <w:p w14:paraId="108FF0D2" w14:textId="12CD056E" w:rsidR="002B2B6A" w:rsidRPr="00784996" w:rsidRDefault="002B2B6A" w:rsidP="00F34CBE">
            <w:pPr>
              <w:rPr>
                <w:color w:val="00B050"/>
                <w:sz w:val="24"/>
                <w:szCs w:val="24"/>
              </w:rPr>
            </w:pPr>
            <w:r w:rsidRPr="00784996">
              <w:rPr>
                <w:color w:val="00B050"/>
                <w:sz w:val="24"/>
                <w:szCs w:val="24"/>
              </w:rPr>
              <w:t>250kg 1.3C</w:t>
            </w:r>
          </w:p>
        </w:tc>
      </w:tr>
      <w:tr w:rsidR="002B2B6A" w14:paraId="31EAB8BF" w14:textId="77777777" w:rsidTr="002B2B6A">
        <w:tc>
          <w:tcPr>
            <w:tcW w:w="1803" w:type="dxa"/>
          </w:tcPr>
          <w:p w14:paraId="2A35B1EB" w14:textId="2060E006" w:rsidR="002B2B6A" w:rsidRPr="00784996" w:rsidRDefault="002B2B6A" w:rsidP="00F34CBE">
            <w:pPr>
              <w:rPr>
                <w:color w:val="0070C0"/>
                <w:sz w:val="24"/>
                <w:szCs w:val="24"/>
              </w:rPr>
            </w:pPr>
            <w:r w:rsidRPr="00784996">
              <w:rPr>
                <w:color w:val="0070C0"/>
                <w:sz w:val="24"/>
                <w:szCs w:val="24"/>
              </w:rPr>
              <w:t>350 kg 1.2C</w:t>
            </w:r>
          </w:p>
        </w:tc>
        <w:tc>
          <w:tcPr>
            <w:tcW w:w="1803" w:type="dxa"/>
          </w:tcPr>
          <w:p w14:paraId="68F740FC" w14:textId="737E0135" w:rsidR="002B2B6A" w:rsidRPr="00784996" w:rsidRDefault="002B2B6A" w:rsidP="00F34CBE">
            <w:pPr>
              <w:rPr>
                <w:color w:val="00B050"/>
                <w:sz w:val="24"/>
                <w:szCs w:val="24"/>
              </w:rPr>
            </w:pPr>
            <w:r w:rsidRPr="00784996">
              <w:rPr>
                <w:color w:val="00B050"/>
                <w:sz w:val="24"/>
                <w:szCs w:val="24"/>
              </w:rPr>
              <w:t>250kg 1.3C</w:t>
            </w:r>
          </w:p>
        </w:tc>
        <w:tc>
          <w:tcPr>
            <w:tcW w:w="1803" w:type="dxa"/>
          </w:tcPr>
          <w:p w14:paraId="708501B9" w14:textId="77777777" w:rsidR="002B2B6A" w:rsidRDefault="002B2B6A" w:rsidP="00F34CBE">
            <w:pPr>
              <w:rPr>
                <w:sz w:val="24"/>
                <w:szCs w:val="24"/>
              </w:rPr>
            </w:pPr>
          </w:p>
        </w:tc>
        <w:tc>
          <w:tcPr>
            <w:tcW w:w="1803" w:type="dxa"/>
          </w:tcPr>
          <w:p w14:paraId="39A011EA" w14:textId="77777777" w:rsidR="002B2B6A" w:rsidRDefault="002B2B6A" w:rsidP="00F34CBE">
            <w:pPr>
              <w:rPr>
                <w:sz w:val="24"/>
                <w:szCs w:val="24"/>
              </w:rPr>
            </w:pPr>
          </w:p>
        </w:tc>
        <w:tc>
          <w:tcPr>
            <w:tcW w:w="1804" w:type="dxa"/>
          </w:tcPr>
          <w:p w14:paraId="4CDC13A7" w14:textId="77777777" w:rsidR="002B2B6A" w:rsidRDefault="002B2B6A" w:rsidP="00F34CBE">
            <w:pPr>
              <w:rPr>
                <w:sz w:val="24"/>
                <w:szCs w:val="24"/>
              </w:rPr>
            </w:pPr>
          </w:p>
        </w:tc>
      </w:tr>
      <w:tr w:rsidR="002B2B6A" w14:paraId="5FC7C729" w14:textId="77777777" w:rsidTr="002B2B6A">
        <w:tc>
          <w:tcPr>
            <w:tcW w:w="1803" w:type="dxa"/>
          </w:tcPr>
          <w:p w14:paraId="6AE99DB7" w14:textId="2B461598" w:rsidR="002B2B6A" w:rsidRPr="00784996" w:rsidRDefault="002B2B6A" w:rsidP="00F34CBE">
            <w:pPr>
              <w:rPr>
                <w:color w:val="0070C0"/>
                <w:sz w:val="24"/>
                <w:szCs w:val="24"/>
              </w:rPr>
            </w:pPr>
            <w:r w:rsidRPr="00784996">
              <w:rPr>
                <w:color w:val="0070C0"/>
                <w:sz w:val="24"/>
                <w:szCs w:val="24"/>
              </w:rPr>
              <w:t>100kg 1.2D</w:t>
            </w:r>
          </w:p>
        </w:tc>
        <w:tc>
          <w:tcPr>
            <w:tcW w:w="1803" w:type="dxa"/>
          </w:tcPr>
          <w:p w14:paraId="1F546DAB" w14:textId="77777777" w:rsidR="002B2B6A" w:rsidRDefault="002B2B6A" w:rsidP="00F34CBE">
            <w:pPr>
              <w:rPr>
                <w:sz w:val="24"/>
                <w:szCs w:val="24"/>
              </w:rPr>
            </w:pPr>
          </w:p>
        </w:tc>
        <w:tc>
          <w:tcPr>
            <w:tcW w:w="1803" w:type="dxa"/>
          </w:tcPr>
          <w:p w14:paraId="04FFFA16" w14:textId="77777777" w:rsidR="002B2B6A" w:rsidRDefault="002B2B6A" w:rsidP="00F34CBE">
            <w:pPr>
              <w:rPr>
                <w:sz w:val="24"/>
                <w:szCs w:val="24"/>
              </w:rPr>
            </w:pPr>
          </w:p>
        </w:tc>
        <w:tc>
          <w:tcPr>
            <w:tcW w:w="1803" w:type="dxa"/>
          </w:tcPr>
          <w:p w14:paraId="6B29E3F9" w14:textId="77777777" w:rsidR="002B2B6A" w:rsidRDefault="002B2B6A" w:rsidP="00F34CBE">
            <w:pPr>
              <w:rPr>
                <w:sz w:val="24"/>
                <w:szCs w:val="24"/>
              </w:rPr>
            </w:pPr>
          </w:p>
        </w:tc>
        <w:tc>
          <w:tcPr>
            <w:tcW w:w="1804" w:type="dxa"/>
          </w:tcPr>
          <w:p w14:paraId="411BBA53" w14:textId="77777777" w:rsidR="002B2B6A" w:rsidRDefault="002B2B6A" w:rsidP="00F34CBE">
            <w:pPr>
              <w:rPr>
                <w:sz w:val="24"/>
                <w:szCs w:val="24"/>
              </w:rPr>
            </w:pPr>
          </w:p>
        </w:tc>
      </w:tr>
      <w:tr w:rsidR="002B2B6A" w14:paraId="1397B91C" w14:textId="77777777" w:rsidTr="002B2B6A">
        <w:tc>
          <w:tcPr>
            <w:tcW w:w="1803" w:type="dxa"/>
          </w:tcPr>
          <w:p w14:paraId="71D616B3" w14:textId="3F53939D" w:rsidR="002B2B6A" w:rsidRPr="00784996" w:rsidRDefault="002B2B6A" w:rsidP="00F34CBE">
            <w:pPr>
              <w:rPr>
                <w:color w:val="0070C0"/>
                <w:sz w:val="24"/>
                <w:szCs w:val="24"/>
              </w:rPr>
            </w:pPr>
            <w:r w:rsidRPr="00784996">
              <w:rPr>
                <w:color w:val="0070C0"/>
                <w:sz w:val="24"/>
                <w:szCs w:val="24"/>
              </w:rPr>
              <w:t>50kg 1.2F</w:t>
            </w:r>
          </w:p>
        </w:tc>
        <w:tc>
          <w:tcPr>
            <w:tcW w:w="1803" w:type="dxa"/>
          </w:tcPr>
          <w:p w14:paraId="3D31BBE0" w14:textId="77777777" w:rsidR="002B2B6A" w:rsidRDefault="002B2B6A" w:rsidP="00F34CBE">
            <w:pPr>
              <w:rPr>
                <w:sz w:val="24"/>
                <w:szCs w:val="24"/>
              </w:rPr>
            </w:pPr>
          </w:p>
        </w:tc>
        <w:tc>
          <w:tcPr>
            <w:tcW w:w="1803" w:type="dxa"/>
          </w:tcPr>
          <w:p w14:paraId="38015B1D" w14:textId="77777777" w:rsidR="002B2B6A" w:rsidRDefault="002B2B6A" w:rsidP="00F34CBE">
            <w:pPr>
              <w:rPr>
                <w:sz w:val="24"/>
                <w:szCs w:val="24"/>
              </w:rPr>
            </w:pPr>
          </w:p>
        </w:tc>
        <w:tc>
          <w:tcPr>
            <w:tcW w:w="1803" w:type="dxa"/>
          </w:tcPr>
          <w:p w14:paraId="2711401A" w14:textId="77777777" w:rsidR="002B2B6A" w:rsidRDefault="002B2B6A" w:rsidP="00F34CBE">
            <w:pPr>
              <w:rPr>
                <w:sz w:val="24"/>
                <w:szCs w:val="24"/>
              </w:rPr>
            </w:pPr>
          </w:p>
        </w:tc>
        <w:tc>
          <w:tcPr>
            <w:tcW w:w="1804" w:type="dxa"/>
          </w:tcPr>
          <w:p w14:paraId="5BD4F3BE" w14:textId="77777777" w:rsidR="002B2B6A" w:rsidRDefault="002B2B6A" w:rsidP="00F34CBE">
            <w:pPr>
              <w:rPr>
                <w:sz w:val="24"/>
                <w:szCs w:val="24"/>
              </w:rPr>
            </w:pPr>
          </w:p>
        </w:tc>
      </w:tr>
    </w:tbl>
    <w:p w14:paraId="08D6B344" w14:textId="77777777" w:rsidR="002B2B6A" w:rsidRDefault="002B2B6A" w:rsidP="00F34CBE">
      <w:pPr>
        <w:rPr>
          <w:sz w:val="24"/>
          <w:szCs w:val="24"/>
        </w:rPr>
      </w:pPr>
    </w:p>
    <w:p w14:paraId="6F5DA64A" w14:textId="3DC5C8F7" w:rsidR="002B2B6A" w:rsidRDefault="00CB2FBC" w:rsidP="00F34CBE">
      <w:pPr>
        <w:rPr>
          <w:sz w:val="24"/>
          <w:szCs w:val="24"/>
        </w:rPr>
      </w:pPr>
      <w:r>
        <w:rPr>
          <w:sz w:val="24"/>
          <w:szCs w:val="24"/>
        </w:rPr>
        <w:t xml:space="preserve">The table above shows a possible solution for the compatibility group </w:t>
      </w:r>
      <w:r w:rsidR="00AF1AFF">
        <w:rPr>
          <w:sz w:val="24"/>
          <w:szCs w:val="24"/>
        </w:rPr>
        <w:t>issues but</w:t>
      </w:r>
      <w:r>
        <w:rPr>
          <w:sz w:val="24"/>
          <w:szCs w:val="24"/>
        </w:rPr>
        <w:t xml:space="preserve"> would require ESH 1 to have strict segregation. </w:t>
      </w:r>
      <w:r w:rsidR="00AF1AFF">
        <w:rPr>
          <w:sz w:val="24"/>
          <w:szCs w:val="24"/>
        </w:rPr>
        <w:t xml:space="preserve">The safest solution would be a separate ESH for the 50kg of 1.1B and possibly another one for the 500kg 1.1F and 50kg 1.2F. </w:t>
      </w:r>
    </w:p>
    <w:p w14:paraId="7DC82F97" w14:textId="399BE1F1" w:rsidR="00AF1AFF" w:rsidRDefault="00AF1AFF" w:rsidP="00F34CBE">
      <w:pPr>
        <w:rPr>
          <w:sz w:val="28"/>
          <w:szCs w:val="28"/>
        </w:rPr>
      </w:pPr>
      <w:bookmarkStart w:id="2" w:name="_Hlk216425723"/>
      <w:r>
        <w:rPr>
          <w:sz w:val="28"/>
          <w:szCs w:val="28"/>
        </w:rPr>
        <w:t>Quantity-Distance (QD) Requirements</w:t>
      </w:r>
    </w:p>
    <w:bookmarkEnd w:id="2"/>
    <w:p w14:paraId="6EC880BE" w14:textId="58378504" w:rsidR="00AF1AFF" w:rsidRDefault="00413C07" w:rsidP="00F34CBE">
      <w:pPr>
        <w:rPr>
          <w:sz w:val="24"/>
          <w:szCs w:val="24"/>
        </w:rPr>
      </w:pPr>
      <w:r>
        <w:rPr>
          <w:sz w:val="24"/>
          <w:szCs w:val="24"/>
        </w:rPr>
        <w:t xml:space="preserve">The proposal states that the vulnerable building distance (VBD) is no more than 300m from each ESH. It also states that the inhabited building distance (IBD) is no more than 125m for each ESH and the public traffic route distance is no more than 270m for each ESH. </w:t>
      </w:r>
      <w:r w:rsidR="006826C5">
        <w:rPr>
          <w:sz w:val="24"/>
          <w:szCs w:val="24"/>
        </w:rPr>
        <w:t>The UNSaferGuard QD calculator is fully aligned with IATG 01.20</w:t>
      </w:r>
      <w:sdt>
        <w:sdtPr>
          <w:rPr>
            <w:sz w:val="24"/>
            <w:szCs w:val="24"/>
          </w:rPr>
          <w:id w:val="986508172"/>
          <w:citation/>
        </w:sdtPr>
        <w:sdtEndPr/>
        <w:sdtContent>
          <w:r w:rsidR="00EC3741">
            <w:rPr>
              <w:sz w:val="24"/>
              <w:szCs w:val="24"/>
            </w:rPr>
            <w:fldChar w:fldCharType="begin"/>
          </w:r>
          <w:r w:rsidR="00EC3741">
            <w:rPr>
              <w:sz w:val="24"/>
              <w:szCs w:val="24"/>
            </w:rPr>
            <w:instrText xml:space="preserve"> CITATION UNS215 \l 2057 </w:instrText>
          </w:r>
          <w:r w:rsidR="00EC3741">
            <w:rPr>
              <w:sz w:val="24"/>
              <w:szCs w:val="24"/>
            </w:rPr>
            <w:fldChar w:fldCharType="separate"/>
          </w:r>
          <w:r w:rsidR="00EC3741">
            <w:rPr>
              <w:noProof/>
              <w:sz w:val="24"/>
              <w:szCs w:val="24"/>
            </w:rPr>
            <w:t xml:space="preserve"> </w:t>
          </w:r>
          <w:r w:rsidR="00EC3741" w:rsidRPr="00EC3741">
            <w:rPr>
              <w:noProof/>
              <w:sz w:val="24"/>
              <w:szCs w:val="24"/>
            </w:rPr>
            <w:t>[6]</w:t>
          </w:r>
          <w:r w:rsidR="00EC3741">
            <w:rPr>
              <w:sz w:val="24"/>
              <w:szCs w:val="24"/>
            </w:rPr>
            <w:fldChar w:fldCharType="end"/>
          </w:r>
        </w:sdtContent>
      </w:sdt>
      <w:r w:rsidR="006826C5">
        <w:rPr>
          <w:sz w:val="24"/>
          <w:szCs w:val="24"/>
        </w:rPr>
        <w:t xml:space="preserve"> and therefore appropriate for determining regulatory compliance. </w:t>
      </w:r>
      <w:r>
        <w:rPr>
          <w:sz w:val="24"/>
          <w:szCs w:val="24"/>
        </w:rPr>
        <w:t>Using the UNSaferGuard tool to create an explosive limit license, the maximum amount of each hazard division is calculated.</w:t>
      </w:r>
    </w:p>
    <w:p w14:paraId="7546DF9F" w14:textId="7F126A8F" w:rsidR="00E37DA6" w:rsidRDefault="00E37DA6" w:rsidP="00F34CBE">
      <w:pPr>
        <w:rPr>
          <w:sz w:val="24"/>
          <w:szCs w:val="24"/>
        </w:rPr>
      </w:pPr>
      <w:r w:rsidRPr="00E37DA6">
        <w:rPr>
          <w:noProof/>
          <w:sz w:val="24"/>
          <w:szCs w:val="24"/>
        </w:rPr>
        <w:drawing>
          <wp:inline distT="0" distB="0" distL="0" distR="0" wp14:anchorId="008EF194" wp14:editId="5E47E837">
            <wp:extent cx="5731510" cy="1059815"/>
            <wp:effectExtent l="0" t="0" r="2540" b="6985"/>
            <wp:docPr id="1219079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79538" name=""/>
                    <pic:cNvPicPr/>
                  </pic:nvPicPr>
                  <pic:blipFill>
                    <a:blip r:embed="rId9"/>
                    <a:stretch>
                      <a:fillRect/>
                    </a:stretch>
                  </pic:blipFill>
                  <pic:spPr>
                    <a:xfrm>
                      <a:off x="0" y="0"/>
                      <a:ext cx="5731510" cy="1059815"/>
                    </a:xfrm>
                    <a:prstGeom prst="rect">
                      <a:avLst/>
                    </a:prstGeom>
                  </pic:spPr>
                </pic:pic>
              </a:graphicData>
            </a:graphic>
          </wp:inline>
        </w:drawing>
      </w:r>
    </w:p>
    <w:p w14:paraId="482DAAC3" w14:textId="75ADF1A9" w:rsidR="00E37DA6" w:rsidRDefault="00E37DA6" w:rsidP="00F34CBE">
      <w:pPr>
        <w:rPr>
          <w:sz w:val="24"/>
          <w:szCs w:val="24"/>
        </w:rPr>
      </w:pPr>
    </w:p>
    <w:p w14:paraId="4931701F" w14:textId="5F8D73CA" w:rsidR="00790985" w:rsidRDefault="00790985" w:rsidP="00F34CBE">
      <w:pPr>
        <w:rPr>
          <w:sz w:val="24"/>
          <w:szCs w:val="24"/>
        </w:rPr>
      </w:pPr>
      <w:r>
        <w:rPr>
          <w:sz w:val="24"/>
          <w:szCs w:val="24"/>
        </w:rPr>
        <w:t>As shown in the image above, with the VBD, IBD and public traffic route distances, the maximum allowed for HD1.1 is 0kg</w:t>
      </w:r>
      <w:sdt>
        <w:sdtPr>
          <w:rPr>
            <w:sz w:val="24"/>
            <w:szCs w:val="24"/>
          </w:rPr>
          <w:id w:val="9494558"/>
          <w:citation/>
        </w:sdtPr>
        <w:sdtEndPr/>
        <w:sdtContent>
          <w:r w:rsidR="00EC3741">
            <w:rPr>
              <w:sz w:val="24"/>
              <w:szCs w:val="24"/>
            </w:rPr>
            <w:fldChar w:fldCharType="begin"/>
          </w:r>
          <w:r w:rsidR="00EC3741">
            <w:rPr>
              <w:sz w:val="24"/>
              <w:szCs w:val="24"/>
            </w:rPr>
            <w:instrText xml:space="preserve"> CITATION UNS214 \l 2057 </w:instrText>
          </w:r>
          <w:r w:rsidR="00EC3741">
            <w:rPr>
              <w:sz w:val="24"/>
              <w:szCs w:val="24"/>
            </w:rPr>
            <w:fldChar w:fldCharType="separate"/>
          </w:r>
          <w:r w:rsidR="00EC3741">
            <w:rPr>
              <w:noProof/>
              <w:sz w:val="24"/>
              <w:szCs w:val="24"/>
            </w:rPr>
            <w:t xml:space="preserve"> </w:t>
          </w:r>
          <w:r w:rsidR="00EC3741" w:rsidRPr="00EC3741">
            <w:rPr>
              <w:noProof/>
              <w:sz w:val="24"/>
              <w:szCs w:val="24"/>
            </w:rPr>
            <w:t>[5]</w:t>
          </w:r>
          <w:r w:rsidR="00EC3741">
            <w:rPr>
              <w:sz w:val="24"/>
              <w:szCs w:val="24"/>
            </w:rPr>
            <w:fldChar w:fldCharType="end"/>
          </w:r>
        </w:sdtContent>
      </w:sdt>
      <w:r>
        <w:rPr>
          <w:sz w:val="24"/>
          <w:szCs w:val="24"/>
        </w:rPr>
        <w:t xml:space="preserve">. This is </w:t>
      </w:r>
      <w:r w:rsidR="005500EE">
        <w:rPr>
          <w:sz w:val="24"/>
          <w:szCs w:val="24"/>
        </w:rPr>
        <w:t xml:space="preserve">because of the close proximity of the </w:t>
      </w:r>
      <w:r w:rsidR="005500EE">
        <w:rPr>
          <w:sz w:val="24"/>
          <w:szCs w:val="24"/>
        </w:rPr>
        <w:lastRenderedPageBreak/>
        <w:t>inhabited buildings. The vulnerable buildings are also too close</w:t>
      </w:r>
      <w:r w:rsidR="00474473">
        <w:rPr>
          <w:sz w:val="24"/>
          <w:szCs w:val="24"/>
        </w:rPr>
        <w:t xml:space="preserve"> for the amount </w:t>
      </w:r>
      <w:r w:rsidR="000D1DB9">
        <w:rPr>
          <w:sz w:val="24"/>
          <w:szCs w:val="24"/>
        </w:rPr>
        <w:t>required in each ESH</w:t>
      </w:r>
      <w:r w:rsidR="00212EA4">
        <w:rPr>
          <w:sz w:val="24"/>
          <w:szCs w:val="24"/>
        </w:rPr>
        <w:t xml:space="preserve">. </w:t>
      </w:r>
    </w:p>
    <w:p w14:paraId="549F63E6" w14:textId="7F82FFBE" w:rsidR="00C52648" w:rsidRDefault="00C52648" w:rsidP="00F34CBE">
      <w:pPr>
        <w:rPr>
          <w:sz w:val="24"/>
          <w:szCs w:val="24"/>
        </w:rPr>
      </w:pPr>
      <w:r>
        <w:rPr>
          <w:sz w:val="24"/>
          <w:szCs w:val="24"/>
        </w:rPr>
        <w:t>The</w:t>
      </w:r>
      <w:r w:rsidR="004F0CAB">
        <w:rPr>
          <w:sz w:val="24"/>
          <w:szCs w:val="24"/>
        </w:rPr>
        <w:t xml:space="preserve"> Quantity-Di</w:t>
      </w:r>
      <w:r w:rsidR="00A77E44">
        <w:rPr>
          <w:sz w:val="24"/>
          <w:szCs w:val="24"/>
        </w:rPr>
        <w:t>stance calculator on the UN</w:t>
      </w:r>
      <w:r w:rsidR="000405BA">
        <w:rPr>
          <w:sz w:val="24"/>
          <w:szCs w:val="24"/>
        </w:rPr>
        <w:t>SaferGuard</w:t>
      </w:r>
      <w:r w:rsidR="00D712C2">
        <w:rPr>
          <w:sz w:val="24"/>
          <w:szCs w:val="24"/>
        </w:rPr>
        <w:t xml:space="preserve"> was used to work out the distances required</w:t>
      </w:r>
      <w:r w:rsidR="00CE4A55">
        <w:rPr>
          <w:sz w:val="24"/>
          <w:szCs w:val="24"/>
        </w:rPr>
        <w:t xml:space="preserve"> for each ESH storing 1500kg NEQ</w:t>
      </w:r>
      <w:sdt>
        <w:sdtPr>
          <w:rPr>
            <w:sz w:val="24"/>
            <w:szCs w:val="24"/>
          </w:rPr>
          <w:id w:val="-729695026"/>
          <w:citation/>
        </w:sdtPr>
        <w:sdtEndPr/>
        <w:sdtContent>
          <w:r w:rsidR="00EC3741">
            <w:rPr>
              <w:sz w:val="24"/>
              <w:szCs w:val="24"/>
            </w:rPr>
            <w:fldChar w:fldCharType="begin"/>
          </w:r>
          <w:r w:rsidR="00EC3741">
            <w:rPr>
              <w:sz w:val="24"/>
              <w:szCs w:val="24"/>
            </w:rPr>
            <w:instrText xml:space="preserve"> CITATION UNS25 \l 2057 </w:instrText>
          </w:r>
          <w:r w:rsidR="00EC3741">
            <w:rPr>
              <w:sz w:val="24"/>
              <w:szCs w:val="24"/>
            </w:rPr>
            <w:fldChar w:fldCharType="separate"/>
          </w:r>
          <w:r w:rsidR="00EC3741">
            <w:rPr>
              <w:noProof/>
              <w:sz w:val="24"/>
              <w:szCs w:val="24"/>
            </w:rPr>
            <w:t xml:space="preserve"> </w:t>
          </w:r>
          <w:r w:rsidR="00EC3741" w:rsidRPr="00EC3741">
            <w:rPr>
              <w:noProof/>
              <w:sz w:val="24"/>
              <w:szCs w:val="24"/>
            </w:rPr>
            <w:t>[7]</w:t>
          </w:r>
          <w:r w:rsidR="00EC3741">
            <w:rPr>
              <w:sz w:val="24"/>
              <w:szCs w:val="24"/>
            </w:rPr>
            <w:fldChar w:fldCharType="end"/>
          </w:r>
        </w:sdtContent>
      </w:sdt>
      <w:r w:rsidR="00CE4A55">
        <w:rPr>
          <w:sz w:val="24"/>
          <w:szCs w:val="24"/>
        </w:rPr>
        <w:t xml:space="preserve">. </w:t>
      </w:r>
    </w:p>
    <w:p w14:paraId="182531FD" w14:textId="74E1657B" w:rsidR="00CE4A55" w:rsidRDefault="00CE4A55" w:rsidP="00F34CBE">
      <w:pPr>
        <w:rPr>
          <w:sz w:val="24"/>
          <w:szCs w:val="24"/>
        </w:rPr>
      </w:pPr>
      <w:r>
        <w:rPr>
          <w:noProof/>
          <w:sz w:val="24"/>
          <w:szCs w:val="24"/>
        </w:rPr>
        <w:drawing>
          <wp:anchor distT="0" distB="0" distL="114300" distR="114300" simplePos="0" relativeHeight="251658240" behindDoc="0" locked="0" layoutInCell="1" allowOverlap="1" wp14:anchorId="2A53CB38" wp14:editId="668F9A2C">
            <wp:simplePos x="0" y="0"/>
            <wp:positionH relativeFrom="margin">
              <wp:align>left</wp:align>
            </wp:positionH>
            <wp:positionV relativeFrom="paragraph">
              <wp:posOffset>-2540</wp:posOffset>
            </wp:positionV>
            <wp:extent cx="1536700" cy="1840230"/>
            <wp:effectExtent l="0" t="0" r="6350" b="7620"/>
            <wp:wrapSquare wrapText="bothSides"/>
            <wp:docPr id="1980812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6700" cy="1840230"/>
                    </a:xfrm>
                    <a:prstGeom prst="rect">
                      <a:avLst/>
                    </a:prstGeom>
                    <a:noFill/>
                  </pic:spPr>
                </pic:pic>
              </a:graphicData>
            </a:graphic>
            <wp14:sizeRelH relativeFrom="margin">
              <wp14:pctWidth>0</wp14:pctWidth>
            </wp14:sizeRelH>
            <wp14:sizeRelV relativeFrom="margin">
              <wp14:pctHeight>0</wp14:pctHeight>
            </wp14:sizeRelV>
          </wp:anchor>
        </w:drawing>
      </w:r>
      <w:r w:rsidR="00E71DFD">
        <w:rPr>
          <w:sz w:val="24"/>
          <w:szCs w:val="24"/>
        </w:rPr>
        <w:t>As shown in the image, for an earth-covered explosive storehouse perpendicular to the exposed site, storing 1500kg</w:t>
      </w:r>
      <w:r w:rsidR="00F75815">
        <w:rPr>
          <w:sz w:val="24"/>
          <w:szCs w:val="24"/>
        </w:rPr>
        <w:t>, there would need to be more than 510m to any vulnerable buildings, 400m to any inhabited building</w:t>
      </w:r>
      <w:r w:rsidR="002D4409">
        <w:rPr>
          <w:sz w:val="24"/>
          <w:szCs w:val="24"/>
        </w:rPr>
        <w:t xml:space="preserve">, and 270m to any public traffic routes. This shows that </w:t>
      </w:r>
      <w:r w:rsidR="00AA1E70">
        <w:rPr>
          <w:sz w:val="24"/>
          <w:szCs w:val="24"/>
        </w:rPr>
        <w:t>the current location selected is unsuitable due to the IBD and VBD</w:t>
      </w:r>
      <w:r w:rsidR="00E312D3">
        <w:rPr>
          <w:sz w:val="24"/>
          <w:szCs w:val="24"/>
        </w:rPr>
        <w:t xml:space="preserve"> being considerably smaller than required. </w:t>
      </w:r>
      <w:r w:rsidR="008B3F3B">
        <w:rPr>
          <w:sz w:val="24"/>
          <w:szCs w:val="24"/>
        </w:rPr>
        <w:t xml:space="preserve">If the </w:t>
      </w:r>
      <w:r w:rsidR="006E0CA4">
        <w:rPr>
          <w:sz w:val="24"/>
          <w:szCs w:val="24"/>
        </w:rPr>
        <w:t>plans were to go ahead, a location further than the distances shown would need to be identified</w:t>
      </w:r>
      <w:r w:rsidR="00497872">
        <w:rPr>
          <w:sz w:val="24"/>
          <w:szCs w:val="24"/>
        </w:rPr>
        <w:t xml:space="preserve">. </w:t>
      </w:r>
      <w:r w:rsidR="007D2E62">
        <w:rPr>
          <w:sz w:val="24"/>
          <w:szCs w:val="24"/>
        </w:rPr>
        <w:t xml:space="preserve">Otherwise, </w:t>
      </w:r>
      <w:r w:rsidR="007D2E62" w:rsidRPr="007D2E62">
        <w:rPr>
          <w:sz w:val="24"/>
          <w:szCs w:val="24"/>
        </w:rPr>
        <w:t>the site as described would breach IATG 02.20 QD standards unless each ESH is fully segregated by traverses and earth berms limiting sympathetic detonation</w:t>
      </w:r>
      <w:sdt>
        <w:sdtPr>
          <w:rPr>
            <w:sz w:val="24"/>
            <w:szCs w:val="24"/>
          </w:rPr>
          <w:id w:val="-2056614051"/>
          <w:citation/>
        </w:sdtPr>
        <w:sdtEndPr/>
        <w:sdtContent>
          <w:r w:rsidR="00EC3741">
            <w:rPr>
              <w:sz w:val="24"/>
              <w:szCs w:val="24"/>
            </w:rPr>
            <w:fldChar w:fldCharType="begin"/>
          </w:r>
          <w:r w:rsidR="00EC3741">
            <w:rPr>
              <w:sz w:val="24"/>
              <w:szCs w:val="24"/>
            </w:rPr>
            <w:instrText xml:space="preserve"> CITATION UNS212 \l 2057 </w:instrText>
          </w:r>
          <w:r w:rsidR="00EC3741">
            <w:rPr>
              <w:sz w:val="24"/>
              <w:szCs w:val="24"/>
            </w:rPr>
            <w:fldChar w:fldCharType="separate"/>
          </w:r>
          <w:r w:rsidR="00EC3741">
            <w:rPr>
              <w:noProof/>
              <w:sz w:val="24"/>
              <w:szCs w:val="24"/>
            </w:rPr>
            <w:t xml:space="preserve"> </w:t>
          </w:r>
          <w:r w:rsidR="00EC3741" w:rsidRPr="00EC3741">
            <w:rPr>
              <w:noProof/>
              <w:sz w:val="24"/>
              <w:szCs w:val="24"/>
            </w:rPr>
            <w:t>[3]</w:t>
          </w:r>
          <w:r w:rsidR="00EC3741">
            <w:rPr>
              <w:sz w:val="24"/>
              <w:szCs w:val="24"/>
            </w:rPr>
            <w:fldChar w:fldCharType="end"/>
          </w:r>
        </w:sdtContent>
      </w:sdt>
      <w:r w:rsidR="007D2E62" w:rsidRPr="007D2E62">
        <w:rPr>
          <w:sz w:val="24"/>
          <w:szCs w:val="24"/>
        </w:rPr>
        <w:t>.</w:t>
      </w:r>
      <w:r w:rsidR="00BB0B5E">
        <w:rPr>
          <w:sz w:val="24"/>
          <w:szCs w:val="24"/>
        </w:rPr>
        <w:t xml:space="preserve"> </w:t>
      </w:r>
    </w:p>
    <w:p w14:paraId="7824A251" w14:textId="77777777" w:rsidR="00F53C62" w:rsidRDefault="00F53C62" w:rsidP="00F34CBE">
      <w:pPr>
        <w:rPr>
          <w:sz w:val="32"/>
          <w:szCs w:val="32"/>
        </w:rPr>
      </w:pPr>
    </w:p>
    <w:p w14:paraId="3CAA49CB" w14:textId="1D0DAA44" w:rsidR="009F6E1D" w:rsidRPr="009F6E1D" w:rsidRDefault="009F6E1D" w:rsidP="009F6E1D">
      <w:pPr>
        <w:rPr>
          <w:sz w:val="32"/>
          <w:szCs w:val="32"/>
        </w:rPr>
      </w:pPr>
      <w:r w:rsidRPr="009F6E1D">
        <w:rPr>
          <w:noProof/>
          <w:sz w:val="32"/>
          <w:szCs w:val="32"/>
        </w:rPr>
        <w:drawing>
          <wp:anchor distT="0" distB="0" distL="114300" distR="114300" simplePos="0" relativeHeight="251659264" behindDoc="0" locked="0" layoutInCell="1" allowOverlap="1" wp14:anchorId="3187AAA5" wp14:editId="23D6FCB5">
            <wp:simplePos x="0" y="0"/>
            <wp:positionH relativeFrom="margin">
              <wp:posOffset>676275</wp:posOffset>
            </wp:positionH>
            <wp:positionV relativeFrom="paragraph">
              <wp:posOffset>0</wp:posOffset>
            </wp:positionV>
            <wp:extent cx="4276725" cy="2558415"/>
            <wp:effectExtent l="0" t="0" r="9525" b="0"/>
            <wp:wrapTopAndBottom/>
            <wp:docPr id="1401247611" name="Picture 1" descr="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47611" name="Picture 1" descr="Aerial view of a city&#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6725" cy="25584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 xml:space="preserve">The image above then shows the required exclusion areas </w:t>
      </w:r>
      <w:r w:rsidR="008500CC">
        <w:rPr>
          <w:sz w:val="24"/>
          <w:szCs w:val="24"/>
        </w:rPr>
        <w:t>for an ESH storing 1500kg</w:t>
      </w:r>
      <w:r w:rsidR="00CC26FA">
        <w:rPr>
          <w:sz w:val="24"/>
          <w:szCs w:val="24"/>
        </w:rPr>
        <w:t xml:space="preserve">. The green circle shows the </w:t>
      </w:r>
      <w:r w:rsidR="009F488C">
        <w:rPr>
          <w:sz w:val="24"/>
          <w:szCs w:val="24"/>
        </w:rPr>
        <w:t xml:space="preserve">public traffic route distance, the yellow circle shows the </w:t>
      </w:r>
      <w:r w:rsidR="00232577">
        <w:rPr>
          <w:sz w:val="24"/>
          <w:szCs w:val="24"/>
        </w:rPr>
        <w:t>IBD,</w:t>
      </w:r>
      <w:r w:rsidR="009F488C">
        <w:rPr>
          <w:sz w:val="24"/>
          <w:szCs w:val="24"/>
        </w:rPr>
        <w:t xml:space="preserve"> and the purple circle shows the VBD.</w:t>
      </w:r>
      <w:r w:rsidR="00232577">
        <w:rPr>
          <w:sz w:val="24"/>
          <w:szCs w:val="24"/>
        </w:rPr>
        <w:t xml:space="preserve"> One clear observation</w:t>
      </w:r>
      <w:r w:rsidR="001511DB">
        <w:rPr>
          <w:sz w:val="24"/>
          <w:szCs w:val="24"/>
        </w:rPr>
        <w:t xml:space="preserve"> is that there </w:t>
      </w:r>
      <w:r w:rsidR="00952DB8">
        <w:rPr>
          <w:sz w:val="24"/>
          <w:szCs w:val="24"/>
        </w:rPr>
        <w:t>is a high volume of inhabited buildings within the yellow circle</w:t>
      </w:r>
      <w:r w:rsidR="004816A2">
        <w:rPr>
          <w:sz w:val="24"/>
          <w:szCs w:val="24"/>
        </w:rPr>
        <w:t xml:space="preserve">, highlighting the need for a different location. </w:t>
      </w:r>
    </w:p>
    <w:p w14:paraId="42BBC259" w14:textId="77777777" w:rsidR="00EA4394" w:rsidRDefault="00EA4394" w:rsidP="00F34CBE">
      <w:pPr>
        <w:rPr>
          <w:sz w:val="32"/>
          <w:szCs w:val="32"/>
        </w:rPr>
      </w:pPr>
    </w:p>
    <w:p w14:paraId="110D3CD9" w14:textId="77777777" w:rsidR="00DA2A6B" w:rsidRDefault="00DA2A6B" w:rsidP="00F34CBE">
      <w:pPr>
        <w:rPr>
          <w:sz w:val="32"/>
          <w:szCs w:val="32"/>
        </w:rPr>
      </w:pPr>
    </w:p>
    <w:p w14:paraId="1F8B8518" w14:textId="77777777" w:rsidR="00DA2A6B" w:rsidRDefault="00DA2A6B" w:rsidP="00F34CBE">
      <w:pPr>
        <w:rPr>
          <w:sz w:val="32"/>
          <w:szCs w:val="32"/>
        </w:rPr>
      </w:pPr>
    </w:p>
    <w:p w14:paraId="5FC46DA4" w14:textId="77777777" w:rsidR="00DA2A6B" w:rsidRDefault="00DA2A6B" w:rsidP="00F34CBE">
      <w:pPr>
        <w:rPr>
          <w:sz w:val="32"/>
          <w:szCs w:val="32"/>
        </w:rPr>
      </w:pPr>
    </w:p>
    <w:p w14:paraId="0085DB21" w14:textId="467DB638" w:rsidR="00F53C62" w:rsidRDefault="00F53C62" w:rsidP="00F34CBE">
      <w:pPr>
        <w:rPr>
          <w:sz w:val="32"/>
          <w:szCs w:val="32"/>
        </w:rPr>
      </w:pPr>
      <w:r>
        <w:rPr>
          <w:sz w:val="32"/>
          <w:szCs w:val="32"/>
        </w:rPr>
        <w:lastRenderedPageBreak/>
        <w:t>Safety and Risk Evaluation:</w:t>
      </w:r>
    </w:p>
    <w:p w14:paraId="728EEAAD" w14:textId="57E85ED5" w:rsidR="00DD7B25" w:rsidRDefault="00DD7B25" w:rsidP="00F34CBE">
      <w:pPr>
        <w:rPr>
          <w:sz w:val="28"/>
          <w:szCs w:val="28"/>
        </w:rPr>
      </w:pPr>
      <w:r>
        <w:rPr>
          <w:sz w:val="28"/>
          <w:szCs w:val="28"/>
        </w:rPr>
        <w:t>Hazard Identification</w:t>
      </w:r>
    </w:p>
    <w:p w14:paraId="5551AACC" w14:textId="7D23E2D2" w:rsidR="00DD7B25" w:rsidRDefault="00814736" w:rsidP="00F34CBE">
      <w:pPr>
        <w:rPr>
          <w:sz w:val="24"/>
          <w:szCs w:val="24"/>
        </w:rPr>
      </w:pPr>
      <w:r>
        <w:rPr>
          <w:sz w:val="24"/>
          <w:szCs w:val="24"/>
        </w:rPr>
        <w:t>The key hazards include:</w:t>
      </w:r>
    </w:p>
    <w:p w14:paraId="72D2A9DC" w14:textId="3D115877" w:rsidR="00814736" w:rsidRDefault="00814736" w:rsidP="00814736">
      <w:pPr>
        <w:pStyle w:val="ListParagraph"/>
        <w:numPr>
          <w:ilvl w:val="0"/>
          <w:numId w:val="5"/>
        </w:numPr>
        <w:rPr>
          <w:sz w:val="24"/>
          <w:szCs w:val="24"/>
        </w:rPr>
      </w:pPr>
      <w:r>
        <w:rPr>
          <w:sz w:val="24"/>
          <w:szCs w:val="24"/>
        </w:rPr>
        <w:t xml:space="preserve">Blast overpressure and fragmentation from </w:t>
      </w:r>
      <w:r w:rsidR="00C5297E">
        <w:rPr>
          <w:sz w:val="24"/>
          <w:szCs w:val="24"/>
        </w:rPr>
        <w:t>an accidental detonation (HD 1.1)</w:t>
      </w:r>
      <w:r w:rsidR="00DE5540">
        <w:rPr>
          <w:sz w:val="24"/>
          <w:szCs w:val="24"/>
        </w:rPr>
        <w:t>.</w:t>
      </w:r>
    </w:p>
    <w:p w14:paraId="0628DF6F" w14:textId="5D7BAC50" w:rsidR="00C5297E" w:rsidRDefault="00C5297E" w:rsidP="00814736">
      <w:pPr>
        <w:pStyle w:val="ListParagraph"/>
        <w:numPr>
          <w:ilvl w:val="0"/>
          <w:numId w:val="5"/>
        </w:numPr>
        <w:rPr>
          <w:sz w:val="24"/>
          <w:szCs w:val="24"/>
        </w:rPr>
      </w:pPr>
      <w:r>
        <w:rPr>
          <w:sz w:val="24"/>
          <w:szCs w:val="24"/>
        </w:rPr>
        <w:t>Projectile hazards from HD 1.2 and HD 1.3 items (rocket motors, propellants)</w:t>
      </w:r>
      <w:r w:rsidR="00DE5540">
        <w:rPr>
          <w:sz w:val="24"/>
          <w:szCs w:val="24"/>
        </w:rPr>
        <w:t xml:space="preserve">. </w:t>
      </w:r>
    </w:p>
    <w:p w14:paraId="2DF1F85B" w14:textId="4FDFC84E" w:rsidR="00DE5540" w:rsidRDefault="00DE5540" w:rsidP="00814736">
      <w:pPr>
        <w:pStyle w:val="ListParagraph"/>
        <w:numPr>
          <w:ilvl w:val="0"/>
          <w:numId w:val="5"/>
        </w:numPr>
        <w:rPr>
          <w:sz w:val="24"/>
          <w:szCs w:val="24"/>
        </w:rPr>
      </w:pPr>
      <w:r>
        <w:rPr>
          <w:sz w:val="24"/>
          <w:szCs w:val="24"/>
        </w:rPr>
        <w:t>Fire and sympathetic explosion due to inadequate segregation or ignition control</w:t>
      </w:r>
      <w:sdt>
        <w:sdtPr>
          <w:rPr>
            <w:sz w:val="24"/>
            <w:szCs w:val="24"/>
          </w:rPr>
          <w:id w:val="1589736541"/>
          <w:citation/>
        </w:sdtPr>
        <w:sdtEndPr/>
        <w:sdtContent>
          <w:r w:rsidR="00EC3741">
            <w:rPr>
              <w:sz w:val="24"/>
              <w:szCs w:val="24"/>
            </w:rPr>
            <w:fldChar w:fldCharType="begin"/>
          </w:r>
          <w:r w:rsidR="00EC3741">
            <w:rPr>
              <w:sz w:val="24"/>
              <w:szCs w:val="24"/>
            </w:rPr>
            <w:instrText xml:space="preserve"> CITATION UNS216 \l 2057 </w:instrText>
          </w:r>
          <w:r w:rsidR="00EC3741">
            <w:rPr>
              <w:sz w:val="24"/>
              <w:szCs w:val="24"/>
            </w:rPr>
            <w:fldChar w:fldCharType="separate"/>
          </w:r>
          <w:r w:rsidR="00EC3741">
            <w:rPr>
              <w:noProof/>
              <w:sz w:val="24"/>
              <w:szCs w:val="24"/>
            </w:rPr>
            <w:t xml:space="preserve"> </w:t>
          </w:r>
          <w:r w:rsidR="00EC3741" w:rsidRPr="00EC3741">
            <w:rPr>
              <w:noProof/>
              <w:sz w:val="24"/>
              <w:szCs w:val="24"/>
            </w:rPr>
            <w:t>[8]</w:t>
          </w:r>
          <w:r w:rsidR="00EC3741">
            <w:rPr>
              <w:sz w:val="24"/>
              <w:szCs w:val="24"/>
            </w:rPr>
            <w:fldChar w:fldCharType="end"/>
          </w:r>
        </w:sdtContent>
      </w:sdt>
      <w:r>
        <w:rPr>
          <w:sz w:val="24"/>
          <w:szCs w:val="24"/>
        </w:rPr>
        <w:t>.</w:t>
      </w:r>
    </w:p>
    <w:p w14:paraId="6BE3DA1D" w14:textId="056A915A" w:rsidR="000B1F03" w:rsidRDefault="000B1F03" w:rsidP="00814736">
      <w:pPr>
        <w:pStyle w:val="ListParagraph"/>
        <w:numPr>
          <w:ilvl w:val="0"/>
          <w:numId w:val="5"/>
        </w:numPr>
        <w:rPr>
          <w:sz w:val="24"/>
          <w:szCs w:val="24"/>
        </w:rPr>
      </w:pPr>
      <w:r>
        <w:rPr>
          <w:sz w:val="24"/>
          <w:szCs w:val="24"/>
        </w:rPr>
        <w:t>Secondary hazards – toxic fumes, environmental contamination, and debris impact on maritime and civilian infrastructure.</w:t>
      </w:r>
    </w:p>
    <w:p w14:paraId="7392311A" w14:textId="2AB97695" w:rsidR="000B1F03" w:rsidRDefault="00960ED8" w:rsidP="00960ED8">
      <w:pPr>
        <w:rPr>
          <w:sz w:val="28"/>
          <w:szCs w:val="28"/>
        </w:rPr>
      </w:pPr>
      <w:bookmarkStart w:id="3" w:name="_Hlk216425807"/>
      <w:r>
        <w:rPr>
          <w:sz w:val="28"/>
          <w:szCs w:val="28"/>
        </w:rPr>
        <w:t>Risk Assessment and ALARP</w:t>
      </w:r>
    </w:p>
    <w:bookmarkEnd w:id="3"/>
    <w:p w14:paraId="2E7D5C22" w14:textId="3B7A02A1" w:rsidR="00960ED8" w:rsidRDefault="00686D30" w:rsidP="00960ED8">
      <w:pPr>
        <w:rPr>
          <w:sz w:val="24"/>
          <w:szCs w:val="24"/>
        </w:rPr>
      </w:pPr>
      <w:r>
        <w:rPr>
          <w:sz w:val="24"/>
          <w:szCs w:val="24"/>
        </w:rPr>
        <w:t xml:space="preserve">Following IATG 02.10 and UK MoD JSP 375 principles, risk reduction </w:t>
      </w:r>
      <w:r w:rsidR="0052190E">
        <w:rPr>
          <w:sz w:val="24"/>
          <w:szCs w:val="24"/>
        </w:rPr>
        <w:t>follows a hierarchy: elimination – engineering – administr</w:t>
      </w:r>
      <w:r w:rsidR="002A111F">
        <w:rPr>
          <w:sz w:val="24"/>
          <w:szCs w:val="24"/>
        </w:rPr>
        <w:t>ative – PPE. Engineering controls looks at traversing between each ESH, ventilation, lightning protection, and blast-resistant design</w:t>
      </w:r>
      <w:r w:rsidR="009F70A1">
        <w:rPr>
          <w:sz w:val="24"/>
          <w:szCs w:val="24"/>
        </w:rPr>
        <w:t xml:space="preserve">. Administrative controls </w:t>
      </w:r>
      <w:r w:rsidR="00A60349">
        <w:rPr>
          <w:sz w:val="24"/>
          <w:szCs w:val="24"/>
        </w:rPr>
        <w:t>include</w:t>
      </w:r>
      <w:r w:rsidR="009F70A1">
        <w:rPr>
          <w:sz w:val="24"/>
          <w:szCs w:val="24"/>
        </w:rPr>
        <w:t xml:space="preserve"> licensing per IATG 02.30, staff </w:t>
      </w:r>
      <w:r w:rsidR="00A60349">
        <w:rPr>
          <w:sz w:val="24"/>
          <w:szCs w:val="24"/>
        </w:rPr>
        <w:t xml:space="preserve">competency, and restricted access. Emergency controls </w:t>
      </w:r>
      <w:r w:rsidR="00271E43">
        <w:rPr>
          <w:sz w:val="24"/>
          <w:szCs w:val="24"/>
        </w:rPr>
        <w:t xml:space="preserve">are site evacuation plans, fire suppression, and liaison with civil authorities. Current documentation from BigBang lacks evidence of quantitative risk assessment. The council should request a hazard assessment report quantifying overpressure contours using validated models such as CONWEP or </w:t>
      </w:r>
      <w:r w:rsidR="00D169D0">
        <w:rPr>
          <w:sz w:val="24"/>
          <w:szCs w:val="24"/>
        </w:rPr>
        <w:t>PDECAY</w:t>
      </w:r>
      <w:r w:rsidR="00E90644">
        <w:rPr>
          <w:sz w:val="24"/>
          <w:szCs w:val="24"/>
        </w:rPr>
        <w:t xml:space="preserve">. </w:t>
      </w:r>
    </w:p>
    <w:p w14:paraId="36B385AA" w14:textId="252C2C4F" w:rsidR="00E90644" w:rsidRDefault="00E90644" w:rsidP="00960ED8">
      <w:pPr>
        <w:rPr>
          <w:sz w:val="28"/>
          <w:szCs w:val="28"/>
        </w:rPr>
      </w:pPr>
      <w:bookmarkStart w:id="4" w:name="_Hlk216425821"/>
      <w:r>
        <w:rPr>
          <w:sz w:val="28"/>
          <w:szCs w:val="28"/>
        </w:rPr>
        <w:t>Environmental and Social Context</w:t>
      </w:r>
    </w:p>
    <w:bookmarkEnd w:id="4"/>
    <w:p w14:paraId="3BF12C7D" w14:textId="4EE536B2" w:rsidR="00E90644" w:rsidRPr="00E90644" w:rsidRDefault="00152FD1" w:rsidP="00960ED8">
      <w:pPr>
        <w:rPr>
          <w:sz w:val="24"/>
          <w:szCs w:val="24"/>
        </w:rPr>
      </w:pPr>
      <w:r>
        <w:rPr>
          <w:sz w:val="24"/>
          <w:szCs w:val="24"/>
        </w:rPr>
        <w:t>The SA1 Waterfront is</w:t>
      </w:r>
      <w:r w:rsidR="00A9772A">
        <w:rPr>
          <w:sz w:val="24"/>
          <w:szCs w:val="24"/>
        </w:rPr>
        <w:t xml:space="preserve"> </w:t>
      </w:r>
      <w:r w:rsidR="00B805F3">
        <w:rPr>
          <w:sz w:val="24"/>
          <w:szCs w:val="24"/>
        </w:rPr>
        <w:t xml:space="preserve">an urban </w:t>
      </w:r>
      <w:r w:rsidR="00323317">
        <w:rPr>
          <w:sz w:val="24"/>
          <w:szCs w:val="24"/>
        </w:rPr>
        <w:t xml:space="preserve">mixed-use zone. IATG 02.20 </w:t>
      </w:r>
      <w:r w:rsidR="00982287">
        <w:rPr>
          <w:sz w:val="24"/>
          <w:szCs w:val="24"/>
        </w:rPr>
        <w:t xml:space="preserve">advises that ammunition depots should generally not be located within densely populated areas where QD compliance cannot be </w:t>
      </w:r>
      <w:r w:rsidR="006826C5">
        <w:rPr>
          <w:sz w:val="24"/>
          <w:szCs w:val="24"/>
        </w:rPr>
        <w:t>achieved</w:t>
      </w:r>
      <w:sdt>
        <w:sdtPr>
          <w:rPr>
            <w:sz w:val="24"/>
            <w:szCs w:val="24"/>
          </w:rPr>
          <w:id w:val="-66959255"/>
          <w:citation/>
        </w:sdtPr>
        <w:sdtEndPr/>
        <w:sdtContent>
          <w:r w:rsidR="00EC3741">
            <w:rPr>
              <w:sz w:val="24"/>
              <w:szCs w:val="24"/>
            </w:rPr>
            <w:fldChar w:fldCharType="begin"/>
          </w:r>
          <w:r w:rsidR="00EC3741">
            <w:rPr>
              <w:sz w:val="24"/>
              <w:szCs w:val="24"/>
            </w:rPr>
            <w:instrText xml:space="preserve"> CITATION UNS212 \l 2057 </w:instrText>
          </w:r>
          <w:r w:rsidR="00EC3741">
            <w:rPr>
              <w:sz w:val="24"/>
              <w:szCs w:val="24"/>
            </w:rPr>
            <w:fldChar w:fldCharType="separate"/>
          </w:r>
          <w:r w:rsidR="00EC3741">
            <w:rPr>
              <w:noProof/>
              <w:sz w:val="24"/>
              <w:szCs w:val="24"/>
            </w:rPr>
            <w:t xml:space="preserve"> </w:t>
          </w:r>
          <w:r w:rsidR="00EC3741" w:rsidRPr="00EC3741">
            <w:rPr>
              <w:noProof/>
              <w:sz w:val="24"/>
              <w:szCs w:val="24"/>
            </w:rPr>
            <w:t>[3]</w:t>
          </w:r>
          <w:r w:rsidR="00EC3741">
            <w:rPr>
              <w:sz w:val="24"/>
              <w:szCs w:val="24"/>
            </w:rPr>
            <w:fldChar w:fldCharType="end"/>
          </w:r>
        </w:sdtContent>
      </w:sdt>
      <w:r w:rsidR="00323317">
        <w:rPr>
          <w:sz w:val="24"/>
          <w:szCs w:val="24"/>
        </w:rPr>
        <w:t xml:space="preserve">. The proposed 125m IBD therefore represents an unacceptable </w:t>
      </w:r>
      <w:r w:rsidR="00A73163">
        <w:rPr>
          <w:sz w:val="24"/>
          <w:szCs w:val="24"/>
        </w:rPr>
        <w:t>encroachment upon inhabited areas, potentially violating the “risk to life” acceptance criteria under IATG 02.10</w:t>
      </w:r>
      <w:sdt>
        <w:sdtPr>
          <w:rPr>
            <w:sz w:val="24"/>
            <w:szCs w:val="24"/>
          </w:rPr>
          <w:id w:val="-363975112"/>
          <w:citation/>
        </w:sdtPr>
        <w:sdtEndPr/>
        <w:sdtContent>
          <w:r w:rsidR="00EC3741">
            <w:rPr>
              <w:sz w:val="24"/>
              <w:szCs w:val="24"/>
            </w:rPr>
            <w:fldChar w:fldCharType="begin"/>
          </w:r>
          <w:r w:rsidR="00EC3741">
            <w:rPr>
              <w:sz w:val="24"/>
              <w:szCs w:val="24"/>
            </w:rPr>
            <w:instrText xml:space="preserve"> CITATION UNS217 \l 2057 </w:instrText>
          </w:r>
          <w:r w:rsidR="00EC3741">
            <w:rPr>
              <w:sz w:val="24"/>
              <w:szCs w:val="24"/>
            </w:rPr>
            <w:fldChar w:fldCharType="separate"/>
          </w:r>
          <w:r w:rsidR="00EC3741">
            <w:rPr>
              <w:noProof/>
              <w:sz w:val="24"/>
              <w:szCs w:val="24"/>
            </w:rPr>
            <w:t xml:space="preserve"> </w:t>
          </w:r>
          <w:r w:rsidR="00EC3741" w:rsidRPr="00EC3741">
            <w:rPr>
              <w:noProof/>
              <w:sz w:val="24"/>
              <w:szCs w:val="24"/>
            </w:rPr>
            <w:t>[9]</w:t>
          </w:r>
          <w:r w:rsidR="00EC3741">
            <w:rPr>
              <w:sz w:val="24"/>
              <w:szCs w:val="24"/>
            </w:rPr>
            <w:fldChar w:fldCharType="end"/>
          </w:r>
        </w:sdtContent>
      </w:sdt>
      <w:r w:rsidR="008A1BCD">
        <w:rPr>
          <w:sz w:val="24"/>
          <w:szCs w:val="24"/>
        </w:rPr>
        <w:t xml:space="preserve">. </w:t>
      </w:r>
      <w:r w:rsidR="00750EF9">
        <w:rPr>
          <w:sz w:val="24"/>
          <w:szCs w:val="24"/>
        </w:rPr>
        <w:t>Noise, vibration, and psychological effects from minor incidents or testing should also be considered, particularly given the proximity to public marinas and leisure zones.</w:t>
      </w:r>
      <w:r w:rsidR="00F87DBD">
        <w:rPr>
          <w:sz w:val="24"/>
          <w:szCs w:val="24"/>
        </w:rPr>
        <w:t xml:space="preserve"> </w:t>
      </w:r>
    </w:p>
    <w:p w14:paraId="6ADD613E" w14:textId="77777777" w:rsidR="00F53C62" w:rsidRDefault="00F53C62" w:rsidP="00F34CBE">
      <w:pPr>
        <w:rPr>
          <w:sz w:val="32"/>
          <w:szCs w:val="32"/>
        </w:rPr>
      </w:pPr>
    </w:p>
    <w:p w14:paraId="6BA7A4CB" w14:textId="7DA8F119" w:rsidR="00B656BD" w:rsidRDefault="00B656BD" w:rsidP="00F34CBE">
      <w:pPr>
        <w:rPr>
          <w:sz w:val="32"/>
          <w:szCs w:val="32"/>
        </w:rPr>
      </w:pPr>
      <w:r>
        <w:rPr>
          <w:sz w:val="32"/>
          <w:szCs w:val="32"/>
        </w:rPr>
        <w:t>Summary</w:t>
      </w:r>
      <w:r w:rsidR="00F14545">
        <w:rPr>
          <w:sz w:val="32"/>
          <w:szCs w:val="32"/>
        </w:rPr>
        <w:t>:</w:t>
      </w:r>
    </w:p>
    <w:p w14:paraId="7E4F70EC" w14:textId="75E60CCC" w:rsidR="005A6182" w:rsidRDefault="00EB4AEF" w:rsidP="00F34CBE">
      <w:pPr>
        <w:rPr>
          <w:sz w:val="24"/>
          <w:szCs w:val="24"/>
        </w:rPr>
      </w:pPr>
      <w:r>
        <w:rPr>
          <w:sz w:val="24"/>
          <w:szCs w:val="24"/>
        </w:rPr>
        <w:t xml:space="preserve">The proposed siting of an ammunition storage facility at the SA1 </w:t>
      </w:r>
      <w:r w:rsidR="00036BE3">
        <w:rPr>
          <w:sz w:val="24"/>
          <w:szCs w:val="24"/>
        </w:rPr>
        <w:t>Waterfront presents significant safety, regulatory and operational challenges. The foremost</w:t>
      </w:r>
      <w:r w:rsidR="001E1E76">
        <w:rPr>
          <w:sz w:val="24"/>
          <w:szCs w:val="24"/>
        </w:rPr>
        <w:t xml:space="preserve"> concern is the inherent incompatibility between high-risk explosive storage and the dense, mixed-use environment of the SA1 district. The waterfront area contains residential apartments, commercial units, public walkways, educational buildings, hospitality venues and an active marina, meaning that population presence is both high and variable throughout the day</w:t>
      </w:r>
      <w:r w:rsidR="00CA2E81">
        <w:rPr>
          <w:sz w:val="24"/>
          <w:szCs w:val="24"/>
        </w:rPr>
        <w:t>. According to IATG 02.20, urban siting should be avoided unless full QD criteria can be met</w:t>
      </w:r>
      <w:sdt>
        <w:sdtPr>
          <w:rPr>
            <w:sz w:val="24"/>
            <w:szCs w:val="24"/>
          </w:rPr>
          <w:id w:val="421694609"/>
          <w:citation/>
        </w:sdtPr>
        <w:sdtEndPr/>
        <w:sdtContent>
          <w:r w:rsidR="00EC3741">
            <w:rPr>
              <w:sz w:val="24"/>
              <w:szCs w:val="24"/>
            </w:rPr>
            <w:fldChar w:fldCharType="begin"/>
          </w:r>
          <w:r w:rsidR="00EC3741">
            <w:rPr>
              <w:sz w:val="24"/>
              <w:szCs w:val="24"/>
            </w:rPr>
            <w:instrText xml:space="preserve"> CITATION UNS212 \l 2057 </w:instrText>
          </w:r>
          <w:r w:rsidR="00EC3741">
            <w:rPr>
              <w:sz w:val="24"/>
              <w:szCs w:val="24"/>
            </w:rPr>
            <w:fldChar w:fldCharType="separate"/>
          </w:r>
          <w:r w:rsidR="00EC3741">
            <w:rPr>
              <w:noProof/>
              <w:sz w:val="24"/>
              <w:szCs w:val="24"/>
            </w:rPr>
            <w:t xml:space="preserve"> </w:t>
          </w:r>
          <w:r w:rsidR="00EC3741" w:rsidRPr="00EC3741">
            <w:rPr>
              <w:noProof/>
              <w:sz w:val="24"/>
              <w:szCs w:val="24"/>
            </w:rPr>
            <w:t>[3]</w:t>
          </w:r>
          <w:r w:rsidR="00EC3741">
            <w:rPr>
              <w:sz w:val="24"/>
              <w:szCs w:val="24"/>
            </w:rPr>
            <w:fldChar w:fldCharType="end"/>
          </w:r>
        </w:sdtContent>
      </w:sdt>
      <w:r w:rsidR="00CA2E81">
        <w:rPr>
          <w:sz w:val="24"/>
          <w:szCs w:val="24"/>
        </w:rPr>
        <w:t>, yet the proposed separation distance</w:t>
      </w:r>
      <w:r w:rsidR="005A6182">
        <w:rPr>
          <w:sz w:val="24"/>
          <w:szCs w:val="24"/>
        </w:rPr>
        <w:t xml:space="preserve">s fall well below the minimum </w:t>
      </w:r>
      <w:r w:rsidR="005A6182">
        <w:rPr>
          <w:sz w:val="24"/>
          <w:szCs w:val="24"/>
        </w:rPr>
        <w:lastRenderedPageBreak/>
        <w:t>recommended for HD 1.1 quantities</w:t>
      </w:r>
      <w:r w:rsidR="0035388B">
        <w:rPr>
          <w:sz w:val="24"/>
          <w:szCs w:val="24"/>
        </w:rPr>
        <w:t xml:space="preserve"> of approximately 1000kg</w:t>
      </w:r>
      <w:r w:rsidR="00B14D36">
        <w:rPr>
          <w:sz w:val="24"/>
          <w:szCs w:val="24"/>
        </w:rPr>
        <w:t xml:space="preserve"> or 1500kg when including other HD</w:t>
      </w:r>
      <w:r w:rsidR="0035388B">
        <w:rPr>
          <w:sz w:val="24"/>
          <w:szCs w:val="24"/>
        </w:rPr>
        <w:t xml:space="preserve">. Calculations indicate that the </w:t>
      </w:r>
      <w:r w:rsidR="003B61AA">
        <w:rPr>
          <w:sz w:val="24"/>
          <w:szCs w:val="24"/>
        </w:rPr>
        <w:t xml:space="preserve">IBD should be </w:t>
      </w:r>
      <w:r w:rsidR="00CA3D45">
        <w:rPr>
          <w:sz w:val="24"/>
          <w:szCs w:val="24"/>
        </w:rPr>
        <w:t>at least 400m</w:t>
      </w:r>
      <w:r w:rsidR="00C608F8">
        <w:rPr>
          <w:sz w:val="24"/>
          <w:szCs w:val="24"/>
        </w:rPr>
        <w:t xml:space="preserve">, whereas the proposal indicates that it is only 125m. As well as that, the VBD should be approximately 510m, yet it is only </w:t>
      </w:r>
      <w:r w:rsidR="00BB3117">
        <w:rPr>
          <w:sz w:val="24"/>
          <w:szCs w:val="24"/>
        </w:rPr>
        <w:t xml:space="preserve">300m in the proposal. These shortfalls mean the depot would not meet the internationally accepted risk-to-life criteria. </w:t>
      </w:r>
    </w:p>
    <w:p w14:paraId="62884BE0" w14:textId="4BDDAC51" w:rsidR="001976CF" w:rsidRDefault="001976CF" w:rsidP="00F34CBE">
      <w:pPr>
        <w:rPr>
          <w:sz w:val="24"/>
          <w:szCs w:val="24"/>
        </w:rPr>
      </w:pPr>
      <w:r>
        <w:rPr>
          <w:sz w:val="24"/>
          <w:szCs w:val="24"/>
        </w:rPr>
        <w:t>A second major issue is the proximity to maritime users. Waterborne traffic would operate within potential blast and fragmentation zones in the event of an accidental explosion. IATG 07.10</w:t>
      </w:r>
      <w:r w:rsidR="000C2BED">
        <w:rPr>
          <w:sz w:val="24"/>
          <w:szCs w:val="24"/>
        </w:rPr>
        <w:t xml:space="preserve"> emphasises</w:t>
      </w:r>
      <w:r w:rsidR="004E6215">
        <w:rPr>
          <w:sz w:val="24"/>
          <w:szCs w:val="24"/>
        </w:rPr>
        <w:t xml:space="preserve"> the need for safe operational perimeters</w:t>
      </w:r>
      <w:r w:rsidR="00A43B19">
        <w:rPr>
          <w:sz w:val="24"/>
          <w:szCs w:val="24"/>
        </w:rPr>
        <w:t xml:space="preserve"> and emergency access</w:t>
      </w:r>
      <w:sdt>
        <w:sdtPr>
          <w:rPr>
            <w:sz w:val="24"/>
            <w:szCs w:val="24"/>
          </w:rPr>
          <w:id w:val="-66188665"/>
          <w:citation/>
        </w:sdtPr>
        <w:sdtEndPr/>
        <w:sdtContent>
          <w:r w:rsidR="00C84E18">
            <w:rPr>
              <w:sz w:val="24"/>
              <w:szCs w:val="24"/>
            </w:rPr>
            <w:fldChar w:fldCharType="begin"/>
          </w:r>
          <w:r w:rsidR="00C84E18">
            <w:rPr>
              <w:sz w:val="24"/>
              <w:szCs w:val="24"/>
            </w:rPr>
            <w:instrText xml:space="preserve"> CITATION UNS218 \l 2057 </w:instrText>
          </w:r>
          <w:r w:rsidR="00C84E18">
            <w:rPr>
              <w:sz w:val="24"/>
              <w:szCs w:val="24"/>
            </w:rPr>
            <w:fldChar w:fldCharType="separate"/>
          </w:r>
          <w:r w:rsidR="00C84E18">
            <w:rPr>
              <w:noProof/>
              <w:sz w:val="24"/>
              <w:szCs w:val="24"/>
            </w:rPr>
            <w:t xml:space="preserve"> </w:t>
          </w:r>
          <w:r w:rsidR="00C84E18" w:rsidRPr="00C84E18">
            <w:rPr>
              <w:noProof/>
              <w:sz w:val="24"/>
              <w:szCs w:val="24"/>
            </w:rPr>
            <w:t>[10]</w:t>
          </w:r>
          <w:r w:rsidR="00C84E18">
            <w:rPr>
              <w:sz w:val="24"/>
              <w:szCs w:val="24"/>
            </w:rPr>
            <w:fldChar w:fldCharType="end"/>
          </w:r>
        </w:sdtContent>
      </w:sdt>
      <w:r w:rsidR="00A43B19">
        <w:rPr>
          <w:sz w:val="24"/>
          <w:szCs w:val="24"/>
        </w:rPr>
        <w:t xml:space="preserve">; however, the confined nature of the marina restricts the ability to establish a meaningful safety buffer or </w:t>
      </w:r>
      <w:r w:rsidR="00EE0549">
        <w:rPr>
          <w:sz w:val="24"/>
          <w:szCs w:val="24"/>
        </w:rPr>
        <w:t>escape route for maritime users</w:t>
      </w:r>
      <w:r w:rsidR="004C04CE">
        <w:rPr>
          <w:sz w:val="24"/>
          <w:szCs w:val="24"/>
        </w:rPr>
        <w:t>.</w:t>
      </w:r>
      <w:r w:rsidR="005D0471">
        <w:rPr>
          <w:sz w:val="24"/>
          <w:szCs w:val="24"/>
        </w:rPr>
        <w:t xml:space="preserve"> Third, the proposed layout lacks traverses between the earth-covered explosive </w:t>
      </w:r>
      <w:r w:rsidR="00CC6624">
        <w:rPr>
          <w:sz w:val="24"/>
          <w:szCs w:val="24"/>
        </w:rPr>
        <w:t>storehouses, raising the likelihood of sympathetic detonation and increasing the effective explosive weight of any single event. In a compact waterfront site, this lack of confinement significantly elevates community risk. Additionally, the SA1 Waterfront has constrained road access and limited opportunities for secure explosives transport routing</w:t>
      </w:r>
      <w:r w:rsidR="006C686F">
        <w:rPr>
          <w:sz w:val="24"/>
          <w:szCs w:val="24"/>
        </w:rPr>
        <w:t>, contrary to the logistical guidance provided in IATG</w:t>
      </w:r>
      <w:r w:rsidR="00611378">
        <w:rPr>
          <w:sz w:val="24"/>
          <w:szCs w:val="24"/>
        </w:rPr>
        <w:t xml:space="preserve">. </w:t>
      </w:r>
    </w:p>
    <w:p w14:paraId="6CEEFA84" w14:textId="54C6E2A5" w:rsidR="00611378" w:rsidRDefault="00611378" w:rsidP="00F34CBE">
      <w:pPr>
        <w:rPr>
          <w:sz w:val="24"/>
          <w:szCs w:val="24"/>
        </w:rPr>
      </w:pPr>
      <w:r w:rsidRPr="00611378">
        <w:rPr>
          <w:sz w:val="24"/>
          <w:szCs w:val="24"/>
        </w:rPr>
        <w:t>Environmental sensitivity also presents challenges. A waterfront location increases potential consequences of contamination incidents, including propellant-related runoff and residue entering marine ecosystems. Noise and vibration from routine explosive-related activities may also have unacceptable impact in a leisure-residential zone.</w:t>
      </w:r>
    </w:p>
    <w:p w14:paraId="34B9AC90" w14:textId="77777777" w:rsidR="00F14545" w:rsidRDefault="00F14545" w:rsidP="00F34CBE">
      <w:pPr>
        <w:rPr>
          <w:sz w:val="24"/>
          <w:szCs w:val="24"/>
        </w:rPr>
      </w:pPr>
    </w:p>
    <w:p w14:paraId="5DD56C8F" w14:textId="37E8EBC0" w:rsidR="00F14545" w:rsidRDefault="00F14545" w:rsidP="00F34CBE">
      <w:pPr>
        <w:rPr>
          <w:sz w:val="32"/>
          <w:szCs w:val="32"/>
        </w:rPr>
      </w:pPr>
      <w:bookmarkStart w:id="5" w:name="_Hlk216425841"/>
      <w:r>
        <w:rPr>
          <w:sz w:val="32"/>
          <w:szCs w:val="32"/>
        </w:rPr>
        <w:t>Advice for Maritime Users</w:t>
      </w:r>
      <w:bookmarkEnd w:id="5"/>
      <w:r>
        <w:rPr>
          <w:sz w:val="32"/>
          <w:szCs w:val="32"/>
        </w:rPr>
        <w:t>:</w:t>
      </w:r>
    </w:p>
    <w:p w14:paraId="1FA07844" w14:textId="28902E15" w:rsidR="00F14545" w:rsidRDefault="000B74E9" w:rsidP="00F34CBE">
      <w:pPr>
        <w:rPr>
          <w:sz w:val="24"/>
          <w:szCs w:val="24"/>
        </w:rPr>
      </w:pPr>
      <w:r>
        <w:rPr>
          <w:sz w:val="24"/>
          <w:szCs w:val="24"/>
        </w:rPr>
        <w:t xml:space="preserve">If the proposal for the 5xESHs </w:t>
      </w:r>
      <w:r w:rsidR="00000B30">
        <w:rPr>
          <w:sz w:val="24"/>
          <w:szCs w:val="24"/>
        </w:rPr>
        <w:t xml:space="preserve">to be built was to go ahead, maritime users may operate within the </w:t>
      </w:r>
      <w:r w:rsidR="006B2CF1" w:rsidRPr="006B2CF1">
        <w:rPr>
          <w:sz w:val="24"/>
          <w:szCs w:val="24"/>
        </w:rPr>
        <w:t>blast and debris range. The council should implement the following mitigation strategies:</w:t>
      </w:r>
    </w:p>
    <w:p w14:paraId="6B743F77" w14:textId="399F8742" w:rsidR="006B2CF1" w:rsidRDefault="0096080E" w:rsidP="0096080E">
      <w:pPr>
        <w:pStyle w:val="ListParagraph"/>
        <w:numPr>
          <w:ilvl w:val="0"/>
          <w:numId w:val="9"/>
        </w:numPr>
        <w:rPr>
          <w:sz w:val="24"/>
          <w:szCs w:val="24"/>
        </w:rPr>
      </w:pPr>
      <w:r>
        <w:rPr>
          <w:sz w:val="24"/>
          <w:szCs w:val="24"/>
        </w:rPr>
        <w:t xml:space="preserve">Establish an explosives safety zone, </w:t>
      </w:r>
      <w:r w:rsidRPr="0096080E">
        <w:rPr>
          <w:sz w:val="24"/>
          <w:szCs w:val="24"/>
        </w:rPr>
        <w:t>extending at least to the VBD radius seaward; navigation within this zone should be restricted during high-risk operations</w:t>
      </w:r>
      <w:r>
        <w:rPr>
          <w:sz w:val="24"/>
          <w:szCs w:val="24"/>
        </w:rPr>
        <w:t>.</w:t>
      </w:r>
    </w:p>
    <w:p w14:paraId="33E69AD7" w14:textId="41F9A694" w:rsidR="00BA654D" w:rsidRDefault="00BA654D" w:rsidP="0096080E">
      <w:pPr>
        <w:pStyle w:val="ListParagraph"/>
        <w:numPr>
          <w:ilvl w:val="0"/>
          <w:numId w:val="9"/>
        </w:numPr>
        <w:rPr>
          <w:sz w:val="24"/>
          <w:szCs w:val="24"/>
        </w:rPr>
      </w:pPr>
      <w:r>
        <w:rPr>
          <w:sz w:val="24"/>
          <w:szCs w:val="24"/>
        </w:rPr>
        <w:t xml:space="preserve">Coordinate with the coastguard and maritime users to </w:t>
      </w:r>
      <w:r w:rsidR="00B30F39">
        <w:rPr>
          <w:sz w:val="24"/>
          <w:szCs w:val="24"/>
        </w:rPr>
        <w:t xml:space="preserve">update them and </w:t>
      </w:r>
      <w:r w:rsidR="00CA38CE">
        <w:rPr>
          <w:sz w:val="24"/>
          <w:szCs w:val="24"/>
        </w:rPr>
        <w:t>reassess emergency</w:t>
      </w:r>
      <w:r w:rsidR="006842D9">
        <w:rPr>
          <w:sz w:val="24"/>
          <w:szCs w:val="24"/>
        </w:rPr>
        <w:t xml:space="preserve"> procedures</w:t>
      </w:r>
    </w:p>
    <w:p w14:paraId="3D8E34D0" w14:textId="77777777" w:rsidR="001B3A26" w:rsidRDefault="002D2EB5" w:rsidP="001B3A26">
      <w:pPr>
        <w:pStyle w:val="ListParagraph"/>
        <w:numPr>
          <w:ilvl w:val="0"/>
          <w:numId w:val="9"/>
        </w:numPr>
        <w:rPr>
          <w:sz w:val="24"/>
          <w:szCs w:val="24"/>
        </w:rPr>
      </w:pPr>
      <w:r w:rsidRPr="002D2EB5">
        <w:rPr>
          <w:sz w:val="24"/>
          <w:szCs w:val="24"/>
        </w:rPr>
        <w:t>Implement a two-tier warning system:</w:t>
      </w:r>
    </w:p>
    <w:p w14:paraId="69FF25A9" w14:textId="77777777" w:rsidR="001B3A26" w:rsidRDefault="002D2EB5" w:rsidP="001B3A26">
      <w:pPr>
        <w:pStyle w:val="ListParagraph"/>
        <w:numPr>
          <w:ilvl w:val="1"/>
          <w:numId w:val="9"/>
        </w:numPr>
        <w:rPr>
          <w:sz w:val="24"/>
          <w:szCs w:val="24"/>
        </w:rPr>
      </w:pPr>
      <w:r w:rsidRPr="001B3A26">
        <w:rPr>
          <w:sz w:val="24"/>
          <w:szCs w:val="24"/>
        </w:rPr>
        <w:t>Routine Status: Normal operations; minimal restrictions.</w:t>
      </w:r>
    </w:p>
    <w:p w14:paraId="550B5726" w14:textId="3E915F3B" w:rsidR="00BA654D" w:rsidRDefault="002D2EB5" w:rsidP="001B3A26">
      <w:pPr>
        <w:pStyle w:val="ListParagraph"/>
        <w:numPr>
          <w:ilvl w:val="1"/>
          <w:numId w:val="9"/>
        </w:numPr>
        <w:rPr>
          <w:sz w:val="24"/>
          <w:szCs w:val="24"/>
        </w:rPr>
      </w:pPr>
      <w:r w:rsidRPr="001B3A26">
        <w:rPr>
          <w:sz w:val="24"/>
          <w:szCs w:val="24"/>
        </w:rPr>
        <w:t>Elevated Risk Status: During loading/unloading; restrict mooring within defined perimeters.</w:t>
      </w:r>
    </w:p>
    <w:p w14:paraId="57639D28" w14:textId="36067E9C" w:rsidR="001B3A26" w:rsidRDefault="006A7964" w:rsidP="001B3A26">
      <w:pPr>
        <w:pStyle w:val="ListParagraph"/>
        <w:numPr>
          <w:ilvl w:val="0"/>
          <w:numId w:val="9"/>
        </w:numPr>
        <w:rPr>
          <w:sz w:val="24"/>
          <w:szCs w:val="24"/>
        </w:rPr>
      </w:pPr>
      <w:r w:rsidRPr="006A7964">
        <w:rPr>
          <w:sz w:val="24"/>
          <w:szCs w:val="24"/>
        </w:rPr>
        <w:t>Provide public communication via marina offices and signage to raise awareness of explosives safety zones.</w:t>
      </w:r>
    </w:p>
    <w:p w14:paraId="0F74B9BB" w14:textId="4D5EEFDD" w:rsidR="006A7964" w:rsidRDefault="00BE48CE" w:rsidP="001B3A26">
      <w:pPr>
        <w:pStyle w:val="ListParagraph"/>
        <w:numPr>
          <w:ilvl w:val="0"/>
          <w:numId w:val="9"/>
        </w:numPr>
        <w:rPr>
          <w:sz w:val="24"/>
          <w:szCs w:val="24"/>
        </w:rPr>
      </w:pPr>
      <w:r w:rsidRPr="00BE48CE">
        <w:rPr>
          <w:sz w:val="24"/>
          <w:szCs w:val="24"/>
        </w:rPr>
        <w:t>Emergency Preparedness: Ensure rapid response linkage between depot, coastguard, and local emergency services.</w:t>
      </w:r>
    </w:p>
    <w:p w14:paraId="55AE7A17" w14:textId="77777777" w:rsidR="0095118F" w:rsidRDefault="0095118F" w:rsidP="0095118F">
      <w:pPr>
        <w:rPr>
          <w:sz w:val="24"/>
          <w:szCs w:val="24"/>
        </w:rPr>
      </w:pPr>
    </w:p>
    <w:p w14:paraId="0F37014E" w14:textId="77777777" w:rsidR="00DA2A6B" w:rsidRDefault="00DA2A6B" w:rsidP="0095118F">
      <w:pPr>
        <w:rPr>
          <w:sz w:val="32"/>
          <w:szCs w:val="32"/>
        </w:rPr>
      </w:pPr>
      <w:bookmarkStart w:id="6" w:name="_Hlk216425872"/>
    </w:p>
    <w:p w14:paraId="61BEDF94" w14:textId="0DAF0A9E" w:rsidR="0095118F" w:rsidRDefault="0095118F" w:rsidP="0095118F">
      <w:pPr>
        <w:rPr>
          <w:sz w:val="32"/>
          <w:szCs w:val="32"/>
        </w:rPr>
      </w:pPr>
      <w:r>
        <w:rPr>
          <w:sz w:val="32"/>
          <w:szCs w:val="32"/>
        </w:rPr>
        <w:lastRenderedPageBreak/>
        <w:t>Conclusions and Recommendations</w:t>
      </w:r>
      <w:bookmarkEnd w:id="6"/>
      <w:r>
        <w:rPr>
          <w:sz w:val="32"/>
          <w:szCs w:val="32"/>
        </w:rPr>
        <w:t>:</w:t>
      </w:r>
    </w:p>
    <w:p w14:paraId="7C724B68" w14:textId="3E24C87E" w:rsidR="0095118F" w:rsidRDefault="0095118F" w:rsidP="0095118F">
      <w:pPr>
        <w:rPr>
          <w:sz w:val="24"/>
          <w:szCs w:val="24"/>
        </w:rPr>
      </w:pPr>
      <w:r>
        <w:rPr>
          <w:sz w:val="24"/>
          <w:szCs w:val="24"/>
        </w:rPr>
        <w:t xml:space="preserve">This assessment concludes that </w:t>
      </w:r>
      <w:r w:rsidR="008B5965">
        <w:rPr>
          <w:sz w:val="24"/>
          <w:szCs w:val="24"/>
        </w:rPr>
        <w:t>the proposed ammunition depot</w:t>
      </w:r>
      <w:r w:rsidR="000F04AC">
        <w:rPr>
          <w:sz w:val="24"/>
          <w:szCs w:val="24"/>
        </w:rPr>
        <w:t xml:space="preserve">, as currently designed, does not meet IATG Quantity-Distance requirements for HD 1.1 storage and fails to demonstrate compliant compatibility grouping. The absence of traversing between explosive storehouses significantly increases the </w:t>
      </w:r>
      <w:r w:rsidR="006826C5">
        <w:rPr>
          <w:sz w:val="24"/>
          <w:szCs w:val="24"/>
        </w:rPr>
        <w:t>probability</w:t>
      </w:r>
      <w:r w:rsidR="000F04AC">
        <w:rPr>
          <w:sz w:val="24"/>
          <w:szCs w:val="24"/>
        </w:rPr>
        <w:t xml:space="preserve"> of sympathetic detonation and resultant public hazard. </w:t>
      </w:r>
      <w:r w:rsidR="00456B42" w:rsidRPr="00456B42">
        <w:rPr>
          <w:sz w:val="24"/>
          <w:szCs w:val="24"/>
        </w:rPr>
        <w:t>Based on IATG compliance alone, approval cannot legally or ethically be justified</w:t>
      </w:r>
      <w:r w:rsidR="00456B42">
        <w:rPr>
          <w:sz w:val="24"/>
          <w:szCs w:val="24"/>
        </w:rPr>
        <w:t xml:space="preserve">. </w:t>
      </w:r>
    </w:p>
    <w:p w14:paraId="64855EF3" w14:textId="2AA3B9F8" w:rsidR="00FD22D4" w:rsidRDefault="00FD22D4" w:rsidP="0095118F">
      <w:pPr>
        <w:rPr>
          <w:sz w:val="28"/>
          <w:szCs w:val="28"/>
        </w:rPr>
      </w:pPr>
      <w:bookmarkStart w:id="7" w:name="_Hlk216425886"/>
      <w:r>
        <w:rPr>
          <w:sz w:val="28"/>
          <w:szCs w:val="28"/>
        </w:rPr>
        <w:t>Key recommendations</w:t>
      </w:r>
      <w:bookmarkEnd w:id="7"/>
      <w:r>
        <w:rPr>
          <w:sz w:val="28"/>
          <w:szCs w:val="28"/>
        </w:rPr>
        <w:t>:</w:t>
      </w:r>
    </w:p>
    <w:p w14:paraId="493CC284" w14:textId="7ABF0B1A" w:rsidR="00FD22D4" w:rsidRDefault="00FD22D4" w:rsidP="00FD22D4">
      <w:pPr>
        <w:pStyle w:val="ListParagraph"/>
        <w:numPr>
          <w:ilvl w:val="0"/>
          <w:numId w:val="10"/>
        </w:numPr>
        <w:rPr>
          <w:sz w:val="24"/>
          <w:szCs w:val="24"/>
        </w:rPr>
      </w:pPr>
      <w:r>
        <w:rPr>
          <w:sz w:val="24"/>
          <w:szCs w:val="24"/>
        </w:rPr>
        <w:t xml:space="preserve">Recalculate </w:t>
      </w:r>
      <w:r w:rsidR="00065835">
        <w:rPr>
          <w:sz w:val="24"/>
          <w:szCs w:val="24"/>
        </w:rPr>
        <w:t xml:space="preserve">QD values per </w:t>
      </w:r>
      <w:r w:rsidR="00826DDB">
        <w:rPr>
          <w:sz w:val="24"/>
          <w:szCs w:val="24"/>
        </w:rPr>
        <w:t>IATG 02.20, ensuring IBD is greater than 400m</w:t>
      </w:r>
    </w:p>
    <w:p w14:paraId="51E10907" w14:textId="48925A32" w:rsidR="00543625" w:rsidRDefault="00543625" w:rsidP="00FD22D4">
      <w:pPr>
        <w:pStyle w:val="ListParagraph"/>
        <w:numPr>
          <w:ilvl w:val="0"/>
          <w:numId w:val="10"/>
        </w:numPr>
        <w:rPr>
          <w:sz w:val="24"/>
          <w:szCs w:val="24"/>
        </w:rPr>
      </w:pPr>
      <w:r>
        <w:rPr>
          <w:sz w:val="24"/>
          <w:szCs w:val="24"/>
        </w:rPr>
        <w:t xml:space="preserve">Redesign layout to include traverses or berms isolating each ESH </w:t>
      </w:r>
      <w:r w:rsidR="00624AC6">
        <w:rPr>
          <w:sz w:val="24"/>
          <w:szCs w:val="24"/>
        </w:rPr>
        <w:t>(IATG 05.20)</w:t>
      </w:r>
    </w:p>
    <w:p w14:paraId="235D1FBA" w14:textId="6C653773" w:rsidR="00624AC6" w:rsidRDefault="0056142B" w:rsidP="00FD22D4">
      <w:pPr>
        <w:pStyle w:val="ListParagraph"/>
        <w:numPr>
          <w:ilvl w:val="0"/>
          <w:numId w:val="10"/>
        </w:numPr>
        <w:rPr>
          <w:sz w:val="24"/>
          <w:szCs w:val="24"/>
        </w:rPr>
      </w:pPr>
      <w:r>
        <w:rPr>
          <w:sz w:val="24"/>
          <w:szCs w:val="24"/>
        </w:rPr>
        <w:t>Re</w:t>
      </w:r>
      <w:r w:rsidR="00EE207B">
        <w:rPr>
          <w:sz w:val="24"/>
          <w:szCs w:val="24"/>
        </w:rPr>
        <w:t>design</w:t>
      </w:r>
      <w:r>
        <w:rPr>
          <w:sz w:val="24"/>
          <w:szCs w:val="24"/>
        </w:rPr>
        <w:t xml:space="preserve"> to include separate ESH</w:t>
      </w:r>
      <w:r w:rsidR="004A71E6">
        <w:rPr>
          <w:sz w:val="24"/>
          <w:szCs w:val="24"/>
        </w:rPr>
        <w:t>s for HD 1.1B</w:t>
      </w:r>
      <w:r w:rsidR="00EE207B">
        <w:rPr>
          <w:sz w:val="24"/>
          <w:szCs w:val="24"/>
        </w:rPr>
        <w:t>, 1.1F, 1.2F</w:t>
      </w:r>
    </w:p>
    <w:p w14:paraId="489C0BB7" w14:textId="107DEF13" w:rsidR="008F0F71" w:rsidRDefault="008F0F71" w:rsidP="00FD22D4">
      <w:pPr>
        <w:pStyle w:val="ListParagraph"/>
        <w:numPr>
          <w:ilvl w:val="0"/>
          <w:numId w:val="10"/>
        </w:numPr>
        <w:rPr>
          <w:sz w:val="24"/>
          <w:szCs w:val="24"/>
        </w:rPr>
      </w:pPr>
      <w:r>
        <w:rPr>
          <w:sz w:val="24"/>
          <w:szCs w:val="24"/>
        </w:rPr>
        <w:t xml:space="preserve">Develop a comprehensive Safety and Licensing Plan </w:t>
      </w:r>
      <w:r w:rsidR="00B80DF3">
        <w:rPr>
          <w:sz w:val="24"/>
          <w:szCs w:val="24"/>
        </w:rPr>
        <w:t>per IATG 02.30 including environmental impact, emergency planning, and community engagement</w:t>
      </w:r>
    </w:p>
    <w:p w14:paraId="7EC55C69" w14:textId="510AFC5E" w:rsidR="00B80DF3" w:rsidRDefault="00B80DF3" w:rsidP="00FD22D4">
      <w:pPr>
        <w:pStyle w:val="ListParagraph"/>
        <w:numPr>
          <w:ilvl w:val="0"/>
          <w:numId w:val="10"/>
        </w:numPr>
        <w:rPr>
          <w:sz w:val="24"/>
          <w:szCs w:val="24"/>
        </w:rPr>
      </w:pPr>
      <w:r>
        <w:rPr>
          <w:sz w:val="24"/>
          <w:szCs w:val="24"/>
        </w:rPr>
        <w:t xml:space="preserve">Implement maritime coordination measures and </w:t>
      </w:r>
      <w:r w:rsidR="00E63B33">
        <w:rPr>
          <w:sz w:val="24"/>
          <w:szCs w:val="24"/>
        </w:rPr>
        <w:t>signage</w:t>
      </w:r>
    </w:p>
    <w:p w14:paraId="3588E5ED" w14:textId="15E4A3DD" w:rsidR="00E63B33" w:rsidRDefault="00E63B33" w:rsidP="00FD22D4">
      <w:pPr>
        <w:pStyle w:val="ListParagraph"/>
        <w:numPr>
          <w:ilvl w:val="0"/>
          <w:numId w:val="10"/>
        </w:numPr>
        <w:rPr>
          <w:sz w:val="24"/>
          <w:szCs w:val="24"/>
        </w:rPr>
      </w:pPr>
      <w:r>
        <w:rPr>
          <w:sz w:val="24"/>
          <w:szCs w:val="24"/>
        </w:rPr>
        <w:t xml:space="preserve">Submit a full Quantitative Risk Assessment demonstrating ALARP compliance. </w:t>
      </w:r>
    </w:p>
    <w:p w14:paraId="1FBDFCAB" w14:textId="0C8C5A2F" w:rsidR="00D30492" w:rsidRDefault="00D30492" w:rsidP="00D30492">
      <w:pPr>
        <w:rPr>
          <w:sz w:val="24"/>
          <w:szCs w:val="24"/>
        </w:rPr>
      </w:pPr>
      <w:r>
        <w:rPr>
          <w:sz w:val="24"/>
          <w:szCs w:val="24"/>
        </w:rPr>
        <w:t>The council should defer approval until these conditions are satisfied and validated by an accredited OME safety engineer.</w:t>
      </w:r>
    </w:p>
    <w:p w14:paraId="2470B735" w14:textId="77777777" w:rsidR="00210187" w:rsidRPr="00DA2A6B" w:rsidRDefault="00210187" w:rsidP="00D30492"/>
    <w:p w14:paraId="60082A2E" w14:textId="4F6A59D0" w:rsidR="00210187" w:rsidRPr="00DA2A6B" w:rsidRDefault="00210187" w:rsidP="00D30492">
      <w:pPr>
        <w:rPr>
          <w:sz w:val="28"/>
          <w:szCs w:val="28"/>
        </w:rPr>
      </w:pPr>
      <w:bookmarkStart w:id="8" w:name="_Hlk216425901"/>
      <w:r w:rsidRPr="00DA2A6B">
        <w:rPr>
          <w:sz w:val="28"/>
          <w:szCs w:val="28"/>
        </w:rPr>
        <w:t>Safety Questions for Risk Reduction</w:t>
      </w:r>
      <w:bookmarkEnd w:id="8"/>
      <w:r w:rsidRPr="00DA2A6B">
        <w:rPr>
          <w:sz w:val="28"/>
          <w:szCs w:val="28"/>
        </w:rPr>
        <w:t>:</w:t>
      </w:r>
    </w:p>
    <w:p w14:paraId="46F33FC3" w14:textId="7ABA1F40" w:rsidR="00210187" w:rsidRDefault="00033C2A" w:rsidP="00033C2A">
      <w:pPr>
        <w:pStyle w:val="ListParagraph"/>
        <w:numPr>
          <w:ilvl w:val="0"/>
          <w:numId w:val="11"/>
        </w:numPr>
        <w:rPr>
          <w:sz w:val="24"/>
          <w:szCs w:val="24"/>
        </w:rPr>
      </w:pPr>
      <w:r>
        <w:rPr>
          <w:sz w:val="24"/>
          <w:szCs w:val="24"/>
        </w:rPr>
        <w:t xml:space="preserve">Has a </w:t>
      </w:r>
      <w:r w:rsidR="005105F3">
        <w:rPr>
          <w:sz w:val="24"/>
          <w:szCs w:val="24"/>
        </w:rPr>
        <w:t>hazard assessment report been completed?</w:t>
      </w:r>
    </w:p>
    <w:p w14:paraId="2FD427B8" w14:textId="5EF0F2F1" w:rsidR="005105F3" w:rsidRDefault="005105F3" w:rsidP="00033C2A">
      <w:pPr>
        <w:pStyle w:val="ListParagraph"/>
        <w:numPr>
          <w:ilvl w:val="0"/>
          <w:numId w:val="11"/>
        </w:numPr>
        <w:rPr>
          <w:sz w:val="24"/>
          <w:szCs w:val="24"/>
        </w:rPr>
      </w:pPr>
      <w:r>
        <w:rPr>
          <w:sz w:val="24"/>
          <w:szCs w:val="24"/>
        </w:rPr>
        <w:t xml:space="preserve">How were IBD, VBD and public traffic route distances </w:t>
      </w:r>
      <w:r w:rsidR="00735254">
        <w:rPr>
          <w:sz w:val="24"/>
          <w:szCs w:val="24"/>
        </w:rPr>
        <w:t>calculated?</w:t>
      </w:r>
    </w:p>
    <w:p w14:paraId="3F196BF6" w14:textId="476A7755" w:rsidR="00735254" w:rsidRDefault="00735254" w:rsidP="00033C2A">
      <w:pPr>
        <w:pStyle w:val="ListParagraph"/>
        <w:numPr>
          <w:ilvl w:val="0"/>
          <w:numId w:val="11"/>
        </w:numPr>
        <w:rPr>
          <w:sz w:val="24"/>
          <w:szCs w:val="24"/>
        </w:rPr>
      </w:pPr>
      <w:r>
        <w:rPr>
          <w:sz w:val="24"/>
          <w:szCs w:val="24"/>
        </w:rPr>
        <w:t>Have sympathetic detonation analyses been conducted for untraversed ESHs?</w:t>
      </w:r>
    </w:p>
    <w:p w14:paraId="33C8C16C" w14:textId="0F5736AA" w:rsidR="00735254" w:rsidRDefault="00735254" w:rsidP="00033C2A">
      <w:pPr>
        <w:pStyle w:val="ListParagraph"/>
        <w:numPr>
          <w:ilvl w:val="0"/>
          <w:numId w:val="11"/>
        </w:numPr>
        <w:rPr>
          <w:sz w:val="24"/>
          <w:szCs w:val="24"/>
        </w:rPr>
      </w:pPr>
      <w:r>
        <w:rPr>
          <w:sz w:val="24"/>
          <w:szCs w:val="24"/>
        </w:rPr>
        <w:t xml:space="preserve">Is mixed </w:t>
      </w:r>
      <w:r w:rsidR="001F1D1E">
        <w:rPr>
          <w:sz w:val="24"/>
          <w:szCs w:val="24"/>
        </w:rPr>
        <w:t xml:space="preserve">compatibility group storage avoidable? </w:t>
      </w:r>
    </w:p>
    <w:p w14:paraId="5D43F416" w14:textId="29B0F277" w:rsidR="003F2579" w:rsidRDefault="003F2579" w:rsidP="00033C2A">
      <w:pPr>
        <w:pStyle w:val="ListParagraph"/>
        <w:numPr>
          <w:ilvl w:val="0"/>
          <w:numId w:val="11"/>
        </w:numPr>
        <w:rPr>
          <w:sz w:val="24"/>
          <w:szCs w:val="24"/>
        </w:rPr>
      </w:pPr>
      <w:r>
        <w:rPr>
          <w:sz w:val="24"/>
          <w:szCs w:val="24"/>
        </w:rPr>
        <w:t>What mitigation systems are installed (lightning protection, fire suppression,</w:t>
      </w:r>
      <w:r w:rsidR="00CB1813">
        <w:rPr>
          <w:sz w:val="24"/>
          <w:szCs w:val="24"/>
        </w:rPr>
        <w:t xml:space="preserve"> alarms)?</w:t>
      </w:r>
    </w:p>
    <w:p w14:paraId="6DF56E29" w14:textId="24F5D21C" w:rsidR="00CB1813" w:rsidRDefault="00280C6C" w:rsidP="00033C2A">
      <w:pPr>
        <w:pStyle w:val="ListParagraph"/>
        <w:numPr>
          <w:ilvl w:val="0"/>
          <w:numId w:val="11"/>
        </w:numPr>
        <w:rPr>
          <w:sz w:val="24"/>
          <w:szCs w:val="24"/>
        </w:rPr>
      </w:pPr>
      <w:r>
        <w:rPr>
          <w:sz w:val="24"/>
          <w:szCs w:val="24"/>
        </w:rPr>
        <w:t>How will transport movements be controlled to and from the ESHs?</w:t>
      </w:r>
    </w:p>
    <w:p w14:paraId="51DBCDAB" w14:textId="0BCA1DBF" w:rsidR="00A7439B" w:rsidRDefault="00A7439B" w:rsidP="00033C2A">
      <w:pPr>
        <w:pStyle w:val="ListParagraph"/>
        <w:numPr>
          <w:ilvl w:val="0"/>
          <w:numId w:val="11"/>
        </w:numPr>
        <w:rPr>
          <w:sz w:val="24"/>
          <w:szCs w:val="24"/>
        </w:rPr>
      </w:pPr>
      <w:r>
        <w:rPr>
          <w:sz w:val="24"/>
          <w:szCs w:val="24"/>
        </w:rPr>
        <w:t>What training and competence will be required of personnel?</w:t>
      </w:r>
    </w:p>
    <w:p w14:paraId="39A9E59C" w14:textId="4B41385B" w:rsidR="00A7439B" w:rsidRDefault="00A7439B" w:rsidP="00033C2A">
      <w:pPr>
        <w:pStyle w:val="ListParagraph"/>
        <w:numPr>
          <w:ilvl w:val="0"/>
          <w:numId w:val="11"/>
        </w:numPr>
        <w:rPr>
          <w:sz w:val="24"/>
          <w:szCs w:val="24"/>
        </w:rPr>
      </w:pPr>
      <w:r>
        <w:rPr>
          <w:sz w:val="24"/>
          <w:szCs w:val="24"/>
        </w:rPr>
        <w:t xml:space="preserve">Has an assessment been conducted </w:t>
      </w:r>
      <w:r w:rsidR="00454632">
        <w:rPr>
          <w:sz w:val="24"/>
          <w:szCs w:val="24"/>
        </w:rPr>
        <w:t>for the impact on the nearby marina?</w:t>
      </w:r>
    </w:p>
    <w:p w14:paraId="671F4916" w14:textId="3A527261" w:rsidR="00454632" w:rsidRDefault="00454632" w:rsidP="00033C2A">
      <w:pPr>
        <w:pStyle w:val="ListParagraph"/>
        <w:numPr>
          <w:ilvl w:val="0"/>
          <w:numId w:val="11"/>
        </w:numPr>
        <w:rPr>
          <w:sz w:val="24"/>
          <w:szCs w:val="24"/>
        </w:rPr>
      </w:pPr>
      <w:r>
        <w:rPr>
          <w:sz w:val="24"/>
          <w:szCs w:val="24"/>
        </w:rPr>
        <w:t>What emergency protocols exist with local responders and marine personnel?</w:t>
      </w:r>
    </w:p>
    <w:p w14:paraId="3BFEE569" w14:textId="27E66F23" w:rsidR="00454632" w:rsidRDefault="00896358" w:rsidP="00033C2A">
      <w:pPr>
        <w:pStyle w:val="ListParagraph"/>
        <w:numPr>
          <w:ilvl w:val="0"/>
          <w:numId w:val="11"/>
        </w:numPr>
        <w:rPr>
          <w:sz w:val="24"/>
          <w:szCs w:val="24"/>
        </w:rPr>
      </w:pPr>
      <w:r>
        <w:rPr>
          <w:sz w:val="24"/>
          <w:szCs w:val="24"/>
        </w:rPr>
        <w:t>What environmental monitoring will be undertaken (noise, particulate residue, soil contamination, water</w:t>
      </w:r>
      <w:r w:rsidR="001E0C04">
        <w:rPr>
          <w:sz w:val="24"/>
          <w:szCs w:val="24"/>
        </w:rPr>
        <w:t xml:space="preserve"> contamination)?</w:t>
      </w:r>
    </w:p>
    <w:p w14:paraId="601A5253" w14:textId="0A162148" w:rsidR="001E0C04" w:rsidRDefault="001E0C04" w:rsidP="00033C2A">
      <w:pPr>
        <w:pStyle w:val="ListParagraph"/>
        <w:numPr>
          <w:ilvl w:val="0"/>
          <w:numId w:val="11"/>
        </w:numPr>
        <w:rPr>
          <w:sz w:val="24"/>
          <w:szCs w:val="24"/>
        </w:rPr>
      </w:pPr>
      <w:r>
        <w:rPr>
          <w:sz w:val="24"/>
          <w:szCs w:val="24"/>
        </w:rPr>
        <w:t>How will the operator demonstrate that risks are ALARP?</w:t>
      </w:r>
    </w:p>
    <w:p w14:paraId="52B00B3A" w14:textId="786FFB68" w:rsidR="001E0C04" w:rsidRDefault="001E0C04" w:rsidP="00033C2A">
      <w:pPr>
        <w:pStyle w:val="ListParagraph"/>
        <w:numPr>
          <w:ilvl w:val="0"/>
          <w:numId w:val="11"/>
        </w:numPr>
        <w:rPr>
          <w:sz w:val="24"/>
          <w:szCs w:val="24"/>
        </w:rPr>
      </w:pPr>
      <w:r>
        <w:rPr>
          <w:sz w:val="24"/>
          <w:szCs w:val="24"/>
        </w:rPr>
        <w:t>Has a public consultation been carried out to satisfy transpar</w:t>
      </w:r>
      <w:r w:rsidR="00313E2E">
        <w:rPr>
          <w:sz w:val="24"/>
          <w:szCs w:val="24"/>
        </w:rPr>
        <w:t>ency and community engagement requirements?</w:t>
      </w:r>
    </w:p>
    <w:p w14:paraId="306731E7" w14:textId="77777777" w:rsidR="00313E2E" w:rsidRDefault="00313E2E" w:rsidP="00313E2E">
      <w:pPr>
        <w:rPr>
          <w:sz w:val="24"/>
          <w:szCs w:val="24"/>
        </w:rPr>
      </w:pPr>
    </w:p>
    <w:p w14:paraId="3500600A" w14:textId="77777777" w:rsidR="00C84E18" w:rsidRDefault="00C84E18" w:rsidP="00313E2E">
      <w:pPr>
        <w:rPr>
          <w:sz w:val="24"/>
          <w:szCs w:val="24"/>
        </w:rPr>
      </w:pPr>
    </w:p>
    <w:p w14:paraId="15C7BC59" w14:textId="77777777" w:rsidR="00C84E18" w:rsidRDefault="00C84E18" w:rsidP="00313E2E">
      <w:pPr>
        <w:rPr>
          <w:sz w:val="24"/>
          <w:szCs w:val="24"/>
        </w:rPr>
      </w:pPr>
    </w:p>
    <w:sdt>
      <w:sdtPr>
        <w:rPr>
          <w:rFonts w:asciiTheme="minorHAnsi" w:eastAsiaTheme="minorHAnsi" w:hAnsiTheme="minorHAnsi" w:cstheme="minorBidi"/>
          <w:color w:val="auto"/>
          <w:sz w:val="22"/>
          <w:szCs w:val="22"/>
        </w:rPr>
        <w:id w:val="859475249"/>
        <w:docPartObj>
          <w:docPartGallery w:val="Bibliographies"/>
          <w:docPartUnique/>
        </w:docPartObj>
      </w:sdtPr>
      <w:sdtEndPr/>
      <w:sdtContent>
        <w:p w14:paraId="40F3C195" w14:textId="5E7A6C66" w:rsidR="00C84E18" w:rsidRDefault="00C84E18">
          <w:pPr>
            <w:pStyle w:val="Heading1"/>
          </w:pPr>
          <w:r>
            <w:t>References</w:t>
          </w:r>
        </w:p>
        <w:sdt>
          <w:sdtPr>
            <w:id w:val="-573587230"/>
            <w:bibliography/>
          </w:sdtPr>
          <w:sdtEndPr/>
          <w:sdtContent>
            <w:p w14:paraId="676DA1DC" w14:textId="77777777" w:rsidR="00C84E18" w:rsidRDefault="00C84E1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84E18" w14:paraId="6E9ADA79" w14:textId="77777777">
                <w:trPr>
                  <w:divId w:val="162550582"/>
                  <w:tblCellSpacing w:w="15" w:type="dxa"/>
                </w:trPr>
                <w:tc>
                  <w:tcPr>
                    <w:tcW w:w="50" w:type="pct"/>
                    <w:hideMark/>
                  </w:tcPr>
                  <w:p w14:paraId="58222F1A" w14:textId="297422F4" w:rsidR="00C84E18" w:rsidRDefault="00C84E18">
                    <w:pPr>
                      <w:pStyle w:val="Bibliography"/>
                      <w:rPr>
                        <w:noProof/>
                        <w:kern w:val="0"/>
                        <w:sz w:val="24"/>
                        <w:szCs w:val="24"/>
                        <w14:ligatures w14:val="none"/>
                      </w:rPr>
                    </w:pPr>
                    <w:r>
                      <w:rPr>
                        <w:noProof/>
                      </w:rPr>
                      <w:t xml:space="preserve">[1] </w:t>
                    </w:r>
                  </w:p>
                </w:tc>
                <w:tc>
                  <w:tcPr>
                    <w:tcW w:w="0" w:type="auto"/>
                    <w:hideMark/>
                  </w:tcPr>
                  <w:p w14:paraId="3275DC8D" w14:textId="77777777" w:rsidR="00C84E18" w:rsidRDefault="00C84E18">
                    <w:pPr>
                      <w:pStyle w:val="Bibliography"/>
                      <w:rPr>
                        <w:noProof/>
                      </w:rPr>
                    </w:pPr>
                    <w:r>
                      <w:rPr>
                        <w:noProof/>
                      </w:rPr>
                      <w:t xml:space="preserve">HSE, Explosive Regulations 2014, Health and Safety Executive, 2014. </w:t>
                    </w:r>
                  </w:p>
                </w:tc>
              </w:tr>
              <w:tr w:rsidR="00C84E18" w14:paraId="0BD95C98" w14:textId="77777777">
                <w:trPr>
                  <w:divId w:val="162550582"/>
                  <w:tblCellSpacing w:w="15" w:type="dxa"/>
                </w:trPr>
                <w:tc>
                  <w:tcPr>
                    <w:tcW w:w="50" w:type="pct"/>
                    <w:hideMark/>
                  </w:tcPr>
                  <w:p w14:paraId="45BC3836" w14:textId="77777777" w:rsidR="00C84E18" w:rsidRDefault="00C84E18">
                    <w:pPr>
                      <w:pStyle w:val="Bibliography"/>
                      <w:rPr>
                        <w:noProof/>
                      </w:rPr>
                    </w:pPr>
                    <w:r>
                      <w:rPr>
                        <w:noProof/>
                      </w:rPr>
                      <w:t xml:space="preserve">[2] </w:t>
                    </w:r>
                  </w:p>
                </w:tc>
                <w:tc>
                  <w:tcPr>
                    <w:tcW w:w="0" w:type="auto"/>
                    <w:hideMark/>
                  </w:tcPr>
                  <w:p w14:paraId="60C54AF4" w14:textId="77777777" w:rsidR="00C84E18" w:rsidRDefault="00C84E18">
                    <w:pPr>
                      <w:pStyle w:val="Bibliography"/>
                      <w:rPr>
                        <w:noProof/>
                      </w:rPr>
                    </w:pPr>
                    <w:r>
                      <w:rPr>
                        <w:noProof/>
                      </w:rPr>
                      <w:t>UNSaferGuard, “UNSaferGuard,” March 2021. [Online]. Available: https://data.unsaferguard.org/iatg/en/V3_IATG-01.50_en.pdf. [Accessed December 2025].</w:t>
                    </w:r>
                  </w:p>
                </w:tc>
              </w:tr>
              <w:tr w:rsidR="00C84E18" w14:paraId="67A42D98" w14:textId="77777777">
                <w:trPr>
                  <w:divId w:val="162550582"/>
                  <w:tblCellSpacing w:w="15" w:type="dxa"/>
                </w:trPr>
                <w:tc>
                  <w:tcPr>
                    <w:tcW w:w="50" w:type="pct"/>
                    <w:hideMark/>
                  </w:tcPr>
                  <w:p w14:paraId="2CC1E08D" w14:textId="77777777" w:rsidR="00C84E18" w:rsidRDefault="00C84E18">
                    <w:pPr>
                      <w:pStyle w:val="Bibliography"/>
                      <w:rPr>
                        <w:noProof/>
                      </w:rPr>
                    </w:pPr>
                    <w:r>
                      <w:rPr>
                        <w:noProof/>
                      </w:rPr>
                      <w:t xml:space="preserve">[3] </w:t>
                    </w:r>
                  </w:p>
                </w:tc>
                <w:tc>
                  <w:tcPr>
                    <w:tcW w:w="0" w:type="auto"/>
                    <w:hideMark/>
                  </w:tcPr>
                  <w:p w14:paraId="24D056F1" w14:textId="77777777" w:rsidR="00C84E18" w:rsidRDefault="00C84E18">
                    <w:pPr>
                      <w:pStyle w:val="Bibliography"/>
                      <w:rPr>
                        <w:noProof/>
                      </w:rPr>
                    </w:pPr>
                    <w:r>
                      <w:rPr>
                        <w:noProof/>
                      </w:rPr>
                      <w:t>UNSaferGuard, “IATG 02.20,” March 2021. [Online]. Available: https://data.unsaferguard.org/iatg/en/V3_IATG-02.20_en.pdf. [Accessed December 2025].</w:t>
                    </w:r>
                  </w:p>
                </w:tc>
              </w:tr>
              <w:tr w:rsidR="00C84E18" w14:paraId="0083D178" w14:textId="77777777">
                <w:trPr>
                  <w:divId w:val="162550582"/>
                  <w:tblCellSpacing w:w="15" w:type="dxa"/>
                </w:trPr>
                <w:tc>
                  <w:tcPr>
                    <w:tcW w:w="50" w:type="pct"/>
                    <w:hideMark/>
                  </w:tcPr>
                  <w:p w14:paraId="20761C74" w14:textId="77777777" w:rsidR="00C84E18" w:rsidRDefault="00C84E18">
                    <w:pPr>
                      <w:pStyle w:val="Bibliography"/>
                      <w:rPr>
                        <w:noProof/>
                      </w:rPr>
                    </w:pPr>
                    <w:r>
                      <w:rPr>
                        <w:noProof/>
                      </w:rPr>
                      <w:t xml:space="preserve">[4] </w:t>
                    </w:r>
                  </w:p>
                </w:tc>
                <w:tc>
                  <w:tcPr>
                    <w:tcW w:w="0" w:type="auto"/>
                    <w:hideMark/>
                  </w:tcPr>
                  <w:p w14:paraId="6E2E47C2" w14:textId="77777777" w:rsidR="00C84E18" w:rsidRDefault="00C84E18">
                    <w:pPr>
                      <w:pStyle w:val="Bibliography"/>
                      <w:rPr>
                        <w:noProof/>
                      </w:rPr>
                    </w:pPr>
                    <w:r>
                      <w:rPr>
                        <w:noProof/>
                      </w:rPr>
                      <w:t>UNSaferGuard, “IATG 05.20,” March 2021. [Online]. Available: https://data.unsaferguard.org/iatg/en/V3_IATG-05.20_en.pdf. [Accessed December 2025].</w:t>
                    </w:r>
                  </w:p>
                </w:tc>
              </w:tr>
              <w:tr w:rsidR="00C84E18" w14:paraId="22C37A6A" w14:textId="77777777">
                <w:trPr>
                  <w:divId w:val="162550582"/>
                  <w:tblCellSpacing w:w="15" w:type="dxa"/>
                </w:trPr>
                <w:tc>
                  <w:tcPr>
                    <w:tcW w:w="50" w:type="pct"/>
                    <w:hideMark/>
                  </w:tcPr>
                  <w:p w14:paraId="5C07A2F6" w14:textId="77777777" w:rsidR="00C84E18" w:rsidRDefault="00C84E18">
                    <w:pPr>
                      <w:pStyle w:val="Bibliography"/>
                      <w:rPr>
                        <w:noProof/>
                      </w:rPr>
                    </w:pPr>
                    <w:r>
                      <w:rPr>
                        <w:noProof/>
                      </w:rPr>
                      <w:t xml:space="preserve">[5] </w:t>
                    </w:r>
                  </w:p>
                </w:tc>
                <w:tc>
                  <w:tcPr>
                    <w:tcW w:w="0" w:type="auto"/>
                    <w:hideMark/>
                  </w:tcPr>
                  <w:p w14:paraId="2C03A451" w14:textId="77777777" w:rsidR="00C84E18" w:rsidRDefault="00C84E18">
                    <w:pPr>
                      <w:pStyle w:val="Bibliography"/>
                      <w:rPr>
                        <w:noProof/>
                      </w:rPr>
                    </w:pPr>
                    <w:r>
                      <w:rPr>
                        <w:noProof/>
                      </w:rPr>
                      <w:t>UNSaferGuard, “IATG 02.30,” March 2021. [Online]. Available: https://data.unsaferguard.org/iatg/en/IATG-02.30-Licensing-explosive-facilities-IATG-V.3.pdf. [Accessed December 2025].</w:t>
                    </w:r>
                  </w:p>
                </w:tc>
              </w:tr>
              <w:tr w:rsidR="00C84E18" w14:paraId="4A9CA416" w14:textId="77777777">
                <w:trPr>
                  <w:divId w:val="162550582"/>
                  <w:tblCellSpacing w:w="15" w:type="dxa"/>
                </w:trPr>
                <w:tc>
                  <w:tcPr>
                    <w:tcW w:w="50" w:type="pct"/>
                    <w:hideMark/>
                  </w:tcPr>
                  <w:p w14:paraId="403BF6D2" w14:textId="77777777" w:rsidR="00C84E18" w:rsidRDefault="00C84E18">
                    <w:pPr>
                      <w:pStyle w:val="Bibliography"/>
                      <w:rPr>
                        <w:noProof/>
                      </w:rPr>
                    </w:pPr>
                    <w:r>
                      <w:rPr>
                        <w:noProof/>
                      </w:rPr>
                      <w:t xml:space="preserve">[6] </w:t>
                    </w:r>
                  </w:p>
                </w:tc>
                <w:tc>
                  <w:tcPr>
                    <w:tcW w:w="0" w:type="auto"/>
                    <w:hideMark/>
                  </w:tcPr>
                  <w:p w14:paraId="5778A69C" w14:textId="77777777" w:rsidR="00C84E18" w:rsidRDefault="00C84E18">
                    <w:pPr>
                      <w:pStyle w:val="Bibliography"/>
                      <w:rPr>
                        <w:noProof/>
                      </w:rPr>
                    </w:pPr>
                    <w:r>
                      <w:rPr>
                        <w:noProof/>
                      </w:rPr>
                      <w:t>UNSaferGuard, “IATG 01.20,” March 2021. [Online]. Available: https://data.unsaferguard.org/iatg/en/V3_IATG-01.20_en.pdf. [Accessed December 2025].</w:t>
                    </w:r>
                  </w:p>
                </w:tc>
              </w:tr>
              <w:tr w:rsidR="00C84E18" w14:paraId="7B8E88D9" w14:textId="77777777">
                <w:trPr>
                  <w:divId w:val="162550582"/>
                  <w:tblCellSpacing w:w="15" w:type="dxa"/>
                </w:trPr>
                <w:tc>
                  <w:tcPr>
                    <w:tcW w:w="50" w:type="pct"/>
                    <w:hideMark/>
                  </w:tcPr>
                  <w:p w14:paraId="764FABAB" w14:textId="77777777" w:rsidR="00C84E18" w:rsidRDefault="00C84E18">
                    <w:pPr>
                      <w:pStyle w:val="Bibliography"/>
                      <w:rPr>
                        <w:noProof/>
                      </w:rPr>
                    </w:pPr>
                    <w:r>
                      <w:rPr>
                        <w:noProof/>
                      </w:rPr>
                      <w:t xml:space="preserve">[7] </w:t>
                    </w:r>
                  </w:p>
                </w:tc>
                <w:tc>
                  <w:tcPr>
                    <w:tcW w:w="0" w:type="auto"/>
                    <w:hideMark/>
                  </w:tcPr>
                  <w:p w14:paraId="6979AA7E" w14:textId="77777777" w:rsidR="00C84E18" w:rsidRDefault="00C84E18">
                    <w:pPr>
                      <w:pStyle w:val="Bibliography"/>
                      <w:rPr>
                        <w:noProof/>
                      </w:rPr>
                    </w:pPr>
                    <w:r>
                      <w:rPr>
                        <w:noProof/>
                      </w:rPr>
                      <w:t>UNSaferGuard, “Quantity Distance Map,” UNSaferGuard, [Online]. Available: https://unsaferguard.org/map/. [Accessed December 2025].</w:t>
                    </w:r>
                  </w:p>
                </w:tc>
              </w:tr>
              <w:tr w:rsidR="00C84E18" w14:paraId="65365614" w14:textId="77777777">
                <w:trPr>
                  <w:divId w:val="162550582"/>
                  <w:tblCellSpacing w:w="15" w:type="dxa"/>
                </w:trPr>
                <w:tc>
                  <w:tcPr>
                    <w:tcW w:w="50" w:type="pct"/>
                    <w:hideMark/>
                  </w:tcPr>
                  <w:p w14:paraId="2624EE4F" w14:textId="77777777" w:rsidR="00C84E18" w:rsidRDefault="00C84E18">
                    <w:pPr>
                      <w:pStyle w:val="Bibliography"/>
                      <w:rPr>
                        <w:noProof/>
                      </w:rPr>
                    </w:pPr>
                    <w:r>
                      <w:rPr>
                        <w:noProof/>
                      </w:rPr>
                      <w:t xml:space="preserve">[8] </w:t>
                    </w:r>
                  </w:p>
                </w:tc>
                <w:tc>
                  <w:tcPr>
                    <w:tcW w:w="0" w:type="auto"/>
                    <w:hideMark/>
                  </w:tcPr>
                  <w:p w14:paraId="71D721BD" w14:textId="77777777" w:rsidR="00C84E18" w:rsidRDefault="00C84E18">
                    <w:pPr>
                      <w:pStyle w:val="Bibliography"/>
                      <w:rPr>
                        <w:noProof/>
                      </w:rPr>
                    </w:pPr>
                    <w:r>
                      <w:rPr>
                        <w:noProof/>
                      </w:rPr>
                      <w:t>UNSaferGuard, “IATG 02.50,” March 2021. [Online]. Available: https://data.unsaferguard.org/iatg/en/V3_IATG-02.50_en.pdf. [Accessed December 2025].</w:t>
                    </w:r>
                  </w:p>
                </w:tc>
              </w:tr>
              <w:tr w:rsidR="00C84E18" w14:paraId="5C1347AD" w14:textId="77777777">
                <w:trPr>
                  <w:divId w:val="162550582"/>
                  <w:tblCellSpacing w:w="15" w:type="dxa"/>
                </w:trPr>
                <w:tc>
                  <w:tcPr>
                    <w:tcW w:w="50" w:type="pct"/>
                    <w:hideMark/>
                  </w:tcPr>
                  <w:p w14:paraId="7091385F" w14:textId="77777777" w:rsidR="00C84E18" w:rsidRDefault="00C84E18">
                    <w:pPr>
                      <w:pStyle w:val="Bibliography"/>
                      <w:rPr>
                        <w:noProof/>
                      </w:rPr>
                    </w:pPr>
                    <w:r>
                      <w:rPr>
                        <w:noProof/>
                      </w:rPr>
                      <w:t xml:space="preserve">[9] </w:t>
                    </w:r>
                  </w:p>
                </w:tc>
                <w:tc>
                  <w:tcPr>
                    <w:tcW w:w="0" w:type="auto"/>
                    <w:hideMark/>
                  </w:tcPr>
                  <w:p w14:paraId="0E2C7F10" w14:textId="77777777" w:rsidR="00C84E18" w:rsidRDefault="00C84E18">
                    <w:pPr>
                      <w:pStyle w:val="Bibliography"/>
                      <w:rPr>
                        <w:noProof/>
                      </w:rPr>
                    </w:pPr>
                    <w:r>
                      <w:rPr>
                        <w:noProof/>
                      </w:rPr>
                      <w:t>UNSaferGuard, “IATG 02.10,” March 2021. [Online]. Available: https://data.unsaferguard.org/iatg/en/V3_IATG-02.10_en.pdf. [Accessed December 2025].</w:t>
                    </w:r>
                  </w:p>
                </w:tc>
              </w:tr>
              <w:tr w:rsidR="00C84E18" w14:paraId="47F4D7DE" w14:textId="77777777">
                <w:trPr>
                  <w:divId w:val="162550582"/>
                  <w:tblCellSpacing w:w="15" w:type="dxa"/>
                </w:trPr>
                <w:tc>
                  <w:tcPr>
                    <w:tcW w:w="50" w:type="pct"/>
                    <w:hideMark/>
                  </w:tcPr>
                  <w:p w14:paraId="6AB1A0E5" w14:textId="77777777" w:rsidR="00C84E18" w:rsidRDefault="00C84E18">
                    <w:pPr>
                      <w:pStyle w:val="Bibliography"/>
                      <w:rPr>
                        <w:noProof/>
                      </w:rPr>
                    </w:pPr>
                    <w:r>
                      <w:rPr>
                        <w:noProof/>
                      </w:rPr>
                      <w:t xml:space="preserve">[10] </w:t>
                    </w:r>
                  </w:p>
                </w:tc>
                <w:tc>
                  <w:tcPr>
                    <w:tcW w:w="0" w:type="auto"/>
                    <w:hideMark/>
                  </w:tcPr>
                  <w:p w14:paraId="3B76645B" w14:textId="77777777" w:rsidR="00C84E18" w:rsidRDefault="00C84E18">
                    <w:pPr>
                      <w:pStyle w:val="Bibliography"/>
                      <w:rPr>
                        <w:noProof/>
                      </w:rPr>
                    </w:pPr>
                    <w:r>
                      <w:rPr>
                        <w:noProof/>
                      </w:rPr>
                      <w:t>UNSaferGuard, “IATG 07.10,” March 2021. [Online]. Available: https://data.unsaferguard.org/iatg/en/V3_IATG-07.10_en.pdf. [Accessed December 2025].</w:t>
                    </w:r>
                  </w:p>
                </w:tc>
              </w:tr>
            </w:tbl>
            <w:p w14:paraId="170A2D34" w14:textId="77777777" w:rsidR="00C84E18" w:rsidRDefault="00C84E18">
              <w:pPr>
                <w:divId w:val="162550582"/>
                <w:rPr>
                  <w:rFonts w:eastAsia="Times New Roman"/>
                  <w:noProof/>
                </w:rPr>
              </w:pPr>
            </w:p>
            <w:p w14:paraId="62564C2A" w14:textId="10C486F7" w:rsidR="00C84E18" w:rsidRDefault="00C84E18">
              <w:r>
                <w:rPr>
                  <w:b/>
                  <w:bCs/>
                  <w:noProof/>
                </w:rPr>
                <w:fldChar w:fldCharType="end"/>
              </w:r>
            </w:p>
          </w:sdtContent>
        </w:sdt>
      </w:sdtContent>
    </w:sdt>
    <w:p w14:paraId="2356A63A" w14:textId="77777777" w:rsidR="00C84E18" w:rsidRPr="00313E2E" w:rsidRDefault="00C84E18" w:rsidP="00313E2E">
      <w:pPr>
        <w:rPr>
          <w:sz w:val="24"/>
          <w:szCs w:val="24"/>
        </w:rPr>
      </w:pPr>
    </w:p>
    <w:sectPr w:rsidR="00C84E18" w:rsidRPr="00313E2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82DC2" w14:textId="77777777" w:rsidR="00C8640A" w:rsidRDefault="00C8640A" w:rsidP="00DA2A6B">
      <w:pPr>
        <w:spacing w:after="0" w:line="240" w:lineRule="auto"/>
      </w:pPr>
      <w:r>
        <w:separator/>
      </w:r>
    </w:p>
  </w:endnote>
  <w:endnote w:type="continuationSeparator" w:id="0">
    <w:p w14:paraId="3CEEF6C9" w14:textId="77777777" w:rsidR="00C8640A" w:rsidRDefault="00C8640A" w:rsidP="00DA2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220866"/>
      <w:docPartObj>
        <w:docPartGallery w:val="Page Numbers (Bottom of Page)"/>
        <w:docPartUnique/>
      </w:docPartObj>
    </w:sdtPr>
    <w:sdtEndPr>
      <w:rPr>
        <w:noProof/>
      </w:rPr>
    </w:sdtEndPr>
    <w:sdtContent>
      <w:p w14:paraId="73D397E2" w14:textId="6E67EE9A" w:rsidR="00DA2A6B" w:rsidRDefault="00DA2A6B">
        <w:pPr>
          <w:pStyle w:val="Footer"/>
        </w:pPr>
        <w:r>
          <w:fldChar w:fldCharType="begin"/>
        </w:r>
        <w:r>
          <w:instrText xml:space="preserve"> PAGE   \* MERGEFORMAT </w:instrText>
        </w:r>
        <w:r>
          <w:fldChar w:fldCharType="separate"/>
        </w:r>
        <w:r>
          <w:rPr>
            <w:noProof/>
          </w:rPr>
          <w:t>2</w:t>
        </w:r>
        <w:r>
          <w:rPr>
            <w:noProof/>
          </w:rPr>
          <w:fldChar w:fldCharType="end"/>
        </w:r>
      </w:p>
    </w:sdtContent>
  </w:sdt>
  <w:p w14:paraId="5C659790" w14:textId="77777777" w:rsidR="00DA2A6B" w:rsidRDefault="00DA2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60468" w14:textId="77777777" w:rsidR="00C8640A" w:rsidRDefault="00C8640A" w:rsidP="00DA2A6B">
      <w:pPr>
        <w:spacing w:after="0" w:line="240" w:lineRule="auto"/>
      </w:pPr>
      <w:r>
        <w:separator/>
      </w:r>
    </w:p>
  </w:footnote>
  <w:footnote w:type="continuationSeparator" w:id="0">
    <w:p w14:paraId="3579D5E9" w14:textId="77777777" w:rsidR="00C8640A" w:rsidRDefault="00C8640A" w:rsidP="00DA2A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31CA"/>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3B3F57"/>
    <w:multiLevelType w:val="multilevel"/>
    <w:tmpl w:val="3EB29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771BF8"/>
    <w:multiLevelType w:val="hybridMultilevel"/>
    <w:tmpl w:val="76262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037327"/>
    <w:multiLevelType w:val="hybridMultilevel"/>
    <w:tmpl w:val="A2FE84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2B5327"/>
    <w:multiLevelType w:val="hybridMultilevel"/>
    <w:tmpl w:val="B16E4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6F61DB"/>
    <w:multiLevelType w:val="hybridMultilevel"/>
    <w:tmpl w:val="D4E2A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BB44B7"/>
    <w:multiLevelType w:val="multilevel"/>
    <w:tmpl w:val="E9F4D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EC64F3"/>
    <w:multiLevelType w:val="hybridMultilevel"/>
    <w:tmpl w:val="F0220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727FC3"/>
    <w:multiLevelType w:val="hybridMultilevel"/>
    <w:tmpl w:val="5762A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AE5736"/>
    <w:multiLevelType w:val="hybridMultilevel"/>
    <w:tmpl w:val="E2AC8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5D5F43"/>
    <w:multiLevelType w:val="hybridMultilevel"/>
    <w:tmpl w:val="95D2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997519"/>
    <w:multiLevelType w:val="multilevel"/>
    <w:tmpl w:val="472604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4127373">
    <w:abstractNumId w:val="5"/>
  </w:num>
  <w:num w:numId="2" w16cid:durableId="1195772954">
    <w:abstractNumId w:val="7"/>
  </w:num>
  <w:num w:numId="3" w16cid:durableId="1554077060">
    <w:abstractNumId w:val="8"/>
  </w:num>
  <w:num w:numId="4" w16cid:durableId="573857934">
    <w:abstractNumId w:val="10"/>
  </w:num>
  <w:num w:numId="5" w16cid:durableId="1238322765">
    <w:abstractNumId w:val="2"/>
  </w:num>
  <w:num w:numId="6" w16cid:durableId="893929475">
    <w:abstractNumId w:val="11"/>
  </w:num>
  <w:num w:numId="7" w16cid:durableId="1228875742">
    <w:abstractNumId w:val="6"/>
  </w:num>
  <w:num w:numId="8" w16cid:durableId="1570187474">
    <w:abstractNumId w:val="1"/>
  </w:num>
  <w:num w:numId="9" w16cid:durableId="1767456248">
    <w:abstractNumId w:val="0"/>
  </w:num>
  <w:num w:numId="10" w16cid:durableId="2056735694">
    <w:abstractNumId w:val="9"/>
  </w:num>
  <w:num w:numId="11" w16cid:durableId="79958582">
    <w:abstractNumId w:val="4"/>
  </w:num>
  <w:num w:numId="12" w16cid:durableId="10017352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5-12-08T10:32:07Z"/>
  </w:docVars>
  <w:rsids>
    <w:rsidRoot w:val="005B4F31"/>
    <w:rsid w:val="00000B30"/>
    <w:rsid w:val="00021989"/>
    <w:rsid w:val="00033C2A"/>
    <w:rsid w:val="00036BE3"/>
    <w:rsid w:val="000405BA"/>
    <w:rsid w:val="000568F7"/>
    <w:rsid w:val="00065835"/>
    <w:rsid w:val="000B1F03"/>
    <w:rsid w:val="000B74E9"/>
    <w:rsid w:val="000C2BED"/>
    <w:rsid w:val="000D1DB9"/>
    <w:rsid w:val="000F04AC"/>
    <w:rsid w:val="000F3849"/>
    <w:rsid w:val="001511DB"/>
    <w:rsid w:val="00152FD1"/>
    <w:rsid w:val="00186C69"/>
    <w:rsid w:val="001976CF"/>
    <w:rsid w:val="001B3A26"/>
    <w:rsid w:val="001E0C04"/>
    <w:rsid w:val="001E1E76"/>
    <w:rsid w:val="001F1D1E"/>
    <w:rsid w:val="00210187"/>
    <w:rsid w:val="00212EA4"/>
    <w:rsid w:val="00232577"/>
    <w:rsid w:val="00262985"/>
    <w:rsid w:val="00271E43"/>
    <w:rsid w:val="00280C6C"/>
    <w:rsid w:val="002A111F"/>
    <w:rsid w:val="002A51E5"/>
    <w:rsid w:val="002B2B6A"/>
    <w:rsid w:val="002C4DD7"/>
    <w:rsid w:val="002D2EB5"/>
    <w:rsid w:val="002D4409"/>
    <w:rsid w:val="00313E2E"/>
    <w:rsid w:val="00323317"/>
    <w:rsid w:val="0035388B"/>
    <w:rsid w:val="003B61AA"/>
    <w:rsid w:val="003F2579"/>
    <w:rsid w:val="0041130D"/>
    <w:rsid w:val="00413C07"/>
    <w:rsid w:val="00415E77"/>
    <w:rsid w:val="00454632"/>
    <w:rsid w:val="00456B42"/>
    <w:rsid w:val="00474473"/>
    <w:rsid w:val="004816A2"/>
    <w:rsid w:val="00497872"/>
    <w:rsid w:val="004A3C90"/>
    <w:rsid w:val="004A71E6"/>
    <w:rsid w:val="004C04CE"/>
    <w:rsid w:val="004E6215"/>
    <w:rsid w:val="004F05BF"/>
    <w:rsid w:val="004F0CAB"/>
    <w:rsid w:val="005105F3"/>
    <w:rsid w:val="0052190E"/>
    <w:rsid w:val="00523DBC"/>
    <w:rsid w:val="00543625"/>
    <w:rsid w:val="005500EE"/>
    <w:rsid w:val="0056142B"/>
    <w:rsid w:val="00580FB2"/>
    <w:rsid w:val="00595056"/>
    <w:rsid w:val="005A6182"/>
    <w:rsid w:val="005B4F31"/>
    <w:rsid w:val="005D0471"/>
    <w:rsid w:val="006030B2"/>
    <w:rsid w:val="00611378"/>
    <w:rsid w:val="00624AC6"/>
    <w:rsid w:val="00682425"/>
    <w:rsid w:val="006826C5"/>
    <w:rsid w:val="006842D9"/>
    <w:rsid w:val="00686D30"/>
    <w:rsid w:val="006A7964"/>
    <w:rsid w:val="006B2CF1"/>
    <w:rsid w:val="006C686F"/>
    <w:rsid w:val="006E0CA4"/>
    <w:rsid w:val="006F4B7F"/>
    <w:rsid w:val="00710AD4"/>
    <w:rsid w:val="00735254"/>
    <w:rsid w:val="00750EF9"/>
    <w:rsid w:val="00773C24"/>
    <w:rsid w:val="00784996"/>
    <w:rsid w:val="00790985"/>
    <w:rsid w:val="007D2E62"/>
    <w:rsid w:val="00814736"/>
    <w:rsid w:val="00826DDB"/>
    <w:rsid w:val="0083677F"/>
    <w:rsid w:val="008474BB"/>
    <w:rsid w:val="008500CC"/>
    <w:rsid w:val="00896358"/>
    <w:rsid w:val="008A1BCD"/>
    <w:rsid w:val="008B3F3B"/>
    <w:rsid w:val="008B5965"/>
    <w:rsid w:val="008F0F71"/>
    <w:rsid w:val="008F2A0C"/>
    <w:rsid w:val="00912BA5"/>
    <w:rsid w:val="00924E7D"/>
    <w:rsid w:val="00932B28"/>
    <w:rsid w:val="0095118F"/>
    <w:rsid w:val="00952DB8"/>
    <w:rsid w:val="00955B62"/>
    <w:rsid w:val="0096080E"/>
    <w:rsid w:val="00960ED8"/>
    <w:rsid w:val="009673D2"/>
    <w:rsid w:val="00973E87"/>
    <w:rsid w:val="00982287"/>
    <w:rsid w:val="009F488C"/>
    <w:rsid w:val="009F6E1D"/>
    <w:rsid w:val="009F70A1"/>
    <w:rsid w:val="00A43B19"/>
    <w:rsid w:val="00A57E1F"/>
    <w:rsid w:val="00A60349"/>
    <w:rsid w:val="00A6452A"/>
    <w:rsid w:val="00A73163"/>
    <w:rsid w:val="00A7439B"/>
    <w:rsid w:val="00A77E44"/>
    <w:rsid w:val="00A9772A"/>
    <w:rsid w:val="00AA1E70"/>
    <w:rsid w:val="00AF1AFF"/>
    <w:rsid w:val="00AF22A9"/>
    <w:rsid w:val="00B14D36"/>
    <w:rsid w:val="00B30F39"/>
    <w:rsid w:val="00B63D75"/>
    <w:rsid w:val="00B656BD"/>
    <w:rsid w:val="00B6667B"/>
    <w:rsid w:val="00B805F3"/>
    <w:rsid w:val="00B80DF3"/>
    <w:rsid w:val="00BA654D"/>
    <w:rsid w:val="00BB0B5E"/>
    <w:rsid w:val="00BB3117"/>
    <w:rsid w:val="00BE48CE"/>
    <w:rsid w:val="00C05FAE"/>
    <w:rsid w:val="00C30690"/>
    <w:rsid w:val="00C52648"/>
    <w:rsid w:val="00C5297E"/>
    <w:rsid w:val="00C608F8"/>
    <w:rsid w:val="00C84E18"/>
    <w:rsid w:val="00C8640A"/>
    <w:rsid w:val="00CA2E81"/>
    <w:rsid w:val="00CA38CE"/>
    <w:rsid w:val="00CA3D45"/>
    <w:rsid w:val="00CB1813"/>
    <w:rsid w:val="00CB2FBC"/>
    <w:rsid w:val="00CC26FA"/>
    <w:rsid w:val="00CC2A19"/>
    <w:rsid w:val="00CC6624"/>
    <w:rsid w:val="00CE4A55"/>
    <w:rsid w:val="00CF0B41"/>
    <w:rsid w:val="00D169D0"/>
    <w:rsid w:val="00D30492"/>
    <w:rsid w:val="00D55A52"/>
    <w:rsid w:val="00D571CB"/>
    <w:rsid w:val="00D712C2"/>
    <w:rsid w:val="00DA2A6B"/>
    <w:rsid w:val="00DD7B25"/>
    <w:rsid w:val="00DE5540"/>
    <w:rsid w:val="00E13491"/>
    <w:rsid w:val="00E312D3"/>
    <w:rsid w:val="00E37DA6"/>
    <w:rsid w:val="00E63B33"/>
    <w:rsid w:val="00E64C8B"/>
    <w:rsid w:val="00E71DFD"/>
    <w:rsid w:val="00E90644"/>
    <w:rsid w:val="00EA4394"/>
    <w:rsid w:val="00EB4AEF"/>
    <w:rsid w:val="00EC3741"/>
    <w:rsid w:val="00EE0549"/>
    <w:rsid w:val="00EE207B"/>
    <w:rsid w:val="00F14545"/>
    <w:rsid w:val="00F34CBE"/>
    <w:rsid w:val="00F53C62"/>
    <w:rsid w:val="00F75815"/>
    <w:rsid w:val="00F87DBD"/>
    <w:rsid w:val="00FD2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FFEBA"/>
  <w15:chartTrackingRefBased/>
  <w15:docId w15:val="{BF59E023-AB4C-41FF-AC03-0438C3CAD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F31"/>
  </w:style>
  <w:style w:type="paragraph" w:styleId="Heading1">
    <w:name w:val="heading 1"/>
    <w:basedOn w:val="Normal"/>
    <w:next w:val="Normal"/>
    <w:link w:val="Heading1Char"/>
    <w:uiPriority w:val="9"/>
    <w:qFormat/>
    <w:rsid w:val="005B4F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F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F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F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F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F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F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F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F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F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F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F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F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F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F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F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F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F31"/>
    <w:rPr>
      <w:rFonts w:eastAsiaTheme="majorEastAsia" w:cstheme="majorBidi"/>
      <w:color w:val="272727" w:themeColor="text1" w:themeTint="D8"/>
    </w:rPr>
  </w:style>
  <w:style w:type="paragraph" w:styleId="Title">
    <w:name w:val="Title"/>
    <w:basedOn w:val="Normal"/>
    <w:next w:val="Normal"/>
    <w:link w:val="TitleChar"/>
    <w:uiPriority w:val="10"/>
    <w:qFormat/>
    <w:rsid w:val="005B4F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F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F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F31"/>
    <w:pPr>
      <w:spacing w:before="160"/>
      <w:jc w:val="center"/>
    </w:pPr>
    <w:rPr>
      <w:i/>
      <w:iCs/>
      <w:color w:val="404040" w:themeColor="text1" w:themeTint="BF"/>
    </w:rPr>
  </w:style>
  <w:style w:type="character" w:customStyle="1" w:styleId="QuoteChar">
    <w:name w:val="Quote Char"/>
    <w:basedOn w:val="DefaultParagraphFont"/>
    <w:link w:val="Quote"/>
    <w:uiPriority w:val="29"/>
    <w:rsid w:val="005B4F31"/>
    <w:rPr>
      <w:i/>
      <w:iCs/>
      <w:color w:val="404040" w:themeColor="text1" w:themeTint="BF"/>
    </w:rPr>
  </w:style>
  <w:style w:type="paragraph" w:styleId="ListParagraph">
    <w:name w:val="List Paragraph"/>
    <w:basedOn w:val="Normal"/>
    <w:uiPriority w:val="34"/>
    <w:qFormat/>
    <w:rsid w:val="005B4F31"/>
    <w:pPr>
      <w:ind w:left="720"/>
      <w:contextualSpacing/>
    </w:pPr>
  </w:style>
  <w:style w:type="character" w:styleId="IntenseEmphasis">
    <w:name w:val="Intense Emphasis"/>
    <w:basedOn w:val="DefaultParagraphFont"/>
    <w:uiPriority w:val="21"/>
    <w:qFormat/>
    <w:rsid w:val="005B4F31"/>
    <w:rPr>
      <w:i/>
      <w:iCs/>
      <w:color w:val="0F4761" w:themeColor="accent1" w:themeShade="BF"/>
    </w:rPr>
  </w:style>
  <w:style w:type="paragraph" w:styleId="IntenseQuote">
    <w:name w:val="Intense Quote"/>
    <w:basedOn w:val="Normal"/>
    <w:next w:val="Normal"/>
    <w:link w:val="IntenseQuoteChar"/>
    <w:uiPriority w:val="30"/>
    <w:qFormat/>
    <w:rsid w:val="005B4F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F31"/>
    <w:rPr>
      <w:i/>
      <w:iCs/>
      <w:color w:val="0F4761" w:themeColor="accent1" w:themeShade="BF"/>
    </w:rPr>
  </w:style>
  <w:style w:type="character" w:styleId="IntenseReference">
    <w:name w:val="Intense Reference"/>
    <w:basedOn w:val="DefaultParagraphFont"/>
    <w:uiPriority w:val="32"/>
    <w:qFormat/>
    <w:rsid w:val="005B4F31"/>
    <w:rPr>
      <w:b/>
      <w:bCs/>
      <w:smallCaps/>
      <w:color w:val="0F4761" w:themeColor="accent1" w:themeShade="BF"/>
      <w:spacing w:val="5"/>
    </w:rPr>
  </w:style>
  <w:style w:type="table" w:styleId="TableGrid">
    <w:name w:val="Table Grid"/>
    <w:basedOn w:val="TableNormal"/>
    <w:uiPriority w:val="39"/>
    <w:rsid w:val="00773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2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A6B"/>
  </w:style>
  <w:style w:type="paragraph" w:styleId="Footer">
    <w:name w:val="footer"/>
    <w:basedOn w:val="Normal"/>
    <w:link w:val="FooterChar"/>
    <w:uiPriority w:val="99"/>
    <w:unhideWhenUsed/>
    <w:rsid w:val="00DA2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A6B"/>
  </w:style>
  <w:style w:type="paragraph" w:styleId="Bibliography">
    <w:name w:val="Bibliography"/>
    <w:basedOn w:val="Normal"/>
    <w:next w:val="Normal"/>
    <w:uiPriority w:val="37"/>
    <w:unhideWhenUsed/>
    <w:rsid w:val="00C84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7298">
      <w:bodyDiv w:val="1"/>
      <w:marLeft w:val="0"/>
      <w:marRight w:val="0"/>
      <w:marTop w:val="0"/>
      <w:marBottom w:val="0"/>
      <w:divBdr>
        <w:top w:val="none" w:sz="0" w:space="0" w:color="auto"/>
        <w:left w:val="none" w:sz="0" w:space="0" w:color="auto"/>
        <w:bottom w:val="none" w:sz="0" w:space="0" w:color="auto"/>
        <w:right w:val="none" w:sz="0" w:space="0" w:color="auto"/>
      </w:divBdr>
    </w:div>
    <w:div w:id="74326724">
      <w:bodyDiv w:val="1"/>
      <w:marLeft w:val="0"/>
      <w:marRight w:val="0"/>
      <w:marTop w:val="0"/>
      <w:marBottom w:val="0"/>
      <w:divBdr>
        <w:top w:val="none" w:sz="0" w:space="0" w:color="auto"/>
        <w:left w:val="none" w:sz="0" w:space="0" w:color="auto"/>
        <w:bottom w:val="none" w:sz="0" w:space="0" w:color="auto"/>
        <w:right w:val="none" w:sz="0" w:space="0" w:color="auto"/>
      </w:divBdr>
    </w:div>
    <w:div w:id="162550582">
      <w:bodyDiv w:val="1"/>
      <w:marLeft w:val="0"/>
      <w:marRight w:val="0"/>
      <w:marTop w:val="0"/>
      <w:marBottom w:val="0"/>
      <w:divBdr>
        <w:top w:val="none" w:sz="0" w:space="0" w:color="auto"/>
        <w:left w:val="none" w:sz="0" w:space="0" w:color="auto"/>
        <w:bottom w:val="none" w:sz="0" w:space="0" w:color="auto"/>
        <w:right w:val="none" w:sz="0" w:space="0" w:color="auto"/>
      </w:divBdr>
    </w:div>
    <w:div w:id="180053042">
      <w:bodyDiv w:val="1"/>
      <w:marLeft w:val="0"/>
      <w:marRight w:val="0"/>
      <w:marTop w:val="0"/>
      <w:marBottom w:val="0"/>
      <w:divBdr>
        <w:top w:val="none" w:sz="0" w:space="0" w:color="auto"/>
        <w:left w:val="none" w:sz="0" w:space="0" w:color="auto"/>
        <w:bottom w:val="none" w:sz="0" w:space="0" w:color="auto"/>
        <w:right w:val="none" w:sz="0" w:space="0" w:color="auto"/>
      </w:divBdr>
    </w:div>
    <w:div w:id="334571549">
      <w:bodyDiv w:val="1"/>
      <w:marLeft w:val="0"/>
      <w:marRight w:val="0"/>
      <w:marTop w:val="0"/>
      <w:marBottom w:val="0"/>
      <w:divBdr>
        <w:top w:val="none" w:sz="0" w:space="0" w:color="auto"/>
        <w:left w:val="none" w:sz="0" w:space="0" w:color="auto"/>
        <w:bottom w:val="none" w:sz="0" w:space="0" w:color="auto"/>
        <w:right w:val="none" w:sz="0" w:space="0" w:color="auto"/>
      </w:divBdr>
    </w:div>
    <w:div w:id="446778242">
      <w:bodyDiv w:val="1"/>
      <w:marLeft w:val="0"/>
      <w:marRight w:val="0"/>
      <w:marTop w:val="0"/>
      <w:marBottom w:val="0"/>
      <w:divBdr>
        <w:top w:val="none" w:sz="0" w:space="0" w:color="auto"/>
        <w:left w:val="none" w:sz="0" w:space="0" w:color="auto"/>
        <w:bottom w:val="none" w:sz="0" w:space="0" w:color="auto"/>
        <w:right w:val="none" w:sz="0" w:space="0" w:color="auto"/>
      </w:divBdr>
    </w:div>
    <w:div w:id="527059562">
      <w:bodyDiv w:val="1"/>
      <w:marLeft w:val="0"/>
      <w:marRight w:val="0"/>
      <w:marTop w:val="0"/>
      <w:marBottom w:val="0"/>
      <w:divBdr>
        <w:top w:val="none" w:sz="0" w:space="0" w:color="auto"/>
        <w:left w:val="none" w:sz="0" w:space="0" w:color="auto"/>
        <w:bottom w:val="none" w:sz="0" w:space="0" w:color="auto"/>
        <w:right w:val="none" w:sz="0" w:space="0" w:color="auto"/>
      </w:divBdr>
    </w:div>
    <w:div w:id="733166225">
      <w:bodyDiv w:val="1"/>
      <w:marLeft w:val="0"/>
      <w:marRight w:val="0"/>
      <w:marTop w:val="0"/>
      <w:marBottom w:val="0"/>
      <w:divBdr>
        <w:top w:val="none" w:sz="0" w:space="0" w:color="auto"/>
        <w:left w:val="none" w:sz="0" w:space="0" w:color="auto"/>
        <w:bottom w:val="none" w:sz="0" w:space="0" w:color="auto"/>
        <w:right w:val="none" w:sz="0" w:space="0" w:color="auto"/>
      </w:divBdr>
    </w:div>
    <w:div w:id="788016503">
      <w:bodyDiv w:val="1"/>
      <w:marLeft w:val="0"/>
      <w:marRight w:val="0"/>
      <w:marTop w:val="0"/>
      <w:marBottom w:val="0"/>
      <w:divBdr>
        <w:top w:val="none" w:sz="0" w:space="0" w:color="auto"/>
        <w:left w:val="none" w:sz="0" w:space="0" w:color="auto"/>
        <w:bottom w:val="none" w:sz="0" w:space="0" w:color="auto"/>
        <w:right w:val="none" w:sz="0" w:space="0" w:color="auto"/>
      </w:divBdr>
    </w:div>
    <w:div w:id="889727465">
      <w:bodyDiv w:val="1"/>
      <w:marLeft w:val="0"/>
      <w:marRight w:val="0"/>
      <w:marTop w:val="0"/>
      <w:marBottom w:val="0"/>
      <w:divBdr>
        <w:top w:val="none" w:sz="0" w:space="0" w:color="auto"/>
        <w:left w:val="none" w:sz="0" w:space="0" w:color="auto"/>
        <w:bottom w:val="none" w:sz="0" w:space="0" w:color="auto"/>
        <w:right w:val="none" w:sz="0" w:space="0" w:color="auto"/>
      </w:divBdr>
    </w:div>
    <w:div w:id="1068109628">
      <w:bodyDiv w:val="1"/>
      <w:marLeft w:val="0"/>
      <w:marRight w:val="0"/>
      <w:marTop w:val="0"/>
      <w:marBottom w:val="0"/>
      <w:divBdr>
        <w:top w:val="none" w:sz="0" w:space="0" w:color="auto"/>
        <w:left w:val="none" w:sz="0" w:space="0" w:color="auto"/>
        <w:bottom w:val="none" w:sz="0" w:space="0" w:color="auto"/>
        <w:right w:val="none" w:sz="0" w:space="0" w:color="auto"/>
      </w:divBdr>
    </w:div>
    <w:div w:id="1547793870">
      <w:bodyDiv w:val="1"/>
      <w:marLeft w:val="0"/>
      <w:marRight w:val="0"/>
      <w:marTop w:val="0"/>
      <w:marBottom w:val="0"/>
      <w:divBdr>
        <w:top w:val="none" w:sz="0" w:space="0" w:color="auto"/>
        <w:left w:val="none" w:sz="0" w:space="0" w:color="auto"/>
        <w:bottom w:val="none" w:sz="0" w:space="0" w:color="auto"/>
        <w:right w:val="none" w:sz="0" w:space="0" w:color="auto"/>
      </w:divBdr>
    </w:div>
    <w:div w:id="1708750656">
      <w:bodyDiv w:val="1"/>
      <w:marLeft w:val="0"/>
      <w:marRight w:val="0"/>
      <w:marTop w:val="0"/>
      <w:marBottom w:val="0"/>
      <w:divBdr>
        <w:top w:val="none" w:sz="0" w:space="0" w:color="auto"/>
        <w:left w:val="none" w:sz="0" w:space="0" w:color="auto"/>
        <w:bottom w:val="none" w:sz="0" w:space="0" w:color="auto"/>
        <w:right w:val="none" w:sz="0" w:space="0" w:color="auto"/>
      </w:divBdr>
    </w:div>
    <w:div w:id="1842891398">
      <w:bodyDiv w:val="1"/>
      <w:marLeft w:val="0"/>
      <w:marRight w:val="0"/>
      <w:marTop w:val="0"/>
      <w:marBottom w:val="0"/>
      <w:divBdr>
        <w:top w:val="none" w:sz="0" w:space="0" w:color="auto"/>
        <w:left w:val="none" w:sz="0" w:space="0" w:color="auto"/>
        <w:bottom w:val="none" w:sz="0" w:space="0" w:color="auto"/>
        <w:right w:val="none" w:sz="0" w:space="0" w:color="auto"/>
      </w:divBdr>
    </w:div>
    <w:div w:id="1903832371">
      <w:bodyDiv w:val="1"/>
      <w:marLeft w:val="0"/>
      <w:marRight w:val="0"/>
      <w:marTop w:val="0"/>
      <w:marBottom w:val="0"/>
      <w:divBdr>
        <w:top w:val="none" w:sz="0" w:space="0" w:color="auto"/>
        <w:left w:val="none" w:sz="0" w:space="0" w:color="auto"/>
        <w:bottom w:val="none" w:sz="0" w:space="0" w:color="auto"/>
        <w:right w:val="none" w:sz="0" w:space="0" w:color="auto"/>
      </w:divBdr>
    </w:div>
    <w:div w:id="2024089122">
      <w:bodyDiv w:val="1"/>
      <w:marLeft w:val="0"/>
      <w:marRight w:val="0"/>
      <w:marTop w:val="0"/>
      <w:marBottom w:val="0"/>
      <w:divBdr>
        <w:top w:val="none" w:sz="0" w:space="0" w:color="auto"/>
        <w:left w:val="none" w:sz="0" w:space="0" w:color="auto"/>
        <w:bottom w:val="none" w:sz="0" w:space="0" w:color="auto"/>
        <w:right w:val="none" w:sz="0" w:space="0" w:color="auto"/>
      </w:divBdr>
    </w:div>
    <w:div w:id="2060668328">
      <w:bodyDiv w:val="1"/>
      <w:marLeft w:val="0"/>
      <w:marRight w:val="0"/>
      <w:marTop w:val="0"/>
      <w:marBottom w:val="0"/>
      <w:divBdr>
        <w:top w:val="none" w:sz="0" w:space="0" w:color="auto"/>
        <w:left w:val="none" w:sz="0" w:space="0" w:color="auto"/>
        <w:bottom w:val="none" w:sz="0" w:space="0" w:color="auto"/>
        <w:right w:val="none" w:sz="0" w:space="0" w:color="auto"/>
      </w:divBdr>
    </w:div>
    <w:div w:id="206440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HSE14</b:Tag>
    <b:SourceType>Book</b:SourceType>
    <b:Guid>{47AD4A30-230A-4644-A6AE-792A5A06D35C}</b:Guid>
    <b:Title>Explosive Regulations 2014</b:Title>
    <b:Year>2014</b:Year>
    <b:Publisher>Health and Safety Executive</b:Publisher>
    <b:Author>
      <b:Author>
        <b:NameList>
          <b:Person>
            <b:Last>HSE</b:Last>
          </b:Person>
        </b:NameList>
      </b:Author>
    </b:Author>
    <b:RefOrder>1</b:RefOrder>
  </b:Source>
  <b:Source>
    <b:Tag>UNS211</b:Tag>
    <b:SourceType>DocumentFromInternetSite</b:SourceType>
    <b:Guid>{1E2D6430-BC76-4AE8-98A8-E7B0F5FDC8A0}</b:Guid>
    <b:Title>UNSaferGuard</b:Title>
    <b:Year>2021</b:Year>
    <b:Author>
      <b:Author>
        <b:NameList>
          <b:Person>
            <b:Last>UNSaferGuard</b:Last>
          </b:Person>
        </b:NameList>
      </b:Author>
    </b:Author>
    <b:Month>March</b:Month>
    <b:YearAccessed>2025</b:YearAccessed>
    <b:MonthAccessed>December</b:MonthAccessed>
    <b:URL>https://data.unsaferguard.org/iatg/en/V3_IATG-01.50_en.pdf</b:URL>
    <b:RefOrder>2</b:RefOrder>
  </b:Source>
  <b:Source>
    <b:Tag>UNS212</b:Tag>
    <b:SourceType>DocumentFromInternetSite</b:SourceType>
    <b:Guid>{48E07644-4992-4390-A086-99E61F28A0CC}</b:Guid>
    <b:Author>
      <b:Author>
        <b:NameList>
          <b:Person>
            <b:Last>UNSaferGuard</b:Last>
          </b:Person>
        </b:NameList>
      </b:Author>
    </b:Author>
    <b:Title>IATG 02.20</b:Title>
    <b:Year>2021</b:Year>
    <b:Month>March</b:Month>
    <b:YearAccessed>2025</b:YearAccessed>
    <b:MonthAccessed>December</b:MonthAccessed>
    <b:URL>https://data.unsaferguard.org/iatg/en/V3_IATG-02.20_en.pdf</b:URL>
    <b:RefOrder>3</b:RefOrder>
  </b:Source>
  <b:Source>
    <b:Tag>UNS213</b:Tag>
    <b:SourceType>DocumentFromInternetSite</b:SourceType>
    <b:Guid>{D2558B42-6690-43B1-897C-CF0655AE70CC}</b:Guid>
    <b:Author>
      <b:Author>
        <b:NameList>
          <b:Person>
            <b:Last>UNSaferGuard</b:Last>
          </b:Person>
        </b:NameList>
      </b:Author>
    </b:Author>
    <b:Title>IATG 05.20</b:Title>
    <b:Year>2021</b:Year>
    <b:Month>March</b:Month>
    <b:YearAccessed>2025</b:YearAccessed>
    <b:MonthAccessed>December</b:MonthAccessed>
    <b:URL>https://data.unsaferguard.org/iatg/en/V3_IATG-05.20_en.pdf</b:URL>
    <b:RefOrder>4</b:RefOrder>
  </b:Source>
  <b:Source>
    <b:Tag>UNS214</b:Tag>
    <b:SourceType>DocumentFromInternetSite</b:SourceType>
    <b:Guid>{5397F48F-CC92-400A-B650-3E9D099BC78A}</b:Guid>
    <b:Author>
      <b:Author>
        <b:NameList>
          <b:Person>
            <b:Last>UNSaferGuard</b:Last>
          </b:Person>
        </b:NameList>
      </b:Author>
    </b:Author>
    <b:Title>IATG 02.30</b:Title>
    <b:Year>2021</b:Year>
    <b:Month>March</b:Month>
    <b:YearAccessed>2025</b:YearAccessed>
    <b:MonthAccessed>December</b:MonthAccessed>
    <b:URL>https://data.unsaferguard.org/iatg/en/IATG-02.30-Licensing-explosive-facilities-IATG-V.3.pdf</b:URL>
    <b:RefOrder>5</b:RefOrder>
  </b:Source>
  <b:Source>
    <b:Tag>UNS215</b:Tag>
    <b:SourceType>DocumentFromInternetSite</b:SourceType>
    <b:Guid>{E23FEC69-E82A-476F-B0F4-564FFBDACB40}</b:Guid>
    <b:Author>
      <b:Author>
        <b:NameList>
          <b:Person>
            <b:Last>UNSaferGuard</b:Last>
          </b:Person>
        </b:NameList>
      </b:Author>
    </b:Author>
    <b:Title>IATG 01.20</b:Title>
    <b:Year>2021</b:Year>
    <b:Month>March</b:Month>
    <b:YearAccessed>2025</b:YearAccessed>
    <b:MonthAccessed>December</b:MonthAccessed>
    <b:URL>https://data.unsaferguard.org/iatg/en/V3_IATG-01.20_en.pdf</b:URL>
    <b:RefOrder>6</b:RefOrder>
  </b:Source>
  <b:Source>
    <b:Tag>UNS25</b:Tag>
    <b:SourceType>InternetSite</b:SourceType>
    <b:Guid>{E45DBB4C-2CCD-4411-A737-4C566B612EFD}</b:Guid>
    <b:Title>Quantity Distance Map</b:Title>
    <b:YearAccessed>2025</b:YearAccessed>
    <b:MonthAccessed>December</b:MonthAccessed>
    <b:URL>https://unsaferguard.org/map/</b:URL>
    <b:Author>
      <b:Author>
        <b:NameList>
          <b:Person>
            <b:Last>UNSaferGuard</b:Last>
          </b:Person>
        </b:NameList>
      </b:Author>
    </b:Author>
    <b:ProductionCompany>UNSaferGuard</b:ProductionCompany>
    <b:RefOrder>7</b:RefOrder>
  </b:Source>
  <b:Source>
    <b:Tag>UNS216</b:Tag>
    <b:SourceType>DocumentFromInternetSite</b:SourceType>
    <b:Guid>{C94E6B10-50F2-48E7-97E7-8ABF2FDB089D}</b:Guid>
    <b:Title>IATG 02.50</b:Title>
    <b:Year>2021</b:Year>
    <b:Month>March</b:Month>
    <b:YearAccessed>2025</b:YearAccessed>
    <b:MonthAccessed>December</b:MonthAccessed>
    <b:URL>https://data.unsaferguard.org/iatg/en/V3_IATG-02.50_en.pdf</b:URL>
    <b:Author>
      <b:Author>
        <b:NameList>
          <b:Person>
            <b:Last>UNSaferGuard</b:Last>
          </b:Person>
        </b:NameList>
      </b:Author>
    </b:Author>
    <b:RefOrder>8</b:RefOrder>
  </b:Source>
  <b:Source>
    <b:Tag>UNS217</b:Tag>
    <b:SourceType>DocumentFromInternetSite</b:SourceType>
    <b:Guid>{99B975F5-53DB-4882-AE18-868D564345CF}</b:Guid>
    <b:Author>
      <b:Author>
        <b:NameList>
          <b:Person>
            <b:Last>UNSaferGuard</b:Last>
          </b:Person>
        </b:NameList>
      </b:Author>
    </b:Author>
    <b:Title>IATG 02.10</b:Title>
    <b:Year>2021</b:Year>
    <b:Month>March</b:Month>
    <b:YearAccessed>2025</b:YearAccessed>
    <b:MonthAccessed>December</b:MonthAccessed>
    <b:URL>https://data.unsaferguard.org/iatg/en/V3_IATG-02.10_en.pdf</b:URL>
    <b:RefOrder>9</b:RefOrder>
  </b:Source>
  <b:Source>
    <b:Tag>UNS218</b:Tag>
    <b:SourceType>DocumentFromInternetSite</b:SourceType>
    <b:Guid>{E8906E75-1EC4-4340-8FA0-3A7F5883AA2E}</b:Guid>
    <b:Author>
      <b:Author>
        <b:NameList>
          <b:Person>
            <b:Last>UNSaferGuard</b:Last>
          </b:Person>
        </b:NameList>
      </b:Author>
    </b:Author>
    <b:Title>IATG 07.10</b:Title>
    <b:Year>2021</b:Year>
    <b:Month>March</b:Month>
    <b:YearAccessed>2025</b:YearAccessed>
    <b:MonthAccessed>December</b:MonthAccessed>
    <b:URL>https://data.unsaferguard.org/iatg/en/V3_IATG-07.10_en.pdf</b:URL>
    <b:RefOrder>10</b:RefOrder>
  </b:Source>
</b:Sources>
</file>

<file path=customXml/itemProps1.xml><?xml version="1.0" encoding="utf-8"?>
<ds:datastoreItem xmlns:ds="http://schemas.openxmlformats.org/officeDocument/2006/customXml" ds:itemID="{9F84BDEB-5FAB-4933-A82F-1DA6696C4DEF}">
  <ds:schemaRefs>
    <ds:schemaRef ds:uri="http://schemas.openxmlformats.org/officeDocument/2006/bibliography"/>
  </ds:schemaRefs>
</ds:datastoreItem>
</file>

<file path=docMetadata/LabelInfo.xml><?xml version="1.0" encoding="utf-8"?>
<clbl:labelList xmlns:clbl="http://schemas.microsoft.com/office/2020/mipLabelMetadata">
  <clbl:label id="{48141450-2387-4aca-b41f-19cd6be9dd3c}" enabled="1" method="Standard" siteId="{adf10e2b-b6e9-41d6-be2f-c12bb566019c}" contentBits="0" removed="0"/>
</clbl:labelList>
</file>

<file path=docProps/app.xml><?xml version="1.0" encoding="utf-8"?>
<Properties xmlns="http://schemas.openxmlformats.org/officeDocument/2006/extended-properties" xmlns:vt="http://schemas.openxmlformats.org/officeDocument/2006/docPropsVTypes">
  <Template>Normal</Template>
  <TotalTime>2</TotalTime>
  <Pages>10</Pages>
  <Words>2472</Words>
  <Characters>15156</Characters>
  <Application>Microsoft Office Word</Application>
  <DocSecurity>0</DocSecurity>
  <Lines>385</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Simpson, Ewan</cp:lastModifiedBy>
  <cp:revision>3</cp:revision>
  <dcterms:created xsi:type="dcterms:W3CDTF">2025-12-12T10:44:00Z</dcterms:created>
  <dcterms:modified xsi:type="dcterms:W3CDTF">2025-12-12T10:48:00Z</dcterms:modified>
</cp:coreProperties>
</file>