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52F2CCAE" w14:textId="06A0D055" w:rsidR="00464EB2" w:rsidRPr="006703EA" w:rsidRDefault="00931143" w:rsidP="004D4D48">
      <w:pPr>
        <w:spacing w:line="360" w:lineRule="auto"/>
        <w:rPr>
          <w:rStyle w:val="Strong"/>
          <w:rFonts w:ascii="Arial" w:hAnsi="Arial" w:cs="Arial"/>
          <w:b w:val="0"/>
          <w:bCs w:val="0"/>
          <w:color w:val="1D2125"/>
          <w:sz w:val="22"/>
          <w:szCs w:val="22"/>
        </w:rPr>
      </w:pPr>
      <w:r w:rsidRPr="006703EA">
        <w:rPr>
          <w:rStyle w:val="Strong"/>
          <w:rFonts w:ascii="Arial" w:hAnsi="Arial" w:cs="Arial"/>
          <w:color w:val="1D2125"/>
          <w:sz w:val="22"/>
          <w:szCs w:val="22"/>
        </w:rPr>
        <w:t>M</w:t>
      </w:r>
      <w:r w:rsidR="00464EB2" w:rsidRPr="006703EA">
        <w:rPr>
          <w:rStyle w:val="Strong"/>
          <w:rFonts w:ascii="Arial" w:hAnsi="Arial" w:cs="Arial"/>
          <w:color w:val="1D2125"/>
          <w:sz w:val="22"/>
          <w:szCs w:val="22"/>
        </w:rPr>
        <w:t>odule Name</w:t>
      </w:r>
      <w:r w:rsidRPr="006703EA">
        <w:rPr>
          <w:rStyle w:val="Strong"/>
          <w:rFonts w:ascii="Arial" w:hAnsi="Arial" w:cs="Arial"/>
          <w:b w:val="0"/>
          <w:bCs w:val="0"/>
          <w:color w:val="1D2125"/>
          <w:sz w:val="22"/>
          <w:szCs w:val="22"/>
        </w:rPr>
        <w:t>: PSYCHOLOGICAL CLASSIFICATIONS AND PROVISIONS</w:t>
      </w:r>
      <w:r w:rsidR="00464EB2" w:rsidRPr="006703EA">
        <w:rPr>
          <w:rStyle w:val="Strong"/>
          <w:rFonts w:ascii="Arial" w:hAnsi="Arial" w:cs="Arial"/>
          <w:color w:val="1D2125"/>
          <w:sz w:val="22"/>
          <w:szCs w:val="22"/>
        </w:rPr>
        <w:t xml:space="preserve">   </w:t>
      </w:r>
    </w:p>
    <w:p w14:paraId="723DF23E" w14:textId="0CA606FA" w:rsidR="000264A1" w:rsidRPr="006703EA" w:rsidRDefault="00464EB2" w:rsidP="004D4D48">
      <w:pPr>
        <w:spacing w:line="360" w:lineRule="auto"/>
        <w:rPr>
          <w:rStyle w:val="Strong"/>
          <w:rFonts w:ascii="Arial" w:hAnsi="Arial" w:cs="Arial"/>
          <w:b w:val="0"/>
          <w:bCs w:val="0"/>
          <w:color w:val="1D2125"/>
          <w:sz w:val="22"/>
          <w:szCs w:val="22"/>
        </w:rPr>
      </w:pPr>
      <w:r w:rsidRPr="006703EA">
        <w:rPr>
          <w:rStyle w:val="Strong"/>
          <w:rFonts w:ascii="Arial" w:hAnsi="Arial" w:cs="Arial"/>
          <w:color w:val="1D2125"/>
          <w:sz w:val="22"/>
          <w:szCs w:val="22"/>
        </w:rPr>
        <w:t>Module Code</w:t>
      </w:r>
      <w:r w:rsidR="00931143" w:rsidRPr="006703EA">
        <w:rPr>
          <w:rStyle w:val="Strong"/>
          <w:rFonts w:ascii="Arial" w:hAnsi="Arial" w:cs="Arial"/>
          <w:b w:val="0"/>
          <w:bCs w:val="0"/>
          <w:color w:val="1D2125"/>
          <w:sz w:val="22"/>
          <w:szCs w:val="22"/>
        </w:rPr>
        <w:t>: BMHP6029</w:t>
      </w:r>
    </w:p>
    <w:p w14:paraId="25159706" w14:textId="77777777" w:rsidR="000264A1" w:rsidRPr="006703EA" w:rsidRDefault="000264A1" w:rsidP="004D4D48">
      <w:pPr>
        <w:spacing w:line="360" w:lineRule="auto"/>
        <w:rPr>
          <w:rStyle w:val="Strong"/>
          <w:rFonts w:ascii="Arial" w:hAnsi="Arial" w:cs="Arial"/>
          <w:b w:val="0"/>
          <w:bCs w:val="0"/>
          <w:color w:val="1D2125"/>
          <w:sz w:val="22"/>
          <w:szCs w:val="22"/>
        </w:rPr>
      </w:pPr>
      <w:r w:rsidRPr="006703EA">
        <w:rPr>
          <w:rFonts w:ascii="Arial" w:hAnsi="Arial" w:cs="Arial"/>
          <w:b/>
          <w:bCs/>
          <w:color w:val="000000"/>
          <w:sz w:val="22"/>
          <w:szCs w:val="22"/>
        </w:rPr>
        <w:t xml:space="preserve">Component 2: </w:t>
      </w:r>
      <w:r w:rsidRPr="006703EA">
        <w:rPr>
          <w:rFonts w:ascii="Arial" w:hAnsi="Arial" w:cs="Arial"/>
          <w:color w:val="000000"/>
          <w:sz w:val="22"/>
          <w:szCs w:val="22"/>
        </w:rPr>
        <w:t>Written Assignment (Report)</w:t>
      </w:r>
      <w:r w:rsidRPr="006703EA">
        <w:rPr>
          <w:rStyle w:val="Strong"/>
          <w:rFonts w:ascii="Arial" w:hAnsi="Arial" w:cs="Arial"/>
          <w:b w:val="0"/>
          <w:bCs w:val="0"/>
          <w:color w:val="1D2125"/>
          <w:sz w:val="22"/>
          <w:szCs w:val="22"/>
        </w:rPr>
        <w:t xml:space="preserve"> </w:t>
      </w:r>
    </w:p>
    <w:p w14:paraId="3DB89340" w14:textId="7EA69C7A" w:rsidR="000264A1" w:rsidRPr="006703EA" w:rsidRDefault="000264A1" w:rsidP="004D4D48">
      <w:pPr>
        <w:spacing w:line="360" w:lineRule="auto"/>
        <w:rPr>
          <w:rStyle w:val="Strong"/>
          <w:rFonts w:ascii="Arial" w:hAnsi="Arial" w:cs="Arial"/>
          <w:color w:val="1D2125"/>
          <w:sz w:val="22"/>
          <w:szCs w:val="22"/>
        </w:rPr>
      </w:pPr>
      <w:r w:rsidRPr="006703EA">
        <w:rPr>
          <w:rStyle w:val="Strong"/>
          <w:rFonts w:ascii="Arial" w:hAnsi="Arial" w:cs="Arial"/>
          <w:color w:val="1D2125"/>
          <w:sz w:val="22"/>
          <w:szCs w:val="22"/>
        </w:rPr>
        <w:t>Student name</w:t>
      </w:r>
      <w:r w:rsidR="00405A1B" w:rsidRPr="006703EA">
        <w:rPr>
          <w:rStyle w:val="Strong"/>
          <w:rFonts w:ascii="Arial" w:hAnsi="Arial" w:cs="Arial"/>
          <w:color w:val="1D2125"/>
          <w:sz w:val="22"/>
          <w:szCs w:val="22"/>
        </w:rPr>
        <w:t xml:space="preserve">: </w:t>
      </w:r>
      <w:r w:rsidR="00405A1B" w:rsidRPr="006703EA">
        <w:rPr>
          <w:rStyle w:val="Strong"/>
          <w:rFonts w:ascii="Arial" w:hAnsi="Arial" w:cs="Arial"/>
          <w:b w:val="0"/>
          <w:bCs w:val="0"/>
          <w:color w:val="1D2125"/>
          <w:sz w:val="22"/>
          <w:szCs w:val="22"/>
        </w:rPr>
        <w:t>Marinela Braganca</w:t>
      </w:r>
      <w:r w:rsidRPr="006703EA">
        <w:rPr>
          <w:rStyle w:val="Strong"/>
          <w:rFonts w:ascii="Arial" w:hAnsi="Arial" w:cs="Arial"/>
          <w:b w:val="0"/>
          <w:bCs w:val="0"/>
          <w:color w:val="1D2125"/>
          <w:sz w:val="22"/>
          <w:szCs w:val="22"/>
        </w:rPr>
        <w:t xml:space="preserve"> </w:t>
      </w:r>
    </w:p>
    <w:p w14:paraId="3F25C99D" w14:textId="3C174703" w:rsidR="000264A1" w:rsidRPr="006703EA" w:rsidRDefault="000264A1" w:rsidP="004D4D48">
      <w:pPr>
        <w:spacing w:line="360" w:lineRule="auto"/>
        <w:rPr>
          <w:rStyle w:val="Strong"/>
          <w:rFonts w:ascii="Arial" w:hAnsi="Arial" w:cs="Arial"/>
          <w:b w:val="0"/>
          <w:bCs w:val="0"/>
          <w:color w:val="1D2125"/>
          <w:sz w:val="22"/>
          <w:szCs w:val="22"/>
        </w:rPr>
      </w:pPr>
      <w:r w:rsidRPr="006703EA">
        <w:rPr>
          <w:rStyle w:val="Strong"/>
          <w:rFonts w:ascii="Arial" w:hAnsi="Arial" w:cs="Arial"/>
          <w:color w:val="1D2125"/>
          <w:sz w:val="22"/>
          <w:szCs w:val="22"/>
        </w:rPr>
        <w:t>Student number</w:t>
      </w:r>
      <w:r w:rsidR="00405A1B" w:rsidRPr="006703EA">
        <w:rPr>
          <w:rStyle w:val="Strong"/>
          <w:rFonts w:ascii="Arial" w:hAnsi="Arial" w:cs="Arial"/>
          <w:color w:val="1D2125"/>
          <w:sz w:val="22"/>
          <w:szCs w:val="22"/>
        </w:rPr>
        <w:t xml:space="preserve">: </w:t>
      </w:r>
      <w:r w:rsidR="00405A1B" w:rsidRPr="006703EA">
        <w:rPr>
          <w:rStyle w:val="Strong"/>
          <w:rFonts w:ascii="Arial" w:hAnsi="Arial" w:cs="Arial"/>
          <w:b w:val="0"/>
          <w:bCs w:val="0"/>
          <w:color w:val="1D2125"/>
          <w:sz w:val="22"/>
          <w:szCs w:val="22"/>
        </w:rPr>
        <w:t>2328116</w:t>
      </w:r>
    </w:p>
    <w:p w14:paraId="3715361C" w14:textId="6D325456" w:rsidR="009D6EB9" w:rsidRPr="006703EA" w:rsidRDefault="009D6EB9" w:rsidP="004D4D48">
      <w:pPr>
        <w:spacing w:line="360" w:lineRule="auto"/>
        <w:rPr>
          <w:rStyle w:val="Strong"/>
          <w:rFonts w:ascii="Arial" w:hAnsi="Arial" w:cs="Arial"/>
          <w:b w:val="0"/>
          <w:bCs w:val="0"/>
          <w:color w:val="1D2125"/>
          <w:sz w:val="22"/>
          <w:szCs w:val="22"/>
        </w:rPr>
      </w:pPr>
      <w:r w:rsidRPr="006703EA">
        <w:rPr>
          <w:rStyle w:val="Strong"/>
          <w:rFonts w:ascii="Arial" w:hAnsi="Arial" w:cs="Arial"/>
          <w:color w:val="1D2125"/>
          <w:sz w:val="22"/>
          <w:szCs w:val="22"/>
        </w:rPr>
        <w:t>L</w:t>
      </w:r>
      <w:r w:rsidRPr="006703EA">
        <w:rPr>
          <w:rStyle w:val="Strong"/>
          <w:rFonts w:ascii="Arial" w:hAnsi="Arial" w:cs="Arial"/>
          <w:color w:val="1D2125"/>
          <w:sz w:val="22"/>
          <w:szCs w:val="22"/>
        </w:rPr>
        <w:t>ecturer</w:t>
      </w:r>
      <w:r w:rsidRPr="006703EA">
        <w:rPr>
          <w:rStyle w:val="Strong"/>
          <w:rFonts w:ascii="Arial" w:hAnsi="Arial" w:cs="Arial"/>
          <w:b w:val="0"/>
          <w:bCs w:val="0"/>
          <w:color w:val="1D2125"/>
          <w:sz w:val="22"/>
          <w:szCs w:val="22"/>
        </w:rPr>
        <w:t>:</w:t>
      </w:r>
      <w:r w:rsidR="00E413C2" w:rsidRPr="006703EA">
        <w:rPr>
          <w:rStyle w:val="Strong"/>
          <w:rFonts w:ascii="Arial" w:hAnsi="Arial" w:cs="Arial"/>
          <w:b w:val="0"/>
          <w:bCs w:val="0"/>
          <w:color w:val="1D2125"/>
          <w:sz w:val="22"/>
          <w:szCs w:val="22"/>
        </w:rPr>
        <w:t xml:space="preserve"> </w:t>
      </w:r>
      <w:r w:rsidR="00E413C2" w:rsidRPr="006703EA">
        <w:rPr>
          <w:rStyle w:val="Strong"/>
          <w:rFonts w:ascii="Arial" w:hAnsi="Arial" w:cs="Arial"/>
          <w:b w:val="0"/>
          <w:bCs w:val="0"/>
          <w:color w:val="1D2125"/>
          <w:sz w:val="22"/>
          <w:szCs w:val="22"/>
        </w:rPr>
        <w:t>DR F</w:t>
      </w:r>
      <w:r w:rsidR="00E413C2" w:rsidRPr="006703EA">
        <w:rPr>
          <w:rStyle w:val="Strong"/>
          <w:rFonts w:ascii="Arial" w:hAnsi="Arial" w:cs="Arial"/>
          <w:b w:val="0"/>
          <w:bCs w:val="0"/>
          <w:color w:val="1D2125"/>
          <w:sz w:val="22"/>
          <w:szCs w:val="22"/>
        </w:rPr>
        <w:t>arah</w:t>
      </w:r>
      <w:r w:rsidR="00E413C2" w:rsidRPr="006703EA">
        <w:rPr>
          <w:rStyle w:val="Strong"/>
          <w:rFonts w:ascii="Arial" w:hAnsi="Arial" w:cs="Arial"/>
          <w:b w:val="0"/>
          <w:bCs w:val="0"/>
          <w:color w:val="1D2125"/>
          <w:sz w:val="22"/>
          <w:szCs w:val="22"/>
        </w:rPr>
        <w:t xml:space="preserve"> W</w:t>
      </w:r>
      <w:r w:rsidR="00E413C2" w:rsidRPr="006703EA">
        <w:rPr>
          <w:rStyle w:val="Strong"/>
          <w:rFonts w:ascii="Arial" w:hAnsi="Arial" w:cs="Arial"/>
          <w:b w:val="0"/>
          <w:bCs w:val="0"/>
          <w:color w:val="1D2125"/>
          <w:sz w:val="22"/>
          <w:szCs w:val="22"/>
        </w:rPr>
        <w:t>iita</w:t>
      </w:r>
    </w:p>
    <w:p w14:paraId="7DD82387" w14:textId="77777777" w:rsidR="000264A1" w:rsidRPr="006703EA" w:rsidRDefault="000264A1" w:rsidP="004D4D48">
      <w:pPr>
        <w:spacing w:line="360" w:lineRule="auto"/>
        <w:rPr>
          <w:rFonts w:ascii="Arial" w:hAnsi="Arial" w:cs="Arial"/>
          <w:sz w:val="22"/>
          <w:szCs w:val="22"/>
        </w:rPr>
      </w:pPr>
    </w:p>
    <w:p w14:paraId="563A7395" w14:textId="77777777" w:rsidR="000264A1" w:rsidRPr="006703EA" w:rsidRDefault="000264A1" w:rsidP="004D4D48">
      <w:pPr>
        <w:spacing w:line="360" w:lineRule="auto"/>
        <w:rPr>
          <w:rFonts w:ascii="Arial" w:hAnsi="Arial" w:cs="Arial"/>
          <w:sz w:val="22"/>
          <w:szCs w:val="22"/>
        </w:rPr>
      </w:pPr>
    </w:p>
    <w:p w14:paraId="5805392B" w14:textId="77777777" w:rsidR="000264A1" w:rsidRDefault="000264A1" w:rsidP="000264A1">
      <w:pPr>
        <w:rPr>
          <w:rFonts w:ascii="Arial" w:hAnsi="Arial" w:cs="Arial"/>
          <w:sz w:val="36"/>
          <w:szCs w:val="36"/>
        </w:rPr>
      </w:pPr>
    </w:p>
    <w:p w14:paraId="64508110" w14:textId="77777777" w:rsidR="00F034CE" w:rsidRDefault="00F034CE" w:rsidP="00F65A26">
      <w:pPr>
        <w:rPr>
          <w:rFonts w:ascii="Arial" w:hAnsi="Arial" w:cs="Arial"/>
          <w:sz w:val="36"/>
          <w:szCs w:val="36"/>
        </w:rPr>
      </w:pPr>
    </w:p>
    <w:p w14:paraId="76DC7E55" w14:textId="77777777" w:rsidR="002E76AD" w:rsidRDefault="002E76AD" w:rsidP="00F65A26">
      <w:pPr>
        <w:rPr>
          <w:rFonts w:ascii="Arial" w:hAnsi="Arial" w:cs="Arial"/>
          <w:sz w:val="36"/>
          <w:szCs w:val="36"/>
        </w:rPr>
      </w:pPr>
    </w:p>
    <w:p w14:paraId="626BDC15" w14:textId="77777777" w:rsidR="002E76AD" w:rsidRDefault="002E76AD" w:rsidP="00F65A26">
      <w:pPr>
        <w:rPr>
          <w:rFonts w:ascii="Arial" w:hAnsi="Arial" w:cs="Arial"/>
          <w:sz w:val="36"/>
          <w:szCs w:val="36"/>
        </w:rPr>
      </w:pPr>
    </w:p>
    <w:p w14:paraId="29BD47D1" w14:textId="6685FEB6" w:rsidR="00F034CE" w:rsidRDefault="00F034CE" w:rsidP="00F65A26">
      <w:pPr>
        <w:rPr>
          <w:rFonts w:ascii="Arial" w:hAnsi="Arial" w:cs="Arial"/>
          <w:sz w:val="36"/>
          <w:szCs w:val="36"/>
        </w:rPr>
      </w:pPr>
    </w:p>
    <w:p w14:paraId="022B0123" w14:textId="77777777" w:rsidR="00B308FC" w:rsidRDefault="00B308FC" w:rsidP="00F65A26">
      <w:pPr>
        <w:rPr>
          <w:rFonts w:ascii="Arial" w:hAnsi="Arial" w:cs="Arial"/>
          <w:sz w:val="36"/>
          <w:szCs w:val="36"/>
        </w:rPr>
      </w:pPr>
    </w:p>
    <w:p w14:paraId="6D42DE3D" w14:textId="77777777" w:rsidR="00B308FC" w:rsidRDefault="00B308FC" w:rsidP="00F65A26">
      <w:pPr>
        <w:rPr>
          <w:rFonts w:ascii="Arial" w:hAnsi="Arial" w:cs="Arial"/>
          <w:sz w:val="22"/>
          <w:szCs w:val="22"/>
        </w:rPr>
      </w:pPr>
    </w:p>
    <w:p w14:paraId="5943561F" w14:textId="2972E133" w:rsidR="00AF514F" w:rsidRPr="00C42737" w:rsidRDefault="00C42737" w:rsidP="00F65A26">
      <w:pPr>
        <w:rPr>
          <w:rFonts w:ascii="Arial" w:hAnsi="Arial" w:cs="Arial"/>
          <w:sz w:val="20"/>
          <w:szCs w:val="20"/>
        </w:rPr>
      </w:pPr>
      <w:r w:rsidRPr="00C42737">
        <w:rPr>
          <w:rFonts w:ascii="Arial" w:hAnsi="Arial" w:cs="Arial"/>
          <w:sz w:val="20"/>
          <w:szCs w:val="20"/>
        </w:rPr>
        <w:t>“</w:t>
      </w:r>
      <w:r w:rsidR="003F78E4" w:rsidRPr="00C42737">
        <w:rPr>
          <w:rFonts w:ascii="Arial" w:hAnsi="Arial" w:cs="Arial"/>
          <w:sz w:val="20"/>
          <w:szCs w:val="20"/>
        </w:rPr>
        <w:t xml:space="preserve">I </w:t>
      </w:r>
      <w:r w:rsidRPr="00C42737">
        <w:rPr>
          <w:rFonts w:ascii="Arial" w:hAnsi="Arial" w:cs="Arial"/>
          <w:sz w:val="20"/>
          <w:szCs w:val="20"/>
        </w:rPr>
        <w:t>acknowledge</w:t>
      </w:r>
      <w:r w:rsidR="003F78E4" w:rsidRPr="00C42737">
        <w:rPr>
          <w:rFonts w:ascii="Arial" w:hAnsi="Arial" w:cs="Arial"/>
          <w:sz w:val="20"/>
          <w:szCs w:val="20"/>
        </w:rPr>
        <w:t xml:space="preserve"> the use of Grammarly</w:t>
      </w:r>
      <w:r w:rsidRPr="00C42737">
        <w:rPr>
          <w:rFonts w:ascii="Arial" w:hAnsi="Arial" w:cs="Arial"/>
          <w:sz w:val="20"/>
          <w:szCs w:val="20"/>
        </w:rPr>
        <w:t>”</w:t>
      </w:r>
    </w:p>
    <w:p w14:paraId="4A31DD81" w14:textId="77777777" w:rsidR="004D4D48" w:rsidRDefault="004D4D48" w:rsidP="00F65A26">
      <w:pPr>
        <w:rPr>
          <w:rFonts w:ascii="Arial" w:hAnsi="Arial" w:cs="Arial"/>
          <w:sz w:val="22"/>
          <w:szCs w:val="22"/>
        </w:rPr>
      </w:pPr>
    </w:p>
    <w:p w14:paraId="31CAFCC1" w14:textId="77777777" w:rsidR="004D4D48" w:rsidRDefault="004D4D48" w:rsidP="00F65A26">
      <w:pPr>
        <w:rPr>
          <w:rFonts w:ascii="Arial" w:hAnsi="Arial" w:cs="Arial"/>
          <w:sz w:val="22"/>
          <w:szCs w:val="22"/>
        </w:rPr>
      </w:pPr>
    </w:p>
    <w:p w14:paraId="20C38075" w14:textId="77777777" w:rsidR="004D4D48" w:rsidRDefault="004D4D48" w:rsidP="00F65A26">
      <w:pPr>
        <w:rPr>
          <w:rFonts w:ascii="Arial" w:hAnsi="Arial" w:cs="Arial"/>
          <w:sz w:val="22"/>
          <w:szCs w:val="22"/>
        </w:rPr>
      </w:pPr>
    </w:p>
    <w:p w14:paraId="01618D3A" w14:textId="77777777" w:rsidR="003F78E4" w:rsidRDefault="00AF514F" w:rsidP="00F65A26">
      <w:pPr>
        <w:rPr>
          <w:rFonts w:ascii="Arial" w:hAnsi="Arial" w:cs="Arial"/>
          <w:sz w:val="22"/>
          <w:szCs w:val="22"/>
        </w:rPr>
      </w:pPr>
      <w:r>
        <w:rPr>
          <w:rFonts w:ascii="Arial" w:hAnsi="Arial" w:cs="Arial"/>
          <w:sz w:val="22"/>
          <w:szCs w:val="22"/>
        </w:rPr>
        <w:lastRenderedPageBreak/>
        <w:tab/>
        <w:t xml:space="preserve">                                        </w:t>
      </w:r>
    </w:p>
    <w:p w14:paraId="6CB1F28E" w14:textId="77777777" w:rsidR="003F78E4" w:rsidRDefault="003F78E4" w:rsidP="00F65A26">
      <w:pPr>
        <w:rPr>
          <w:rFonts w:ascii="Arial" w:hAnsi="Arial" w:cs="Arial"/>
          <w:sz w:val="22"/>
          <w:szCs w:val="22"/>
        </w:rPr>
      </w:pPr>
    </w:p>
    <w:p w14:paraId="0023BA4D" w14:textId="05E1ED14" w:rsidR="00AF514F" w:rsidRDefault="00AF514F" w:rsidP="00F65A26">
      <w:pPr>
        <w:rPr>
          <w:rFonts w:ascii="Arial" w:hAnsi="Arial" w:cs="Arial"/>
          <w:sz w:val="22"/>
          <w:szCs w:val="22"/>
        </w:rPr>
      </w:pPr>
      <w:r>
        <w:rPr>
          <w:rFonts w:ascii="Arial" w:hAnsi="Arial" w:cs="Arial"/>
          <w:sz w:val="22"/>
          <w:szCs w:val="22"/>
        </w:rPr>
        <w:t xml:space="preserve">  </w:t>
      </w:r>
      <w:r w:rsidR="003F78E4">
        <w:rPr>
          <w:rFonts w:ascii="Arial" w:hAnsi="Arial" w:cs="Arial"/>
          <w:sz w:val="22"/>
          <w:szCs w:val="22"/>
        </w:rPr>
        <w:t xml:space="preserve">                                             </w:t>
      </w:r>
      <w:r>
        <w:rPr>
          <w:rFonts w:ascii="Arial" w:hAnsi="Arial" w:cs="Arial"/>
          <w:sz w:val="22"/>
          <w:szCs w:val="22"/>
        </w:rPr>
        <w:t xml:space="preserve"> Table of contents</w:t>
      </w:r>
    </w:p>
    <w:p w14:paraId="671043F7" w14:textId="77777777" w:rsidR="00AF514F" w:rsidRDefault="00AF514F" w:rsidP="00F65A26">
      <w:pPr>
        <w:rPr>
          <w:rFonts w:ascii="Arial" w:hAnsi="Arial" w:cs="Arial"/>
          <w:sz w:val="22"/>
          <w:szCs w:val="22"/>
        </w:rPr>
      </w:pPr>
    </w:p>
    <w:p w14:paraId="4B39F12B" w14:textId="705EE3D2" w:rsidR="00B308FC" w:rsidRPr="00B308FC" w:rsidRDefault="00B308FC" w:rsidP="00F65A26">
      <w:pPr>
        <w:rPr>
          <w:rFonts w:ascii="Arial" w:hAnsi="Arial" w:cs="Arial"/>
          <w:sz w:val="22"/>
          <w:szCs w:val="22"/>
        </w:rPr>
      </w:pPr>
      <w:r w:rsidRPr="00B308FC">
        <w:rPr>
          <w:rFonts w:ascii="Arial" w:hAnsi="Arial" w:cs="Arial"/>
          <w:sz w:val="22"/>
          <w:szCs w:val="22"/>
        </w:rPr>
        <w:t>Introduction</w:t>
      </w:r>
      <w:r w:rsidR="00AF514F">
        <w:rPr>
          <w:rFonts w:ascii="Arial" w:hAnsi="Arial" w:cs="Arial"/>
          <w:sz w:val="22"/>
          <w:szCs w:val="22"/>
        </w:rPr>
        <w:t>……………………………………………………….</w:t>
      </w:r>
      <w:r w:rsidR="00712343">
        <w:rPr>
          <w:rFonts w:ascii="Arial" w:hAnsi="Arial" w:cs="Arial"/>
          <w:sz w:val="22"/>
          <w:szCs w:val="22"/>
        </w:rPr>
        <w:t>3</w:t>
      </w:r>
    </w:p>
    <w:p w14:paraId="0301A180" w14:textId="11C62671" w:rsidR="00F034CE" w:rsidRPr="00B308FC" w:rsidRDefault="00B5712D" w:rsidP="00F65A26">
      <w:pPr>
        <w:rPr>
          <w:rFonts w:ascii="Arial" w:hAnsi="Arial" w:cs="Arial"/>
          <w:sz w:val="22"/>
          <w:szCs w:val="22"/>
        </w:rPr>
      </w:pPr>
      <w:r w:rsidRPr="00B308FC">
        <w:rPr>
          <w:rFonts w:ascii="Arial" w:hAnsi="Arial" w:cs="Arial"/>
          <w:sz w:val="22"/>
          <w:szCs w:val="22"/>
        </w:rPr>
        <w:t>Classification in ICD-1</w:t>
      </w:r>
      <w:r w:rsidR="00AF514F">
        <w:rPr>
          <w:rFonts w:ascii="Arial" w:hAnsi="Arial" w:cs="Arial"/>
          <w:sz w:val="22"/>
          <w:szCs w:val="22"/>
        </w:rPr>
        <w:t>…………………………………………</w:t>
      </w:r>
      <w:r w:rsidR="003B194B">
        <w:rPr>
          <w:rFonts w:ascii="Arial" w:hAnsi="Arial" w:cs="Arial"/>
          <w:sz w:val="22"/>
          <w:szCs w:val="22"/>
        </w:rPr>
        <w:t>….</w:t>
      </w:r>
      <w:r w:rsidR="00712343">
        <w:rPr>
          <w:rFonts w:ascii="Arial" w:hAnsi="Arial" w:cs="Arial"/>
          <w:sz w:val="22"/>
          <w:szCs w:val="22"/>
        </w:rPr>
        <w:t>3-4</w:t>
      </w:r>
    </w:p>
    <w:p w14:paraId="62F2103B" w14:textId="6262ECE4" w:rsidR="00F034CE" w:rsidRPr="00B308FC" w:rsidRDefault="00B5712D" w:rsidP="00F65A26">
      <w:pPr>
        <w:rPr>
          <w:rFonts w:ascii="Arial" w:hAnsi="Arial" w:cs="Arial"/>
          <w:sz w:val="22"/>
          <w:szCs w:val="22"/>
        </w:rPr>
      </w:pPr>
      <w:r w:rsidRPr="00B308FC">
        <w:rPr>
          <w:rFonts w:ascii="Arial" w:hAnsi="Arial" w:cs="Arial"/>
          <w:sz w:val="22"/>
          <w:szCs w:val="22"/>
        </w:rPr>
        <w:t>Diagnosis and Assessment Process</w:t>
      </w:r>
      <w:r w:rsidR="00AF514F">
        <w:rPr>
          <w:rFonts w:ascii="Arial" w:hAnsi="Arial" w:cs="Arial"/>
          <w:sz w:val="22"/>
          <w:szCs w:val="22"/>
        </w:rPr>
        <w:t>…………………………</w:t>
      </w:r>
      <w:r w:rsidR="003B194B">
        <w:rPr>
          <w:rFonts w:ascii="Arial" w:hAnsi="Arial" w:cs="Arial"/>
          <w:sz w:val="22"/>
          <w:szCs w:val="22"/>
        </w:rPr>
        <w:t>…</w:t>
      </w:r>
      <w:r w:rsidR="00A839CC">
        <w:rPr>
          <w:rFonts w:ascii="Arial" w:hAnsi="Arial" w:cs="Arial"/>
          <w:sz w:val="22"/>
          <w:szCs w:val="22"/>
        </w:rPr>
        <w:t>.4-5</w:t>
      </w:r>
    </w:p>
    <w:p w14:paraId="02B80E1A" w14:textId="28F9EC79" w:rsidR="00F034CE" w:rsidRPr="00B308FC" w:rsidRDefault="002E76AD" w:rsidP="00F65A26">
      <w:pPr>
        <w:rPr>
          <w:rFonts w:ascii="Arial" w:hAnsi="Arial" w:cs="Arial"/>
          <w:sz w:val="22"/>
          <w:szCs w:val="22"/>
        </w:rPr>
      </w:pPr>
      <w:r w:rsidRPr="00B308FC">
        <w:rPr>
          <w:rFonts w:ascii="Arial" w:hAnsi="Arial" w:cs="Arial"/>
          <w:sz w:val="22"/>
          <w:szCs w:val="22"/>
        </w:rPr>
        <w:t>Treatments</w:t>
      </w:r>
      <w:r w:rsidR="00AF514F">
        <w:rPr>
          <w:rFonts w:ascii="Arial" w:hAnsi="Arial" w:cs="Arial"/>
          <w:sz w:val="22"/>
          <w:szCs w:val="22"/>
        </w:rPr>
        <w:t>………………………………………………………</w:t>
      </w:r>
      <w:r w:rsidR="003B194B">
        <w:rPr>
          <w:rFonts w:ascii="Arial" w:hAnsi="Arial" w:cs="Arial"/>
          <w:sz w:val="22"/>
          <w:szCs w:val="22"/>
        </w:rPr>
        <w:t>…</w:t>
      </w:r>
      <w:r w:rsidR="00A839CC">
        <w:rPr>
          <w:rFonts w:ascii="Arial" w:hAnsi="Arial" w:cs="Arial"/>
          <w:sz w:val="22"/>
          <w:szCs w:val="22"/>
        </w:rPr>
        <w:t>5-6</w:t>
      </w:r>
    </w:p>
    <w:p w14:paraId="04CF72FA" w14:textId="46BC5FD8" w:rsidR="00F034CE" w:rsidRPr="00DF0625" w:rsidRDefault="002E76AD" w:rsidP="00F65A26">
      <w:pPr>
        <w:rPr>
          <w:rFonts w:ascii="Arial" w:hAnsi="Arial" w:cs="Arial"/>
          <w:sz w:val="22"/>
          <w:szCs w:val="22"/>
        </w:rPr>
      </w:pPr>
      <w:r w:rsidRPr="00DF0625">
        <w:rPr>
          <w:rFonts w:ascii="Arial" w:hAnsi="Arial" w:cs="Arial"/>
          <w:sz w:val="22"/>
          <w:szCs w:val="22"/>
        </w:rPr>
        <w:t>Rehabilitation and Long-Term Management</w:t>
      </w:r>
      <w:r w:rsidR="00AF514F">
        <w:rPr>
          <w:rFonts w:ascii="Arial" w:hAnsi="Arial" w:cs="Arial"/>
          <w:sz w:val="22"/>
          <w:szCs w:val="22"/>
        </w:rPr>
        <w:t>…………………</w:t>
      </w:r>
      <w:r w:rsidR="003B194B">
        <w:rPr>
          <w:rFonts w:ascii="Arial" w:hAnsi="Arial" w:cs="Arial"/>
          <w:sz w:val="22"/>
          <w:szCs w:val="22"/>
        </w:rPr>
        <w:t>…</w:t>
      </w:r>
      <w:r w:rsidR="005E70BD">
        <w:rPr>
          <w:rFonts w:ascii="Arial" w:hAnsi="Arial" w:cs="Arial"/>
          <w:sz w:val="22"/>
          <w:szCs w:val="22"/>
        </w:rPr>
        <w:t>6-7</w:t>
      </w:r>
    </w:p>
    <w:p w14:paraId="6B788F6F" w14:textId="4C4A2A4A" w:rsidR="002E76AD" w:rsidRDefault="002E76AD" w:rsidP="00F65A26">
      <w:pPr>
        <w:rPr>
          <w:rFonts w:ascii="Arial" w:hAnsi="Arial" w:cs="Arial"/>
          <w:sz w:val="22"/>
          <w:szCs w:val="22"/>
        </w:rPr>
      </w:pPr>
      <w:r w:rsidRPr="00DF0625">
        <w:rPr>
          <w:rFonts w:ascii="Arial" w:hAnsi="Arial" w:cs="Arial"/>
          <w:sz w:val="22"/>
          <w:szCs w:val="22"/>
        </w:rPr>
        <w:t>Current Debates and Emerging Issues</w:t>
      </w:r>
      <w:r w:rsidR="00AF514F">
        <w:rPr>
          <w:rFonts w:ascii="Arial" w:hAnsi="Arial" w:cs="Arial"/>
          <w:sz w:val="22"/>
          <w:szCs w:val="22"/>
        </w:rPr>
        <w:t>…………………………</w:t>
      </w:r>
      <w:r w:rsidR="003B194B">
        <w:rPr>
          <w:rFonts w:ascii="Arial" w:hAnsi="Arial" w:cs="Arial"/>
          <w:sz w:val="22"/>
          <w:szCs w:val="22"/>
        </w:rPr>
        <w:t>…</w:t>
      </w:r>
      <w:r w:rsidR="005E70BD">
        <w:rPr>
          <w:rFonts w:ascii="Arial" w:hAnsi="Arial" w:cs="Arial"/>
          <w:sz w:val="22"/>
          <w:szCs w:val="22"/>
        </w:rPr>
        <w:t>8</w:t>
      </w:r>
    </w:p>
    <w:p w14:paraId="0323B7B6" w14:textId="53183F65" w:rsidR="00B308FC" w:rsidRDefault="00B308FC" w:rsidP="00F65A26">
      <w:pPr>
        <w:rPr>
          <w:rFonts w:ascii="Arial" w:hAnsi="Arial" w:cs="Arial"/>
          <w:sz w:val="22"/>
          <w:szCs w:val="22"/>
        </w:rPr>
      </w:pPr>
      <w:r>
        <w:rPr>
          <w:rFonts w:ascii="Arial" w:hAnsi="Arial" w:cs="Arial"/>
          <w:sz w:val="22"/>
          <w:szCs w:val="22"/>
        </w:rPr>
        <w:t>Recommendations</w:t>
      </w:r>
      <w:r w:rsidR="00AF514F">
        <w:rPr>
          <w:rFonts w:ascii="Arial" w:hAnsi="Arial" w:cs="Arial"/>
          <w:sz w:val="22"/>
          <w:szCs w:val="22"/>
        </w:rPr>
        <w:t>………………………………………………</w:t>
      </w:r>
      <w:r w:rsidR="003B194B">
        <w:rPr>
          <w:rFonts w:ascii="Arial" w:hAnsi="Arial" w:cs="Arial"/>
          <w:sz w:val="22"/>
          <w:szCs w:val="22"/>
        </w:rPr>
        <w:t>…</w:t>
      </w:r>
      <w:r w:rsidR="005E70BD">
        <w:rPr>
          <w:rFonts w:ascii="Arial" w:hAnsi="Arial" w:cs="Arial"/>
          <w:sz w:val="22"/>
          <w:szCs w:val="22"/>
        </w:rPr>
        <w:t>8-9</w:t>
      </w:r>
    </w:p>
    <w:p w14:paraId="7F148FDB" w14:textId="3B99AED2" w:rsidR="00B308FC" w:rsidRDefault="00B308FC" w:rsidP="00F65A26">
      <w:pPr>
        <w:rPr>
          <w:rFonts w:ascii="Arial" w:hAnsi="Arial" w:cs="Arial"/>
          <w:sz w:val="22"/>
          <w:szCs w:val="22"/>
        </w:rPr>
      </w:pPr>
      <w:r>
        <w:rPr>
          <w:rFonts w:ascii="Arial" w:hAnsi="Arial" w:cs="Arial"/>
          <w:sz w:val="22"/>
          <w:szCs w:val="22"/>
        </w:rPr>
        <w:t>Conclusion</w:t>
      </w:r>
      <w:r w:rsidR="00AF514F">
        <w:rPr>
          <w:rFonts w:ascii="Arial" w:hAnsi="Arial" w:cs="Arial"/>
          <w:sz w:val="22"/>
          <w:szCs w:val="22"/>
        </w:rPr>
        <w:t>……………………………………………………………</w:t>
      </w:r>
      <w:r w:rsidR="005E70BD">
        <w:rPr>
          <w:rFonts w:ascii="Arial" w:hAnsi="Arial" w:cs="Arial"/>
          <w:sz w:val="22"/>
          <w:szCs w:val="22"/>
        </w:rPr>
        <w:t>.9</w:t>
      </w:r>
    </w:p>
    <w:p w14:paraId="1507943B" w14:textId="25378D85" w:rsidR="00AF514F" w:rsidRPr="00DF0625" w:rsidRDefault="00AF514F" w:rsidP="00F65A26">
      <w:pPr>
        <w:rPr>
          <w:rFonts w:ascii="Arial" w:hAnsi="Arial" w:cs="Arial"/>
          <w:sz w:val="22"/>
          <w:szCs w:val="22"/>
        </w:rPr>
      </w:pPr>
      <w:r>
        <w:rPr>
          <w:rFonts w:ascii="Arial" w:hAnsi="Arial" w:cs="Arial"/>
          <w:sz w:val="22"/>
          <w:szCs w:val="22"/>
        </w:rPr>
        <w:t>References…………………………………………………………</w:t>
      </w:r>
      <w:r w:rsidR="003B194B">
        <w:rPr>
          <w:rFonts w:ascii="Arial" w:hAnsi="Arial" w:cs="Arial"/>
          <w:sz w:val="22"/>
          <w:szCs w:val="22"/>
        </w:rPr>
        <w:t>10-11</w:t>
      </w:r>
    </w:p>
    <w:p w14:paraId="5A63FC67" w14:textId="77777777" w:rsidR="002E76AD" w:rsidRDefault="002E76AD" w:rsidP="00F65A26">
      <w:pPr>
        <w:rPr>
          <w:rFonts w:ascii="Arial" w:hAnsi="Arial" w:cs="Arial"/>
          <w:sz w:val="22"/>
          <w:szCs w:val="22"/>
        </w:rPr>
      </w:pPr>
    </w:p>
    <w:p w14:paraId="61636585" w14:textId="77777777" w:rsidR="00AF514F" w:rsidRDefault="00AF514F" w:rsidP="00F65A26">
      <w:pPr>
        <w:rPr>
          <w:rFonts w:ascii="Arial" w:hAnsi="Arial" w:cs="Arial"/>
          <w:b/>
          <w:bCs/>
          <w:sz w:val="22"/>
          <w:szCs w:val="22"/>
        </w:rPr>
      </w:pPr>
    </w:p>
    <w:p w14:paraId="0C73F50D" w14:textId="77777777" w:rsidR="00AF514F" w:rsidRDefault="00AF514F" w:rsidP="00F65A26">
      <w:pPr>
        <w:rPr>
          <w:rFonts w:ascii="Arial" w:hAnsi="Arial" w:cs="Arial"/>
          <w:b/>
          <w:bCs/>
          <w:sz w:val="22"/>
          <w:szCs w:val="22"/>
        </w:rPr>
      </w:pPr>
    </w:p>
    <w:p w14:paraId="4B729021" w14:textId="77777777" w:rsidR="00AF514F" w:rsidRDefault="00AF514F" w:rsidP="00F65A26">
      <w:pPr>
        <w:rPr>
          <w:rFonts w:ascii="Arial" w:hAnsi="Arial" w:cs="Arial"/>
          <w:b/>
          <w:bCs/>
          <w:sz w:val="22"/>
          <w:szCs w:val="22"/>
        </w:rPr>
      </w:pPr>
    </w:p>
    <w:p w14:paraId="54EEB25C" w14:textId="77777777" w:rsidR="00AF514F" w:rsidRDefault="00AF514F" w:rsidP="00F65A26">
      <w:pPr>
        <w:rPr>
          <w:rFonts w:ascii="Arial" w:hAnsi="Arial" w:cs="Arial"/>
          <w:b/>
          <w:bCs/>
          <w:sz w:val="22"/>
          <w:szCs w:val="22"/>
        </w:rPr>
      </w:pPr>
    </w:p>
    <w:p w14:paraId="21C0B2DF" w14:textId="77777777" w:rsidR="00AF514F" w:rsidRDefault="00AF514F" w:rsidP="00F65A26">
      <w:pPr>
        <w:rPr>
          <w:rFonts w:ascii="Arial" w:hAnsi="Arial" w:cs="Arial"/>
          <w:b/>
          <w:bCs/>
          <w:sz w:val="22"/>
          <w:szCs w:val="22"/>
        </w:rPr>
      </w:pPr>
    </w:p>
    <w:p w14:paraId="68A7CB70" w14:textId="77777777" w:rsidR="00AF514F" w:rsidRDefault="00AF514F" w:rsidP="00F65A26">
      <w:pPr>
        <w:rPr>
          <w:rFonts w:ascii="Arial" w:hAnsi="Arial" w:cs="Arial"/>
          <w:b/>
          <w:bCs/>
          <w:sz w:val="22"/>
          <w:szCs w:val="22"/>
        </w:rPr>
      </w:pPr>
    </w:p>
    <w:p w14:paraId="5ED8AF55" w14:textId="77777777" w:rsidR="00AF514F" w:rsidRDefault="00AF514F" w:rsidP="00F65A26">
      <w:pPr>
        <w:rPr>
          <w:rFonts w:ascii="Arial" w:hAnsi="Arial" w:cs="Arial"/>
          <w:b/>
          <w:bCs/>
          <w:sz w:val="22"/>
          <w:szCs w:val="22"/>
        </w:rPr>
      </w:pPr>
    </w:p>
    <w:p w14:paraId="4279849A" w14:textId="77777777" w:rsidR="00AF514F" w:rsidRDefault="00AF514F" w:rsidP="00F65A26">
      <w:pPr>
        <w:rPr>
          <w:rFonts w:ascii="Arial" w:hAnsi="Arial" w:cs="Arial"/>
          <w:b/>
          <w:bCs/>
          <w:sz w:val="22"/>
          <w:szCs w:val="22"/>
        </w:rPr>
      </w:pPr>
    </w:p>
    <w:p w14:paraId="2FB8B3E6" w14:textId="77777777" w:rsidR="00AF514F" w:rsidRDefault="00AF514F" w:rsidP="00F65A26">
      <w:pPr>
        <w:rPr>
          <w:rFonts w:ascii="Arial" w:hAnsi="Arial" w:cs="Arial"/>
          <w:b/>
          <w:bCs/>
          <w:sz w:val="22"/>
          <w:szCs w:val="22"/>
        </w:rPr>
      </w:pPr>
    </w:p>
    <w:p w14:paraId="6352A2CB" w14:textId="77777777" w:rsidR="00AF514F" w:rsidRDefault="00AF514F" w:rsidP="00F65A26">
      <w:pPr>
        <w:rPr>
          <w:rFonts w:ascii="Arial" w:hAnsi="Arial" w:cs="Arial"/>
          <w:b/>
          <w:bCs/>
          <w:sz w:val="22"/>
          <w:szCs w:val="22"/>
        </w:rPr>
      </w:pPr>
    </w:p>
    <w:p w14:paraId="41CE0C94" w14:textId="77777777" w:rsidR="00AF514F" w:rsidRDefault="00AF514F" w:rsidP="00F65A26">
      <w:pPr>
        <w:rPr>
          <w:rFonts w:ascii="Arial" w:hAnsi="Arial" w:cs="Arial"/>
          <w:b/>
          <w:bCs/>
          <w:sz w:val="22"/>
          <w:szCs w:val="22"/>
        </w:rPr>
      </w:pPr>
    </w:p>
    <w:p w14:paraId="66A50D53" w14:textId="77777777" w:rsidR="00AF514F" w:rsidRDefault="00AF514F" w:rsidP="00F65A26">
      <w:pPr>
        <w:rPr>
          <w:rFonts w:ascii="Arial" w:hAnsi="Arial" w:cs="Arial"/>
          <w:b/>
          <w:bCs/>
          <w:sz w:val="22"/>
          <w:szCs w:val="22"/>
        </w:rPr>
      </w:pPr>
    </w:p>
    <w:p w14:paraId="5CC13568" w14:textId="77777777" w:rsidR="00AF514F" w:rsidRDefault="00AF514F" w:rsidP="00F65A26">
      <w:pPr>
        <w:rPr>
          <w:rFonts w:ascii="Arial" w:hAnsi="Arial" w:cs="Arial"/>
          <w:b/>
          <w:bCs/>
          <w:sz w:val="22"/>
          <w:szCs w:val="22"/>
        </w:rPr>
      </w:pPr>
    </w:p>
    <w:p w14:paraId="2FA416FD" w14:textId="77777777" w:rsidR="00AF514F" w:rsidRDefault="00AF514F" w:rsidP="00F65A26">
      <w:pPr>
        <w:rPr>
          <w:rFonts w:ascii="Arial" w:hAnsi="Arial" w:cs="Arial"/>
          <w:b/>
          <w:bCs/>
          <w:sz w:val="22"/>
          <w:szCs w:val="22"/>
        </w:rPr>
      </w:pPr>
    </w:p>
    <w:p w14:paraId="777DE403" w14:textId="77777777" w:rsidR="00AF514F" w:rsidRDefault="00AF514F" w:rsidP="00F65A26">
      <w:pPr>
        <w:rPr>
          <w:rFonts w:ascii="Arial" w:hAnsi="Arial" w:cs="Arial"/>
          <w:b/>
          <w:bCs/>
          <w:sz w:val="22"/>
          <w:szCs w:val="22"/>
        </w:rPr>
      </w:pPr>
    </w:p>
    <w:p w14:paraId="4A75B9CF" w14:textId="77777777" w:rsidR="00AF514F" w:rsidRDefault="00AF514F" w:rsidP="00F65A26">
      <w:pPr>
        <w:rPr>
          <w:rFonts w:ascii="Arial" w:hAnsi="Arial" w:cs="Arial"/>
          <w:b/>
          <w:bCs/>
          <w:sz w:val="22"/>
          <w:szCs w:val="22"/>
        </w:rPr>
      </w:pPr>
    </w:p>
    <w:p w14:paraId="61C89013" w14:textId="77777777" w:rsidR="00AF514F" w:rsidRDefault="00AF514F" w:rsidP="00F65A26">
      <w:pPr>
        <w:rPr>
          <w:rFonts w:ascii="Arial" w:hAnsi="Arial" w:cs="Arial"/>
          <w:b/>
          <w:bCs/>
          <w:sz w:val="22"/>
          <w:szCs w:val="22"/>
        </w:rPr>
      </w:pPr>
    </w:p>
    <w:p w14:paraId="0E5C95D3" w14:textId="77777777" w:rsidR="00AF514F" w:rsidRDefault="00AF514F" w:rsidP="00F65A26">
      <w:pPr>
        <w:rPr>
          <w:rFonts w:ascii="Arial" w:hAnsi="Arial" w:cs="Arial"/>
          <w:b/>
          <w:bCs/>
          <w:sz w:val="22"/>
          <w:szCs w:val="22"/>
        </w:rPr>
      </w:pPr>
    </w:p>
    <w:p w14:paraId="5DAFC0A1" w14:textId="77777777" w:rsidR="00AF514F" w:rsidRDefault="00AF514F" w:rsidP="00F65A26">
      <w:pPr>
        <w:rPr>
          <w:rFonts w:ascii="Arial" w:hAnsi="Arial" w:cs="Arial"/>
          <w:b/>
          <w:bCs/>
          <w:sz w:val="22"/>
          <w:szCs w:val="22"/>
        </w:rPr>
      </w:pPr>
    </w:p>
    <w:p w14:paraId="04D21526" w14:textId="77777777" w:rsidR="00AF514F" w:rsidRDefault="00AF514F" w:rsidP="00F65A26">
      <w:pPr>
        <w:rPr>
          <w:rFonts w:ascii="Arial" w:hAnsi="Arial" w:cs="Arial"/>
          <w:b/>
          <w:bCs/>
          <w:sz w:val="22"/>
          <w:szCs w:val="22"/>
        </w:rPr>
      </w:pPr>
    </w:p>
    <w:p w14:paraId="380FB726" w14:textId="77777777" w:rsidR="00AF514F" w:rsidRDefault="00AF514F" w:rsidP="00F65A26">
      <w:pPr>
        <w:rPr>
          <w:rFonts w:ascii="Arial" w:hAnsi="Arial" w:cs="Arial"/>
          <w:b/>
          <w:bCs/>
          <w:sz w:val="22"/>
          <w:szCs w:val="22"/>
        </w:rPr>
      </w:pPr>
    </w:p>
    <w:p w14:paraId="4883DEEF" w14:textId="0A81FE91" w:rsidR="00F65A26" w:rsidRPr="00163147" w:rsidRDefault="00F65A26" w:rsidP="00F65A26">
      <w:pPr>
        <w:rPr>
          <w:rFonts w:ascii="Arial" w:hAnsi="Arial" w:cs="Arial"/>
          <w:b/>
          <w:bCs/>
          <w:sz w:val="22"/>
          <w:szCs w:val="22"/>
        </w:rPr>
      </w:pPr>
      <w:r w:rsidRPr="00163147">
        <w:rPr>
          <w:rFonts w:ascii="Arial" w:hAnsi="Arial" w:cs="Arial"/>
          <w:b/>
          <w:bCs/>
          <w:sz w:val="22"/>
          <w:szCs w:val="22"/>
        </w:rPr>
        <w:t>Introduction</w:t>
      </w:r>
    </w:p>
    <w:p w14:paraId="23AADB58" w14:textId="1041F19C" w:rsidR="00F65A26" w:rsidRPr="00F65A26" w:rsidRDefault="00F65A26" w:rsidP="002A493D">
      <w:pPr>
        <w:spacing w:line="360" w:lineRule="auto"/>
        <w:rPr>
          <w:rFonts w:ascii="Arial" w:hAnsi="Arial" w:cs="Arial"/>
          <w:sz w:val="22"/>
          <w:szCs w:val="22"/>
        </w:rPr>
      </w:pPr>
      <w:r w:rsidRPr="00F65A26">
        <w:rPr>
          <w:rFonts w:ascii="Arial" w:hAnsi="Arial" w:cs="Arial"/>
          <w:sz w:val="22"/>
          <w:szCs w:val="22"/>
        </w:rPr>
        <w:t>Anorexia Nervosa (AN) is a serious eating disorder and mental health condition. It is characterised by restricted food intake, an intense fear of gaining weight, and a disturbed body image. Individuals may also engage in behaviours such as excessive exercise or purging. The condition can affect people of all ages and backgrounds, although it is more common in young women (NHS</w:t>
      </w:r>
      <w:r>
        <w:rPr>
          <w:rFonts w:ascii="Arial" w:hAnsi="Arial" w:cs="Arial"/>
          <w:sz w:val="22"/>
          <w:szCs w:val="22"/>
        </w:rPr>
        <w:t>, 2024</w:t>
      </w:r>
      <w:r w:rsidRPr="00F65A26">
        <w:rPr>
          <w:rFonts w:ascii="Arial" w:hAnsi="Arial" w:cs="Arial"/>
          <w:sz w:val="22"/>
          <w:szCs w:val="22"/>
        </w:rPr>
        <w:t>; NHS Inform</w:t>
      </w:r>
      <w:r w:rsidR="00370DB2">
        <w:rPr>
          <w:rFonts w:ascii="Arial" w:hAnsi="Arial" w:cs="Arial"/>
          <w:sz w:val="22"/>
          <w:szCs w:val="22"/>
        </w:rPr>
        <w:t>,</w:t>
      </w:r>
      <w:r>
        <w:rPr>
          <w:rFonts w:ascii="Arial" w:hAnsi="Arial" w:cs="Arial"/>
          <w:sz w:val="22"/>
          <w:szCs w:val="22"/>
        </w:rPr>
        <w:t xml:space="preserve"> 2024</w:t>
      </w:r>
      <w:r w:rsidRPr="00F65A26">
        <w:rPr>
          <w:rFonts w:ascii="Arial" w:hAnsi="Arial" w:cs="Arial"/>
          <w:sz w:val="22"/>
          <w:szCs w:val="22"/>
        </w:rPr>
        <w:t>). However, many individuals do not recognise the severity of their condition, which can delay help-seeking and access to treatment.</w:t>
      </w:r>
    </w:p>
    <w:p w14:paraId="660582DE" w14:textId="7B7E3D8F" w:rsidR="00F65A26" w:rsidRDefault="00F65A26" w:rsidP="002A493D">
      <w:pPr>
        <w:spacing w:line="360" w:lineRule="auto"/>
        <w:rPr>
          <w:rFonts w:ascii="Arial" w:hAnsi="Arial" w:cs="Arial"/>
          <w:sz w:val="22"/>
          <w:szCs w:val="22"/>
        </w:rPr>
      </w:pPr>
      <w:r>
        <w:rPr>
          <w:rFonts w:ascii="Arial" w:hAnsi="Arial" w:cs="Arial"/>
          <w:sz w:val="22"/>
          <w:szCs w:val="22"/>
        </w:rPr>
        <w:t>“</w:t>
      </w:r>
      <w:r w:rsidRPr="00F65A26">
        <w:rPr>
          <w:rFonts w:ascii="Arial" w:hAnsi="Arial" w:cs="Arial"/>
          <w:sz w:val="22"/>
          <w:szCs w:val="22"/>
        </w:rPr>
        <w:t xml:space="preserve">Eating disorders are an increasing public health concern. In the United Kingdom, around 1.25 million people are affected, and up to 6.4% of adults experience symptoms. Around 25% of individuals affected are male, although these conditions are often associated with females. Disordered eating behaviours are also common, particularly among young people. These disorders place significant pressure on health services, with hospital admissions increasing by 84% between 2015 and 2021, especially among children and young people. Nearly half of </w:t>
      </w:r>
      <w:r w:rsidRPr="00F65A26">
        <w:rPr>
          <w:rFonts w:ascii="Arial" w:hAnsi="Arial" w:cs="Arial"/>
          <w:sz w:val="22"/>
          <w:szCs w:val="22"/>
        </w:rPr>
        <w:t xml:space="preserve">the </w:t>
      </w:r>
      <w:r w:rsidRPr="00F65A26">
        <w:rPr>
          <w:rFonts w:ascii="Arial" w:hAnsi="Arial" w:cs="Arial"/>
          <w:sz w:val="22"/>
          <w:szCs w:val="22"/>
        </w:rPr>
        <w:t>patients were aged 25 or under. Anorexia nervosa affects up to 3% of young women and has the highest mortality rate among mental health disorders, with around 5% dying within four years of diagnosis</w:t>
      </w:r>
      <w:r>
        <w:rPr>
          <w:rFonts w:ascii="Arial" w:hAnsi="Arial" w:cs="Arial"/>
          <w:sz w:val="22"/>
          <w:szCs w:val="22"/>
        </w:rPr>
        <w:t>”</w:t>
      </w:r>
      <w:r w:rsidRPr="00F65A26">
        <w:rPr>
          <w:rFonts w:ascii="Arial" w:hAnsi="Arial" w:cs="Arial"/>
          <w:sz w:val="22"/>
          <w:szCs w:val="22"/>
        </w:rPr>
        <w:t xml:space="preserve"> (Priory Group, 2019).</w:t>
      </w:r>
    </w:p>
    <w:p w14:paraId="4F5FBEC9" w14:textId="587044A0" w:rsidR="000264A1" w:rsidRPr="00F65A26" w:rsidRDefault="00F65A26" w:rsidP="002A493D">
      <w:pPr>
        <w:spacing w:line="360" w:lineRule="auto"/>
        <w:rPr>
          <w:rFonts w:ascii="Arial" w:hAnsi="Arial" w:cs="Arial"/>
          <w:sz w:val="22"/>
          <w:szCs w:val="22"/>
        </w:rPr>
      </w:pPr>
      <w:r w:rsidRPr="00F65A26">
        <w:rPr>
          <w:rFonts w:ascii="Arial" w:hAnsi="Arial" w:cs="Arial"/>
          <w:sz w:val="22"/>
          <w:szCs w:val="22"/>
        </w:rPr>
        <w:t xml:space="preserve">The International Classification of Diseases, 11th Revision (ICD-11), developed by the World Health </w:t>
      </w:r>
      <w:r>
        <w:rPr>
          <w:rFonts w:ascii="Arial" w:hAnsi="Arial" w:cs="Arial"/>
          <w:sz w:val="22"/>
          <w:szCs w:val="22"/>
        </w:rPr>
        <w:t>Organisation</w:t>
      </w:r>
      <w:r w:rsidRPr="00F65A26">
        <w:rPr>
          <w:rFonts w:ascii="Arial" w:hAnsi="Arial" w:cs="Arial"/>
          <w:sz w:val="22"/>
          <w:szCs w:val="22"/>
        </w:rPr>
        <w:t>, classifies AN under “Feeding or eating disorders.” This report examines the classification, diagnosis, treatment, and rehabilitation of AN. It also explores current debates, including the role of neurodivergence and the use of Body Mass Index (BMI), and provides recommendations for improving clinical practice and policy.</w:t>
      </w:r>
    </w:p>
    <w:p w14:paraId="1DC432D4" w14:textId="350C8984" w:rsidR="000264A1" w:rsidRPr="00471FDE" w:rsidRDefault="00471FDE" w:rsidP="002A493D">
      <w:pPr>
        <w:spacing w:line="360" w:lineRule="auto"/>
        <w:rPr>
          <w:rFonts w:ascii="Arial" w:hAnsi="Arial" w:cs="Arial"/>
          <w:b/>
          <w:bCs/>
          <w:sz w:val="22"/>
          <w:szCs w:val="22"/>
        </w:rPr>
      </w:pPr>
      <w:r w:rsidRPr="00471FDE">
        <w:rPr>
          <w:rFonts w:ascii="Arial" w:hAnsi="Arial" w:cs="Arial"/>
          <w:b/>
          <w:bCs/>
          <w:sz w:val="22"/>
          <w:szCs w:val="22"/>
        </w:rPr>
        <w:t>Classification in ICD-11</w:t>
      </w:r>
    </w:p>
    <w:p w14:paraId="19569150" w14:textId="79F61816" w:rsidR="00471FDE" w:rsidRPr="00471FDE" w:rsidRDefault="00471FDE" w:rsidP="002A493D">
      <w:pPr>
        <w:spacing w:line="360" w:lineRule="auto"/>
        <w:rPr>
          <w:rFonts w:ascii="Arial" w:hAnsi="Arial" w:cs="Arial"/>
          <w:sz w:val="22"/>
          <w:szCs w:val="22"/>
        </w:rPr>
      </w:pPr>
      <w:r w:rsidRPr="00471FDE">
        <w:rPr>
          <w:rFonts w:ascii="Arial" w:hAnsi="Arial" w:cs="Arial"/>
          <w:sz w:val="22"/>
          <w:szCs w:val="22"/>
        </w:rPr>
        <w:t xml:space="preserve">Anorexia Nervosa is classified in ICD-11 under “Feeding or </w:t>
      </w:r>
      <w:r w:rsidRPr="00471FDE">
        <w:rPr>
          <w:rFonts w:ascii="Arial" w:hAnsi="Arial" w:cs="Arial"/>
          <w:sz w:val="22"/>
          <w:szCs w:val="22"/>
        </w:rPr>
        <w:t>eating disorders</w:t>
      </w:r>
      <w:r w:rsidRPr="00471FDE">
        <w:rPr>
          <w:rFonts w:ascii="Arial" w:hAnsi="Arial" w:cs="Arial"/>
          <w:sz w:val="22"/>
          <w:szCs w:val="22"/>
        </w:rPr>
        <w:t xml:space="preserve">” in the chapter about mental and behavioural disorders. It is described as a long-term restriction of food intake that leads to low body weight, a strong fear of gaining weight, and a distorted view of body shape or weight. The term “disorder” </w:t>
      </w:r>
      <w:r>
        <w:rPr>
          <w:rFonts w:ascii="Arial" w:hAnsi="Arial" w:cs="Arial"/>
          <w:sz w:val="22"/>
          <w:szCs w:val="22"/>
        </w:rPr>
        <w:t>indicates that it is a serious condition affecting</w:t>
      </w:r>
      <w:r w:rsidRPr="00471FDE">
        <w:rPr>
          <w:rFonts w:ascii="Arial" w:hAnsi="Arial" w:cs="Arial"/>
          <w:sz w:val="22"/>
          <w:szCs w:val="22"/>
        </w:rPr>
        <w:t xml:space="preserve"> daily life (Bryant et al., 2026).</w:t>
      </w:r>
    </w:p>
    <w:p w14:paraId="29115C57" w14:textId="2EC49322" w:rsidR="00471FDE" w:rsidRPr="00471FDE" w:rsidRDefault="00471FDE" w:rsidP="002A493D">
      <w:pPr>
        <w:spacing w:line="360" w:lineRule="auto"/>
        <w:rPr>
          <w:rFonts w:ascii="Arial" w:hAnsi="Arial" w:cs="Arial"/>
          <w:sz w:val="22"/>
          <w:szCs w:val="22"/>
        </w:rPr>
      </w:pPr>
      <w:r w:rsidRPr="00471FDE">
        <w:rPr>
          <w:rFonts w:ascii="Arial" w:hAnsi="Arial" w:cs="Arial"/>
          <w:sz w:val="22"/>
          <w:szCs w:val="22"/>
        </w:rPr>
        <w:t xml:space="preserve">ICD-11 describes two main types of Anorexia Nervosa. The first is the restrictive type, where people mainly limit </w:t>
      </w:r>
      <w:r>
        <w:rPr>
          <w:rFonts w:ascii="Arial" w:hAnsi="Arial" w:cs="Arial"/>
          <w:sz w:val="22"/>
          <w:szCs w:val="22"/>
        </w:rPr>
        <w:t>their food intake</w:t>
      </w:r>
      <w:r w:rsidRPr="00471FDE">
        <w:rPr>
          <w:rFonts w:ascii="Arial" w:hAnsi="Arial" w:cs="Arial"/>
          <w:sz w:val="22"/>
          <w:szCs w:val="22"/>
        </w:rPr>
        <w:t xml:space="preserve">, </w:t>
      </w:r>
      <w:r w:rsidR="00F034CE">
        <w:rPr>
          <w:rFonts w:ascii="Arial" w:hAnsi="Arial" w:cs="Arial"/>
          <w:sz w:val="22"/>
          <w:szCs w:val="22"/>
        </w:rPr>
        <w:t>follow a strict diet</w:t>
      </w:r>
      <w:r w:rsidRPr="00471FDE">
        <w:rPr>
          <w:rFonts w:ascii="Arial" w:hAnsi="Arial" w:cs="Arial"/>
          <w:sz w:val="22"/>
          <w:szCs w:val="22"/>
        </w:rPr>
        <w:t xml:space="preserve">, or exercise too much. The second is </w:t>
      </w:r>
      <w:r w:rsidRPr="00471FDE">
        <w:rPr>
          <w:rFonts w:ascii="Arial" w:hAnsi="Arial" w:cs="Arial"/>
          <w:sz w:val="22"/>
          <w:szCs w:val="22"/>
        </w:rPr>
        <w:lastRenderedPageBreak/>
        <w:t>the binge-eating/purging type, where people may eat large amounts of food and then try to get rid of it by vomiting or using laxatives (Bailey-</w:t>
      </w:r>
      <w:proofErr w:type="spellStart"/>
      <w:r w:rsidRPr="00471FDE">
        <w:rPr>
          <w:rFonts w:ascii="Arial" w:hAnsi="Arial" w:cs="Arial"/>
          <w:sz w:val="22"/>
          <w:szCs w:val="22"/>
        </w:rPr>
        <w:t>Straebler</w:t>
      </w:r>
      <w:proofErr w:type="spellEnd"/>
      <w:r w:rsidRPr="00471FDE">
        <w:rPr>
          <w:rFonts w:ascii="Arial" w:hAnsi="Arial" w:cs="Arial"/>
          <w:sz w:val="22"/>
          <w:szCs w:val="22"/>
        </w:rPr>
        <w:t xml:space="preserve"> &amp; Sproch, 2025). Both types share the same core features but may need different treatments.</w:t>
      </w:r>
    </w:p>
    <w:p w14:paraId="1A104AE0" w14:textId="2AE1721B" w:rsidR="00471FDE" w:rsidRPr="00471FDE" w:rsidRDefault="00471FDE" w:rsidP="002A493D">
      <w:pPr>
        <w:spacing w:line="360" w:lineRule="auto"/>
        <w:rPr>
          <w:rFonts w:ascii="Arial" w:hAnsi="Arial" w:cs="Arial"/>
          <w:sz w:val="22"/>
          <w:szCs w:val="22"/>
        </w:rPr>
      </w:pPr>
      <w:r w:rsidRPr="00471FDE">
        <w:rPr>
          <w:rFonts w:ascii="Arial" w:hAnsi="Arial" w:cs="Arial"/>
          <w:sz w:val="22"/>
          <w:szCs w:val="22"/>
        </w:rPr>
        <w:t xml:space="preserve">The ICD-11 system was created to make </w:t>
      </w:r>
      <w:r>
        <w:rPr>
          <w:rFonts w:ascii="Arial" w:hAnsi="Arial" w:cs="Arial"/>
          <w:sz w:val="22"/>
          <w:szCs w:val="22"/>
        </w:rPr>
        <w:t>diagnoses</w:t>
      </w:r>
      <w:r w:rsidRPr="00471FDE">
        <w:rPr>
          <w:rFonts w:ascii="Arial" w:hAnsi="Arial" w:cs="Arial"/>
          <w:sz w:val="22"/>
          <w:szCs w:val="22"/>
        </w:rPr>
        <w:t xml:space="preserve"> clearer and more useful compared to ICD-10. It considers not only low body weight but also psychological symptoms, showing that anorexia is not just a physical condition (Dalle Grave, 2023). This helps doctors identify the disorder in different cultures and age groups.</w:t>
      </w:r>
    </w:p>
    <w:p w14:paraId="7E1541F9" w14:textId="22A2ABB5" w:rsidR="00471FDE" w:rsidRPr="00471FDE" w:rsidRDefault="00471FDE" w:rsidP="002A493D">
      <w:pPr>
        <w:spacing w:line="360" w:lineRule="auto"/>
        <w:rPr>
          <w:rFonts w:ascii="Arial" w:hAnsi="Arial" w:cs="Arial"/>
          <w:sz w:val="22"/>
          <w:szCs w:val="22"/>
        </w:rPr>
      </w:pPr>
      <w:r w:rsidRPr="00471FDE">
        <w:rPr>
          <w:rFonts w:ascii="Arial" w:hAnsi="Arial" w:cs="Arial"/>
          <w:sz w:val="22"/>
          <w:szCs w:val="22"/>
        </w:rPr>
        <w:t xml:space="preserve">However, some experts argue that relying too </w:t>
      </w:r>
      <w:r>
        <w:rPr>
          <w:rFonts w:ascii="Arial" w:hAnsi="Arial" w:cs="Arial"/>
          <w:sz w:val="22"/>
          <w:szCs w:val="22"/>
        </w:rPr>
        <w:t>heavily on body mass index (BMI) can be problematic</w:t>
      </w:r>
      <w:r w:rsidRPr="00471FDE">
        <w:rPr>
          <w:rFonts w:ascii="Arial" w:hAnsi="Arial" w:cs="Arial"/>
          <w:sz w:val="22"/>
          <w:szCs w:val="22"/>
        </w:rPr>
        <w:t>. Some people may have serious symptoms but do not meet the weight criteria, which can delay treatment.</w:t>
      </w:r>
    </w:p>
    <w:p w14:paraId="071846B2" w14:textId="4DFDE17A" w:rsidR="009F1DF9" w:rsidRPr="009F1DF9" w:rsidRDefault="00471FDE" w:rsidP="002A493D">
      <w:pPr>
        <w:spacing w:line="360" w:lineRule="auto"/>
        <w:rPr>
          <w:rFonts w:ascii="Arial" w:hAnsi="Arial" w:cs="Arial"/>
          <w:sz w:val="22"/>
          <w:szCs w:val="22"/>
        </w:rPr>
      </w:pPr>
      <w:r w:rsidRPr="00471FDE">
        <w:rPr>
          <w:rFonts w:ascii="Arial" w:hAnsi="Arial" w:cs="Arial"/>
          <w:sz w:val="22"/>
          <w:szCs w:val="22"/>
        </w:rPr>
        <w:t xml:space="preserve">ICD-11 also includes severity levels (mild, moderate, severe). These help doctors plan treatment based on symptoms, weight, and </w:t>
      </w:r>
      <w:r>
        <w:rPr>
          <w:rFonts w:ascii="Arial" w:hAnsi="Arial" w:cs="Arial"/>
          <w:sz w:val="22"/>
          <w:szCs w:val="22"/>
        </w:rPr>
        <w:t>the extent to which</w:t>
      </w:r>
      <w:r w:rsidRPr="00471FDE">
        <w:rPr>
          <w:rFonts w:ascii="Arial" w:hAnsi="Arial" w:cs="Arial"/>
          <w:sz w:val="22"/>
          <w:szCs w:val="22"/>
        </w:rPr>
        <w:t xml:space="preserve"> the condition affects daily life (Dalle Grave, 2023). Even so, there is still debate about weight limits, cultural differences, and how new research should be included.</w:t>
      </w:r>
    </w:p>
    <w:p w14:paraId="36C6706D" w14:textId="4CE27542" w:rsidR="006A0E4F" w:rsidRPr="009F1DF9" w:rsidRDefault="00DD645E" w:rsidP="002A493D">
      <w:pPr>
        <w:spacing w:line="360" w:lineRule="auto"/>
        <w:rPr>
          <w:rFonts w:ascii="Arial" w:hAnsi="Arial" w:cs="Arial"/>
          <w:b/>
          <w:bCs/>
          <w:sz w:val="22"/>
          <w:szCs w:val="22"/>
        </w:rPr>
      </w:pPr>
      <w:r w:rsidRPr="00DD645E">
        <w:rPr>
          <w:rFonts w:ascii="Arial" w:hAnsi="Arial" w:cs="Arial"/>
          <w:b/>
          <w:bCs/>
          <w:sz w:val="22"/>
          <w:szCs w:val="22"/>
        </w:rPr>
        <w:t>Diagnosis and Assessment Process</w:t>
      </w:r>
    </w:p>
    <w:p w14:paraId="55A202C0" w14:textId="6DC722CA" w:rsidR="006A0E4F" w:rsidRPr="006A0E4F" w:rsidRDefault="006A0E4F" w:rsidP="002A493D">
      <w:pPr>
        <w:spacing w:line="360" w:lineRule="auto"/>
        <w:rPr>
          <w:rFonts w:ascii="Arial" w:hAnsi="Arial" w:cs="Arial"/>
          <w:sz w:val="22"/>
          <w:szCs w:val="22"/>
        </w:rPr>
      </w:pPr>
      <w:r w:rsidRPr="006A0E4F">
        <w:rPr>
          <w:rFonts w:ascii="Arial" w:hAnsi="Arial" w:cs="Arial"/>
          <w:sz w:val="22"/>
          <w:szCs w:val="22"/>
        </w:rPr>
        <w:t xml:space="preserve">The diagnosis of Anorexia Nervosa (AN) is based on clinical assessment and follows the ICD-11 criteria. Clinicians look at three main </w:t>
      </w:r>
      <w:r>
        <w:rPr>
          <w:rFonts w:ascii="Arial" w:hAnsi="Arial" w:cs="Arial"/>
          <w:sz w:val="22"/>
          <w:szCs w:val="22"/>
        </w:rPr>
        <w:t>factors: a strong fear of weight gain</w:t>
      </w:r>
      <w:r w:rsidRPr="006A0E4F">
        <w:rPr>
          <w:rFonts w:ascii="Arial" w:hAnsi="Arial" w:cs="Arial"/>
          <w:sz w:val="22"/>
          <w:szCs w:val="22"/>
        </w:rPr>
        <w:t>, very low body weight, and a disturbed body image.</w:t>
      </w:r>
    </w:p>
    <w:p w14:paraId="5B918479" w14:textId="6FF03B34" w:rsidR="006A0E4F" w:rsidRDefault="006A0E4F" w:rsidP="002A493D">
      <w:pPr>
        <w:spacing w:line="360" w:lineRule="auto"/>
        <w:rPr>
          <w:rFonts w:ascii="Arial" w:hAnsi="Arial" w:cs="Arial"/>
          <w:sz w:val="36"/>
          <w:szCs w:val="36"/>
        </w:rPr>
      </w:pPr>
      <w:r w:rsidRPr="006A0E4F">
        <w:rPr>
          <w:rFonts w:ascii="Arial" w:hAnsi="Arial" w:cs="Arial"/>
          <w:sz w:val="22"/>
          <w:szCs w:val="22"/>
        </w:rPr>
        <w:t xml:space="preserve">The assessment usually starts with a medical check. This includes vital signs, body mass index (BMI), and laboratory tests. These tests help </w:t>
      </w:r>
      <w:r>
        <w:rPr>
          <w:rFonts w:ascii="Arial" w:hAnsi="Arial" w:cs="Arial"/>
          <w:sz w:val="22"/>
          <w:szCs w:val="22"/>
        </w:rPr>
        <w:t>identify problems such as anaemia, electrolyte imbalances</w:t>
      </w:r>
      <w:r w:rsidRPr="006A0E4F">
        <w:rPr>
          <w:rFonts w:ascii="Arial" w:hAnsi="Arial" w:cs="Arial"/>
          <w:sz w:val="22"/>
          <w:szCs w:val="22"/>
        </w:rPr>
        <w:t>, or hormonal changes. Research shows that about 0.9% of women and 0.3% of men are affected by AN at some point in their lives (Shena et al., 2024).</w:t>
      </w:r>
    </w:p>
    <w:p w14:paraId="5DCDBD81" w14:textId="77777777" w:rsidR="006A0E4F" w:rsidRDefault="006A0E4F" w:rsidP="002A493D">
      <w:pPr>
        <w:spacing w:line="360" w:lineRule="auto"/>
        <w:rPr>
          <w:rFonts w:ascii="Arial" w:hAnsi="Arial" w:cs="Arial"/>
          <w:sz w:val="36"/>
          <w:szCs w:val="36"/>
        </w:rPr>
      </w:pPr>
    </w:p>
    <w:p w14:paraId="01099867" w14:textId="01D92A80" w:rsidR="006A0E4F" w:rsidRPr="006A0E4F" w:rsidRDefault="008565B4" w:rsidP="002A493D">
      <w:pPr>
        <w:spacing w:line="360" w:lineRule="auto"/>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59264" behindDoc="0" locked="0" layoutInCell="1" allowOverlap="1" wp14:anchorId="034022B5" wp14:editId="669DB132">
                <wp:simplePos x="0" y="0"/>
                <wp:positionH relativeFrom="margin">
                  <wp:posOffset>2486526</wp:posOffset>
                </wp:positionH>
                <wp:positionV relativeFrom="paragraph">
                  <wp:posOffset>1761022</wp:posOffset>
                </wp:positionV>
                <wp:extent cx="3223962" cy="652379"/>
                <wp:effectExtent l="0" t="0" r="14605" b="14605"/>
                <wp:wrapNone/>
                <wp:docPr id="122395369" name="Text Box 4"/>
                <wp:cNvGraphicFramePr/>
                <a:graphic xmlns:a="http://schemas.openxmlformats.org/drawingml/2006/main">
                  <a:graphicData uri="http://schemas.microsoft.com/office/word/2010/wordprocessingShape">
                    <wps:wsp>
                      <wps:cNvSpPr txBox="1"/>
                      <wps:spPr>
                        <a:xfrm>
                          <a:off x="0" y="0"/>
                          <a:ext cx="3223962" cy="652379"/>
                        </a:xfrm>
                        <a:prstGeom prst="rect">
                          <a:avLst/>
                        </a:prstGeom>
                        <a:solidFill>
                          <a:schemeClr val="lt1"/>
                        </a:solidFill>
                        <a:ln w="6350">
                          <a:solidFill>
                            <a:prstClr val="black"/>
                          </a:solidFill>
                        </a:ln>
                      </wps:spPr>
                      <wps:txbx>
                        <w:txbxContent>
                          <w:p w14:paraId="6C18BB95" w14:textId="3BB36826" w:rsidR="003F17BD" w:rsidRPr="00812FF8" w:rsidRDefault="003F17BD" w:rsidP="003F17BD">
                            <w:pPr>
                              <w:rPr>
                                <w:rFonts w:ascii="Arial" w:hAnsi="Arial" w:cs="Arial"/>
                                <w:sz w:val="16"/>
                                <w:szCs w:val="16"/>
                              </w:rPr>
                            </w:pPr>
                            <w:r w:rsidRPr="00812FF8">
                              <w:rPr>
                                <w:rFonts w:ascii="Arial" w:hAnsi="Arial" w:cs="Arial"/>
                                <w:sz w:val="16"/>
                                <w:szCs w:val="16"/>
                              </w:rPr>
                              <w:t>Complications of</w:t>
                            </w:r>
                            <w:r w:rsidRPr="00812FF8">
                              <w:rPr>
                                <w:rFonts w:ascii="Arial" w:hAnsi="Arial" w:cs="Arial"/>
                                <w:sz w:val="16"/>
                                <w:szCs w:val="16"/>
                              </w:rPr>
                              <w:t xml:space="preserve"> malnutrition on the dental health of people suffering from anorexia</w:t>
                            </w:r>
                          </w:p>
                          <w:p w14:paraId="24996D06" w14:textId="1CA198B2" w:rsidR="008565B4" w:rsidRPr="00812FF8" w:rsidRDefault="003F17BD" w:rsidP="003F17BD">
                            <w:pPr>
                              <w:rPr>
                                <w:rFonts w:ascii="Arial" w:hAnsi="Arial" w:cs="Arial"/>
                                <w:sz w:val="16"/>
                                <w:szCs w:val="16"/>
                              </w:rPr>
                            </w:pPr>
                            <w:r w:rsidRPr="00812FF8">
                              <w:rPr>
                                <w:rFonts w:ascii="Arial" w:hAnsi="Arial" w:cs="Arial"/>
                                <w:sz w:val="16"/>
                                <w:szCs w:val="16"/>
                              </w:rPr>
                              <w:t xml:space="preserve">(Source: </w:t>
                            </w:r>
                            <w:r w:rsidRPr="00812FF8">
                              <w:rPr>
                                <w:rFonts w:ascii="Arial" w:hAnsi="Arial" w:cs="Arial"/>
                                <w:sz w:val="16"/>
                                <w:szCs w:val="16"/>
                              </w:rPr>
                              <w:t>MDPI</w:t>
                            </w:r>
                            <w:r w:rsidRPr="00812FF8">
                              <w:rPr>
                                <w:rFonts w:ascii="Arial" w:hAnsi="Arial" w:cs="Arial"/>
                                <w:sz w:val="16"/>
                                <w:szCs w:val="16"/>
                              </w:rPr>
                              <w: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4022B5" id="_x0000_t202" coordsize="21600,21600" o:spt="202" path="m,l,21600r21600,l21600,xe">
                <v:stroke joinstyle="miter"/>
                <v:path gradientshapeok="t" o:connecttype="rect"/>
              </v:shapetype>
              <v:shape id="Text Box 4" o:spid="_x0000_s1026" type="#_x0000_t202" style="position:absolute;margin-left:195.8pt;margin-top:138.65pt;width:253.85pt;height:51.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" fillcolor="white [3201]" strokeweight=".5pt">
                <v:textbox>
                  <w:txbxContent>
                    <w:p w14:paraId="6C18BB95" w14:textId="3BB36826" w:rsidR="003F17BD" w:rsidRPr="00812FF8" w:rsidRDefault="003F17BD" w:rsidP="003F17BD">
                      <w:pPr>
                        <w:rPr>
                          <w:rFonts w:ascii="Arial" w:hAnsi="Arial" w:cs="Arial"/>
                          <w:sz w:val="16"/>
                          <w:szCs w:val="16"/>
                        </w:rPr>
                      </w:pPr>
                      <w:r w:rsidRPr="00812FF8">
                        <w:rPr>
                          <w:rFonts w:ascii="Arial" w:hAnsi="Arial" w:cs="Arial"/>
                          <w:sz w:val="16"/>
                          <w:szCs w:val="16"/>
                        </w:rPr>
                        <w:t>Complications of</w:t>
                      </w:r>
                      <w:r w:rsidRPr="00812FF8">
                        <w:rPr>
                          <w:rFonts w:ascii="Arial" w:hAnsi="Arial" w:cs="Arial"/>
                          <w:sz w:val="16"/>
                          <w:szCs w:val="16"/>
                        </w:rPr>
                        <w:t xml:space="preserve"> malnutrition on the dental health of people suffering from anorexia</w:t>
                      </w:r>
                    </w:p>
                    <w:p w14:paraId="24996D06" w14:textId="1CA198B2" w:rsidR="008565B4" w:rsidRPr="00812FF8" w:rsidRDefault="003F17BD" w:rsidP="003F17BD">
                      <w:pPr>
                        <w:rPr>
                          <w:rFonts w:ascii="Arial" w:hAnsi="Arial" w:cs="Arial"/>
                          <w:sz w:val="16"/>
                          <w:szCs w:val="16"/>
                        </w:rPr>
                      </w:pPr>
                      <w:r w:rsidRPr="00812FF8">
                        <w:rPr>
                          <w:rFonts w:ascii="Arial" w:hAnsi="Arial" w:cs="Arial"/>
                          <w:sz w:val="16"/>
                          <w:szCs w:val="16"/>
                        </w:rPr>
                        <w:t xml:space="preserve">(Source: </w:t>
                      </w:r>
                      <w:r w:rsidRPr="00812FF8">
                        <w:rPr>
                          <w:rFonts w:ascii="Arial" w:hAnsi="Arial" w:cs="Arial"/>
                          <w:sz w:val="16"/>
                          <w:szCs w:val="16"/>
                        </w:rPr>
                        <w:t>MDPI</w:t>
                      </w:r>
                      <w:r w:rsidRPr="00812FF8">
                        <w:rPr>
                          <w:rFonts w:ascii="Arial" w:hAnsi="Arial" w:cs="Arial"/>
                          <w:sz w:val="16"/>
                          <w:szCs w:val="16"/>
                        </w:rPr>
                        <w:t>, 2023)</w:t>
                      </w:r>
                    </w:p>
                  </w:txbxContent>
                </v:textbox>
                <w10:wrap anchorx="margin"/>
              </v:shape>
            </w:pict>
          </mc:Fallback>
        </mc:AlternateContent>
      </w:r>
      <w:r w:rsidR="00DD645E" w:rsidRPr="00DD645E">
        <w:rPr>
          <w:rFonts w:ascii="Arial" w:hAnsi="Arial" w:cs="Arial"/>
          <w:sz w:val="36"/>
          <w:szCs w:val="36"/>
        </w:rPr>
        <w:drawing>
          <wp:inline distT="0" distB="0" distL="0" distR="0" wp14:anchorId="24102411" wp14:editId="32E765D1">
            <wp:extent cx="4096084" cy="2085221"/>
            <wp:effectExtent l="0" t="0" r="0" b="0"/>
            <wp:docPr id="1803691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54149" cy="2114780"/>
                    </a:xfrm>
                    <a:prstGeom prst="rect">
                      <a:avLst/>
                    </a:prstGeom>
                    <a:noFill/>
                    <a:ln>
                      <a:noFill/>
                    </a:ln>
                  </pic:spPr>
                </pic:pic>
              </a:graphicData>
            </a:graphic>
          </wp:inline>
        </w:drawing>
      </w:r>
    </w:p>
    <w:p w14:paraId="68286A67" w14:textId="77777777" w:rsidR="006A0E4F" w:rsidRPr="00FF7CD4" w:rsidRDefault="006A0E4F" w:rsidP="002A493D">
      <w:pPr>
        <w:spacing w:line="360" w:lineRule="auto"/>
        <w:rPr>
          <w:rFonts w:ascii="Arial" w:hAnsi="Arial" w:cs="Arial"/>
          <w:sz w:val="22"/>
          <w:szCs w:val="22"/>
        </w:rPr>
      </w:pPr>
      <w:r w:rsidRPr="00FF7CD4">
        <w:rPr>
          <w:rFonts w:ascii="Arial" w:hAnsi="Arial" w:cs="Arial"/>
          <w:sz w:val="22"/>
          <w:szCs w:val="22"/>
        </w:rPr>
        <w:lastRenderedPageBreak/>
        <w:t>Figure 1 shows how malnutrition in people with anorexia can affect dental health. It includes problems such as enamel erosion, gum sensitivity, and dental caries (</w:t>
      </w:r>
      <w:proofErr w:type="spellStart"/>
      <w:r w:rsidRPr="00FF7CD4">
        <w:rPr>
          <w:rFonts w:ascii="Arial" w:hAnsi="Arial" w:cs="Arial"/>
          <w:sz w:val="22"/>
          <w:szCs w:val="22"/>
        </w:rPr>
        <w:t>Mdpi</w:t>
      </w:r>
      <w:proofErr w:type="spellEnd"/>
      <w:r w:rsidRPr="00FF7CD4">
        <w:rPr>
          <w:rFonts w:ascii="Arial" w:hAnsi="Arial" w:cs="Arial"/>
          <w:sz w:val="22"/>
          <w:szCs w:val="22"/>
        </w:rPr>
        <w:t>, 2023).</w:t>
      </w:r>
    </w:p>
    <w:p w14:paraId="7186DA17" w14:textId="77777777" w:rsidR="006A0E4F" w:rsidRPr="00FF7CD4" w:rsidRDefault="006A0E4F" w:rsidP="002A493D">
      <w:pPr>
        <w:spacing w:line="360" w:lineRule="auto"/>
        <w:rPr>
          <w:rFonts w:ascii="Arial" w:hAnsi="Arial" w:cs="Arial"/>
          <w:sz w:val="22"/>
          <w:szCs w:val="22"/>
        </w:rPr>
      </w:pPr>
      <w:r w:rsidRPr="00FF7CD4">
        <w:rPr>
          <w:rFonts w:ascii="Arial" w:hAnsi="Arial" w:cs="Arial"/>
          <w:sz w:val="22"/>
          <w:szCs w:val="22"/>
        </w:rPr>
        <w:t>Psychological assessment is also important. It includes interviews and questionnaires, such as the Eating Disorder Inventory (EDI) and the Eating Disorder Examination (EDE) (</w:t>
      </w:r>
      <w:proofErr w:type="spellStart"/>
      <w:r w:rsidRPr="00FF7CD4">
        <w:rPr>
          <w:rFonts w:ascii="Arial" w:hAnsi="Arial" w:cs="Arial"/>
          <w:sz w:val="22"/>
          <w:szCs w:val="22"/>
        </w:rPr>
        <w:t>Dziwa</w:t>
      </w:r>
      <w:proofErr w:type="spellEnd"/>
      <w:r w:rsidRPr="00FF7CD4">
        <w:rPr>
          <w:rFonts w:ascii="Arial" w:hAnsi="Arial" w:cs="Arial"/>
          <w:sz w:val="22"/>
          <w:szCs w:val="22"/>
        </w:rPr>
        <w:t xml:space="preserve"> et al., 2023). These tools help clinicians understand body image problems, restrictive eating, and behaviours such as purging or excessive exercise.</w:t>
      </w:r>
    </w:p>
    <w:p w14:paraId="5D69A681" w14:textId="77777777" w:rsidR="006A0E4F" w:rsidRPr="00FF7CD4" w:rsidRDefault="006A0E4F" w:rsidP="002A493D">
      <w:pPr>
        <w:spacing w:line="360" w:lineRule="auto"/>
        <w:rPr>
          <w:rFonts w:ascii="Arial" w:hAnsi="Arial" w:cs="Arial"/>
          <w:sz w:val="22"/>
          <w:szCs w:val="22"/>
        </w:rPr>
      </w:pPr>
      <w:r w:rsidRPr="00FF7CD4">
        <w:rPr>
          <w:rFonts w:ascii="Arial" w:hAnsi="Arial" w:cs="Arial"/>
          <w:sz w:val="22"/>
          <w:szCs w:val="22"/>
        </w:rPr>
        <w:t>The ICD-11 also highlights the importance of looking at how AN affects daily life. This includes academic, social, and work life.</w:t>
      </w:r>
    </w:p>
    <w:p w14:paraId="39259056" w14:textId="5E7F6F3E" w:rsidR="006A0E4F" w:rsidRPr="00FF7CD4" w:rsidRDefault="006A0E4F" w:rsidP="002A493D">
      <w:pPr>
        <w:spacing w:line="360" w:lineRule="auto"/>
        <w:rPr>
          <w:rFonts w:ascii="Arial" w:hAnsi="Arial" w:cs="Arial"/>
          <w:sz w:val="22"/>
          <w:szCs w:val="22"/>
        </w:rPr>
      </w:pPr>
      <w:r w:rsidRPr="00FF7CD4">
        <w:rPr>
          <w:rFonts w:ascii="Arial" w:hAnsi="Arial" w:cs="Arial"/>
          <w:sz w:val="22"/>
          <w:szCs w:val="22"/>
        </w:rPr>
        <w:t>However, there are some problems with diagnosis. One main issue is the use of BMI, which may exclude people who have serious psychological symptoms but are not underweight (Barik, 2025). Cultural differences in body image and eating habits can also make diagnosis more difficult</w:t>
      </w:r>
      <w:r w:rsidR="00FF7CD4">
        <w:rPr>
          <w:rFonts w:ascii="Arial" w:hAnsi="Arial" w:cs="Arial"/>
          <w:sz w:val="22"/>
          <w:szCs w:val="22"/>
        </w:rPr>
        <w:t xml:space="preserve"> because ideas of a “healthy weight” vary</w:t>
      </w:r>
      <w:r w:rsidRPr="00FF7CD4">
        <w:rPr>
          <w:rFonts w:ascii="Arial" w:hAnsi="Arial" w:cs="Arial"/>
          <w:sz w:val="22"/>
          <w:szCs w:val="22"/>
        </w:rPr>
        <w:t xml:space="preserve"> around the world. For this reason, early detection is important to prevent health problems and long-term illness.</w:t>
      </w:r>
    </w:p>
    <w:p w14:paraId="18CD98A1" w14:textId="68A67C3D" w:rsidR="00FF7CD4" w:rsidRPr="00FF7CD4" w:rsidRDefault="006A0E4F" w:rsidP="002A493D">
      <w:pPr>
        <w:spacing w:line="360" w:lineRule="auto"/>
        <w:rPr>
          <w:rFonts w:ascii="Arial" w:hAnsi="Arial" w:cs="Arial"/>
          <w:sz w:val="22"/>
          <w:szCs w:val="22"/>
        </w:rPr>
      </w:pPr>
      <w:r w:rsidRPr="00FF7CD4">
        <w:rPr>
          <w:rFonts w:ascii="Arial" w:hAnsi="Arial" w:cs="Arial"/>
          <w:sz w:val="22"/>
          <w:szCs w:val="22"/>
        </w:rPr>
        <w:t>In addition, a multidisciplinary team is recommended. This may include dietitians, psychologists, psychiatrists, and general doctors (Matheson et al., 2024). Working together helps to consider both physical and psychological aspects, leading to a more accurate diagnosis and better treatment planning.</w:t>
      </w:r>
      <w:r w:rsidR="00FF7CD4">
        <w:rPr>
          <w:rFonts w:ascii="Arial" w:hAnsi="Arial" w:cs="Arial"/>
          <w:sz w:val="22"/>
          <w:szCs w:val="22"/>
        </w:rPr>
        <w:t xml:space="preserve"> In addition, according</w:t>
      </w:r>
      <w:r w:rsidR="00FF7CD4" w:rsidRPr="00FF7CD4">
        <w:rPr>
          <w:rFonts w:ascii="Arial" w:hAnsi="Arial" w:cs="Arial"/>
          <w:sz w:val="22"/>
          <w:szCs w:val="22"/>
        </w:rPr>
        <w:t xml:space="preserve"> to NICE (2019), anorexia nervosa is diagnosed based on a combination of physical, behavioural, and psychological features. The main criteria include </w:t>
      </w:r>
      <w:r w:rsidR="00FF7CD4">
        <w:rPr>
          <w:rFonts w:ascii="Arial" w:hAnsi="Arial" w:cs="Arial"/>
          <w:sz w:val="22"/>
          <w:szCs w:val="22"/>
        </w:rPr>
        <w:t>restricted food intake leading to low body weight, an intense fear of weight gain</w:t>
      </w:r>
      <w:r w:rsidR="00FF7CD4" w:rsidRPr="00FF7CD4">
        <w:rPr>
          <w:rFonts w:ascii="Arial" w:hAnsi="Arial" w:cs="Arial"/>
          <w:sz w:val="22"/>
          <w:szCs w:val="22"/>
        </w:rPr>
        <w:t>, and behaviours that prevent weight gain, such as excessive exercise or purging. Individuals often have a distorted view of their body and place too much importance on weight and shape when evaluating themselves. In many cases, they may also deny the seriousness of their low weight.</w:t>
      </w:r>
    </w:p>
    <w:p w14:paraId="3302D184" w14:textId="09B7FFE7" w:rsidR="002A493D" w:rsidRPr="007840E2" w:rsidRDefault="00FF7CD4" w:rsidP="002A493D">
      <w:pPr>
        <w:spacing w:line="360" w:lineRule="auto"/>
        <w:rPr>
          <w:rFonts w:ascii="Arial" w:hAnsi="Arial" w:cs="Arial"/>
          <w:sz w:val="22"/>
          <w:szCs w:val="22"/>
        </w:rPr>
      </w:pPr>
      <w:r w:rsidRPr="00FF7CD4">
        <w:rPr>
          <w:rFonts w:ascii="Arial" w:hAnsi="Arial" w:cs="Arial"/>
          <w:sz w:val="22"/>
          <w:szCs w:val="22"/>
        </w:rPr>
        <w:t>The diagnostic process involves a full clinical assessment. Clinicians consider signs such as low body mass index (BMI), rapid weight loss, and physical symptoms like fatigue, dizziness, or hormonal changes. Psychological and behavioural signs are also important, including anxiety, depression, social withdrawal, and changes in eating habits, such as avoiding meals or becoming very restrictive with food. NICE (2019) also highlights that</w:t>
      </w:r>
      <w:r w:rsidR="008F4B3D">
        <w:rPr>
          <w:rFonts w:ascii="Arial" w:hAnsi="Arial" w:cs="Arial"/>
          <w:sz w:val="22"/>
          <w:szCs w:val="22"/>
        </w:rPr>
        <w:t>, when possible, clinicians should gather information from family members or carers</w:t>
      </w:r>
      <w:r w:rsidRPr="00FF7CD4">
        <w:rPr>
          <w:rFonts w:ascii="Arial" w:hAnsi="Arial" w:cs="Arial"/>
          <w:sz w:val="22"/>
          <w:szCs w:val="22"/>
        </w:rPr>
        <w:t>, as this can support a more accurate diagnosis.</w:t>
      </w:r>
    </w:p>
    <w:p w14:paraId="44F95C69" w14:textId="69BA8164" w:rsidR="006A0E4F" w:rsidRDefault="008F4B3D" w:rsidP="002A493D">
      <w:pPr>
        <w:spacing w:line="360" w:lineRule="auto"/>
        <w:rPr>
          <w:rFonts w:ascii="Arial" w:hAnsi="Arial" w:cs="Arial"/>
          <w:b/>
          <w:bCs/>
          <w:sz w:val="22"/>
          <w:szCs w:val="22"/>
        </w:rPr>
      </w:pPr>
      <w:r w:rsidRPr="008F4B3D">
        <w:rPr>
          <w:rFonts w:ascii="Arial" w:hAnsi="Arial" w:cs="Arial"/>
          <w:b/>
          <w:bCs/>
          <w:sz w:val="22"/>
          <w:szCs w:val="22"/>
        </w:rPr>
        <w:t>Treatments</w:t>
      </w:r>
    </w:p>
    <w:p w14:paraId="380EA9DD" w14:textId="77777777"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 xml:space="preserve">Treatment for anorexia nervosa (AN) takes time, and recovery is different for each person (NHS, 2024). It usually involves a multidisciplinary approach, which includes psychological, nutritional, and medical support. First-line treatments often include talking therapies such as </w:t>
      </w:r>
      <w:r w:rsidRPr="008F4B3D">
        <w:rPr>
          <w:rFonts w:ascii="Arial" w:hAnsi="Arial" w:cs="Arial"/>
          <w:sz w:val="22"/>
          <w:szCs w:val="22"/>
        </w:rPr>
        <w:lastRenderedPageBreak/>
        <w:t>Cognitive Behavioural Therapy (CBT-E) and Family-Based Therapy (FBT) (Broersma et al., 2026). CBT-E helps patients change negative thoughts about body image, weight, and eating, while FBT involves the family in supporting recovery and monitoring symptoms.</w:t>
      </w:r>
    </w:p>
    <w:p w14:paraId="259744A0" w14:textId="70B7B6F9"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 xml:space="preserve">Medical treatment is important </w:t>
      </w:r>
      <w:r>
        <w:rPr>
          <w:rFonts w:ascii="Arial" w:hAnsi="Arial" w:cs="Arial"/>
          <w:sz w:val="22"/>
          <w:szCs w:val="22"/>
        </w:rPr>
        <w:t>for managing physical problems, such as heart issues, electrolyte imbalances</w:t>
      </w:r>
      <w:r w:rsidRPr="008F4B3D">
        <w:rPr>
          <w:rFonts w:ascii="Arial" w:hAnsi="Arial" w:cs="Arial"/>
          <w:sz w:val="22"/>
          <w:szCs w:val="22"/>
        </w:rPr>
        <w:t xml:space="preserve">, and low bone density. Nutritional support also plays a key role by helping patients gain weight safely and </w:t>
      </w:r>
      <w:r>
        <w:rPr>
          <w:rFonts w:ascii="Arial" w:hAnsi="Arial" w:cs="Arial"/>
          <w:sz w:val="22"/>
          <w:szCs w:val="22"/>
        </w:rPr>
        <w:t xml:space="preserve">adhere to structured meal plans, thereby </w:t>
      </w:r>
      <w:r w:rsidRPr="008F4B3D">
        <w:rPr>
          <w:rFonts w:ascii="Arial" w:hAnsi="Arial" w:cs="Arial"/>
          <w:sz w:val="22"/>
          <w:szCs w:val="22"/>
        </w:rPr>
        <w:t>reducing the risk of refeeding syndrome (</w:t>
      </w:r>
      <w:proofErr w:type="spellStart"/>
      <w:r w:rsidRPr="008F4B3D">
        <w:rPr>
          <w:rFonts w:ascii="Arial" w:hAnsi="Arial" w:cs="Arial"/>
          <w:sz w:val="22"/>
          <w:szCs w:val="22"/>
        </w:rPr>
        <w:t>Oudijn</w:t>
      </w:r>
      <w:proofErr w:type="spellEnd"/>
      <w:r w:rsidRPr="008F4B3D">
        <w:rPr>
          <w:rFonts w:ascii="Arial" w:hAnsi="Arial" w:cs="Arial"/>
          <w:sz w:val="22"/>
          <w:szCs w:val="22"/>
        </w:rPr>
        <w:t xml:space="preserve"> et al., 2022). In some cases, medication such as SSRIs may be used to treat anxiety or depression, but they are not very effective for anorexia itself.</w:t>
      </w:r>
    </w:p>
    <w:p w14:paraId="37307096" w14:textId="77777777"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However, treatment outcomes vary. Research shows that after one year of therapy, around 50–60% of patients achieve partial or full recovery, while 20–30% may relapse or continue to have long-term symptoms (Wentz, 2023). This shows that, although treatment is helpful, some people still face challenges.</w:t>
      </w:r>
    </w:p>
    <w:p w14:paraId="6C4F4BBF" w14:textId="54A97DA2"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 xml:space="preserve">There are also limitations in current treatment, such as high relapse rates, limited access to specialist services, and differences in individual response depending on age, illness duration, and other conditions (Rashid et al., 2025). Because of this, treatment should be personalised. A holistic, patient-centred approach that combines therapy, medical care, and nutritional support is important </w:t>
      </w:r>
      <w:r>
        <w:rPr>
          <w:rFonts w:ascii="Arial" w:hAnsi="Arial" w:cs="Arial"/>
          <w:sz w:val="22"/>
          <w:szCs w:val="22"/>
        </w:rPr>
        <w:t>for improving long-term recovery and reducing</w:t>
      </w:r>
      <w:r w:rsidRPr="008F4B3D">
        <w:rPr>
          <w:rFonts w:ascii="Arial" w:hAnsi="Arial" w:cs="Arial"/>
          <w:sz w:val="22"/>
          <w:szCs w:val="22"/>
        </w:rPr>
        <w:t xml:space="preserve"> relapse (Rydberg Dobrescu, 2025).</w:t>
      </w:r>
    </w:p>
    <w:p w14:paraId="159A75CE" w14:textId="77777777" w:rsidR="008F4B3D" w:rsidRDefault="008F4B3D" w:rsidP="002A493D">
      <w:pPr>
        <w:spacing w:line="360" w:lineRule="auto"/>
        <w:rPr>
          <w:rFonts w:ascii="Arial" w:hAnsi="Arial" w:cs="Arial"/>
          <w:sz w:val="22"/>
          <w:szCs w:val="22"/>
        </w:rPr>
      </w:pPr>
    </w:p>
    <w:p w14:paraId="34AAE514" w14:textId="661DEA85" w:rsidR="008F4B3D" w:rsidRPr="008F4B3D" w:rsidRDefault="008F4B3D" w:rsidP="002A493D">
      <w:pPr>
        <w:spacing w:line="360" w:lineRule="auto"/>
        <w:rPr>
          <w:rFonts w:ascii="Arial" w:hAnsi="Arial" w:cs="Arial"/>
          <w:b/>
          <w:bCs/>
          <w:sz w:val="22"/>
          <w:szCs w:val="22"/>
        </w:rPr>
      </w:pPr>
      <w:r w:rsidRPr="008F4B3D">
        <w:rPr>
          <w:rFonts w:ascii="Arial" w:hAnsi="Arial" w:cs="Arial"/>
          <w:b/>
          <w:bCs/>
          <w:sz w:val="22"/>
          <w:szCs w:val="22"/>
        </w:rPr>
        <w:t>Rehabilitation and Long-Term Management</w:t>
      </w:r>
    </w:p>
    <w:p w14:paraId="65B06789" w14:textId="76DA7E4A" w:rsidR="008F4B3D" w:rsidRDefault="008F4B3D" w:rsidP="002A493D">
      <w:pPr>
        <w:spacing w:line="360" w:lineRule="auto"/>
        <w:rPr>
          <w:rFonts w:ascii="Arial" w:hAnsi="Arial" w:cs="Arial"/>
          <w:sz w:val="22"/>
          <w:szCs w:val="22"/>
        </w:rPr>
      </w:pPr>
      <w:r w:rsidRPr="008F4B3D">
        <w:rPr>
          <w:rFonts w:ascii="Arial" w:hAnsi="Arial" w:cs="Arial"/>
          <w:sz w:val="22"/>
          <w:szCs w:val="22"/>
        </w:rPr>
        <w:t xml:space="preserve">Rehabilitation for Anorexia Nervosa (AN) concentrated on preventing relapse, maintaining the earlier recovery, and supporting the social and occupational functioning. After </w:t>
      </w:r>
      <w:r w:rsidR="009804E5">
        <w:rPr>
          <w:rFonts w:ascii="Arial" w:hAnsi="Arial" w:cs="Arial"/>
          <w:sz w:val="22"/>
          <w:szCs w:val="22"/>
        </w:rPr>
        <w:t>early treatment, the patient often needs consistent support through outpatient services, community-based care, and day programs (McNaught et al.,</w:t>
      </w:r>
      <w:r w:rsidRPr="008F4B3D">
        <w:rPr>
          <w:rFonts w:ascii="Arial" w:hAnsi="Arial" w:cs="Arial"/>
          <w:sz w:val="22"/>
          <w:szCs w:val="22"/>
        </w:rPr>
        <w:t xml:space="preserve"> 2024). On the other hand, multidisciplinary teams, involving </w:t>
      </w:r>
      <w:r>
        <w:rPr>
          <w:rFonts w:ascii="Arial" w:hAnsi="Arial" w:cs="Arial"/>
          <w:sz w:val="22"/>
          <w:szCs w:val="22"/>
        </w:rPr>
        <w:t>key professionals</w:t>
      </w:r>
      <w:r w:rsidRPr="008F4B3D">
        <w:rPr>
          <w:rFonts w:ascii="Arial" w:hAnsi="Arial" w:cs="Arial"/>
          <w:sz w:val="22"/>
          <w:szCs w:val="22"/>
        </w:rPr>
        <w:t xml:space="preserve"> such as psychiatrists, dietitians, psychologists, occupational therapists, and social workers, play an important role in </w:t>
      </w:r>
      <w:r w:rsidR="00CF5E31">
        <w:rPr>
          <w:rFonts w:ascii="Arial" w:hAnsi="Arial" w:cs="Arial"/>
          <w:sz w:val="22"/>
          <w:szCs w:val="22"/>
        </w:rPr>
        <w:t>long-term</w:t>
      </w:r>
      <w:r w:rsidRPr="008F4B3D">
        <w:rPr>
          <w:rFonts w:ascii="Arial" w:hAnsi="Arial" w:cs="Arial"/>
          <w:sz w:val="22"/>
          <w:szCs w:val="22"/>
        </w:rPr>
        <w:t xml:space="preserve"> management.</w:t>
      </w:r>
    </w:p>
    <w:p w14:paraId="5897DE6F" w14:textId="1B9042C7" w:rsidR="008F4B3D" w:rsidRDefault="00D504BE" w:rsidP="002A493D">
      <w:pPr>
        <w:spacing w:line="360" w:lineRule="auto"/>
        <w:rPr>
          <w:rFonts w:ascii="Arial" w:hAnsi="Arial" w:cs="Arial"/>
          <w:sz w:val="22"/>
          <w:szCs w:val="22"/>
        </w:rPr>
      </w:pPr>
      <w:r w:rsidRPr="00D504BE">
        <w:rPr>
          <w:rFonts w:ascii="Arial" w:hAnsi="Arial" w:cs="Arial"/>
          <w:sz w:val="22"/>
          <w:szCs w:val="22"/>
        </w:rPr>
        <w:lastRenderedPageBreak/>
        <w:drawing>
          <wp:inline distT="0" distB="0" distL="0" distR="0" wp14:anchorId="0B06D1A9" wp14:editId="0401A601">
            <wp:extent cx="2267284" cy="2267284"/>
            <wp:effectExtent l="0" t="0" r="0" b="0"/>
            <wp:docPr id="777658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3362" cy="2273362"/>
                    </a:xfrm>
                    <a:prstGeom prst="rect">
                      <a:avLst/>
                    </a:prstGeom>
                    <a:noFill/>
                    <a:ln>
                      <a:noFill/>
                    </a:ln>
                  </pic:spPr>
                </pic:pic>
              </a:graphicData>
            </a:graphic>
          </wp:inline>
        </w:drawing>
      </w:r>
    </w:p>
    <w:p w14:paraId="29C9A397" w14:textId="660C8BE3" w:rsidR="008F4B3D" w:rsidRDefault="008F4B3D" w:rsidP="002A493D">
      <w:pPr>
        <w:spacing w:line="360" w:lineRule="auto"/>
        <w:rPr>
          <w:rFonts w:ascii="Arial" w:hAnsi="Arial" w:cs="Arial"/>
          <w:sz w:val="22"/>
          <w:szCs w:val="22"/>
        </w:rPr>
      </w:pPr>
      <w:r>
        <w:rPr>
          <w:rFonts w:ascii="Arial" w:hAnsi="Arial" w:cs="Arial"/>
          <w:sz w:val="22"/>
          <w:szCs w:val="22"/>
        </w:rPr>
        <w:t xml:space="preserve">(Figure 2, </w:t>
      </w:r>
      <w:r w:rsidRPr="008F4B3D">
        <w:rPr>
          <w:rFonts w:ascii="Arial" w:hAnsi="Arial" w:cs="Arial"/>
          <w:sz w:val="22"/>
          <w:szCs w:val="22"/>
        </w:rPr>
        <w:t>Continental Hospitals, 2024)</w:t>
      </w:r>
      <w:r>
        <w:rPr>
          <w:rFonts w:ascii="Arial" w:hAnsi="Arial" w:cs="Arial"/>
          <w:sz w:val="22"/>
          <w:szCs w:val="22"/>
        </w:rPr>
        <w:t>.</w:t>
      </w:r>
    </w:p>
    <w:p w14:paraId="2A5045EA" w14:textId="0A5F7CB4"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 xml:space="preserve">Figure 2 highlights the estimated symptoms of Anorexia Nervosa (AN). In this regard, the long-term recovery is </w:t>
      </w:r>
      <w:r>
        <w:rPr>
          <w:rFonts w:ascii="Arial" w:hAnsi="Arial" w:cs="Arial"/>
          <w:sz w:val="22"/>
          <w:szCs w:val="22"/>
        </w:rPr>
        <w:t xml:space="preserve">an issue, but the studies also estimate that relapse occurs in 31–50% of patients within the first year after discharge from the intensive treatment, with the highest risk at the time of the </w:t>
      </w:r>
      <w:r w:rsidRPr="008F4B3D">
        <w:rPr>
          <w:rFonts w:ascii="Arial" w:hAnsi="Arial" w:cs="Arial"/>
          <w:sz w:val="22"/>
          <w:szCs w:val="22"/>
        </w:rPr>
        <w:t>first six months (Sternheim et al. 2022). This also revealed the importance of the tailored follow-up and early interventions when symptoms re-emerge. Meanwhile, the rehabilitation programs</w:t>
      </w:r>
      <w:r>
        <w:rPr>
          <w:rFonts w:ascii="Arial" w:hAnsi="Arial" w:cs="Arial"/>
          <w:sz w:val="22"/>
          <w:szCs w:val="22"/>
        </w:rPr>
        <w:t>, such as skill-building, psychoeducation, and social reintegration, support</w:t>
      </w:r>
      <w:r w:rsidRPr="008F4B3D">
        <w:rPr>
          <w:rFonts w:ascii="Arial" w:hAnsi="Arial" w:cs="Arial"/>
          <w:sz w:val="22"/>
          <w:szCs w:val="22"/>
        </w:rPr>
        <w:t xml:space="preserve"> </w:t>
      </w:r>
      <w:r>
        <w:rPr>
          <w:rFonts w:ascii="Arial" w:hAnsi="Arial" w:cs="Arial"/>
          <w:sz w:val="22"/>
          <w:szCs w:val="22"/>
        </w:rPr>
        <w:t>patients in improving mitigation strategies, developing body image, and maintaining</w:t>
      </w:r>
      <w:r w:rsidRPr="008F4B3D">
        <w:rPr>
          <w:rFonts w:ascii="Arial" w:hAnsi="Arial" w:cs="Arial"/>
          <w:sz w:val="22"/>
          <w:szCs w:val="22"/>
        </w:rPr>
        <w:t xml:space="preserve"> healthy eating habits.</w:t>
      </w:r>
    </w:p>
    <w:p w14:paraId="6496E717" w14:textId="5FBD1DF3"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 xml:space="preserve">On the other </w:t>
      </w:r>
      <w:r>
        <w:rPr>
          <w:rFonts w:ascii="Arial" w:hAnsi="Arial" w:cs="Arial"/>
          <w:sz w:val="22"/>
          <w:szCs w:val="22"/>
        </w:rPr>
        <w:t>hand, the community supports the peer groups in developing</w:t>
      </w:r>
      <w:r w:rsidRPr="008F4B3D">
        <w:rPr>
          <w:rFonts w:ascii="Arial" w:hAnsi="Arial" w:cs="Arial"/>
          <w:sz w:val="22"/>
          <w:szCs w:val="22"/>
        </w:rPr>
        <w:t xml:space="preserve"> their engagement style </w:t>
      </w:r>
      <w:proofErr w:type="gramStart"/>
      <w:r w:rsidRPr="008F4B3D">
        <w:rPr>
          <w:rFonts w:ascii="Arial" w:hAnsi="Arial" w:cs="Arial"/>
          <w:sz w:val="22"/>
          <w:szCs w:val="22"/>
        </w:rPr>
        <w:t>and also</w:t>
      </w:r>
      <w:proofErr w:type="gramEnd"/>
      <w:r w:rsidRPr="008F4B3D">
        <w:rPr>
          <w:rFonts w:ascii="Arial" w:hAnsi="Arial" w:cs="Arial"/>
          <w:sz w:val="22"/>
          <w:szCs w:val="22"/>
        </w:rPr>
        <w:t xml:space="preserve"> ensures motivation for further recovery. </w:t>
      </w:r>
      <w:r>
        <w:rPr>
          <w:rFonts w:ascii="Arial" w:hAnsi="Arial" w:cs="Arial"/>
          <w:sz w:val="22"/>
          <w:szCs w:val="22"/>
        </w:rPr>
        <w:t>Family involvement remains important, particularly for adolescents, as evidence suggests that family support reduces relapse risk and improves functional outcomes (World Health Organisation</w:t>
      </w:r>
      <w:r w:rsidRPr="008F4B3D">
        <w:rPr>
          <w:rFonts w:ascii="Arial" w:hAnsi="Arial" w:cs="Arial"/>
          <w:sz w:val="22"/>
          <w:szCs w:val="22"/>
        </w:rPr>
        <w:t xml:space="preserve">, 2024). Furthermore, rehabilitation increasingly incorporates the consideration of neurodivergence, addressing that patients with autistic traits or other neurodevelopmental situations might require </w:t>
      </w:r>
      <w:r>
        <w:rPr>
          <w:rFonts w:ascii="Arial" w:hAnsi="Arial" w:cs="Arial"/>
          <w:sz w:val="22"/>
          <w:szCs w:val="22"/>
        </w:rPr>
        <w:t xml:space="preserve">a tailored approach to reduce </w:t>
      </w:r>
      <w:r w:rsidRPr="008F4B3D">
        <w:rPr>
          <w:rFonts w:ascii="Arial" w:hAnsi="Arial" w:cs="Arial"/>
          <w:sz w:val="22"/>
          <w:szCs w:val="22"/>
        </w:rPr>
        <w:t>anxiety and develop adherence.</w:t>
      </w:r>
    </w:p>
    <w:p w14:paraId="010616EC" w14:textId="1B894CB5" w:rsidR="008F4B3D" w:rsidRDefault="008F4B3D" w:rsidP="002A493D">
      <w:pPr>
        <w:spacing w:line="360" w:lineRule="auto"/>
        <w:rPr>
          <w:rFonts w:ascii="Arial" w:hAnsi="Arial" w:cs="Arial"/>
          <w:sz w:val="22"/>
          <w:szCs w:val="22"/>
        </w:rPr>
      </w:pPr>
      <w:r w:rsidRPr="008F4B3D">
        <w:rPr>
          <w:rFonts w:ascii="Arial" w:hAnsi="Arial" w:cs="Arial"/>
          <w:sz w:val="22"/>
          <w:szCs w:val="22"/>
        </w:rPr>
        <w:t xml:space="preserve">Instead of this attempt, there are some limitations. Therefore, entrance to </w:t>
      </w:r>
      <w:r w:rsidRPr="008F4B3D">
        <w:rPr>
          <w:rFonts w:ascii="Arial" w:hAnsi="Arial" w:cs="Arial"/>
          <w:sz w:val="22"/>
          <w:szCs w:val="22"/>
        </w:rPr>
        <w:t>rehabilitation</w:t>
      </w:r>
      <w:r w:rsidRPr="008F4B3D">
        <w:rPr>
          <w:rFonts w:ascii="Arial" w:hAnsi="Arial" w:cs="Arial"/>
          <w:sz w:val="22"/>
          <w:szCs w:val="22"/>
        </w:rPr>
        <w:t xml:space="preserve"> services is often challenging, and some patients </w:t>
      </w:r>
      <w:r>
        <w:rPr>
          <w:rFonts w:ascii="Arial" w:hAnsi="Arial" w:cs="Arial"/>
          <w:sz w:val="22"/>
          <w:szCs w:val="22"/>
        </w:rPr>
        <w:t>experience</w:t>
      </w:r>
      <w:r w:rsidRPr="008F4B3D">
        <w:rPr>
          <w:rFonts w:ascii="Arial" w:hAnsi="Arial" w:cs="Arial"/>
          <w:sz w:val="22"/>
          <w:szCs w:val="22"/>
        </w:rPr>
        <w:t xml:space="preserve"> chronic symptoms or incomplete recovery (Andrade and Galvão, 2025). An important long-term management </w:t>
      </w:r>
      <w:r>
        <w:rPr>
          <w:rFonts w:ascii="Arial" w:hAnsi="Arial" w:cs="Arial"/>
          <w:sz w:val="22"/>
          <w:szCs w:val="22"/>
        </w:rPr>
        <w:t>approach required a holistic approach that included developing medical monitoring, psychological therapy, social support, and personalised interventions to enhance sustained recovery and quality of life, and to satisfy</w:t>
      </w:r>
      <w:r w:rsidRPr="008F4B3D">
        <w:rPr>
          <w:rFonts w:ascii="Arial" w:hAnsi="Arial" w:cs="Arial"/>
          <w:sz w:val="22"/>
          <w:szCs w:val="22"/>
        </w:rPr>
        <w:t xml:space="preserve"> the patient.</w:t>
      </w:r>
    </w:p>
    <w:p w14:paraId="0BB03333" w14:textId="77777777" w:rsidR="00810AB1" w:rsidRDefault="00810AB1" w:rsidP="002A493D">
      <w:pPr>
        <w:spacing w:line="360" w:lineRule="auto"/>
        <w:rPr>
          <w:rFonts w:ascii="Arial" w:hAnsi="Arial" w:cs="Arial"/>
          <w:sz w:val="22"/>
          <w:szCs w:val="22"/>
        </w:rPr>
      </w:pPr>
    </w:p>
    <w:p w14:paraId="482C47C4" w14:textId="77777777" w:rsidR="00810AB1" w:rsidRDefault="00810AB1" w:rsidP="002A493D">
      <w:pPr>
        <w:spacing w:line="360" w:lineRule="auto"/>
        <w:rPr>
          <w:rFonts w:ascii="Arial" w:hAnsi="Arial" w:cs="Arial"/>
          <w:sz w:val="22"/>
          <w:szCs w:val="22"/>
        </w:rPr>
      </w:pPr>
    </w:p>
    <w:p w14:paraId="13852640" w14:textId="0C3FB4D3" w:rsidR="008F4B3D" w:rsidRPr="003D7B03" w:rsidRDefault="003D7B03" w:rsidP="002A493D">
      <w:pPr>
        <w:spacing w:line="360" w:lineRule="auto"/>
        <w:rPr>
          <w:rFonts w:ascii="Arial" w:hAnsi="Arial" w:cs="Arial"/>
          <w:b/>
          <w:bCs/>
          <w:sz w:val="22"/>
          <w:szCs w:val="22"/>
        </w:rPr>
      </w:pPr>
      <w:r w:rsidRPr="003D7B03">
        <w:rPr>
          <w:rFonts w:ascii="Arial" w:hAnsi="Arial" w:cs="Arial"/>
          <w:b/>
          <w:bCs/>
          <w:sz w:val="22"/>
          <w:szCs w:val="22"/>
        </w:rPr>
        <w:lastRenderedPageBreak/>
        <w:t>Current Debates and Emerging Issues</w:t>
      </w:r>
    </w:p>
    <w:p w14:paraId="71BC779A" w14:textId="0308B54F"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 xml:space="preserve">Anorexia Nervosa (AN) </w:t>
      </w:r>
      <w:r>
        <w:rPr>
          <w:rFonts w:ascii="Arial" w:hAnsi="Arial" w:cs="Arial"/>
          <w:sz w:val="22"/>
          <w:szCs w:val="22"/>
        </w:rPr>
        <w:t xml:space="preserve">is </w:t>
      </w:r>
      <w:r w:rsidRPr="008F4B3D">
        <w:rPr>
          <w:rFonts w:ascii="Arial" w:hAnsi="Arial" w:cs="Arial"/>
          <w:sz w:val="22"/>
          <w:szCs w:val="22"/>
        </w:rPr>
        <w:t xml:space="preserve">still </w:t>
      </w:r>
      <w:r>
        <w:rPr>
          <w:rFonts w:ascii="Arial" w:hAnsi="Arial" w:cs="Arial"/>
          <w:sz w:val="22"/>
          <w:szCs w:val="22"/>
        </w:rPr>
        <w:t>the</w:t>
      </w:r>
      <w:r w:rsidRPr="008F4B3D">
        <w:rPr>
          <w:rFonts w:ascii="Arial" w:hAnsi="Arial" w:cs="Arial"/>
          <w:sz w:val="22"/>
          <w:szCs w:val="22"/>
        </w:rPr>
        <w:t xml:space="preserve"> most debated concern in the field of mental health, particularly regarding classification, treatment, and neurodivergence considerations. One ongoing debate approaches the use of body mass index (BMI) as a diagnostic criterion. While ICD-11 </w:t>
      </w:r>
      <w:r>
        <w:rPr>
          <w:rFonts w:ascii="Arial" w:hAnsi="Arial" w:cs="Arial"/>
          <w:sz w:val="22"/>
          <w:szCs w:val="22"/>
        </w:rPr>
        <w:t xml:space="preserve">uses BMI thresholds to indicate severity, critics argue this might exclude individuals with significant psychological symptoms but “normal” weight, delaying </w:t>
      </w:r>
      <w:r w:rsidRPr="008F4B3D">
        <w:rPr>
          <w:rFonts w:ascii="Arial" w:hAnsi="Arial" w:cs="Arial"/>
          <w:sz w:val="22"/>
          <w:szCs w:val="22"/>
        </w:rPr>
        <w:t>diagnosis and treatment (McNaught et al. 2024). On the other hand, the research recommended that up to 20% of individuals with atypical AN, who satisfy all criteria except low BMI, experience the same levels of medical and psychological impairment as those with classic AN.</w:t>
      </w:r>
    </w:p>
    <w:p w14:paraId="66453778" w14:textId="00204316"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Thus, neurodivergence is another field of debate, especially autistic traits, in AN. Therefore, the proof suggests that up to 23% of females with AN exhibit clinically significant autistic traits</w:t>
      </w:r>
      <w:r>
        <w:rPr>
          <w:rFonts w:ascii="Arial" w:hAnsi="Arial" w:cs="Arial"/>
          <w:sz w:val="22"/>
          <w:szCs w:val="22"/>
        </w:rPr>
        <w:t>,</w:t>
      </w:r>
      <w:r w:rsidRPr="008F4B3D">
        <w:rPr>
          <w:rFonts w:ascii="Arial" w:hAnsi="Arial" w:cs="Arial"/>
          <w:sz w:val="22"/>
          <w:szCs w:val="22"/>
        </w:rPr>
        <w:t xml:space="preserve"> which can impact the substances in eating habits, social communication, and responsiveness to standard therapies (Rydberg Dobrescu, 2025). This has led to discussions about whether </w:t>
      </w:r>
      <w:r>
        <w:rPr>
          <w:rFonts w:ascii="Arial" w:hAnsi="Arial" w:cs="Arial"/>
          <w:sz w:val="22"/>
          <w:szCs w:val="22"/>
        </w:rPr>
        <w:t>the major interventions required to shape neurodiverse patients' treatment engagement and outcomes are being shaped</w:t>
      </w:r>
      <w:r w:rsidRPr="008F4B3D">
        <w:rPr>
          <w:rFonts w:ascii="Arial" w:hAnsi="Arial" w:cs="Arial"/>
          <w:sz w:val="22"/>
          <w:szCs w:val="22"/>
        </w:rPr>
        <w:t>.</w:t>
      </w:r>
    </w:p>
    <w:p w14:paraId="086DDF6C" w14:textId="70BA5CFD" w:rsidR="008F4B3D" w:rsidRPr="008F4B3D" w:rsidRDefault="008F4B3D" w:rsidP="002A493D">
      <w:pPr>
        <w:spacing w:line="360" w:lineRule="auto"/>
        <w:rPr>
          <w:rFonts w:ascii="Arial" w:hAnsi="Arial" w:cs="Arial"/>
          <w:sz w:val="22"/>
          <w:szCs w:val="22"/>
        </w:rPr>
      </w:pPr>
      <w:r w:rsidRPr="008F4B3D">
        <w:rPr>
          <w:rFonts w:ascii="Arial" w:hAnsi="Arial" w:cs="Arial"/>
          <w:sz w:val="22"/>
          <w:szCs w:val="22"/>
        </w:rPr>
        <w:t>The importance of current treatments is also debated, while Cognitive Behavioural Therapy (CBT) and Family-Based Therapy (FBT) are globally used and support high relapse rates persist, with 20–30% of patients remaining chronically ill instead of evidence-based interventions (</w:t>
      </w:r>
      <w:proofErr w:type="spellStart"/>
      <w:r w:rsidRPr="008F4B3D">
        <w:rPr>
          <w:rFonts w:ascii="Arial" w:hAnsi="Arial" w:cs="Arial"/>
          <w:sz w:val="22"/>
          <w:szCs w:val="22"/>
        </w:rPr>
        <w:t>Oudijn</w:t>
      </w:r>
      <w:proofErr w:type="spellEnd"/>
      <w:r w:rsidRPr="008F4B3D">
        <w:rPr>
          <w:rFonts w:ascii="Arial" w:hAnsi="Arial" w:cs="Arial"/>
          <w:sz w:val="22"/>
          <w:szCs w:val="22"/>
        </w:rPr>
        <w:t xml:space="preserve"> et al. 2022). Critics argue that the strong focus on weight restoration </w:t>
      </w:r>
      <w:r w:rsidR="003D7B03">
        <w:rPr>
          <w:rFonts w:ascii="Arial" w:hAnsi="Arial" w:cs="Arial"/>
          <w:sz w:val="22"/>
          <w:szCs w:val="22"/>
        </w:rPr>
        <w:t>may have overlooked underlying cognitive and emotional processes, and recommend developing</w:t>
      </w:r>
      <w:r>
        <w:rPr>
          <w:rFonts w:ascii="Arial" w:hAnsi="Arial" w:cs="Arial"/>
          <w:sz w:val="22"/>
          <w:szCs w:val="22"/>
        </w:rPr>
        <w:t xml:space="preserve"> therapies that address emotion</w:t>
      </w:r>
      <w:r w:rsidRPr="008F4B3D">
        <w:rPr>
          <w:rFonts w:ascii="Arial" w:hAnsi="Arial" w:cs="Arial"/>
          <w:sz w:val="22"/>
          <w:szCs w:val="22"/>
        </w:rPr>
        <w:t xml:space="preserve"> regulation, psychological flexibility, and identity development.</w:t>
      </w:r>
    </w:p>
    <w:p w14:paraId="7A20EA21" w14:textId="2561EE84" w:rsidR="008F4B3D" w:rsidRDefault="008F4B3D" w:rsidP="002A493D">
      <w:pPr>
        <w:spacing w:line="360" w:lineRule="auto"/>
        <w:rPr>
          <w:rFonts w:ascii="Arial" w:hAnsi="Arial" w:cs="Arial"/>
          <w:sz w:val="22"/>
          <w:szCs w:val="22"/>
        </w:rPr>
      </w:pPr>
      <w:r w:rsidRPr="008F4B3D">
        <w:rPr>
          <w:rFonts w:ascii="Arial" w:hAnsi="Arial" w:cs="Arial"/>
          <w:sz w:val="22"/>
          <w:szCs w:val="22"/>
        </w:rPr>
        <w:t xml:space="preserve">Gender and culture are other challenges </w:t>
      </w:r>
      <w:r>
        <w:rPr>
          <w:rFonts w:ascii="Arial" w:hAnsi="Arial" w:cs="Arial"/>
          <w:sz w:val="22"/>
          <w:szCs w:val="22"/>
        </w:rPr>
        <w:t>that complicate</w:t>
      </w:r>
      <w:r w:rsidRPr="008F4B3D">
        <w:rPr>
          <w:rFonts w:ascii="Arial" w:hAnsi="Arial" w:cs="Arial"/>
          <w:sz w:val="22"/>
          <w:szCs w:val="22"/>
        </w:rPr>
        <w:t xml:space="preserve"> classification and treatment. Traditional diagnostic models were primarily enhanced for the Western female populations, active older adults, non-Western groups and underdiagnosed males (Broersma et al. 2026). This also promoted calls for culturally sensitive diagnostic tools and broader awareness among clinicians.</w:t>
      </w:r>
    </w:p>
    <w:p w14:paraId="11F0184D" w14:textId="77777777" w:rsidR="00810AB1" w:rsidRPr="008F4B3D" w:rsidRDefault="00810AB1" w:rsidP="002A493D">
      <w:pPr>
        <w:spacing w:line="360" w:lineRule="auto"/>
        <w:rPr>
          <w:rFonts w:ascii="Arial" w:hAnsi="Arial" w:cs="Arial"/>
          <w:sz w:val="22"/>
          <w:szCs w:val="22"/>
        </w:rPr>
      </w:pPr>
    </w:p>
    <w:p w14:paraId="1F090A7F" w14:textId="77777777" w:rsidR="002E76AD" w:rsidRDefault="002E76AD" w:rsidP="002A493D">
      <w:pPr>
        <w:pStyle w:val="NormalWeb"/>
        <w:spacing w:line="360" w:lineRule="auto"/>
        <w:rPr>
          <w:rFonts w:ascii="Arial" w:hAnsi="Arial" w:cs="Arial"/>
          <w:b/>
          <w:bCs/>
          <w:color w:val="000000"/>
          <w:sz w:val="22"/>
          <w:szCs w:val="22"/>
        </w:rPr>
      </w:pPr>
    </w:p>
    <w:p w14:paraId="67859AD8" w14:textId="32D48BEE" w:rsidR="003D7B03" w:rsidRDefault="003D7B03" w:rsidP="002A493D">
      <w:pPr>
        <w:pStyle w:val="NormalWeb"/>
        <w:spacing w:line="360" w:lineRule="auto"/>
        <w:rPr>
          <w:rFonts w:ascii="Arial" w:hAnsi="Arial" w:cs="Arial"/>
          <w:b/>
          <w:bCs/>
          <w:color w:val="000000"/>
          <w:sz w:val="22"/>
          <w:szCs w:val="22"/>
        </w:rPr>
      </w:pPr>
      <w:r w:rsidRPr="003D7B03">
        <w:rPr>
          <w:rFonts w:ascii="Arial" w:hAnsi="Arial" w:cs="Arial"/>
          <w:b/>
          <w:bCs/>
          <w:color w:val="000000"/>
          <w:sz w:val="22"/>
          <w:szCs w:val="22"/>
        </w:rPr>
        <w:t>Recommendations</w:t>
      </w:r>
    </w:p>
    <w:p w14:paraId="5CE58690" w14:textId="3CD9F043" w:rsidR="003840BB" w:rsidRPr="003840BB" w:rsidRDefault="003840BB" w:rsidP="002A493D">
      <w:pPr>
        <w:pStyle w:val="NormalWeb"/>
        <w:spacing w:line="360" w:lineRule="auto"/>
        <w:rPr>
          <w:rFonts w:ascii="Arial" w:hAnsi="Arial" w:cs="Arial"/>
          <w:color w:val="000000"/>
          <w:sz w:val="22"/>
          <w:szCs w:val="22"/>
        </w:rPr>
      </w:pPr>
      <w:r w:rsidRPr="003840BB">
        <w:rPr>
          <w:rFonts w:ascii="Arial" w:hAnsi="Arial" w:cs="Arial"/>
          <w:color w:val="000000"/>
          <w:sz w:val="22"/>
          <w:szCs w:val="22"/>
        </w:rPr>
        <w:t xml:space="preserve">According to (Psychiatry.org, 2026), early screening should be improved to detect eating disorders as soon as possible. Healthcare professionals should be better trained to ask the </w:t>
      </w:r>
      <w:r w:rsidRPr="003840BB">
        <w:rPr>
          <w:rFonts w:ascii="Arial" w:hAnsi="Arial" w:cs="Arial"/>
          <w:color w:val="000000"/>
          <w:sz w:val="22"/>
          <w:szCs w:val="22"/>
        </w:rPr>
        <w:lastRenderedPageBreak/>
        <w:t>right questions and recognise symptoms early. More equal access to care is needed, as diagnosis can vary by sex, race, and ethnicity. Public awareness should be increased so more people seek help. Better resources and support systems should be developed to enable earlier and more accurate diagnosis.</w:t>
      </w:r>
    </w:p>
    <w:p w14:paraId="352339D4" w14:textId="388E3703" w:rsidR="00993DE9" w:rsidRPr="00993DE9" w:rsidRDefault="004403AE" w:rsidP="002A493D">
      <w:pPr>
        <w:pStyle w:val="NormalWeb"/>
        <w:spacing w:line="360" w:lineRule="auto"/>
        <w:rPr>
          <w:rFonts w:ascii="Arial" w:hAnsi="Arial" w:cs="Arial"/>
          <w:color w:val="000000"/>
          <w:sz w:val="22"/>
          <w:szCs w:val="22"/>
        </w:rPr>
      </w:pPr>
      <w:r>
        <w:rPr>
          <w:rFonts w:ascii="Arial" w:hAnsi="Arial" w:cs="Arial"/>
          <w:color w:val="000000"/>
          <w:sz w:val="22"/>
          <w:szCs w:val="22"/>
        </w:rPr>
        <w:t>On the other hand, based</w:t>
      </w:r>
      <w:r w:rsidR="00993DE9" w:rsidRPr="00993DE9">
        <w:rPr>
          <w:rFonts w:ascii="Arial" w:hAnsi="Arial" w:cs="Arial"/>
          <w:color w:val="000000"/>
          <w:sz w:val="22"/>
          <w:szCs w:val="22"/>
        </w:rPr>
        <w:t xml:space="preserve"> on </w:t>
      </w:r>
      <w:r>
        <w:rPr>
          <w:rFonts w:ascii="Arial" w:hAnsi="Arial" w:cs="Arial"/>
          <w:color w:val="000000"/>
          <w:sz w:val="22"/>
          <w:szCs w:val="22"/>
        </w:rPr>
        <w:t>current research, clinical debates, and the above discussion, it has been estimated that different recommendations can inform</w:t>
      </w:r>
      <w:r w:rsidR="00993DE9" w:rsidRPr="00993DE9">
        <w:rPr>
          <w:rFonts w:ascii="Arial" w:hAnsi="Arial" w:cs="Arial"/>
          <w:color w:val="000000"/>
          <w:sz w:val="22"/>
          <w:szCs w:val="22"/>
        </w:rPr>
        <w:t xml:space="preserve"> the classification, diagnosis, treatment, and rehabilitation of Anorexia Nervosa (AN). Here are some major recommendations, including</w:t>
      </w:r>
    </w:p>
    <w:p w14:paraId="236E5608" w14:textId="42E14754" w:rsidR="00993DE9" w:rsidRPr="00993DE9" w:rsidRDefault="00993DE9" w:rsidP="002A493D">
      <w:pPr>
        <w:pStyle w:val="NormalWeb"/>
        <w:spacing w:line="360" w:lineRule="auto"/>
        <w:rPr>
          <w:rFonts w:ascii="Arial" w:hAnsi="Arial" w:cs="Arial"/>
          <w:color w:val="000000"/>
          <w:sz w:val="22"/>
          <w:szCs w:val="22"/>
        </w:rPr>
      </w:pPr>
      <w:r w:rsidRPr="00993DE9">
        <w:rPr>
          <w:rFonts w:ascii="Arial" w:hAnsi="Arial" w:cs="Arial"/>
          <w:color w:val="000000"/>
          <w:sz w:val="22"/>
          <w:szCs w:val="22"/>
        </w:rPr>
        <w:t xml:space="preserve">Personalised Treatment Approaches: Treatment should be guided by the neurodivergence considerations, including autistic traits, which </w:t>
      </w:r>
      <w:r>
        <w:rPr>
          <w:rFonts w:ascii="Arial" w:hAnsi="Arial" w:cs="Arial"/>
          <w:color w:val="000000"/>
          <w:sz w:val="22"/>
          <w:szCs w:val="22"/>
        </w:rPr>
        <w:t>affect</w:t>
      </w:r>
      <w:r w:rsidRPr="00993DE9">
        <w:rPr>
          <w:rFonts w:ascii="Arial" w:hAnsi="Arial" w:cs="Arial"/>
          <w:color w:val="000000"/>
          <w:sz w:val="22"/>
          <w:szCs w:val="22"/>
        </w:rPr>
        <w:t xml:space="preserve"> adherence to therapy. Therefore, </w:t>
      </w:r>
      <w:r>
        <w:rPr>
          <w:rFonts w:ascii="Arial" w:hAnsi="Arial" w:cs="Arial"/>
          <w:color w:val="000000"/>
          <w:sz w:val="22"/>
          <w:szCs w:val="22"/>
        </w:rPr>
        <w:t>tailored interventions, including advanced CBT and sensory-sensitive meal plans, can improve outcomes and increase</w:t>
      </w:r>
      <w:r w:rsidRPr="00993DE9">
        <w:rPr>
          <w:rFonts w:ascii="Arial" w:hAnsi="Arial" w:cs="Arial"/>
          <w:color w:val="000000"/>
          <w:sz w:val="22"/>
          <w:szCs w:val="22"/>
        </w:rPr>
        <w:t xml:space="preserve"> patient engagement (Matheson et al. 2024).</w:t>
      </w:r>
    </w:p>
    <w:p w14:paraId="5AE7267B" w14:textId="72B5CD6B" w:rsidR="00993DE9" w:rsidRPr="00993DE9" w:rsidRDefault="00993DE9" w:rsidP="002A493D">
      <w:pPr>
        <w:pStyle w:val="NormalWeb"/>
        <w:spacing w:line="360" w:lineRule="auto"/>
        <w:rPr>
          <w:rFonts w:ascii="Arial" w:hAnsi="Arial" w:cs="Arial"/>
          <w:color w:val="000000"/>
          <w:sz w:val="22"/>
          <w:szCs w:val="22"/>
        </w:rPr>
      </w:pPr>
      <w:r w:rsidRPr="00993DE9">
        <w:rPr>
          <w:rFonts w:ascii="Arial" w:hAnsi="Arial" w:cs="Arial"/>
          <w:color w:val="000000"/>
          <w:sz w:val="22"/>
          <w:szCs w:val="22"/>
        </w:rPr>
        <w:t>Holistic Rehabilitation: Rehabilitation programs should combine psychological therapy, medical monitoring, nutritional guidance, and social support. Designed follow-up and peer support groups can decrease the relapse rates, which effectively occur in 31–50% of patients within the first year (Barik, 2025). Vocational and educational support can also develop long-term social functioning.</w:t>
      </w:r>
    </w:p>
    <w:p w14:paraId="70BC11A6" w14:textId="577A482B" w:rsidR="00993DE9" w:rsidRPr="00993DE9" w:rsidRDefault="00993DE9" w:rsidP="002A493D">
      <w:pPr>
        <w:pStyle w:val="NormalWeb"/>
        <w:spacing w:line="360" w:lineRule="auto"/>
        <w:rPr>
          <w:rFonts w:ascii="Arial" w:hAnsi="Arial" w:cs="Arial"/>
          <w:color w:val="000000"/>
          <w:sz w:val="22"/>
          <w:szCs w:val="22"/>
        </w:rPr>
      </w:pPr>
      <w:r w:rsidRPr="00993DE9">
        <w:rPr>
          <w:rFonts w:ascii="Arial" w:hAnsi="Arial" w:cs="Arial"/>
          <w:color w:val="000000"/>
          <w:sz w:val="22"/>
          <w:szCs w:val="22"/>
        </w:rPr>
        <w:t xml:space="preserve">Review Diagnostic Criteria: ICD-11 must </w:t>
      </w:r>
      <w:r>
        <w:rPr>
          <w:rFonts w:ascii="Arial" w:hAnsi="Arial" w:cs="Arial"/>
          <w:color w:val="000000"/>
          <w:sz w:val="22"/>
          <w:szCs w:val="22"/>
        </w:rPr>
        <w:t>reflect a reduced emphasis on BMI thresholds and the incorporation of</w:t>
      </w:r>
      <w:r w:rsidRPr="00993DE9">
        <w:rPr>
          <w:rFonts w:ascii="Arial" w:hAnsi="Arial" w:cs="Arial"/>
          <w:color w:val="000000"/>
          <w:sz w:val="22"/>
          <w:szCs w:val="22"/>
        </w:rPr>
        <w:t xml:space="preserve"> more psychological markers. This change would support individuals with atypical AN who experience importance despite a normal weight. Earlier detection can reduce the complications and </w:t>
      </w:r>
      <w:r>
        <w:rPr>
          <w:rFonts w:ascii="Arial" w:hAnsi="Arial" w:cs="Arial"/>
          <w:color w:val="000000"/>
          <w:sz w:val="22"/>
          <w:szCs w:val="22"/>
        </w:rPr>
        <w:t>improve</w:t>
      </w:r>
      <w:r w:rsidRPr="00993DE9">
        <w:rPr>
          <w:rFonts w:ascii="Arial" w:hAnsi="Arial" w:cs="Arial"/>
          <w:color w:val="000000"/>
          <w:sz w:val="22"/>
          <w:szCs w:val="22"/>
        </w:rPr>
        <w:t xml:space="preserve"> the recovery rates (Shena et al. 2024).</w:t>
      </w:r>
    </w:p>
    <w:p w14:paraId="5B74BEFC" w14:textId="225A2707" w:rsidR="002E76AD" w:rsidRPr="007936EF" w:rsidRDefault="00993DE9" w:rsidP="002A493D">
      <w:pPr>
        <w:pStyle w:val="NormalWeb"/>
        <w:spacing w:line="360" w:lineRule="auto"/>
        <w:rPr>
          <w:rFonts w:ascii="Arial" w:hAnsi="Arial" w:cs="Arial"/>
          <w:color w:val="000000"/>
          <w:sz w:val="22"/>
          <w:szCs w:val="22"/>
        </w:rPr>
      </w:pPr>
      <w:r w:rsidRPr="00993DE9">
        <w:rPr>
          <w:rFonts w:ascii="Arial" w:hAnsi="Arial" w:cs="Arial"/>
          <w:color w:val="000000"/>
          <w:sz w:val="22"/>
          <w:szCs w:val="22"/>
        </w:rPr>
        <w:t xml:space="preserve">Research and Policy Development: Future research should analyse the long-term </w:t>
      </w:r>
      <w:r>
        <w:rPr>
          <w:rFonts w:ascii="Arial" w:hAnsi="Arial" w:cs="Arial"/>
          <w:color w:val="000000"/>
          <w:sz w:val="22"/>
          <w:szCs w:val="22"/>
        </w:rPr>
        <w:t>outcomes of the designed interventions and develop evidence-based guidelines for the provision of</w:t>
      </w:r>
      <w:r w:rsidRPr="00993DE9">
        <w:rPr>
          <w:rFonts w:ascii="Arial" w:hAnsi="Arial" w:cs="Arial"/>
          <w:color w:val="000000"/>
          <w:sz w:val="22"/>
          <w:szCs w:val="22"/>
        </w:rPr>
        <w:t xml:space="preserve"> psychological, medical, and social care.</w:t>
      </w:r>
    </w:p>
    <w:p w14:paraId="75C42BB4" w14:textId="0D038793" w:rsidR="008A6D32" w:rsidRPr="004C6DE9" w:rsidRDefault="008A6D32" w:rsidP="002A493D">
      <w:pPr>
        <w:pStyle w:val="NormalWeb"/>
        <w:spacing w:line="360" w:lineRule="auto"/>
        <w:rPr>
          <w:rFonts w:ascii="Arial" w:hAnsi="Arial" w:cs="Arial"/>
          <w:b/>
          <w:bCs/>
          <w:color w:val="000000"/>
          <w:sz w:val="22"/>
          <w:szCs w:val="22"/>
        </w:rPr>
      </w:pPr>
      <w:r w:rsidRPr="004C6DE9">
        <w:rPr>
          <w:rFonts w:ascii="Arial" w:hAnsi="Arial" w:cs="Arial"/>
          <w:b/>
          <w:bCs/>
          <w:color w:val="000000"/>
          <w:sz w:val="22"/>
          <w:szCs w:val="22"/>
        </w:rPr>
        <w:t>Conclusion</w:t>
      </w:r>
    </w:p>
    <w:p w14:paraId="656EA2D0" w14:textId="2D9E95DD" w:rsidR="00312A11" w:rsidRDefault="000253A4" w:rsidP="00312A11">
      <w:pPr>
        <w:pStyle w:val="NormalWeb"/>
        <w:spacing w:line="360" w:lineRule="auto"/>
        <w:rPr>
          <w:rFonts w:ascii="Arial" w:hAnsi="Arial" w:cs="Arial"/>
          <w:color w:val="000000"/>
          <w:sz w:val="22"/>
          <w:szCs w:val="22"/>
        </w:rPr>
      </w:pPr>
      <w:r>
        <w:rPr>
          <w:rFonts w:ascii="Arial" w:hAnsi="Arial" w:cs="Arial"/>
          <w:color w:val="000000"/>
          <w:sz w:val="22"/>
          <w:szCs w:val="22"/>
        </w:rPr>
        <w:t xml:space="preserve">In conclusion, </w:t>
      </w:r>
      <w:r w:rsidR="001C0E47" w:rsidRPr="001C0E47">
        <w:rPr>
          <w:rFonts w:ascii="Arial" w:hAnsi="Arial" w:cs="Arial"/>
          <w:color w:val="000000"/>
          <w:sz w:val="22"/>
          <w:szCs w:val="22"/>
        </w:rPr>
        <w:t xml:space="preserve">Anorexia Nervosa (AN) is a serious mental </w:t>
      </w:r>
      <w:r w:rsidR="00C44CFD">
        <w:rPr>
          <w:rFonts w:ascii="Arial" w:hAnsi="Arial" w:cs="Arial"/>
          <w:color w:val="000000"/>
          <w:sz w:val="22"/>
          <w:szCs w:val="22"/>
        </w:rPr>
        <w:t xml:space="preserve">disorder that </w:t>
      </w:r>
      <w:r w:rsidR="001C0E47" w:rsidRPr="001C0E47">
        <w:rPr>
          <w:rFonts w:ascii="Arial" w:hAnsi="Arial" w:cs="Arial"/>
          <w:color w:val="000000"/>
          <w:sz w:val="22"/>
          <w:szCs w:val="22"/>
        </w:rPr>
        <w:t>affects the body, the mind, and daily life. This report explained diagnosis, treatment, and classification using ICD-11.</w:t>
      </w:r>
      <w:r w:rsidR="00C44CFD">
        <w:rPr>
          <w:rFonts w:ascii="Arial" w:hAnsi="Arial" w:cs="Arial"/>
          <w:color w:val="000000"/>
          <w:sz w:val="22"/>
          <w:szCs w:val="22"/>
        </w:rPr>
        <w:t xml:space="preserve"> </w:t>
      </w:r>
      <w:r>
        <w:rPr>
          <w:rFonts w:ascii="Arial" w:hAnsi="Arial" w:cs="Arial"/>
          <w:color w:val="000000"/>
          <w:sz w:val="22"/>
          <w:szCs w:val="22"/>
        </w:rPr>
        <w:t xml:space="preserve">Treating anorexia nervosa </w:t>
      </w:r>
      <w:r w:rsidR="001C0E47" w:rsidRPr="001C0E47">
        <w:rPr>
          <w:rFonts w:ascii="Arial" w:hAnsi="Arial" w:cs="Arial"/>
          <w:color w:val="000000"/>
          <w:sz w:val="22"/>
          <w:szCs w:val="22"/>
        </w:rPr>
        <w:t xml:space="preserve">works best when different professionals help the patient. This includes therapy, food support, and medical care. Early diagnosis and support are very important. Treatment should be personalised and </w:t>
      </w:r>
      <w:proofErr w:type="gramStart"/>
      <w:r w:rsidR="00F71C51">
        <w:rPr>
          <w:rFonts w:ascii="Arial" w:hAnsi="Arial" w:cs="Arial"/>
          <w:color w:val="000000"/>
          <w:sz w:val="22"/>
          <w:szCs w:val="22"/>
        </w:rPr>
        <w:t>take into account</w:t>
      </w:r>
      <w:proofErr w:type="gramEnd"/>
      <w:r w:rsidR="001C0E47" w:rsidRPr="001C0E47">
        <w:rPr>
          <w:rFonts w:ascii="Arial" w:hAnsi="Arial" w:cs="Arial"/>
          <w:color w:val="000000"/>
          <w:sz w:val="22"/>
          <w:szCs w:val="22"/>
        </w:rPr>
        <w:t xml:space="preserve"> each person’s needs.</w:t>
      </w:r>
      <w:r>
        <w:rPr>
          <w:rFonts w:ascii="Arial" w:hAnsi="Arial" w:cs="Arial"/>
          <w:color w:val="000000"/>
          <w:sz w:val="22"/>
          <w:szCs w:val="22"/>
        </w:rPr>
        <w:t xml:space="preserve"> To achieve better outcomes, long-term</w:t>
      </w:r>
      <w:r w:rsidR="001C0E47" w:rsidRPr="001C0E47">
        <w:rPr>
          <w:rFonts w:ascii="Arial" w:hAnsi="Arial" w:cs="Arial"/>
          <w:color w:val="000000"/>
          <w:sz w:val="22"/>
          <w:szCs w:val="22"/>
        </w:rPr>
        <w:t xml:space="preserve"> support is needed for better </w:t>
      </w:r>
      <w:r w:rsidR="00F06451">
        <w:rPr>
          <w:rFonts w:ascii="Arial" w:hAnsi="Arial" w:cs="Arial"/>
          <w:color w:val="000000"/>
          <w:sz w:val="22"/>
          <w:szCs w:val="22"/>
        </w:rPr>
        <w:t>recovery</w:t>
      </w:r>
      <w:r w:rsidR="00312A11">
        <w:rPr>
          <w:rFonts w:ascii="Arial" w:hAnsi="Arial" w:cs="Arial"/>
          <w:color w:val="000000"/>
          <w:sz w:val="22"/>
          <w:szCs w:val="22"/>
        </w:rPr>
        <w:t>.</w:t>
      </w:r>
    </w:p>
    <w:p w14:paraId="464E4062" w14:textId="28A53853" w:rsidR="008A6D32" w:rsidRPr="00312A11" w:rsidRDefault="008A6D32" w:rsidP="00312A11">
      <w:pPr>
        <w:pStyle w:val="NormalWeb"/>
        <w:spacing w:line="360" w:lineRule="auto"/>
        <w:rPr>
          <w:rFonts w:ascii="Arial" w:hAnsi="Arial" w:cs="Arial"/>
          <w:color w:val="000000"/>
          <w:sz w:val="22"/>
          <w:szCs w:val="22"/>
        </w:rPr>
      </w:pPr>
      <w:r w:rsidRPr="008A6D32">
        <w:rPr>
          <w:rFonts w:ascii="Arial" w:hAnsi="Arial" w:cs="Arial"/>
          <w:b/>
          <w:bCs/>
          <w:color w:val="000000"/>
        </w:rPr>
        <w:lastRenderedPageBreak/>
        <w:t xml:space="preserve">References </w:t>
      </w:r>
    </w:p>
    <w:p w14:paraId="5956A27B" w14:textId="52508FCB"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Andrade, E.A.</w:t>
      </w:r>
      <w:r w:rsidR="000E3C8E" w:rsidRPr="000E3C8E">
        <w:rPr>
          <w:rFonts w:ascii="Arial" w:hAnsi="Arial" w:cs="Arial"/>
          <w:color w:val="000000"/>
          <w:sz w:val="22"/>
          <w:szCs w:val="22"/>
        </w:rPr>
        <w:t>, e</w:t>
      </w:r>
      <w:r w:rsidRPr="000E3C8E">
        <w:rPr>
          <w:rFonts w:ascii="Arial" w:hAnsi="Arial" w:cs="Arial"/>
          <w:color w:val="000000"/>
          <w:sz w:val="22"/>
          <w:szCs w:val="22"/>
        </w:rPr>
        <w:t xml:space="preserve"> Galvão, M.C.B. (2025)</w:t>
      </w:r>
      <w:r w:rsidR="00CD4D45" w:rsidRPr="000E3C8E">
        <w:rPr>
          <w:rFonts w:ascii="Arial" w:hAnsi="Arial" w:cs="Arial"/>
          <w:color w:val="000000"/>
          <w:sz w:val="22"/>
          <w:szCs w:val="22"/>
        </w:rPr>
        <w:t>.</w:t>
      </w:r>
      <w:r w:rsidRPr="000E3C8E">
        <w:rPr>
          <w:rFonts w:ascii="Arial" w:hAnsi="Arial" w:cs="Arial"/>
          <w:color w:val="000000"/>
          <w:sz w:val="22"/>
          <w:szCs w:val="22"/>
        </w:rPr>
        <w:t xml:space="preserve"> </w:t>
      </w:r>
      <w:r w:rsidRPr="000E3C8E">
        <w:rPr>
          <w:rFonts w:ascii="Arial" w:hAnsi="Arial" w:cs="Arial"/>
          <w:i/>
          <w:iCs/>
          <w:color w:val="000000"/>
          <w:sz w:val="22"/>
          <w:szCs w:val="22"/>
        </w:rPr>
        <w:t>International Statistical Classification of Diseases and Related Health Problems (ICD-11): from its origin to its use in digital systems.</w:t>
      </w:r>
      <w:r w:rsidRPr="000E3C8E">
        <w:rPr>
          <w:rFonts w:ascii="Arial" w:hAnsi="Arial" w:cs="Arial"/>
          <w:color w:val="000000"/>
          <w:sz w:val="22"/>
          <w:szCs w:val="22"/>
        </w:rPr>
        <w:t xml:space="preserve"> </w:t>
      </w:r>
      <w:proofErr w:type="spellStart"/>
      <w:r w:rsidRPr="000E3C8E">
        <w:rPr>
          <w:rFonts w:ascii="Arial" w:hAnsi="Arial" w:cs="Arial"/>
          <w:color w:val="000000"/>
          <w:sz w:val="22"/>
          <w:szCs w:val="22"/>
        </w:rPr>
        <w:t>Ciência</w:t>
      </w:r>
      <w:proofErr w:type="spellEnd"/>
      <w:r w:rsidRPr="000E3C8E">
        <w:rPr>
          <w:rFonts w:ascii="Arial" w:hAnsi="Arial" w:cs="Arial"/>
          <w:color w:val="000000"/>
          <w:sz w:val="22"/>
          <w:szCs w:val="22"/>
        </w:rPr>
        <w:t xml:space="preserve"> &amp; </w:t>
      </w:r>
      <w:proofErr w:type="spellStart"/>
      <w:r w:rsidRPr="000E3C8E">
        <w:rPr>
          <w:rFonts w:ascii="Arial" w:hAnsi="Arial" w:cs="Arial"/>
          <w:color w:val="000000"/>
          <w:sz w:val="22"/>
          <w:szCs w:val="22"/>
        </w:rPr>
        <w:t>Saúde</w:t>
      </w:r>
      <w:proofErr w:type="spellEnd"/>
      <w:r w:rsidRPr="000E3C8E">
        <w:rPr>
          <w:rFonts w:ascii="Arial" w:hAnsi="Arial" w:cs="Arial"/>
          <w:color w:val="000000"/>
          <w:sz w:val="22"/>
          <w:szCs w:val="22"/>
        </w:rPr>
        <w:t xml:space="preserve"> </w:t>
      </w:r>
      <w:proofErr w:type="spellStart"/>
      <w:r w:rsidRPr="000E3C8E">
        <w:rPr>
          <w:rFonts w:ascii="Arial" w:hAnsi="Arial" w:cs="Arial"/>
          <w:color w:val="000000"/>
          <w:sz w:val="22"/>
          <w:szCs w:val="22"/>
        </w:rPr>
        <w:t>Coletiva</w:t>
      </w:r>
      <w:proofErr w:type="spellEnd"/>
      <w:r w:rsidRPr="000E3C8E">
        <w:rPr>
          <w:rFonts w:ascii="Arial" w:hAnsi="Arial" w:cs="Arial"/>
          <w:color w:val="000000"/>
          <w:sz w:val="22"/>
          <w:szCs w:val="22"/>
        </w:rPr>
        <w:t>, 30, e01402024.</w:t>
      </w:r>
    </w:p>
    <w:p w14:paraId="6BA440A4" w14:textId="7A0BC1D9"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Bailey-</w:t>
      </w:r>
      <w:proofErr w:type="spellStart"/>
      <w:r w:rsidRPr="000E3C8E">
        <w:rPr>
          <w:rFonts w:ascii="Arial" w:hAnsi="Arial" w:cs="Arial"/>
          <w:color w:val="000000"/>
          <w:sz w:val="22"/>
          <w:szCs w:val="22"/>
        </w:rPr>
        <w:t>Straebler</w:t>
      </w:r>
      <w:proofErr w:type="spellEnd"/>
      <w:r w:rsidRPr="000E3C8E">
        <w:rPr>
          <w:rFonts w:ascii="Arial" w:hAnsi="Arial" w:cs="Arial"/>
          <w:color w:val="000000"/>
          <w:sz w:val="22"/>
          <w:szCs w:val="22"/>
        </w:rPr>
        <w:t>, S. and Sproch, L. (2025)</w:t>
      </w:r>
      <w:r w:rsidR="00CD4D45" w:rsidRPr="000E3C8E">
        <w:rPr>
          <w:rFonts w:ascii="Arial" w:hAnsi="Arial" w:cs="Arial"/>
          <w:color w:val="000000"/>
          <w:sz w:val="22"/>
          <w:szCs w:val="22"/>
        </w:rPr>
        <w:t xml:space="preserve">. </w:t>
      </w:r>
      <w:r w:rsidR="00CD4D45" w:rsidRPr="000E3C8E">
        <w:rPr>
          <w:rFonts w:ascii="Arial" w:hAnsi="Arial" w:cs="Arial"/>
          <w:i/>
          <w:iCs/>
          <w:color w:val="000000"/>
          <w:sz w:val="22"/>
          <w:szCs w:val="22"/>
        </w:rPr>
        <w:t>Group cognitive behaviour</w:t>
      </w:r>
      <w:r w:rsidRPr="000E3C8E">
        <w:rPr>
          <w:rFonts w:ascii="Arial" w:hAnsi="Arial" w:cs="Arial"/>
          <w:i/>
          <w:iCs/>
          <w:color w:val="000000"/>
          <w:sz w:val="22"/>
          <w:szCs w:val="22"/>
        </w:rPr>
        <w:t xml:space="preserve"> therapy for eating disorders. Routledge</w:t>
      </w:r>
      <w:r w:rsidRPr="000E3C8E">
        <w:rPr>
          <w:rFonts w:ascii="Arial" w:hAnsi="Arial" w:cs="Arial"/>
          <w:color w:val="000000"/>
          <w:sz w:val="22"/>
          <w:szCs w:val="22"/>
        </w:rPr>
        <w:t>.</w:t>
      </w:r>
    </w:p>
    <w:p w14:paraId="1750CC5E" w14:textId="27A7FBFF"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Barik, M. (2025)</w:t>
      </w:r>
      <w:r w:rsidR="00CD4D45" w:rsidRPr="000E3C8E">
        <w:rPr>
          <w:rFonts w:ascii="Arial" w:hAnsi="Arial" w:cs="Arial"/>
          <w:color w:val="000000"/>
          <w:sz w:val="22"/>
          <w:szCs w:val="22"/>
        </w:rPr>
        <w:t>.</w:t>
      </w:r>
      <w:r w:rsidRPr="000E3C8E">
        <w:rPr>
          <w:rFonts w:ascii="Arial" w:hAnsi="Arial" w:cs="Arial"/>
          <w:color w:val="000000"/>
          <w:sz w:val="22"/>
          <w:szCs w:val="22"/>
        </w:rPr>
        <w:t xml:space="preserve"> ‘</w:t>
      </w:r>
      <w:r w:rsidRPr="000E3C8E">
        <w:rPr>
          <w:rFonts w:ascii="Arial" w:hAnsi="Arial" w:cs="Arial"/>
          <w:i/>
          <w:iCs/>
          <w:color w:val="000000"/>
          <w:sz w:val="22"/>
          <w:szCs w:val="22"/>
        </w:rPr>
        <w:t xml:space="preserve">Eating disorders: understanding types and how nutrition therapy supports recovery and health’, </w:t>
      </w:r>
      <w:proofErr w:type="gramStart"/>
      <w:r w:rsidRPr="000E3C8E">
        <w:rPr>
          <w:rFonts w:ascii="Arial" w:hAnsi="Arial" w:cs="Arial"/>
          <w:i/>
          <w:iCs/>
          <w:color w:val="000000"/>
          <w:sz w:val="22"/>
          <w:szCs w:val="22"/>
        </w:rPr>
        <w:t>Eating Disorders</w:t>
      </w:r>
      <w:proofErr w:type="gramEnd"/>
      <w:r w:rsidRPr="000E3C8E">
        <w:rPr>
          <w:rFonts w:ascii="Arial" w:hAnsi="Arial" w:cs="Arial"/>
          <w:i/>
          <w:iCs/>
          <w:color w:val="000000"/>
          <w:sz w:val="22"/>
          <w:szCs w:val="22"/>
        </w:rPr>
        <w:t>,</w:t>
      </w:r>
      <w:r w:rsidRPr="000E3C8E">
        <w:rPr>
          <w:rFonts w:ascii="Arial" w:hAnsi="Arial" w:cs="Arial"/>
          <w:color w:val="000000"/>
          <w:sz w:val="22"/>
          <w:szCs w:val="22"/>
        </w:rPr>
        <w:t xml:space="preserve"> 1(1).</w:t>
      </w:r>
    </w:p>
    <w:p w14:paraId="11BCDE22" w14:textId="4A275E53" w:rsidR="00EF3B16" w:rsidRPr="000E3C8E" w:rsidRDefault="00EF3B16" w:rsidP="000E3C8E">
      <w:pPr>
        <w:pStyle w:val="NormalWeb"/>
        <w:spacing w:line="276" w:lineRule="auto"/>
        <w:rPr>
          <w:rFonts w:ascii="Arial" w:hAnsi="Arial" w:cs="Arial"/>
          <w:i/>
          <w:iCs/>
          <w:color w:val="000000"/>
          <w:sz w:val="22"/>
          <w:szCs w:val="22"/>
        </w:rPr>
      </w:pPr>
      <w:r w:rsidRPr="000E3C8E">
        <w:rPr>
          <w:rFonts w:ascii="Arial" w:hAnsi="Arial" w:cs="Arial"/>
          <w:color w:val="000000"/>
          <w:sz w:val="22"/>
          <w:szCs w:val="22"/>
        </w:rPr>
        <w:t xml:space="preserve">Broersma, R.A., Zeegers, M.A., Roest, J., Lindauer, R.J., </w:t>
      </w:r>
      <w:proofErr w:type="spellStart"/>
      <w:r w:rsidRPr="000E3C8E">
        <w:rPr>
          <w:rFonts w:ascii="Arial" w:hAnsi="Arial" w:cs="Arial"/>
          <w:color w:val="000000"/>
          <w:sz w:val="22"/>
          <w:szCs w:val="22"/>
        </w:rPr>
        <w:t>Harteveld</w:t>
      </w:r>
      <w:proofErr w:type="spellEnd"/>
      <w:r w:rsidRPr="000E3C8E">
        <w:rPr>
          <w:rFonts w:ascii="Arial" w:hAnsi="Arial" w:cs="Arial"/>
          <w:color w:val="000000"/>
          <w:sz w:val="22"/>
          <w:szCs w:val="22"/>
        </w:rPr>
        <w:t>, F., van der Helm, P., Lock, J. and Assink, M. (2026) ‘</w:t>
      </w:r>
      <w:r w:rsidRPr="000E3C8E">
        <w:rPr>
          <w:rFonts w:ascii="Arial" w:hAnsi="Arial" w:cs="Arial"/>
          <w:i/>
          <w:iCs/>
          <w:color w:val="000000"/>
          <w:sz w:val="22"/>
          <w:szCs w:val="22"/>
        </w:rPr>
        <w:t xml:space="preserve">The effectiveness of psychological treatment for anorexia nervosa in adolescents: a critical review of </w:t>
      </w:r>
      <w:r w:rsidR="00967656" w:rsidRPr="000E3C8E">
        <w:rPr>
          <w:rFonts w:ascii="Arial" w:hAnsi="Arial" w:cs="Arial"/>
          <w:i/>
          <w:iCs/>
          <w:color w:val="000000"/>
          <w:sz w:val="22"/>
          <w:szCs w:val="22"/>
        </w:rPr>
        <w:t>randomised</w:t>
      </w:r>
      <w:r w:rsidRPr="000E3C8E">
        <w:rPr>
          <w:rFonts w:ascii="Arial" w:hAnsi="Arial" w:cs="Arial"/>
          <w:i/>
          <w:iCs/>
          <w:color w:val="000000"/>
          <w:sz w:val="22"/>
          <w:szCs w:val="22"/>
        </w:rPr>
        <w:t xml:space="preserve"> controlled trials’, International Journal of Eating Disorders.</w:t>
      </w:r>
    </w:p>
    <w:p w14:paraId="15A289BB" w14:textId="77777777" w:rsidR="00EF3B16" w:rsidRPr="000E3C8E" w:rsidRDefault="00EF3B16" w:rsidP="000E3C8E">
      <w:pPr>
        <w:pStyle w:val="NormalWeb"/>
        <w:spacing w:line="276" w:lineRule="auto"/>
        <w:rPr>
          <w:rFonts w:ascii="Arial" w:hAnsi="Arial" w:cs="Arial"/>
          <w:i/>
          <w:iCs/>
          <w:color w:val="000000"/>
          <w:sz w:val="22"/>
          <w:szCs w:val="22"/>
        </w:rPr>
      </w:pPr>
      <w:r w:rsidRPr="000E3C8E">
        <w:rPr>
          <w:rFonts w:ascii="Arial" w:hAnsi="Arial" w:cs="Arial"/>
          <w:i/>
          <w:iCs/>
          <w:color w:val="000000"/>
          <w:sz w:val="22"/>
          <w:szCs w:val="22"/>
        </w:rPr>
        <w:t xml:space="preserve">Bryant, E., </w:t>
      </w:r>
      <w:proofErr w:type="spellStart"/>
      <w:r w:rsidRPr="000E3C8E">
        <w:rPr>
          <w:rFonts w:ascii="Arial" w:hAnsi="Arial" w:cs="Arial"/>
          <w:i/>
          <w:iCs/>
          <w:color w:val="000000"/>
          <w:sz w:val="22"/>
          <w:szCs w:val="22"/>
        </w:rPr>
        <w:t>Touyz</w:t>
      </w:r>
      <w:proofErr w:type="spellEnd"/>
      <w:r w:rsidRPr="000E3C8E">
        <w:rPr>
          <w:rFonts w:ascii="Arial" w:hAnsi="Arial" w:cs="Arial"/>
          <w:i/>
          <w:iCs/>
          <w:color w:val="000000"/>
          <w:sz w:val="22"/>
          <w:szCs w:val="22"/>
        </w:rPr>
        <w:t>, S., Oldershaw, A., Treasure, J. and Maguire, S. (2026) ‘Anorexia nervosa: 150 years of critical theory’, Journal of Eating Disorders.</w:t>
      </w:r>
    </w:p>
    <w:p w14:paraId="178A9A6F" w14:textId="1E2FD301"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Continental Hospitals (2024)</w:t>
      </w:r>
      <w:r w:rsidR="00605AB7" w:rsidRPr="000E3C8E">
        <w:rPr>
          <w:rFonts w:ascii="Arial" w:hAnsi="Arial" w:cs="Arial"/>
          <w:color w:val="000000"/>
          <w:sz w:val="22"/>
          <w:szCs w:val="22"/>
        </w:rPr>
        <w:t xml:space="preserve">. </w:t>
      </w:r>
      <w:r w:rsidR="00605AB7" w:rsidRPr="000E3C8E">
        <w:rPr>
          <w:rFonts w:ascii="Arial" w:hAnsi="Arial" w:cs="Arial"/>
          <w:i/>
          <w:iCs/>
          <w:color w:val="000000"/>
          <w:sz w:val="22"/>
          <w:szCs w:val="22"/>
        </w:rPr>
        <w:t>Anorexia Nervosa</w:t>
      </w:r>
      <w:r w:rsidRPr="000E3C8E">
        <w:rPr>
          <w:rFonts w:ascii="Arial" w:hAnsi="Arial" w:cs="Arial"/>
          <w:i/>
          <w:iCs/>
          <w:color w:val="000000"/>
          <w:sz w:val="22"/>
          <w:szCs w:val="22"/>
        </w:rPr>
        <w:t>.</w:t>
      </w:r>
      <w:r w:rsidRPr="000E3C8E">
        <w:rPr>
          <w:rFonts w:ascii="Arial" w:hAnsi="Arial" w:cs="Arial"/>
          <w:color w:val="000000"/>
          <w:sz w:val="22"/>
          <w:szCs w:val="22"/>
        </w:rPr>
        <w:t xml:space="preserve"> Available at: https://continentalhospitals.com/diseases/anorexia-nervosa/ (Accessed: 27 February 2026).</w:t>
      </w:r>
    </w:p>
    <w:p w14:paraId="3B536373" w14:textId="77777777"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Dalle Grave, R. (2023) ‘</w:t>
      </w:r>
      <w:r w:rsidRPr="000E3C8E">
        <w:rPr>
          <w:rFonts w:ascii="Arial" w:hAnsi="Arial" w:cs="Arial"/>
          <w:i/>
          <w:iCs/>
          <w:color w:val="000000"/>
          <w:sz w:val="22"/>
          <w:szCs w:val="22"/>
        </w:rPr>
        <w:t xml:space="preserve">Enhanced cognitive behaviour therapy for eating disorders’, in </w:t>
      </w:r>
      <w:proofErr w:type="gramStart"/>
      <w:r w:rsidRPr="000E3C8E">
        <w:rPr>
          <w:rFonts w:ascii="Arial" w:hAnsi="Arial" w:cs="Arial"/>
          <w:i/>
          <w:iCs/>
          <w:color w:val="000000"/>
          <w:sz w:val="22"/>
          <w:szCs w:val="22"/>
        </w:rPr>
        <w:t>Eating disorders</w:t>
      </w:r>
      <w:proofErr w:type="gramEnd"/>
      <w:r w:rsidRPr="000E3C8E">
        <w:rPr>
          <w:rFonts w:ascii="Arial" w:hAnsi="Arial" w:cs="Arial"/>
          <w:color w:val="000000"/>
          <w:sz w:val="22"/>
          <w:szCs w:val="22"/>
        </w:rPr>
        <w:t>. Cham: Springer International Publishing, pp. 3–23.</w:t>
      </w:r>
    </w:p>
    <w:p w14:paraId="091B056D" w14:textId="6A5AA80E"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 xml:space="preserve">Dzieva, M., </w:t>
      </w:r>
      <w:proofErr w:type="spellStart"/>
      <w:r w:rsidRPr="000E3C8E">
        <w:rPr>
          <w:rFonts w:ascii="Arial" w:hAnsi="Arial" w:cs="Arial"/>
          <w:color w:val="000000"/>
          <w:sz w:val="22"/>
          <w:szCs w:val="22"/>
        </w:rPr>
        <w:t>Bańka</w:t>
      </w:r>
      <w:proofErr w:type="spellEnd"/>
      <w:r w:rsidRPr="000E3C8E">
        <w:rPr>
          <w:rFonts w:ascii="Arial" w:hAnsi="Arial" w:cs="Arial"/>
          <w:color w:val="000000"/>
          <w:sz w:val="22"/>
          <w:szCs w:val="22"/>
        </w:rPr>
        <w:t xml:space="preserve">, B., Herbet, M. and </w:t>
      </w:r>
      <w:proofErr w:type="spellStart"/>
      <w:r w:rsidRPr="000E3C8E">
        <w:rPr>
          <w:rFonts w:ascii="Arial" w:hAnsi="Arial" w:cs="Arial"/>
          <w:color w:val="000000"/>
          <w:sz w:val="22"/>
          <w:szCs w:val="22"/>
        </w:rPr>
        <w:t>Piątkowska</w:t>
      </w:r>
      <w:proofErr w:type="spellEnd"/>
      <w:r w:rsidRPr="000E3C8E">
        <w:rPr>
          <w:rFonts w:ascii="Arial" w:hAnsi="Arial" w:cs="Arial"/>
          <w:color w:val="000000"/>
          <w:sz w:val="22"/>
          <w:szCs w:val="22"/>
        </w:rPr>
        <w:t>-Chmiel, I. (2023)</w:t>
      </w:r>
      <w:r w:rsidR="00547E90" w:rsidRPr="000E3C8E">
        <w:rPr>
          <w:rFonts w:ascii="Arial" w:hAnsi="Arial" w:cs="Arial"/>
          <w:color w:val="000000"/>
          <w:sz w:val="22"/>
          <w:szCs w:val="22"/>
        </w:rPr>
        <w:t>.</w:t>
      </w:r>
      <w:r w:rsidRPr="000E3C8E">
        <w:rPr>
          <w:rFonts w:ascii="Arial" w:hAnsi="Arial" w:cs="Arial"/>
          <w:color w:val="000000"/>
          <w:sz w:val="22"/>
          <w:szCs w:val="22"/>
        </w:rPr>
        <w:t xml:space="preserve"> ‘</w:t>
      </w:r>
      <w:r w:rsidRPr="000E3C8E">
        <w:rPr>
          <w:rFonts w:ascii="Arial" w:hAnsi="Arial" w:cs="Arial"/>
          <w:i/>
          <w:iCs/>
          <w:color w:val="000000"/>
          <w:sz w:val="22"/>
          <w:szCs w:val="22"/>
        </w:rPr>
        <w:t>Eating disorders and diabetes: facing the dual challenge’, Nutrients</w:t>
      </w:r>
      <w:r w:rsidRPr="000E3C8E">
        <w:rPr>
          <w:rFonts w:ascii="Arial" w:hAnsi="Arial" w:cs="Arial"/>
          <w:color w:val="000000"/>
          <w:sz w:val="22"/>
          <w:szCs w:val="22"/>
        </w:rPr>
        <w:t>, 15(18), p. 3955.</w:t>
      </w:r>
    </w:p>
    <w:p w14:paraId="6CABE77C" w14:textId="77777777"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Matheson, B.E., Bohon, C., Le Grange, D. and Lock, J.D. (2024) ‘</w:t>
      </w:r>
      <w:r w:rsidRPr="000E3C8E">
        <w:rPr>
          <w:rFonts w:ascii="Arial" w:hAnsi="Arial" w:cs="Arial"/>
          <w:i/>
          <w:iCs/>
          <w:color w:val="000000"/>
          <w:sz w:val="22"/>
          <w:szCs w:val="22"/>
        </w:rPr>
        <w:t xml:space="preserve">Family-based treatment (FBT) for loss of control (LOC) eating in youth: current knowledge and future directions’, </w:t>
      </w:r>
      <w:proofErr w:type="gramStart"/>
      <w:r w:rsidRPr="000E3C8E">
        <w:rPr>
          <w:rFonts w:ascii="Arial" w:hAnsi="Arial" w:cs="Arial"/>
          <w:i/>
          <w:iCs/>
          <w:color w:val="000000"/>
          <w:sz w:val="22"/>
          <w:szCs w:val="22"/>
        </w:rPr>
        <w:t>Eating Disorders</w:t>
      </w:r>
      <w:proofErr w:type="gramEnd"/>
      <w:r w:rsidRPr="000E3C8E">
        <w:rPr>
          <w:rFonts w:ascii="Arial" w:hAnsi="Arial" w:cs="Arial"/>
          <w:color w:val="000000"/>
          <w:sz w:val="22"/>
          <w:szCs w:val="22"/>
        </w:rPr>
        <w:t>, 32(1), pp. 1–12.</w:t>
      </w:r>
    </w:p>
    <w:p w14:paraId="19DC656D" w14:textId="2AB12EBC" w:rsidR="00EF3B16" w:rsidRPr="000E3C8E" w:rsidRDefault="00EF3B16" w:rsidP="000E3C8E">
      <w:pPr>
        <w:pStyle w:val="NormalWeb"/>
        <w:spacing w:line="276" w:lineRule="auto"/>
        <w:rPr>
          <w:rFonts w:ascii="Arial" w:hAnsi="Arial" w:cs="Arial"/>
          <w:i/>
          <w:iCs/>
          <w:color w:val="000000"/>
          <w:sz w:val="22"/>
          <w:szCs w:val="22"/>
        </w:rPr>
      </w:pPr>
      <w:r w:rsidRPr="000E3C8E">
        <w:rPr>
          <w:rFonts w:ascii="Arial" w:hAnsi="Arial" w:cs="Arial"/>
          <w:color w:val="000000"/>
          <w:sz w:val="22"/>
          <w:szCs w:val="22"/>
        </w:rPr>
        <w:t>McNaught, E., Treasure, J. and Griffiths, J. (2024)</w:t>
      </w:r>
      <w:r w:rsidR="00547E90" w:rsidRPr="000E3C8E">
        <w:rPr>
          <w:rFonts w:ascii="Arial" w:hAnsi="Arial" w:cs="Arial"/>
          <w:color w:val="000000"/>
          <w:sz w:val="22"/>
          <w:szCs w:val="22"/>
        </w:rPr>
        <w:t>.</w:t>
      </w:r>
      <w:r w:rsidRPr="000E3C8E">
        <w:rPr>
          <w:rFonts w:ascii="Arial" w:hAnsi="Arial" w:cs="Arial"/>
          <w:color w:val="000000"/>
          <w:sz w:val="22"/>
          <w:szCs w:val="22"/>
        </w:rPr>
        <w:t xml:space="preserve"> Eating disorders: </w:t>
      </w:r>
      <w:r w:rsidRPr="000E3C8E">
        <w:rPr>
          <w:rFonts w:ascii="Arial" w:hAnsi="Arial" w:cs="Arial"/>
          <w:i/>
          <w:iCs/>
          <w:color w:val="000000"/>
          <w:sz w:val="22"/>
          <w:szCs w:val="22"/>
        </w:rPr>
        <w:t>the basics. Routledge.</w:t>
      </w:r>
    </w:p>
    <w:p w14:paraId="372BD74C" w14:textId="5AC74BBB"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MDPI (2023)</w:t>
      </w:r>
      <w:r w:rsidR="003121BC" w:rsidRPr="000E3C8E">
        <w:rPr>
          <w:rFonts w:ascii="Arial" w:hAnsi="Arial" w:cs="Arial"/>
          <w:color w:val="000000"/>
          <w:sz w:val="22"/>
          <w:szCs w:val="22"/>
        </w:rPr>
        <w:t>.</w:t>
      </w:r>
      <w:r w:rsidRPr="000E3C8E">
        <w:rPr>
          <w:rFonts w:ascii="Arial" w:hAnsi="Arial" w:cs="Arial"/>
          <w:color w:val="000000"/>
          <w:sz w:val="22"/>
          <w:szCs w:val="22"/>
        </w:rPr>
        <w:t xml:space="preserve"> </w:t>
      </w:r>
      <w:r w:rsidRPr="000E3C8E">
        <w:rPr>
          <w:rFonts w:ascii="Arial" w:hAnsi="Arial" w:cs="Arial"/>
          <w:i/>
          <w:iCs/>
          <w:color w:val="000000"/>
          <w:sz w:val="22"/>
          <w:szCs w:val="22"/>
        </w:rPr>
        <w:t>The impact of anorexia nervosa and the basis for non-pharmacological interventions</w:t>
      </w:r>
      <w:r w:rsidRPr="000E3C8E">
        <w:rPr>
          <w:rFonts w:ascii="Arial" w:hAnsi="Arial" w:cs="Arial"/>
          <w:color w:val="000000"/>
          <w:sz w:val="22"/>
          <w:szCs w:val="22"/>
        </w:rPr>
        <w:t>. Available at: https://www.mdpi.com/2072-6643/15/11/2594</w:t>
      </w:r>
      <w:r w:rsidRPr="000E3C8E">
        <w:rPr>
          <w:rFonts w:ascii="Segoe UI Symbol" w:hAnsi="Segoe UI Symbol" w:cs="Segoe UI Symbol"/>
          <w:color w:val="000000"/>
          <w:sz w:val="22"/>
          <w:szCs w:val="22"/>
        </w:rPr>
        <w:t>⁠</w:t>
      </w:r>
      <w:r w:rsidR="00547E90" w:rsidRPr="000E3C8E">
        <w:rPr>
          <w:rFonts w:ascii="Arial" w:hAnsi="Arial" w:cs="Arial"/>
          <w:color w:val="000000"/>
          <w:sz w:val="22"/>
          <w:szCs w:val="22"/>
        </w:rPr>
        <w:t xml:space="preserve"> </w:t>
      </w:r>
      <w:r w:rsidRPr="000E3C8E">
        <w:rPr>
          <w:rFonts w:ascii="Arial" w:hAnsi="Arial" w:cs="Arial"/>
          <w:color w:val="000000"/>
          <w:sz w:val="22"/>
          <w:szCs w:val="22"/>
        </w:rPr>
        <w:t>(Accessed: 27 February 2026).</w:t>
      </w:r>
    </w:p>
    <w:p w14:paraId="27EF4A24" w14:textId="580E40E2"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 xml:space="preserve">NHS (2024) </w:t>
      </w:r>
      <w:r w:rsidRPr="000E3C8E">
        <w:rPr>
          <w:rFonts w:ascii="Arial" w:hAnsi="Arial" w:cs="Arial"/>
          <w:i/>
          <w:iCs/>
          <w:color w:val="000000"/>
          <w:sz w:val="22"/>
          <w:szCs w:val="22"/>
        </w:rPr>
        <w:t>Overview – anorexia</w:t>
      </w:r>
      <w:r w:rsidRPr="000E3C8E">
        <w:rPr>
          <w:rFonts w:ascii="Arial" w:hAnsi="Arial" w:cs="Arial"/>
          <w:color w:val="000000"/>
          <w:sz w:val="22"/>
          <w:szCs w:val="22"/>
        </w:rPr>
        <w:t>. Available at: https://www.nhs.uk/mental-health/conditions/anorexia/overview/</w:t>
      </w:r>
      <w:r w:rsidRPr="000E3C8E">
        <w:rPr>
          <w:rFonts w:ascii="Segoe UI Symbol" w:hAnsi="Segoe UI Symbol" w:cs="Segoe UI Symbol"/>
          <w:color w:val="000000"/>
          <w:sz w:val="22"/>
          <w:szCs w:val="22"/>
        </w:rPr>
        <w:t>⁠</w:t>
      </w:r>
    </w:p>
    <w:p w14:paraId="21FBFE27" w14:textId="736F96BC"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 xml:space="preserve">NHS </w:t>
      </w:r>
      <w:r w:rsidR="00C50723" w:rsidRPr="000E3C8E">
        <w:rPr>
          <w:rFonts w:ascii="Arial" w:hAnsi="Arial" w:cs="Arial"/>
          <w:color w:val="000000"/>
          <w:sz w:val="22"/>
          <w:szCs w:val="22"/>
        </w:rPr>
        <w:t>Inform</w:t>
      </w:r>
      <w:r w:rsidRPr="000E3C8E">
        <w:rPr>
          <w:rFonts w:ascii="Arial" w:hAnsi="Arial" w:cs="Arial"/>
          <w:color w:val="000000"/>
          <w:sz w:val="22"/>
          <w:szCs w:val="22"/>
        </w:rPr>
        <w:t xml:space="preserve"> (2024)</w:t>
      </w:r>
      <w:r w:rsidR="00C50723" w:rsidRPr="000E3C8E">
        <w:rPr>
          <w:rFonts w:ascii="Arial" w:hAnsi="Arial" w:cs="Arial"/>
          <w:color w:val="000000"/>
          <w:sz w:val="22"/>
          <w:szCs w:val="22"/>
        </w:rPr>
        <w:t>.</w:t>
      </w:r>
      <w:r w:rsidRPr="000E3C8E">
        <w:rPr>
          <w:rFonts w:ascii="Arial" w:hAnsi="Arial" w:cs="Arial"/>
          <w:color w:val="000000"/>
          <w:sz w:val="22"/>
          <w:szCs w:val="22"/>
        </w:rPr>
        <w:t xml:space="preserve"> An</w:t>
      </w:r>
      <w:r w:rsidRPr="000E3C8E">
        <w:rPr>
          <w:rFonts w:ascii="Arial" w:hAnsi="Arial" w:cs="Arial"/>
          <w:i/>
          <w:iCs/>
          <w:color w:val="000000"/>
          <w:sz w:val="22"/>
          <w:szCs w:val="22"/>
        </w:rPr>
        <w:t>orexia nervosa</w:t>
      </w:r>
      <w:r w:rsidRPr="000E3C8E">
        <w:rPr>
          <w:rFonts w:ascii="Arial" w:hAnsi="Arial" w:cs="Arial"/>
          <w:color w:val="000000"/>
          <w:sz w:val="22"/>
          <w:szCs w:val="22"/>
        </w:rPr>
        <w:t>. Available at: https://www.nhsinform.scot/illnesses-and-conditions/mental-health/eating-disorders/anorexia-nervosa/</w:t>
      </w:r>
      <w:r w:rsidRPr="000E3C8E">
        <w:rPr>
          <w:rFonts w:ascii="Segoe UI Symbol" w:hAnsi="Segoe UI Symbol" w:cs="Segoe UI Symbol"/>
          <w:color w:val="000000"/>
          <w:sz w:val="22"/>
          <w:szCs w:val="22"/>
        </w:rPr>
        <w:t>⁠</w:t>
      </w:r>
    </w:p>
    <w:p w14:paraId="5B51E50C" w14:textId="022BB791"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NICE (2019)</w:t>
      </w:r>
      <w:r w:rsidR="00C50723" w:rsidRPr="000E3C8E">
        <w:rPr>
          <w:rFonts w:ascii="Arial" w:hAnsi="Arial" w:cs="Arial"/>
          <w:color w:val="000000"/>
          <w:sz w:val="22"/>
          <w:szCs w:val="22"/>
        </w:rPr>
        <w:t>.</w:t>
      </w:r>
      <w:r w:rsidRPr="000E3C8E">
        <w:rPr>
          <w:rFonts w:ascii="Arial" w:hAnsi="Arial" w:cs="Arial"/>
          <w:color w:val="000000"/>
          <w:sz w:val="22"/>
          <w:szCs w:val="22"/>
        </w:rPr>
        <w:t xml:space="preserve"> </w:t>
      </w:r>
      <w:r w:rsidRPr="000E3C8E">
        <w:rPr>
          <w:rFonts w:ascii="Arial" w:hAnsi="Arial" w:cs="Arial"/>
          <w:i/>
          <w:iCs/>
          <w:color w:val="000000"/>
          <w:sz w:val="22"/>
          <w:szCs w:val="22"/>
        </w:rPr>
        <w:t>When should I suspect an eating disorder</w:t>
      </w:r>
      <w:r w:rsidRPr="000E3C8E">
        <w:rPr>
          <w:rFonts w:ascii="Arial" w:hAnsi="Arial" w:cs="Arial"/>
          <w:color w:val="000000"/>
          <w:sz w:val="22"/>
          <w:szCs w:val="22"/>
        </w:rPr>
        <w:t>? Available at: https://cks.nice.org.uk/topics/eating-disorders/diagnosis/clinical-features/</w:t>
      </w:r>
      <w:r w:rsidRPr="000E3C8E">
        <w:rPr>
          <w:rFonts w:ascii="Segoe UI Symbol" w:hAnsi="Segoe UI Symbol" w:cs="Segoe UI Symbol"/>
          <w:color w:val="000000"/>
          <w:sz w:val="22"/>
          <w:szCs w:val="22"/>
        </w:rPr>
        <w:t>⁠</w:t>
      </w:r>
    </w:p>
    <w:p w14:paraId="6FCCF71E" w14:textId="64E1BF27"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lastRenderedPageBreak/>
        <w:t>NICE (2020)</w:t>
      </w:r>
      <w:r w:rsidR="00C50723" w:rsidRPr="000E3C8E">
        <w:rPr>
          <w:rFonts w:ascii="Arial" w:hAnsi="Arial" w:cs="Arial"/>
          <w:color w:val="000000"/>
          <w:sz w:val="22"/>
          <w:szCs w:val="22"/>
        </w:rPr>
        <w:t>.</w:t>
      </w:r>
      <w:r w:rsidRPr="000E3C8E">
        <w:rPr>
          <w:rFonts w:ascii="Arial" w:hAnsi="Arial" w:cs="Arial"/>
          <w:color w:val="000000"/>
          <w:sz w:val="22"/>
          <w:szCs w:val="22"/>
        </w:rPr>
        <w:t xml:space="preserve"> </w:t>
      </w:r>
      <w:r w:rsidRPr="000E3C8E">
        <w:rPr>
          <w:rFonts w:ascii="Arial" w:hAnsi="Arial" w:cs="Arial"/>
          <w:i/>
          <w:iCs/>
          <w:color w:val="000000"/>
          <w:sz w:val="22"/>
          <w:szCs w:val="22"/>
        </w:rPr>
        <w:t>Eating disorders: recognition and treatment</w:t>
      </w:r>
      <w:r w:rsidRPr="000E3C8E">
        <w:rPr>
          <w:rFonts w:ascii="Arial" w:hAnsi="Arial" w:cs="Arial"/>
          <w:color w:val="000000"/>
          <w:sz w:val="22"/>
          <w:szCs w:val="22"/>
        </w:rPr>
        <w:t>. Available at: https://www.nice.org.uk/guidance/ng69/chapter/Recommendations#treating-anorexia-nervosa</w:t>
      </w:r>
      <w:r w:rsidRPr="000E3C8E">
        <w:rPr>
          <w:rFonts w:ascii="Segoe UI Symbol" w:hAnsi="Segoe UI Symbol" w:cs="Segoe UI Symbol"/>
          <w:color w:val="000000"/>
          <w:sz w:val="22"/>
          <w:szCs w:val="22"/>
        </w:rPr>
        <w:t>⁠</w:t>
      </w:r>
    </w:p>
    <w:p w14:paraId="25311A1C" w14:textId="7270CB9E"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 xml:space="preserve">Priory Group (2019) </w:t>
      </w:r>
      <w:proofErr w:type="gramStart"/>
      <w:r w:rsidRPr="000E3C8E">
        <w:rPr>
          <w:rFonts w:ascii="Arial" w:hAnsi="Arial" w:cs="Arial"/>
          <w:i/>
          <w:iCs/>
          <w:color w:val="000000"/>
          <w:sz w:val="22"/>
          <w:szCs w:val="22"/>
        </w:rPr>
        <w:t>Eatin</w:t>
      </w:r>
      <w:r w:rsidR="002074B2" w:rsidRPr="000E3C8E">
        <w:rPr>
          <w:rFonts w:ascii="Arial" w:hAnsi="Arial" w:cs="Arial"/>
          <w:i/>
          <w:iCs/>
          <w:color w:val="000000"/>
          <w:sz w:val="22"/>
          <w:szCs w:val="22"/>
        </w:rPr>
        <w:t>g</w:t>
      </w:r>
      <w:r w:rsidRPr="000E3C8E">
        <w:rPr>
          <w:rFonts w:ascii="Arial" w:hAnsi="Arial" w:cs="Arial"/>
          <w:i/>
          <w:iCs/>
          <w:color w:val="000000"/>
          <w:sz w:val="22"/>
          <w:szCs w:val="22"/>
        </w:rPr>
        <w:t xml:space="preserve"> disorder</w:t>
      </w:r>
      <w:proofErr w:type="gramEnd"/>
      <w:r w:rsidRPr="000E3C8E">
        <w:rPr>
          <w:rFonts w:ascii="Arial" w:hAnsi="Arial" w:cs="Arial"/>
          <w:i/>
          <w:iCs/>
          <w:color w:val="000000"/>
          <w:sz w:val="22"/>
          <w:szCs w:val="22"/>
        </w:rPr>
        <w:t xml:space="preserve"> statistics</w:t>
      </w:r>
      <w:r w:rsidRPr="000E3C8E">
        <w:rPr>
          <w:rFonts w:ascii="Arial" w:hAnsi="Arial" w:cs="Arial"/>
          <w:color w:val="000000"/>
          <w:sz w:val="22"/>
          <w:szCs w:val="22"/>
        </w:rPr>
        <w:t>. Available at: https://www.priorygroup.com/eating-disorders/eating-disorder-statistics</w:t>
      </w:r>
      <w:r w:rsidRPr="000E3C8E">
        <w:rPr>
          <w:rFonts w:ascii="Segoe UI Symbol" w:hAnsi="Segoe UI Symbol" w:cs="Segoe UI Symbol"/>
          <w:color w:val="000000"/>
          <w:sz w:val="22"/>
          <w:szCs w:val="22"/>
        </w:rPr>
        <w:t>⁠</w:t>
      </w:r>
    </w:p>
    <w:p w14:paraId="67C36056" w14:textId="3FC7EEBC"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 xml:space="preserve">Psychiatry.org (2026) </w:t>
      </w:r>
      <w:r w:rsidRPr="000E3C8E">
        <w:rPr>
          <w:rFonts w:ascii="Arial" w:hAnsi="Arial" w:cs="Arial"/>
          <w:i/>
          <w:iCs/>
          <w:color w:val="000000"/>
          <w:sz w:val="22"/>
          <w:szCs w:val="22"/>
        </w:rPr>
        <w:t>American Psychiatric Association receives $100,000 grant from the Council of Medical Specialty Societies</w:t>
      </w:r>
      <w:r w:rsidRPr="000E3C8E">
        <w:rPr>
          <w:rFonts w:ascii="Arial" w:hAnsi="Arial" w:cs="Arial"/>
          <w:color w:val="000000"/>
          <w:sz w:val="22"/>
          <w:szCs w:val="22"/>
        </w:rPr>
        <w:t>. Available at: https://www.</w:t>
      </w:r>
      <w:r w:rsidRPr="000E3C8E">
        <w:rPr>
          <w:rFonts w:ascii="Arial" w:hAnsi="Arial" w:cs="Arial"/>
          <w:i/>
          <w:iCs/>
          <w:color w:val="000000"/>
          <w:sz w:val="22"/>
          <w:szCs w:val="22"/>
        </w:rPr>
        <w:t>psychiatry.org/news-room/news-releases/american-psychiatric-association-receives-1</w:t>
      </w:r>
      <w:r w:rsidRPr="000E3C8E">
        <w:rPr>
          <w:rFonts w:ascii="Arial" w:hAnsi="Arial" w:cs="Arial"/>
          <w:color w:val="000000"/>
          <w:sz w:val="22"/>
          <w:szCs w:val="22"/>
        </w:rPr>
        <w:t>00-000</w:t>
      </w:r>
      <w:r w:rsidRPr="000E3C8E">
        <w:rPr>
          <w:rFonts w:ascii="Segoe UI Symbol" w:hAnsi="Segoe UI Symbol" w:cs="Segoe UI Symbol"/>
          <w:color w:val="000000"/>
          <w:sz w:val="22"/>
          <w:szCs w:val="22"/>
        </w:rPr>
        <w:t>⁠</w:t>
      </w:r>
      <w:r w:rsidR="00FC2BBD" w:rsidRPr="000E3C8E">
        <w:rPr>
          <w:rFonts w:ascii="Arial" w:hAnsi="Arial" w:cs="Arial"/>
          <w:color w:val="000000"/>
          <w:sz w:val="22"/>
          <w:szCs w:val="22"/>
        </w:rPr>
        <w:t xml:space="preserve"> </w:t>
      </w:r>
      <w:r w:rsidRPr="000E3C8E">
        <w:rPr>
          <w:rFonts w:ascii="Arial" w:hAnsi="Arial" w:cs="Arial"/>
          <w:color w:val="000000"/>
          <w:sz w:val="22"/>
          <w:szCs w:val="22"/>
        </w:rPr>
        <w:t>(Accessed: 24 April 2026).</w:t>
      </w:r>
    </w:p>
    <w:p w14:paraId="4D53BDF9" w14:textId="7F716C63" w:rsidR="00EF3B16" w:rsidRPr="000E3C8E" w:rsidRDefault="00EF3B16" w:rsidP="000E3C8E">
      <w:pPr>
        <w:pStyle w:val="NormalWeb"/>
        <w:spacing w:line="276" w:lineRule="auto"/>
        <w:rPr>
          <w:rFonts w:ascii="Arial" w:hAnsi="Arial" w:cs="Arial"/>
          <w:color w:val="000000"/>
          <w:sz w:val="22"/>
          <w:szCs w:val="22"/>
        </w:rPr>
      </w:pPr>
      <w:r w:rsidRPr="000E3C8E">
        <w:rPr>
          <w:rFonts w:ascii="Arial" w:hAnsi="Arial" w:cs="Arial"/>
          <w:color w:val="000000"/>
          <w:sz w:val="22"/>
          <w:szCs w:val="22"/>
        </w:rPr>
        <w:t>Rashid, M.H., Deora, N., Kolur, S.R., Malini, S.S. and Sen, P. (2025) ‘</w:t>
      </w:r>
      <w:r w:rsidRPr="000E3C8E">
        <w:rPr>
          <w:rFonts w:ascii="Arial" w:hAnsi="Arial" w:cs="Arial"/>
          <w:i/>
          <w:iCs/>
          <w:color w:val="000000"/>
          <w:sz w:val="22"/>
          <w:szCs w:val="22"/>
        </w:rPr>
        <w:t>Genetic predisposition and severity of eating disorders: a review’, CNS &amp; Neurological Disorders</w:t>
      </w:r>
      <w:r w:rsidR="00FF4D27" w:rsidRPr="000E3C8E">
        <w:rPr>
          <w:rFonts w:ascii="Arial" w:hAnsi="Arial" w:cs="Arial"/>
          <w:i/>
          <w:iCs/>
          <w:color w:val="000000"/>
          <w:sz w:val="22"/>
          <w:szCs w:val="22"/>
        </w:rPr>
        <w:t xml:space="preserve">, </w:t>
      </w:r>
      <w:r w:rsidRPr="000E3C8E">
        <w:rPr>
          <w:rFonts w:ascii="Arial" w:hAnsi="Arial" w:cs="Arial"/>
          <w:i/>
          <w:iCs/>
          <w:color w:val="000000"/>
          <w:sz w:val="22"/>
          <w:szCs w:val="22"/>
        </w:rPr>
        <w:t>Drug Targets</w:t>
      </w:r>
      <w:r w:rsidRPr="000E3C8E">
        <w:rPr>
          <w:rFonts w:ascii="Arial" w:hAnsi="Arial" w:cs="Arial"/>
          <w:color w:val="000000"/>
          <w:sz w:val="22"/>
          <w:szCs w:val="22"/>
        </w:rPr>
        <w:t>, 24(7), pp. 498–510.</w:t>
      </w:r>
    </w:p>
    <w:p w14:paraId="20ABE787" w14:textId="741E8593" w:rsidR="00EF3B16" w:rsidRPr="000E3C8E" w:rsidRDefault="00EF3B16" w:rsidP="000E3C8E">
      <w:pPr>
        <w:pStyle w:val="NormalWeb"/>
        <w:spacing w:line="276" w:lineRule="auto"/>
        <w:rPr>
          <w:rFonts w:ascii="Arial" w:hAnsi="Arial" w:cs="Arial"/>
          <w:i/>
          <w:iCs/>
          <w:color w:val="000000"/>
          <w:sz w:val="22"/>
          <w:szCs w:val="22"/>
        </w:rPr>
      </w:pPr>
      <w:r w:rsidRPr="000E3C8E">
        <w:rPr>
          <w:rFonts w:ascii="Arial" w:hAnsi="Arial" w:cs="Arial"/>
          <w:color w:val="000000"/>
          <w:sz w:val="22"/>
          <w:szCs w:val="22"/>
        </w:rPr>
        <w:t>Rydberg Dobrescu, S. (2025)</w:t>
      </w:r>
      <w:r w:rsidR="00FC2BBD" w:rsidRPr="000E3C8E">
        <w:rPr>
          <w:rFonts w:ascii="Arial" w:hAnsi="Arial" w:cs="Arial"/>
          <w:color w:val="000000"/>
          <w:sz w:val="22"/>
          <w:szCs w:val="22"/>
        </w:rPr>
        <w:t>.</w:t>
      </w:r>
      <w:r w:rsidRPr="000E3C8E">
        <w:rPr>
          <w:rFonts w:ascii="Arial" w:hAnsi="Arial" w:cs="Arial"/>
          <w:color w:val="000000"/>
          <w:sz w:val="22"/>
          <w:szCs w:val="22"/>
        </w:rPr>
        <w:t xml:space="preserve"> </w:t>
      </w:r>
      <w:r w:rsidRPr="000E3C8E">
        <w:rPr>
          <w:rFonts w:ascii="Arial" w:hAnsi="Arial" w:cs="Arial"/>
          <w:i/>
          <w:iCs/>
          <w:color w:val="000000"/>
          <w:sz w:val="22"/>
          <w:szCs w:val="22"/>
        </w:rPr>
        <w:t>Adolescent-onset anorexia nervosa in the acute stage and after 30 years.</w:t>
      </w:r>
    </w:p>
    <w:p w14:paraId="41393BD6" w14:textId="77777777" w:rsidR="008A6D32" w:rsidRPr="000E3C8E" w:rsidRDefault="008A6D32" w:rsidP="000E3C8E">
      <w:pPr>
        <w:pStyle w:val="NormalWeb"/>
        <w:spacing w:line="276" w:lineRule="auto"/>
        <w:rPr>
          <w:rFonts w:ascii="Arial" w:hAnsi="Arial" w:cs="Arial"/>
          <w:i/>
          <w:iCs/>
          <w:color w:val="000000"/>
          <w:sz w:val="22"/>
          <w:szCs w:val="22"/>
        </w:rPr>
      </w:pPr>
    </w:p>
    <w:p w14:paraId="6E41165F" w14:textId="77777777" w:rsidR="000264A1" w:rsidRPr="000E3C8E" w:rsidRDefault="000264A1" w:rsidP="000E3C8E">
      <w:pPr>
        <w:spacing w:line="276" w:lineRule="auto"/>
        <w:rPr>
          <w:rFonts w:ascii="Arial" w:hAnsi="Arial" w:cs="Arial"/>
          <w:sz w:val="22"/>
          <w:szCs w:val="22"/>
        </w:rPr>
      </w:pPr>
    </w:p>
    <w:p w14:paraId="07786E37" w14:textId="77777777" w:rsidR="000264A1" w:rsidRPr="000E3C8E" w:rsidRDefault="000264A1" w:rsidP="000E3C8E">
      <w:pPr>
        <w:spacing w:line="276" w:lineRule="auto"/>
        <w:rPr>
          <w:rFonts w:ascii="Arial" w:hAnsi="Arial" w:cs="Arial"/>
          <w:sz w:val="22"/>
          <w:szCs w:val="22"/>
        </w:rPr>
      </w:pPr>
    </w:p>
    <w:sectPr w:rsidR="000264A1" w:rsidRPr="000E3C8E">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04CE0" w14:textId="77777777" w:rsidR="00B86B58" w:rsidRDefault="00B86B58" w:rsidP="000264A1">
      <w:pPr>
        <w:spacing w:after="0" w:line="240" w:lineRule="auto"/>
      </w:pPr>
      <w:r>
        <w:separator/>
      </w:r>
    </w:p>
  </w:endnote>
  <w:endnote w:type="continuationSeparator" w:id="0">
    <w:p w14:paraId="35DF5853" w14:textId="77777777" w:rsidR="00B86B58" w:rsidRDefault="00B86B58"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E9961" w14:textId="77777777" w:rsidR="00B86B58" w:rsidRDefault="00B86B58" w:rsidP="000264A1">
      <w:pPr>
        <w:spacing w:after="0" w:line="240" w:lineRule="auto"/>
      </w:pPr>
      <w:r>
        <w:separator/>
      </w:r>
    </w:p>
  </w:footnote>
  <w:footnote w:type="continuationSeparator" w:id="0">
    <w:p w14:paraId="217458E7" w14:textId="77777777" w:rsidR="00B86B58" w:rsidRDefault="00B86B58"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53A4"/>
    <w:rsid w:val="000264A1"/>
    <w:rsid w:val="00060FB4"/>
    <w:rsid w:val="000E3C8E"/>
    <w:rsid w:val="00163147"/>
    <w:rsid w:val="001B4F45"/>
    <w:rsid w:val="001C0E47"/>
    <w:rsid w:val="002074B2"/>
    <w:rsid w:val="00256F9D"/>
    <w:rsid w:val="002A493D"/>
    <w:rsid w:val="002E52D9"/>
    <w:rsid w:val="002E76AD"/>
    <w:rsid w:val="003121BC"/>
    <w:rsid w:val="00312A11"/>
    <w:rsid w:val="00327CD7"/>
    <w:rsid w:val="00370DB2"/>
    <w:rsid w:val="003840BB"/>
    <w:rsid w:val="003B194B"/>
    <w:rsid w:val="003D7B03"/>
    <w:rsid w:val="003F17BD"/>
    <w:rsid w:val="003F78E4"/>
    <w:rsid w:val="00405A1B"/>
    <w:rsid w:val="004248E3"/>
    <w:rsid w:val="004403AE"/>
    <w:rsid w:val="00464EB2"/>
    <w:rsid w:val="00471FDE"/>
    <w:rsid w:val="004C6DE9"/>
    <w:rsid w:val="004D4D48"/>
    <w:rsid w:val="00547E90"/>
    <w:rsid w:val="00556503"/>
    <w:rsid w:val="005E70BD"/>
    <w:rsid w:val="00605AB7"/>
    <w:rsid w:val="00636997"/>
    <w:rsid w:val="00637171"/>
    <w:rsid w:val="006703EA"/>
    <w:rsid w:val="006A0E4F"/>
    <w:rsid w:val="00712343"/>
    <w:rsid w:val="00722ABC"/>
    <w:rsid w:val="007377C0"/>
    <w:rsid w:val="00781BBC"/>
    <w:rsid w:val="007840E2"/>
    <w:rsid w:val="007936EF"/>
    <w:rsid w:val="007B4225"/>
    <w:rsid w:val="00810AB1"/>
    <w:rsid w:val="00812FF8"/>
    <w:rsid w:val="00843325"/>
    <w:rsid w:val="008565B4"/>
    <w:rsid w:val="008A6D32"/>
    <w:rsid w:val="008F4B3D"/>
    <w:rsid w:val="00931143"/>
    <w:rsid w:val="00952077"/>
    <w:rsid w:val="00967656"/>
    <w:rsid w:val="009804E5"/>
    <w:rsid w:val="00993DE9"/>
    <w:rsid w:val="009A72F3"/>
    <w:rsid w:val="009D6EB9"/>
    <w:rsid w:val="009F1DF9"/>
    <w:rsid w:val="00A839CC"/>
    <w:rsid w:val="00AF4DDF"/>
    <w:rsid w:val="00AF514F"/>
    <w:rsid w:val="00B308FC"/>
    <w:rsid w:val="00B5712D"/>
    <w:rsid w:val="00B86B58"/>
    <w:rsid w:val="00C42737"/>
    <w:rsid w:val="00C44CFD"/>
    <w:rsid w:val="00C50723"/>
    <w:rsid w:val="00CB04C0"/>
    <w:rsid w:val="00CC1DDE"/>
    <w:rsid w:val="00CD4D45"/>
    <w:rsid w:val="00CF5E31"/>
    <w:rsid w:val="00D504BE"/>
    <w:rsid w:val="00D77A97"/>
    <w:rsid w:val="00DD645E"/>
    <w:rsid w:val="00DF0625"/>
    <w:rsid w:val="00E35A97"/>
    <w:rsid w:val="00E413C2"/>
    <w:rsid w:val="00EF3B16"/>
    <w:rsid w:val="00F034CE"/>
    <w:rsid w:val="00F06451"/>
    <w:rsid w:val="00F65A26"/>
    <w:rsid w:val="00F71C51"/>
    <w:rsid w:val="00FC2BBD"/>
    <w:rsid w:val="00FE3966"/>
    <w:rsid w:val="00FF4D27"/>
    <w:rsid w:val="00FF7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11</Pages>
  <Words>2921</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Marinela Bragança</cp:lastModifiedBy>
  <cp:revision>65</cp:revision>
  <dcterms:created xsi:type="dcterms:W3CDTF">2026-04-24T01:48:00Z</dcterms:created>
  <dcterms:modified xsi:type="dcterms:W3CDTF">2026-04-24T02:53:00Z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f2555649-e882-43c6-afe6-4e81b53f2f5e</vt:lpwstr>
  </property>
</Properties>
</file>