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E7003" w14:textId="77777777" w:rsidR="00302C72" w:rsidRPr="002B1FEC" w:rsidRDefault="00302C72" w:rsidP="002B1FEC">
      <w:pPr>
        <w:pStyle w:val="Title"/>
        <w:jc w:val="center"/>
        <w:rPr>
          <w:color w:val="000000" w:themeColor="text1"/>
          <w:sz w:val="24"/>
          <w:szCs w:val="24"/>
        </w:rPr>
      </w:pPr>
      <w:r w:rsidRPr="002B1FEC">
        <w:rPr>
          <w:noProof/>
          <w:color w:val="000000" w:themeColor="text1"/>
          <w:sz w:val="24"/>
          <w:szCs w:val="24"/>
          <w:lang w:val="en-US" w:eastAsia="en-US"/>
        </w:rPr>
        <w:drawing>
          <wp:inline distT="114300" distB="114300" distL="114300" distR="114300" wp14:anchorId="0374FF23" wp14:editId="3A6C9411">
            <wp:extent cx="3086100" cy="9906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86100" cy="990600"/>
                    </a:xfrm>
                    <a:prstGeom prst="rect">
                      <a:avLst/>
                    </a:prstGeom>
                    <a:ln/>
                  </pic:spPr>
                </pic:pic>
              </a:graphicData>
            </a:graphic>
          </wp:inline>
        </w:drawing>
      </w:r>
    </w:p>
    <w:p w14:paraId="3E8BCBA0" w14:textId="77777777" w:rsidR="00302C72" w:rsidRPr="002B1FEC" w:rsidRDefault="00302C72" w:rsidP="002B1FEC">
      <w:pPr>
        <w:pStyle w:val="Title"/>
        <w:jc w:val="center"/>
        <w:rPr>
          <w:color w:val="000000" w:themeColor="text1"/>
          <w:sz w:val="24"/>
          <w:szCs w:val="24"/>
        </w:rPr>
      </w:pPr>
      <w:r w:rsidRPr="002B1FEC">
        <w:rPr>
          <w:color w:val="000000" w:themeColor="text1"/>
          <w:sz w:val="24"/>
          <w:szCs w:val="24"/>
        </w:rPr>
        <w:t>MSc Public Health and Social Care in Practice</w:t>
      </w:r>
    </w:p>
    <w:p w14:paraId="140F9D3B" w14:textId="77777777" w:rsidR="00302C72" w:rsidRPr="002B1FEC" w:rsidRDefault="00302C72" w:rsidP="002B1FEC">
      <w:pPr>
        <w:pStyle w:val="Title"/>
        <w:jc w:val="center"/>
        <w:rPr>
          <w:color w:val="000000" w:themeColor="text1"/>
          <w:sz w:val="24"/>
          <w:szCs w:val="24"/>
        </w:rPr>
      </w:pPr>
      <w:r w:rsidRPr="002B1FEC">
        <w:rPr>
          <w:color w:val="000000" w:themeColor="text1"/>
          <w:sz w:val="24"/>
          <w:szCs w:val="24"/>
        </w:rPr>
        <w:t>Quality Assurance and Service Improvements (LCHS7006)</w:t>
      </w:r>
    </w:p>
    <w:p w14:paraId="7CA852BC" w14:textId="7645E460" w:rsidR="00FC00EB" w:rsidRPr="002B1FEC" w:rsidRDefault="00302C72" w:rsidP="002B1FEC">
      <w:pPr>
        <w:pStyle w:val="Title"/>
        <w:jc w:val="center"/>
        <w:rPr>
          <w:color w:val="000000" w:themeColor="text1"/>
          <w:sz w:val="24"/>
          <w:szCs w:val="24"/>
        </w:rPr>
      </w:pPr>
      <w:r w:rsidRPr="002B1FEC">
        <w:rPr>
          <w:color w:val="000000" w:themeColor="text1"/>
          <w:sz w:val="24"/>
          <w:szCs w:val="24"/>
        </w:rPr>
        <w:t>Assessment COMPONENT 2 SERVICE IMPROVEMENT REPORT</w:t>
      </w:r>
    </w:p>
    <w:p w14:paraId="557ADCB0" w14:textId="77777777" w:rsidR="007D7C8A" w:rsidRPr="002B1FEC" w:rsidRDefault="00FC00EB" w:rsidP="002B1FEC">
      <w:pPr>
        <w:pStyle w:val="Title"/>
        <w:jc w:val="center"/>
        <w:rPr>
          <w:rFonts w:eastAsia="Times New Roman"/>
          <w:color w:val="000000" w:themeColor="text1"/>
          <w:sz w:val="24"/>
          <w:szCs w:val="24"/>
        </w:rPr>
      </w:pPr>
      <w:r w:rsidRPr="002B1FEC">
        <w:rPr>
          <w:rFonts w:eastAsia="Times New Roman"/>
          <w:color w:val="000000" w:themeColor="text1"/>
          <w:sz w:val="24"/>
          <w:szCs w:val="24"/>
        </w:rPr>
        <w:t>SYSTEMIC FAILURES IN THE NEONATAL UNIT: LUCY LETBY CASE</w:t>
      </w:r>
    </w:p>
    <w:p w14:paraId="1286F6D5" w14:textId="5B14F00D" w:rsidR="00302C72" w:rsidRPr="002B1FEC" w:rsidRDefault="00302C72" w:rsidP="002B1FEC">
      <w:pPr>
        <w:pStyle w:val="Title"/>
        <w:jc w:val="center"/>
        <w:rPr>
          <w:rFonts w:eastAsia="Times New Roman"/>
          <w:color w:val="000000" w:themeColor="text1"/>
          <w:sz w:val="24"/>
          <w:szCs w:val="24"/>
        </w:rPr>
      </w:pPr>
      <w:r w:rsidRPr="002B1FEC">
        <w:rPr>
          <w:color w:val="000000" w:themeColor="text1"/>
          <w:sz w:val="24"/>
          <w:szCs w:val="24"/>
        </w:rPr>
        <w:t>Student Name-</w:t>
      </w:r>
      <w:r w:rsidR="00F86B04">
        <w:rPr>
          <w:color w:val="000000" w:themeColor="text1"/>
          <w:sz w:val="24"/>
          <w:szCs w:val="24"/>
        </w:rPr>
        <w:t xml:space="preserve"> Nirav Mistry</w:t>
      </w:r>
    </w:p>
    <w:p w14:paraId="5EB7FE34" w14:textId="54E43ADD" w:rsidR="00302C72" w:rsidRPr="002B1FEC" w:rsidRDefault="00302C72" w:rsidP="002B1FEC">
      <w:pPr>
        <w:pStyle w:val="Title"/>
        <w:jc w:val="center"/>
        <w:rPr>
          <w:color w:val="000000" w:themeColor="text1"/>
          <w:sz w:val="24"/>
          <w:szCs w:val="24"/>
        </w:rPr>
      </w:pPr>
      <w:r w:rsidRPr="002B1FEC">
        <w:rPr>
          <w:color w:val="000000" w:themeColor="text1"/>
          <w:sz w:val="24"/>
          <w:szCs w:val="24"/>
        </w:rPr>
        <w:t>Student ID-</w:t>
      </w:r>
      <w:r w:rsidR="00F86B04">
        <w:rPr>
          <w:color w:val="000000" w:themeColor="text1"/>
          <w:sz w:val="24"/>
          <w:szCs w:val="24"/>
        </w:rPr>
        <w:t xml:space="preserve"> 2436886</w:t>
      </w:r>
    </w:p>
    <w:p w14:paraId="395035DB" w14:textId="7D9E87C2" w:rsidR="00302C72" w:rsidRPr="002B1FEC" w:rsidRDefault="00302C72" w:rsidP="00F86B04">
      <w:pPr>
        <w:pStyle w:val="Title"/>
        <w:jc w:val="center"/>
        <w:rPr>
          <w:color w:val="000000" w:themeColor="text1"/>
          <w:sz w:val="24"/>
          <w:szCs w:val="24"/>
        </w:rPr>
      </w:pPr>
      <w:r w:rsidRPr="002B1FEC">
        <w:rPr>
          <w:color w:val="000000" w:themeColor="text1"/>
          <w:sz w:val="24"/>
          <w:szCs w:val="24"/>
        </w:rPr>
        <w:t>Lecturer Name-</w:t>
      </w:r>
      <w:r w:rsidR="00F86B04">
        <w:rPr>
          <w:color w:val="000000" w:themeColor="text1"/>
          <w:sz w:val="24"/>
          <w:szCs w:val="24"/>
        </w:rPr>
        <w:t xml:space="preserve"> Dr. Arif Ahmed</w:t>
      </w:r>
    </w:p>
    <w:p w14:paraId="552EE787" w14:textId="0FAC2606" w:rsidR="00302C72" w:rsidRPr="002B1FEC" w:rsidRDefault="00302C72" w:rsidP="002B1FEC">
      <w:pPr>
        <w:pStyle w:val="Title"/>
        <w:jc w:val="center"/>
        <w:rPr>
          <w:color w:val="000000" w:themeColor="text1"/>
          <w:sz w:val="24"/>
          <w:szCs w:val="24"/>
        </w:rPr>
      </w:pPr>
      <w:r w:rsidRPr="002B1FEC">
        <w:rPr>
          <w:color w:val="000000" w:themeColor="text1"/>
          <w:sz w:val="24"/>
          <w:szCs w:val="24"/>
        </w:rPr>
        <w:t xml:space="preserve">Submission Date- </w:t>
      </w:r>
      <w:r w:rsidR="007F6EBF">
        <w:rPr>
          <w:color w:val="000000" w:themeColor="text1"/>
          <w:sz w:val="24"/>
          <w:szCs w:val="24"/>
        </w:rPr>
        <w:t>17</w:t>
      </w:r>
      <w:r w:rsidR="00F86B04" w:rsidRPr="00F86B04">
        <w:rPr>
          <w:color w:val="000000" w:themeColor="text1"/>
          <w:sz w:val="24"/>
          <w:szCs w:val="24"/>
          <w:vertAlign w:val="superscript"/>
        </w:rPr>
        <w:t>th</w:t>
      </w:r>
      <w:r w:rsidR="007F6EBF">
        <w:rPr>
          <w:color w:val="000000" w:themeColor="text1"/>
          <w:sz w:val="24"/>
          <w:szCs w:val="24"/>
        </w:rPr>
        <w:t xml:space="preserve"> </w:t>
      </w:r>
      <w:r w:rsidR="00F86B04">
        <w:rPr>
          <w:color w:val="000000" w:themeColor="text1"/>
          <w:sz w:val="24"/>
          <w:szCs w:val="24"/>
        </w:rPr>
        <w:t>April 2026 (2pm)</w:t>
      </w:r>
    </w:p>
    <w:p w14:paraId="13D8282F" w14:textId="5D83039C" w:rsidR="0086586E" w:rsidRPr="00C71FA6" w:rsidRDefault="0086586E" w:rsidP="00C71FA6">
      <w:pPr>
        <w:spacing w:before="240" w:after="240" w:line="360" w:lineRule="auto"/>
        <w:jc w:val="both"/>
        <w:rPr>
          <w:rFonts w:eastAsia="Times New Roman"/>
          <w:b/>
          <w:bCs/>
        </w:rPr>
      </w:pPr>
    </w:p>
    <w:p w14:paraId="668A5F0D" w14:textId="77777777" w:rsidR="0086586E" w:rsidRPr="00C71FA6" w:rsidRDefault="0086586E" w:rsidP="00C71FA6">
      <w:pPr>
        <w:spacing w:before="240" w:after="240" w:line="360" w:lineRule="auto"/>
        <w:jc w:val="both"/>
        <w:rPr>
          <w:rFonts w:eastAsia="Times New Roman"/>
          <w:b/>
          <w:bCs/>
        </w:rPr>
      </w:pPr>
    </w:p>
    <w:p w14:paraId="656D569A" w14:textId="77777777" w:rsidR="0086586E" w:rsidRPr="00C71FA6" w:rsidRDefault="0086586E" w:rsidP="00C71FA6">
      <w:pPr>
        <w:spacing w:before="240" w:after="240" w:line="360" w:lineRule="auto"/>
        <w:jc w:val="both"/>
        <w:rPr>
          <w:rFonts w:eastAsia="Times New Roman"/>
          <w:b/>
          <w:bCs/>
        </w:rPr>
      </w:pPr>
    </w:p>
    <w:p w14:paraId="2EA04CD4" w14:textId="77777777" w:rsidR="0086586E" w:rsidRPr="00C71FA6" w:rsidRDefault="0086586E" w:rsidP="00C71FA6">
      <w:pPr>
        <w:spacing w:before="240" w:after="240" w:line="360" w:lineRule="auto"/>
        <w:jc w:val="both"/>
        <w:rPr>
          <w:rFonts w:eastAsia="Times New Roman"/>
          <w:b/>
          <w:bCs/>
        </w:rPr>
      </w:pPr>
    </w:p>
    <w:p w14:paraId="412DBC79" w14:textId="77777777" w:rsidR="0086586E" w:rsidRPr="00C71FA6" w:rsidRDefault="0086586E" w:rsidP="00C71FA6">
      <w:pPr>
        <w:spacing w:before="240" w:after="240" w:line="360" w:lineRule="auto"/>
        <w:jc w:val="both"/>
        <w:rPr>
          <w:rFonts w:eastAsia="Times New Roman"/>
          <w:b/>
          <w:bCs/>
        </w:rPr>
      </w:pPr>
    </w:p>
    <w:p w14:paraId="12A447F3" w14:textId="77777777" w:rsidR="0086586E" w:rsidRPr="00C71FA6" w:rsidRDefault="0086586E" w:rsidP="00C71FA6">
      <w:pPr>
        <w:spacing w:before="240" w:after="240" w:line="360" w:lineRule="auto"/>
        <w:jc w:val="both"/>
        <w:rPr>
          <w:rFonts w:eastAsia="Times New Roman"/>
          <w:b/>
          <w:bCs/>
        </w:rPr>
      </w:pPr>
    </w:p>
    <w:p w14:paraId="2B935BD4" w14:textId="77777777" w:rsidR="0086586E" w:rsidRPr="00C71FA6" w:rsidRDefault="0096690A" w:rsidP="00C71FA6">
      <w:pPr>
        <w:spacing w:before="240" w:after="240" w:line="360" w:lineRule="auto"/>
        <w:jc w:val="both"/>
        <w:rPr>
          <w:rFonts w:eastAsia="Times New Roman"/>
        </w:rPr>
      </w:pPr>
      <w:r w:rsidRPr="00C71FA6">
        <w:br w:type="page"/>
      </w:r>
    </w:p>
    <w:sdt>
      <w:sdtPr>
        <w:rPr>
          <w:rFonts w:ascii="Arial" w:eastAsia="Arial" w:hAnsi="Arial" w:cs="Arial"/>
          <w:color w:val="auto"/>
          <w:sz w:val="22"/>
          <w:szCs w:val="22"/>
          <w:lang w:val="en-GB" w:eastAsia="en-GB"/>
        </w:rPr>
        <w:id w:val="235439005"/>
        <w:docPartObj>
          <w:docPartGallery w:val="Table of Contents"/>
          <w:docPartUnique/>
        </w:docPartObj>
      </w:sdtPr>
      <w:sdtEndPr>
        <w:rPr>
          <w:b/>
          <w:bCs/>
          <w:noProof/>
        </w:rPr>
      </w:sdtEndPr>
      <w:sdtContent>
        <w:p w14:paraId="025F1425" w14:textId="10A8E551" w:rsidR="00653A09" w:rsidRPr="00C71FA6" w:rsidRDefault="00653A09" w:rsidP="00C71FA6">
          <w:pPr>
            <w:pStyle w:val="TOCHeading"/>
            <w:spacing w:after="240" w:line="360" w:lineRule="auto"/>
            <w:jc w:val="both"/>
            <w:rPr>
              <w:rFonts w:ascii="Arial" w:hAnsi="Arial" w:cs="Arial"/>
              <w:b/>
              <w:bCs/>
              <w:color w:val="000000" w:themeColor="text1"/>
              <w:sz w:val="22"/>
              <w:szCs w:val="22"/>
              <w:lang w:val="en-GB"/>
            </w:rPr>
          </w:pPr>
          <w:r w:rsidRPr="00C71FA6">
            <w:rPr>
              <w:rFonts w:ascii="Arial" w:hAnsi="Arial" w:cs="Arial"/>
              <w:b/>
              <w:bCs/>
              <w:color w:val="000000" w:themeColor="text1"/>
              <w:sz w:val="22"/>
              <w:szCs w:val="22"/>
              <w:lang w:val="en-GB"/>
            </w:rPr>
            <w:t>Table of Contents</w:t>
          </w:r>
        </w:p>
        <w:p w14:paraId="29B7223C" w14:textId="342250C2" w:rsidR="00225134" w:rsidRDefault="00653A09">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r w:rsidRPr="00C71FA6">
            <w:fldChar w:fldCharType="begin"/>
          </w:r>
          <w:r w:rsidRPr="00C71FA6">
            <w:instrText xml:space="preserve"> TOC \o "1-3" \h \z \u </w:instrText>
          </w:r>
          <w:r w:rsidRPr="00C71FA6">
            <w:fldChar w:fldCharType="separate"/>
          </w:r>
          <w:hyperlink w:anchor="_Toc227248180" w:history="1">
            <w:r w:rsidR="00225134" w:rsidRPr="006A70D9">
              <w:rPr>
                <w:rStyle w:val="Hyperlink"/>
                <w:noProof/>
              </w:rPr>
              <w:t>1. Introduction</w:t>
            </w:r>
            <w:r w:rsidR="00225134">
              <w:rPr>
                <w:noProof/>
                <w:webHidden/>
              </w:rPr>
              <w:tab/>
            </w:r>
            <w:r w:rsidR="00225134">
              <w:rPr>
                <w:noProof/>
                <w:webHidden/>
              </w:rPr>
              <w:fldChar w:fldCharType="begin"/>
            </w:r>
            <w:r w:rsidR="00225134">
              <w:rPr>
                <w:noProof/>
                <w:webHidden/>
              </w:rPr>
              <w:instrText xml:space="preserve"> PAGEREF _Toc227248180 \h </w:instrText>
            </w:r>
            <w:r w:rsidR="00225134">
              <w:rPr>
                <w:noProof/>
                <w:webHidden/>
              </w:rPr>
            </w:r>
            <w:r w:rsidR="00225134">
              <w:rPr>
                <w:noProof/>
                <w:webHidden/>
              </w:rPr>
              <w:fldChar w:fldCharType="separate"/>
            </w:r>
            <w:r w:rsidR="00225134">
              <w:rPr>
                <w:noProof/>
                <w:webHidden/>
              </w:rPr>
              <w:t>3</w:t>
            </w:r>
            <w:r w:rsidR="00225134">
              <w:rPr>
                <w:noProof/>
                <w:webHidden/>
              </w:rPr>
              <w:fldChar w:fldCharType="end"/>
            </w:r>
          </w:hyperlink>
        </w:p>
        <w:p w14:paraId="71A92725" w14:textId="257C56B0" w:rsidR="00225134" w:rsidRDefault="0096690A">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1" w:history="1">
            <w:r w:rsidR="00225134" w:rsidRPr="006A70D9">
              <w:rPr>
                <w:rStyle w:val="Hyperlink"/>
                <w:noProof/>
              </w:rPr>
              <w:t>2. Main Body</w:t>
            </w:r>
            <w:r w:rsidR="00225134">
              <w:rPr>
                <w:noProof/>
                <w:webHidden/>
              </w:rPr>
              <w:tab/>
            </w:r>
            <w:r w:rsidR="00225134">
              <w:rPr>
                <w:noProof/>
                <w:webHidden/>
              </w:rPr>
              <w:fldChar w:fldCharType="begin"/>
            </w:r>
            <w:r w:rsidR="00225134">
              <w:rPr>
                <w:noProof/>
                <w:webHidden/>
              </w:rPr>
              <w:instrText xml:space="preserve"> PAGEREF _Toc227248181 \h </w:instrText>
            </w:r>
            <w:r w:rsidR="00225134">
              <w:rPr>
                <w:noProof/>
                <w:webHidden/>
              </w:rPr>
            </w:r>
            <w:r w:rsidR="00225134">
              <w:rPr>
                <w:noProof/>
                <w:webHidden/>
              </w:rPr>
              <w:fldChar w:fldCharType="separate"/>
            </w:r>
            <w:r w:rsidR="00225134">
              <w:rPr>
                <w:noProof/>
                <w:webHidden/>
              </w:rPr>
              <w:t>4</w:t>
            </w:r>
            <w:r w:rsidR="00225134">
              <w:rPr>
                <w:noProof/>
                <w:webHidden/>
              </w:rPr>
              <w:fldChar w:fldCharType="end"/>
            </w:r>
          </w:hyperlink>
        </w:p>
        <w:p w14:paraId="014F9DFF" w14:textId="2D8C7F96"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2" w:history="1">
            <w:r w:rsidR="00225134" w:rsidRPr="006A70D9">
              <w:rPr>
                <w:rStyle w:val="Hyperlink"/>
                <w:noProof/>
              </w:rPr>
              <w:t>2.1 Donabedian Model</w:t>
            </w:r>
            <w:r w:rsidR="00225134">
              <w:rPr>
                <w:noProof/>
                <w:webHidden/>
              </w:rPr>
              <w:tab/>
            </w:r>
            <w:r w:rsidR="00225134">
              <w:rPr>
                <w:noProof/>
                <w:webHidden/>
              </w:rPr>
              <w:fldChar w:fldCharType="begin"/>
            </w:r>
            <w:r w:rsidR="00225134">
              <w:rPr>
                <w:noProof/>
                <w:webHidden/>
              </w:rPr>
              <w:instrText xml:space="preserve"> PAGEREF _Toc227248182 \h </w:instrText>
            </w:r>
            <w:r w:rsidR="00225134">
              <w:rPr>
                <w:noProof/>
                <w:webHidden/>
              </w:rPr>
            </w:r>
            <w:r w:rsidR="00225134">
              <w:rPr>
                <w:noProof/>
                <w:webHidden/>
              </w:rPr>
              <w:fldChar w:fldCharType="separate"/>
            </w:r>
            <w:r w:rsidR="00225134">
              <w:rPr>
                <w:noProof/>
                <w:webHidden/>
              </w:rPr>
              <w:t>4</w:t>
            </w:r>
            <w:r w:rsidR="00225134">
              <w:rPr>
                <w:noProof/>
                <w:webHidden/>
              </w:rPr>
              <w:fldChar w:fldCharType="end"/>
            </w:r>
          </w:hyperlink>
        </w:p>
        <w:p w14:paraId="666CF44F" w14:textId="6F67C86E"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3" w:history="1">
            <w:r w:rsidR="00225134" w:rsidRPr="006A70D9">
              <w:rPr>
                <w:rStyle w:val="Hyperlink"/>
                <w:noProof/>
              </w:rPr>
              <w:t>2.3 SWOT Analysis</w:t>
            </w:r>
            <w:r w:rsidR="00225134">
              <w:rPr>
                <w:noProof/>
                <w:webHidden/>
              </w:rPr>
              <w:tab/>
            </w:r>
            <w:r w:rsidR="00225134">
              <w:rPr>
                <w:noProof/>
                <w:webHidden/>
              </w:rPr>
              <w:fldChar w:fldCharType="begin"/>
            </w:r>
            <w:r w:rsidR="00225134">
              <w:rPr>
                <w:noProof/>
                <w:webHidden/>
              </w:rPr>
              <w:instrText xml:space="preserve"> PAGEREF _Toc227248183 \h </w:instrText>
            </w:r>
            <w:r w:rsidR="00225134">
              <w:rPr>
                <w:noProof/>
                <w:webHidden/>
              </w:rPr>
            </w:r>
            <w:r w:rsidR="00225134">
              <w:rPr>
                <w:noProof/>
                <w:webHidden/>
              </w:rPr>
              <w:fldChar w:fldCharType="separate"/>
            </w:r>
            <w:r w:rsidR="00225134">
              <w:rPr>
                <w:noProof/>
                <w:webHidden/>
              </w:rPr>
              <w:t>5</w:t>
            </w:r>
            <w:r w:rsidR="00225134">
              <w:rPr>
                <w:noProof/>
                <w:webHidden/>
              </w:rPr>
              <w:fldChar w:fldCharType="end"/>
            </w:r>
          </w:hyperlink>
        </w:p>
        <w:p w14:paraId="7CE56F23" w14:textId="210C7DCD"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4" w:history="1">
            <w:r w:rsidR="00225134" w:rsidRPr="006A70D9">
              <w:rPr>
                <w:rStyle w:val="Hyperlink"/>
                <w:noProof/>
              </w:rPr>
              <w:t>2.2 Fishbone Diagram</w:t>
            </w:r>
            <w:r w:rsidR="00225134">
              <w:rPr>
                <w:noProof/>
                <w:webHidden/>
              </w:rPr>
              <w:tab/>
            </w:r>
            <w:r w:rsidR="00225134">
              <w:rPr>
                <w:noProof/>
                <w:webHidden/>
              </w:rPr>
              <w:fldChar w:fldCharType="begin"/>
            </w:r>
            <w:r w:rsidR="00225134">
              <w:rPr>
                <w:noProof/>
                <w:webHidden/>
              </w:rPr>
              <w:instrText xml:space="preserve"> PAGEREF _Toc227248184 \h </w:instrText>
            </w:r>
            <w:r w:rsidR="00225134">
              <w:rPr>
                <w:noProof/>
                <w:webHidden/>
              </w:rPr>
            </w:r>
            <w:r w:rsidR="00225134">
              <w:rPr>
                <w:noProof/>
                <w:webHidden/>
              </w:rPr>
              <w:fldChar w:fldCharType="separate"/>
            </w:r>
            <w:r w:rsidR="00225134">
              <w:rPr>
                <w:noProof/>
                <w:webHidden/>
              </w:rPr>
              <w:t>6</w:t>
            </w:r>
            <w:r w:rsidR="00225134">
              <w:rPr>
                <w:noProof/>
                <w:webHidden/>
              </w:rPr>
              <w:fldChar w:fldCharType="end"/>
            </w:r>
          </w:hyperlink>
        </w:p>
        <w:p w14:paraId="08E5815D" w14:textId="5B772E5C"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5" w:history="1">
            <w:r w:rsidR="00225134" w:rsidRPr="006A70D9">
              <w:rPr>
                <w:rStyle w:val="Hyperlink"/>
                <w:noProof/>
              </w:rPr>
              <w:t>2.4 PDSA Model</w:t>
            </w:r>
            <w:r w:rsidR="00225134">
              <w:rPr>
                <w:noProof/>
                <w:webHidden/>
              </w:rPr>
              <w:tab/>
            </w:r>
            <w:r w:rsidR="00225134">
              <w:rPr>
                <w:noProof/>
                <w:webHidden/>
              </w:rPr>
              <w:fldChar w:fldCharType="begin"/>
            </w:r>
            <w:r w:rsidR="00225134">
              <w:rPr>
                <w:noProof/>
                <w:webHidden/>
              </w:rPr>
              <w:instrText xml:space="preserve"> PAGEREF _Toc227248185 \h </w:instrText>
            </w:r>
            <w:r w:rsidR="00225134">
              <w:rPr>
                <w:noProof/>
                <w:webHidden/>
              </w:rPr>
            </w:r>
            <w:r w:rsidR="00225134">
              <w:rPr>
                <w:noProof/>
                <w:webHidden/>
              </w:rPr>
              <w:fldChar w:fldCharType="separate"/>
            </w:r>
            <w:r w:rsidR="00225134">
              <w:rPr>
                <w:noProof/>
                <w:webHidden/>
              </w:rPr>
              <w:t>8</w:t>
            </w:r>
            <w:r w:rsidR="00225134">
              <w:rPr>
                <w:noProof/>
                <w:webHidden/>
              </w:rPr>
              <w:fldChar w:fldCharType="end"/>
            </w:r>
          </w:hyperlink>
        </w:p>
        <w:p w14:paraId="67A072C6" w14:textId="09B297AB"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6" w:history="1">
            <w:r w:rsidR="00225134" w:rsidRPr="006A70D9">
              <w:rPr>
                <w:rStyle w:val="Hyperlink"/>
                <w:noProof/>
              </w:rPr>
              <w:t>2.5 Kotter’s 8 Change Model</w:t>
            </w:r>
            <w:r w:rsidR="00225134">
              <w:rPr>
                <w:noProof/>
                <w:webHidden/>
              </w:rPr>
              <w:tab/>
            </w:r>
            <w:r w:rsidR="00225134">
              <w:rPr>
                <w:noProof/>
                <w:webHidden/>
              </w:rPr>
              <w:fldChar w:fldCharType="begin"/>
            </w:r>
            <w:r w:rsidR="00225134">
              <w:rPr>
                <w:noProof/>
                <w:webHidden/>
              </w:rPr>
              <w:instrText xml:space="preserve"> PAGEREF _Toc227248186 \h </w:instrText>
            </w:r>
            <w:r w:rsidR="00225134">
              <w:rPr>
                <w:noProof/>
                <w:webHidden/>
              </w:rPr>
            </w:r>
            <w:r w:rsidR="00225134">
              <w:rPr>
                <w:noProof/>
                <w:webHidden/>
              </w:rPr>
              <w:fldChar w:fldCharType="separate"/>
            </w:r>
            <w:r w:rsidR="00225134">
              <w:rPr>
                <w:noProof/>
                <w:webHidden/>
              </w:rPr>
              <w:t>9</w:t>
            </w:r>
            <w:r w:rsidR="00225134">
              <w:rPr>
                <w:noProof/>
                <w:webHidden/>
              </w:rPr>
              <w:fldChar w:fldCharType="end"/>
            </w:r>
          </w:hyperlink>
        </w:p>
        <w:p w14:paraId="115FF34B" w14:textId="47B3B9A7" w:rsidR="00225134" w:rsidRDefault="0096690A">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7" w:history="1">
            <w:r w:rsidR="00225134" w:rsidRPr="006A70D9">
              <w:rPr>
                <w:rStyle w:val="Hyperlink"/>
                <w:noProof/>
              </w:rPr>
              <w:t>3. Recommendation</w:t>
            </w:r>
            <w:r w:rsidR="00225134">
              <w:rPr>
                <w:noProof/>
                <w:webHidden/>
              </w:rPr>
              <w:tab/>
            </w:r>
            <w:r w:rsidR="00225134">
              <w:rPr>
                <w:noProof/>
                <w:webHidden/>
              </w:rPr>
              <w:fldChar w:fldCharType="begin"/>
            </w:r>
            <w:r w:rsidR="00225134">
              <w:rPr>
                <w:noProof/>
                <w:webHidden/>
              </w:rPr>
              <w:instrText xml:space="preserve"> PAGEREF _Toc227248187 \h </w:instrText>
            </w:r>
            <w:r w:rsidR="00225134">
              <w:rPr>
                <w:noProof/>
                <w:webHidden/>
              </w:rPr>
            </w:r>
            <w:r w:rsidR="00225134">
              <w:rPr>
                <w:noProof/>
                <w:webHidden/>
              </w:rPr>
              <w:fldChar w:fldCharType="separate"/>
            </w:r>
            <w:r w:rsidR="00225134">
              <w:rPr>
                <w:noProof/>
                <w:webHidden/>
              </w:rPr>
              <w:t>10</w:t>
            </w:r>
            <w:r w:rsidR="00225134">
              <w:rPr>
                <w:noProof/>
                <w:webHidden/>
              </w:rPr>
              <w:fldChar w:fldCharType="end"/>
            </w:r>
          </w:hyperlink>
        </w:p>
        <w:p w14:paraId="29054429" w14:textId="17C305B2"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8" w:history="1">
            <w:r w:rsidR="00225134" w:rsidRPr="006A70D9">
              <w:rPr>
                <w:rStyle w:val="Hyperlink"/>
                <w:noProof/>
              </w:rPr>
              <w:t>3.1 Redesign of Incident Reporting and Escalation Systems (PDSA Approach)</w:t>
            </w:r>
            <w:r w:rsidR="00225134">
              <w:rPr>
                <w:noProof/>
                <w:webHidden/>
              </w:rPr>
              <w:tab/>
            </w:r>
            <w:r w:rsidR="00225134">
              <w:rPr>
                <w:noProof/>
                <w:webHidden/>
              </w:rPr>
              <w:fldChar w:fldCharType="begin"/>
            </w:r>
            <w:r w:rsidR="00225134">
              <w:rPr>
                <w:noProof/>
                <w:webHidden/>
              </w:rPr>
              <w:instrText xml:space="preserve"> PAGEREF _Toc227248188 \h </w:instrText>
            </w:r>
            <w:r w:rsidR="00225134">
              <w:rPr>
                <w:noProof/>
                <w:webHidden/>
              </w:rPr>
            </w:r>
            <w:r w:rsidR="00225134">
              <w:rPr>
                <w:noProof/>
                <w:webHidden/>
              </w:rPr>
              <w:fldChar w:fldCharType="separate"/>
            </w:r>
            <w:r w:rsidR="00225134">
              <w:rPr>
                <w:noProof/>
                <w:webHidden/>
              </w:rPr>
              <w:t>10</w:t>
            </w:r>
            <w:r w:rsidR="00225134">
              <w:rPr>
                <w:noProof/>
                <w:webHidden/>
              </w:rPr>
              <w:fldChar w:fldCharType="end"/>
            </w:r>
          </w:hyperlink>
        </w:p>
        <w:p w14:paraId="4A14B069" w14:textId="32C591D5"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89" w:history="1">
            <w:r w:rsidR="00225134" w:rsidRPr="006A70D9">
              <w:rPr>
                <w:rStyle w:val="Hyperlink"/>
                <w:noProof/>
              </w:rPr>
              <w:t>3.2. Strengthening Leadership Accountability and Clinical Governance (PDCA Model)</w:t>
            </w:r>
            <w:r w:rsidR="00225134">
              <w:rPr>
                <w:noProof/>
                <w:webHidden/>
              </w:rPr>
              <w:tab/>
            </w:r>
            <w:r w:rsidR="00225134">
              <w:rPr>
                <w:noProof/>
                <w:webHidden/>
              </w:rPr>
              <w:fldChar w:fldCharType="begin"/>
            </w:r>
            <w:r w:rsidR="00225134">
              <w:rPr>
                <w:noProof/>
                <w:webHidden/>
              </w:rPr>
              <w:instrText xml:space="preserve"> PAGEREF _Toc227248189 \h </w:instrText>
            </w:r>
            <w:r w:rsidR="00225134">
              <w:rPr>
                <w:noProof/>
                <w:webHidden/>
              </w:rPr>
            </w:r>
            <w:r w:rsidR="00225134">
              <w:rPr>
                <w:noProof/>
                <w:webHidden/>
              </w:rPr>
              <w:fldChar w:fldCharType="separate"/>
            </w:r>
            <w:r w:rsidR="00225134">
              <w:rPr>
                <w:noProof/>
                <w:webHidden/>
              </w:rPr>
              <w:t>11</w:t>
            </w:r>
            <w:r w:rsidR="00225134">
              <w:rPr>
                <w:noProof/>
                <w:webHidden/>
              </w:rPr>
              <w:fldChar w:fldCharType="end"/>
            </w:r>
          </w:hyperlink>
        </w:p>
        <w:p w14:paraId="16C08BFB" w14:textId="05053F93"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90" w:history="1">
            <w:r w:rsidR="00225134" w:rsidRPr="006A70D9">
              <w:rPr>
                <w:rStyle w:val="Hyperlink"/>
                <w:noProof/>
              </w:rPr>
              <w:t>3.3 Developing a Just Culture and Strengthening Whistleblowing Mechanisms (Lean Principles)</w:t>
            </w:r>
            <w:r w:rsidR="00225134">
              <w:rPr>
                <w:noProof/>
                <w:webHidden/>
              </w:rPr>
              <w:tab/>
            </w:r>
            <w:r w:rsidR="00225134">
              <w:rPr>
                <w:noProof/>
                <w:webHidden/>
              </w:rPr>
              <w:fldChar w:fldCharType="begin"/>
            </w:r>
            <w:r w:rsidR="00225134">
              <w:rPr>
                <w:noProof/>
                <w:webHidden/>
              </w:rPr>
              <w:instrText xml:space="preserve"> PAGEREF _Toc227248190 \h </w:instrText>
            </w:r>
            <w:r w:rsidR="00225134">
              <w:rPr>
                <w:noProof/>
                <w:webHidden/>
              </w:rPr>
            </w:r>
            <w:r w:rsidR="00225134">
              <w:rPr>
                <w:noProof/>
                <w:webHidden/>
              </w:rPr>
              <w:fldChar w:fldCharType="separate"/>
            </w:r>
            <w:r w:rsidR="00225134">
              <w:rPr>
                <w:noProof/>
                <w:webHidden/>
              </w:rPr>
              <w:t>11</w:t>
            </w:r>
            <w:r w:rsidR="00225134">
              <w:rPr>
                <w:noProof/>
                <w:webHidden/>
              </w:rPr>
              <w:fldChar w:fldCharType="end"/>
            </w:r>
          </w:hyperlink>
        </w:p>
        <w:p w14:paraId="73C6DBDF" w14:textId="712EC537" w:rsidR="00225134" w:rsidRDefault="0096690A">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91" w:history="1">
            <w:r w:rsidR="00225134" w:rsidRPr="006A70D9">
              <w:rPr>
                <w:rStyle w:val="Hyperlink"/>
                <w:noProof/>
              </w:rPr>
              <w:t>3.4 Implementation of Data-Driven Monitoring and Early Warning Systems (Six Sigma Approach)</w:t>
            </w:r>
            <w:r w:rsidR="00225134">
              <w:rPr>
                <w:noProof/>
                <w:webHidden/>
              </w:rPr>
              <w:tab/>
            </w:r>
            <w:r w:rsidR="00225134">
              <w:rPr>
                <w:noProof/>
                <w:webHidden/>
              </w:rPr>
              <w:fldChar w:fldCharType="begin"/>
            </w:r>
            <w:r w:rsidR="00225134">
              <w:rPr>
                <w:noProof/>
                <w:webHidden/>
              </w:rPr>
              <w:instrText xml:space="preserve"> PAGEREF _Toc227248191 \h </w:instrText>
            </w:r>
            <w:r w:rsidR="00225134">
              <w:rPr>
                <w:noProof/>
                <w:webHidden/>
              </w:rPr>
            </w:r>
            <w:r w:rsidR="00225134">
              <w:rPr>
                <w:noProof/>
                <w:webHidden/>
              </w:rPr>
              <w:fldChar w:fldCharType="separate"/>
            </w:r>
            <w:r w:rsidR="00225134">
              <w:rPr>
                <w:noProof/>
                <w:webHidden/>
              </w:rPr>
              <w:t>12</w:t>
            </w:r>
            <w:r w:rsidR="00225134">
              <w:rPr>
                <w:noProof/>
                <w:webHidden/>
              </w:rPr>
              <w:fldChar w:fldCharType="end"/>
            </w:r>
          </w:hyperlink>
        </w:p>
        <w:p w14:paraId="2EEDE2FD" w14:textId="79570DC0" w:rsidR="00225134" w:rsidRDefault="0096690A">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92" w:history="1">
            <w:r w:rsidR="00225134" w:rsidRPr="006A70D9">
              <w:rPr>
                <w:rStyle w:val="Hyperlink"/>
                <w:noProof/>
              </w:rPr>
              <w:t>Conclusion</w:t>
            </w:r>
            <w:r w:rsidR="00225134">
              <w:rPr>
                <w:noProof/>
                <w:webHidden/>
              </w:rPr>
              <w:tab/>
            </w:r>
            <w:r w:rsidR="00225134">
              <w:rPr>
                <w:noProof/>
                <w:webHidden/>
              </w:rPr>
              <w:fldChar w:fldCharType="begin"/>
            </w:r>
            <w:r w:rsidR="00225134">
              <w:rPr>
                <w:noProof/>
                <w:webHidden/>
              </w:rPr>
              <w:instrText xml:space="preserve"> PAGEREF _Toc227248192 \h </w:instrText>
            </w:r>
            <w:r w:rsidR="00225134">
              <w:rPr>
                <w:noProof/>
                <w:webHidden/>
              </w:rPr>
            </w:r>
            <w:r w:rsidR="00225134">
              <w:rPr>
                <w:noProof/>
                <w:webHidden/>
              </w:rPr>
              <w:fldChar w:fldCharType="separate"/>
            </w:r>
            <w:r w:rsidR="00225134">
              <w:rPr>
                <w:noProof/>
                <w:webHidden/>
              </w:rPr>
              <w:t>14</w:t>
            </w:r>
            <w:r w:rsidR="00225134">
              <w:rPr>
                <w:noProof/>
                <w:webHidden/>
              </w:rPr>
              <w:fldChar w:fldCharType="end"/>
            </w:r>
          </w:hyperlink>
        </w:p>
        <w:p w14:paraId="7729C9D1" w14:textId="66666CCD" w:rsidR="00225134" w:rsidRDefault="0096690A">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27248193" w:history="1">
            <w:r w:rsidR="00225134" w:rsidRPr="006A70D9">
              <w:rPr>
                <w:rStyle w:val="Hyperlink"/>
                <w:noProof/>
              </w:rPr>
              <w:t>References</w:t>
            </w:r>
            <w:r w:rsidR="00225134">
              <w:rPr>
                <w:noProof/>
                <w:webHidden/>
              </w:rPr>
              <w:tab/>
            </w:r>
            <w:r w:rsidR="00225134">
              <w:rPr>
                <w:noProof/>
                <w:webHidden/>
              </w:rPr>
              <w:fldChar w:fldCharType="begin"/>
            </w:r>
            <w:r w:rsidR="00225134">
              <w:rPr>
                <w:noProof/>
                <w:webHidden/>
              </w:rPr>
              <w:instrText xml:space="preserve"> PAGEREF _Toc227248193 \h </w:instrText>
            </w:r>
            <w:r w:rsidR="00225134">
              <w:rPr>
                <w:noProof/>
                <w:webHidden/>
              </w:rPr>
            </w:r>
            <w:r w:rsidR="00225134">
              <w:rPr>
                <w:noProof/>
                <w:webHidden/>
              </w:rPr>
              <w:fldChar w:fldCharType="separate"/>
            </w:r>
            <w:r w:rsidR="00225134">
              <w:rPr>
                <w:noProof/>
                <w:webHidden/>
              </w:rPr>
              <w:t>15</w:t>
            </w:r>
            <w:r w:rsidR="00225134">
              <w:rPr>
                <w:noProof/>
                <w:webHidden/>
              </w:rPr>
              <w:fldChar w:fldCharType="end"/>
            </w:r>
          </w:hyperlink>
        </w:p>
        <w:p w14:paraId="1494707D" w14:textId="193042D3" w:rsidR="00653A09" w:rsidRPr="00C71FA6" w:rsidRDefault="00653A09" w:rsidP="00C71FA6">
          <w:pPr>
            <w:spacing w:before="240" w:after="240" w:line="360" w:lineRule="auto"/>
            <w:jc w:val="both"/>
          </w:pPr>
          <w:r w:rsidRPr="00C71FA6">
            <w:rPr>
              <w:b/>
              <w:bCs/>
              <w:noProof/>
            </w:rPr>
            <w:fldChar w:fldCharType="end"/>
          </w:r>
        </w:p>
      </w:sdtContent>
    </w:sdt>
    <w:p w14:paraId="517F8FB5" w14:textId="77777777" w:rsidR="00653A09" w:rsidRPr="00C71FA6" w:rsidRDefault="00653A09" w:rsidP="00C71FA6">
      <w:pPr>
        <w:spacing w:before="240" w:after="240" w:line="360" w:lineRule="auto"/>
        <w:jc w:val="both"/>
        <w:rPr>
          <w:rFonts w:eastAsia="Times New Roman"/>
          <w:b/>
          <w:bCs/>
        </w:rPr>
      </w:pPr>
      <w:r w:rsidRPr="00C71FA6">
        <w:rPr>
          <w:rFonts w:eastAsia="Times New Roman"/>
          <w:b/>
          <w:bCs/>
        </w:rPr>
        <w:br w:type="page"/>
      </w:r>
    </w:p>
    <w:p w14:paraId="4F36A2FD" w14:textId="5B511AD7" w:rsidR="0086586E" w:rsidRPr="00C71FA6" w:rsidRDefault="0096690A" w:rsidP="00C71FA6">
      <w:pPr>
        <w:pStyle w:val="Heading1"/>
        <w:spacing w:before="240" w:after="240" w:line="360" w:lineRule="auto"/>
        <w:jc w:val="both"/>
        <w:rPr>
          <w:rFonts w:ascii="Arial" w:hAnsi="Arial"/>
          <w:b w:val="0"/>
          <w:sz w:val="22"/>
          <w:szCs w:val="22"/>
        </w:rPr>
      </w:pPr>
      <w:bookmarkStart w:id="0" w:name="_Toc227248180"/>
      <w:r w:rsidRPr="00C71FA6">
        <w:rPr>
          <w:rFonts w:ascii="Arial" w:hAnsi="Arial"/>
          <w:sz w:val="22"/>
          <w:szCs w:val="22"/>
        </w:rPr>
        <w:lastRenderedPageBreak/>
        <w:t>1. Introduction</w:t>
      </w:r>
      <w:bookmarkEnd w:id="0"/>
      <w:r w:rsidRPr="00C71FA6">
        <w:rPr>
          <w:rFonts w:ascii="Arial" w:hAnsi="Arial"/>
          <w:sz w:val="22"/>
          <w:szCs w:val="22"/>
        </w:rPr>
        <w:t xml:space="preserve"> </w:t>
      </w:r>
    </w:p>
    <w:p w14:paraId="7E17AEFB" w14:textId="77777777" w:rsidR="0086586E" w:rsidRPr="00C71FA6" w:rsidRDefault="0096690A" w:rsidP="00C71FA6">
      <w:pPr>
        <w:spacing w:before="240" w:after="240" w:line="360" w:lineRule="auto"/>
        <w:jc w:val="both"/>
        <w:rPr>
          <w:rFonts w:eastAsia="Times New Roman"/>
        </w:rPr>
      </w:pPr>
      <w:r w:rsidRPr="00C71FA6">
        <w:rPr>
          <w:rFonts w:eastAsia="Times New Roman"/>
        </w:rPr>
        <w:t>The provision of quality care is based on quality management, patient safety, and good governance, which are the three pillars of effective healthcare systems. Safe c</w:t>
      </w:r>
      <w:r w:rsidRPr="00C71FA6">
        <w:rPr>
          <w:rFonts w:eastAsia="Times New Roman"/>
        </w:rPr>
        <w:t>are delivery in an increasingly complex health care setting requires well-integrated, strong governance systems, open reporting procedures and an active safety culture. However, the experience of modern medical tragedies indicates that negative consequence</w:t>
      </w:r>
      <w:r w:rsidRPr="00C71FA6">
        <w:rPr>
          <w:rFonts w:eastAsia="Times New Roman"/>
        </w:rPr>
        <w:t xml:space="preserve">s are often the result of organizational dysfunctions, but not individual mistakes of workers. The common belief is that safety culture is a fairly stable, multidimensional, holistic construct, which is shared by members of the organization (Kushniruk </w:t>
      </w:r>
      <w:r w:rsidRPr="00C71FA6">
        <w:rPr>
          <w:rFonts w:eastAsia="Times New Roman"/>
          <w:i/>
          <w:iCs/>
        </w:rPr>
        <w:t>et a</w:t>
      </w:r>
      <w:r w:rsidRPr="00C71FA6">
        <w:rPr>
          <w:rFonts w:eastAsia="Times New Roman"/>
          <w:i/>
          <w:iCs/>
        </w:rPr>
        <w:t>l.</w:t>
      </w:r>
      <w:r w:rsidRPr="00C71FA6">
        <w:rPr>
          <w:rFonts w:eastAsia="Times New Roman"/>
        </w:rPr>
        <w:t xml:space="preserve"> 2024). This underscores the fact that issues concerning healthcare quality failures are normally entrenched in organizational structures, decision-making processes and leadership practices. Therefore, quality management frameworks are important in risk </w:t>
      </w:r>
      <w:r w:rsidRPr="00C71FA6">
        <w:rPr>
          <w:rFonts w:eastAsia="Times New Roman"/>
        </w:rPr>
        <w:t>identification, risk analysis, and mitigation. This will lead to the ongoing service improvement and protection of patients. Arguably, healthcare organizations that do not incorporate effective governance and safety cultures expose themselves to major nega</w:t>
      </w:r>
      <w:r w:rsidRPr="00C71FA6">
        <w:rPr>
          <w:rFonts w:eastAsia="Times New Roman"/>
        </w:rPr>
        <w:t xml:space="preserve">tive events, which eventually erode the confidence of the people and the quality of clinical care. </w:t>
      </w:r>
    </w:p>
    <w:p w14:paraId="3D9C3225" w14:textId="77777777" w:rsidR="00446971" w:rsidRDefault="0096690A" w:rsidP="00C71FA6">
      <w:pPr>
        <w:spacing w:before="240" w:after="240" w:line="360" w:lineRule="auto"/>
        <w:jc w:val="both"/>
        <w:rPr>
          <w:rFonts w:eastAsia="Times New Roman"/>
        </w:rPr>
      </w:pPr>
      <w:r w:rsidRPr="00C71FA6">
        <w:rPr>
          <w:rFonts w:eastAsia="Times New Roman"/>
        </w:rPr>
        <w:t xml:space="preserve">The incident of nurse Lucy Letby murdering innocent babies in a neonatal unit has once again undermined the trust of the society in health workers (Chakravorty </w:t>
      </w:r>
      <w:r w:rsidRPr="00C71FA6">
        <w:rPr>
          <w:rFonts w:eastAsia="Times New Roman"/>
          <w:i/>
          <w:iCs/>
        </w:rPr>
        <w:t>et al.</w:t>
      </w:r>
      <w:r w:rsidRPr="00C71FA6">
        <w:rPr>
          <w:rFonts w:eastAsia="Times New Roman"/>
        </w:rPr>
        <w:t xml:space="preserve"> 2023, p.01). And numerous professionals themselves should consider what effect this could</w:t>
      </w:r>
      <w:r w:rsidRPr="00C71FA6">
        <w:rPr>
          <w:rFonts w:eastAsia="Times New Roman"/>
        </w:rPr>
        <w:t xml:space="preserve"> have on their practice.  Although the case concerned criminal negligence by a neonatal nurse, a closer look at the case indicates that the problem was much broader than personal improper conduct. </w:t>
      </w:r>
      <w:r w:rsidR="00413F51" w:rsidRPr="00C71FA6">
        <w:rPr>
          <w:rFonts w:eastAsia="Times New Roman"/>
        </w:rPr>
        <w:t xml:space="preserve">This indicates a highly entrenched organizational vulnerability to governance, leadership/safety culture whereby the frequent clinical warnings might have been addressed ineffectively, and immediate action might have been overlooked. Thus, the case can be considered an example of the malfunction of healthcare quality assurance mechanisms, which discloses the possibility of critical patient injury due to systemic vulnerability. </w:t>
      </w:r>
    </w:p>
    <w:p w14:paraId="4593D41F" w14:textId="77777777" w:rsidR="000C7C19" w:rsidRDefault="00413F51" w:rsidP="00C71FA6">
      <w:pPr>
        <w:spacing w:before="240" w:after="240" w:line="360" w:lineRule="auto"/>
        <w:jc w:val="both"/>
        <w:rPr>
          <w:rFonts w:eastAsia="Times New Roman"/>
        </w:rPr>
      </w:pPr>
      <w:r w:rsidRPr="00C71FA6">
        <w:rPr>
          <w:rFonts w:eastAsia="Times New Roman"/>
        </w:rPr>
        <w:t xml:space="preserve">The fundamental issues of quality that can be considered as major flaws in patient safety measures include ineffective incident reporting processes, a lack of action by leaders, and ineffective clinical governance (World Health Organization, 2020). The interrelations of these problems show that organizational processes failed to identify, escalate and react to the risks that emerged. Importantly, the case has to be viewed as a failure but as a breakdown of various layers of the healthcare system defense. This helps to conclude that structural and cultural change rather than focusing on individual responsibility should be used to create sustainable change in healthcare quality. This report critically examines the causes behind such failures by using the theoretical frameworks. Structural, procedural, and outcome-related </w:t>
      </w:r>
      <w:r w:rsidRPr="00C71FA6">
        <w:rPr>
          <w:rFonts w:eastAsia="Times New Roman"/>
        </w:rPr>
        <w:lastRenderedPageBreak/>
        <w:t xml:space="preserve">deficiencies will be analysed with the help of the Donabedian Model and through a complete identification of root causes. </w:t>
      </w:r>
    </w:p>
    <w:p w14:paraId="6DA0C2AD" w14:textId="0D6A643B" w:rsidR="0086586E" w:rsidRPr="00C71FA6" w:rsidRDefault="0096690A" w:rsidP="00C71FA6">
      <w:pPr>
        <w:spacing w:before="240" w:after="240" w:line="360" w:lineRule="auto"/>
        <w:jc w:val="both"/>
        <w:rPr>
          <w:rFonts w:eastAsia="Times New Roman"/>
        </w:rPr>
      </w:pPr>
      <w:r w:rsidRPr="00C71FA6">
        <w:rPr>
          <w:rFonts w:eastAsia="Times New Roman"/>
        </w:rPr>
        <w:t>Moreover, organizational strengths, weaknesses, opportunities and threats will be evaluated with the help of the SWOT analysis. The PDSA cycle will be used to design the iterative quality improvement plans, bu</w:t>
      </w:r>
      <w:r w:rsidRPr="00C71FA6">
        <w:rPr>
          <w:rFonts w:eastAsia="Times New Roman"/>
        </w:rPr>
        <w:t>t the Kotters 8-Step Change Model will offer a systematic approach to introduce sustainable organizational change. This report would critically evaluate the underlying causes of systemic healthcare failure, as well as offer evidence-based service improveme</w:t>
      </w:r>
      <w:r w:rsidRPr="00C71FA6">
        <w:rPr>
          <w:rFonts w:eastAsia="Times New Roman"/>
        </w:rPr>
        <w:t>nt solutions that can be used to improve patient safety and organizational effectiveness</w:t>
      </w:r>
      <w:r w:rsidR="00663D8E" w:rsidRPr="00C71FA6">
        <w:rPr>
          <w:rFonts w:eastAsia="Times New Roman"/>
        </w:rPr>
        <w:t>.</w:t>
      </w:r>
    </w:p>
    <w:p w14:paraId="4B594B7A" w14:textId="77777777" w:rsidR="0086586E" w:rsidRPr="00C71FA6" w:rsidRDefault="0096690A" w:rsidP="00C71FA6">
      <w:pPr>
        <w:pStyle w:val="Heading1"/>
        <w:spacing w:before="240" w:after="240" w:line="360" w:lineRule="auto"/>
        <w:jc w:val="both"/>
        <w:rPr>
          <w:rFonts w:ascii="Arial" w:hAnsi="Arial"/>
          <w:sz w:val="22"/>
          <w:szCs w:val="22"/>
        </w:rPr>
      </w:pPr>
      <w:bookmarkStart w:id="1" w:name="_Toc227248181"/>
      <w:r w:rsidRPr="00C71FA6">
        <w:rPr>
          <w:rFonts w:ascii="Arial" w:hAnsi="Arial"/>
          <w:sz w:val="22"/>
          <w:szCs w:val="22"/>
        </w:rPr>
        <w:t>2. Main Body</w:t>
      </w:r>
      <w:bookmarkEnd w:id="1"/>
      <w:r w:rsidRPr="00C71FA6">
        <w:rPr>
          <w:rFonts w:ascii="Arial" w:hAnsi="Arial"/>
          <w:sz w:val="22"/>
          <w:szCs w:val="22"/>
        </w:rPr>
        <w:t xml:space="preserve"> </w:t>
      </w:r>
    </w:p>
    <w:p w14:paraId="3BB15F10" w14:textId="37F5673C" w:rsidR="0086586E" w:rsidRPr="00C71FA6" w:rsidRDefault="0096690A" w:rsidP="00C71FA6">
      <w:pPr>
        <w:pStyle w:val="Heading2"/>
        <w:spacing w:before="240" w:after="240"/>
        <w:jc w:val="both"/>
        <w:rPr>
          <w:rFonts w:ascii="Arial" w:hAnsi="Arial"/>
          <w:sz w:val="22"/>
          <w:szCs w:val="22"/>
        </w:rPr>
      </w:pPr>
      <w:bookmarkStart w:id="2" w:name="_Toc227248182"/>
      <w:r w:rsidRPr="00C71FA6">
        <w:rPr>
          <w:rFonts w:ascii="Arial" w:hAnsi="Arial"/>
          <w:sz w:val="22"/>
          <w:szCs w:val="22"/>
        </w:rPr>
        <w:t xml:space="preserve">2.1 </w:t>
      </w:r>
      <w:r w:rsidR="00653A09" w:rsidRPr="00C71FA6">
        <w:rPr>
          <w:rFonts w:ascii="Arial" w:hAnsi="Arial"/>
          <w:sz w:val="22"/>
          <w:szCs w:val="22"/>
        </w:rPr>
        <w:t>Donabedian</w:t>
      </w:r>
      <w:r w:rsidRPr="00C71FA6">
        <w:rPr>
          <w:rFonts w:ascii="Arial" w:hAnsi="Arial"/>
          <w:sz w:val="22"/>
          <w:szCs w:val="22"/>
        </w:rPr>
        <w:t xml:space="preserve"> Model</w:t>
      </w:r>
      <w:bookmarkEnd w:id="2"/>
    </w:p>
    <w:p w14:paraId="1E98B731" w14:textId="77777777" w:rsidR="0086586E" w:rsidRPr="00C71FA6" w:rsidRDefault="0096690A" w:rsidP="00C71FA6">
      <w:pPr>
        <w:spacing w:before="240" w:after="240" w:line="360" w:lineRule="auto"/>
        <w:jc w:val="both"/>
        <w:rPr>
          <w:rFonts w:eastAsia="Times New Roman"/>
        </w:rPr>
      </w:pPr>
      <w:r w:rsidRPr="00C71FA6">
        <w:rPr>
          <w:rFonts w:eastAsia="Times New Roman"/>
        </w:rPr>
        <w:t xml:space="preserve">The Donabedian Model (includes structure-process-outcome) is a popular framework of assessing the quality of healthcare, which </w:t>
      </w:r>
      <w:r w:rsidRPr="00C71FA6">
        <w:rPr>
          <w:rFonts w:eastAsia="Times New Roman"/>
        </w:rPr>
        <w:t>focuses on how organizational conditions influence the delivery of care and its resulting outcomes. The Donabedian framework includes all the pertinent areas of organizational structure, process and outcome and their interactions and unites these areas wit</w:t>
      </w:r>
      <w:r w:rsidRPr="00C71FA6">
        <w:rPr>
          <w:rFonts w:eastAsia="Times New Roman"/>
        </w:rPr>
        <w:t xml:space="preserve">h health and social areas (Tossaint-Schoenmakers </w:t>
      </w:r>
      <w:r w:rsidRPr="00C71FA6">
        <w:rPr>
          <w:rFonts w:eastAsia="Times New Roman"/>
          <w:i/>
          <w:iCs/>
        </w:rPr>
        <w:t>et al.</w:t>
      </w:r>
      <w:r w:rsidRPr="00C71FA6">
        <w:rPr>
          <w:rFonts w:eastAsia="Times New Roman"/>
        </w:rPr>
        <w:t xml:space="preserve"> 2021, p.03). It offers a methodical way of determining the gaps that exist in the healthcare systems and how the failures at various levels lead to poor outcomes. The model provides a critical prism t</w:t>
      </w:r>
      <w:r w:rsidRPr="00C71FA6">
        <w:rPr>
          <w:rFonts w:eastAsia="Times New Roman"/>
        </w:rPr>
        <w:t>hrough which systemic weaknesses may be evaluated within the context of the Lucy Letby case, outside of the frame of individual culpability.</w:t>
      </w:r>
    </w:p>
    <w:p w14:paraId="63B88620" w14:textId="77777777" w:rsidR="0086586E" w:rsidRPr="00C71FA6" w:rsidRDefault="0096690A" w:rsidP="00BB6D26">
      <w:pPr>
        <w:spacing w:before="240" w:after="240" w:line="360" w:lineRule="auto"/>
        <w:jc w:val="center"/>
        <w:rPr>
          <w:rFonts w:eastAsia="Times New Roman"/>
        </w:rPr>
      </w:pPr>
      <w:r w:rsidRPr="00C71FA6">
        <w:rPr>
          <w:rFonts w:eastAsia="Times New Roman"/>
          <w:noProof/>
          <w:lang w:val="en-US" w:eastAsia="en-US"/>
        </w:rPr>
        <w:drawing>
          <wp:inline distT="114300" distB="114300" distL="114300" distR="114300" wp14:anchorId="6041B92C" wp14:editId="0E299865">
            <wp:extent cx="2743200" cy="2200275"/>
            <wp:effectExtent l="38100" t="38100" r="114300" b="1238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743200" cy="2200275"/>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8FE63B9" w14:textId="77777777" w:rsidR="0086586E" w:rsidRPr="00C71FA6" w:rsidRDefault="0096690A" w:rsidP="00BB6D26">
      <w:pPr>
        <w:spacing w:before="240" w:after="240" w:line="360" w:lineRule="auto"/>
        <w:jc w:val="center"/>
        <w:rPr>
          <w:rFonts w:eastAsia="Times New Roman"/>
          <w:b/>
          <w:bCs/>
        </w:rPr>
      </w:pPr>
      <w:r w:rsidRPr="00C71FA6">
        <w:rPr>
          <w:rFonts w:eastAsia="Times New Roman"/>
          <w:b/>
          <w:bCs/>
        </w:rPr>
        <w:t>Figure 1: Donabedian Structure-Process-Outcome framework</w:t>
      </w:r>
    </w:p>
    <w:p w14:paraId="124491D7" w14:textId="77777777" w:rsidR="0086586E" w:rsidRPr="00C71FA6" w:rsidRDefault="0096690A" w:rsidP="00BB6D26">
      <w:pPr>
        <w:spacing w:before="240" w:after="240" w:line="360" w:lineRule="auto"/>
        <w:jc w:val="center"/>
        <w:rPr>
          <w:rFonts w:eastAsia="Times New Roman"/>
        </w:rPr>
      </w:pPr>
      <w:r w:rsidRPr="00C71FA6">
        <w:rPr>
          <w:rFonts w:eastAsia="Times New Roman"/>
        </w:rPr>
        <w:t xml:space="preserve">(Source: Tossaint-Schoenmakers </w:t>
      </w:r>
      <w:r w:rsidRPr="00C71FA6">
        <w:rPr>
          <w:rFonts w:eastAsia="Times New Roman"/>
          <w:i/>
          <w:iCs/>
        </w:rPr>
        <w:t>et al.</w:t>
      </w:r>
      <w:r w:rsidRPr="00C71FA6">
        <w:rPr>
          <w:rFonts w:eastAsia="Times New Roman"/>
        </w:rPr>
        <w:t xml:space="preserve"> 2021, p.03)</w:t>
      </w:r>
    </w:p>
    <w:p w14:paraId="0C0B2EE3" w14:textId="77777777" w:rsidR="00BB6D26" w:rsidRDefault="00413F51" w:rsidP="00C71FA6">
      <w:pPr>
        <w:spacing w:before="240" w:after="240" w:line="360" w:lineRule="auto"/>
        <w:jc w:val="both"/>
        <w:rPr>
          <w:rFonts w:eastAsia="Times New Roman"/>
        </w:rPr>
      </w:pPr>
      <w:r w:rsidRPr="00C71FA6">
        <w:rPr>
          <w:rFonts w:eastAsia="Times New Roman"/>
        </w:rPr>
        <w:lastRenderedPageBreak/>
        <w:t xml:space="preserve">There were significant gaps in level of staffing, governance, leadership effectiveness and whistle blowing policies. The organization lacked effective oversight mechanisms and was not capable of offering a secure environment to speak up. Inappropriate leadership and weak governance resulted in the creation of an environment in which the importance of early warning signs was not prioritized. Also, poor whistleblowing policies deterred employees, who would blow the whistle in order to encourage a culture of silence. This brings out systemic flaws that were incorporated in the organizational structure, allowing risk to thrive. In other situations, the distinction between whistleblowing and voice may be challenging, where employees may employ whistleblowing mechanisms to express their dissatisfaction or make a grievance. </w:t>
      </w:r>
    </w:p>
    <w:p w14:paraId="6B9BB294" w14:textId="2816C187" w:rsidR="0086586E" w:rsidRPr="00C71FA6" w:rsidRDefault="00413F51" w:rsidP="00C71FA6">
      <w:pPr>
        <w:spacing w:before="240" w:after="240" w:line="360" w:lineRule="auto"/>
        <w:jc w:val="both"/>
        <w:rPr>
          <w:rFonts w:eastAsia="Times New Roman"/>
        </w:rPr>
      </w:pPr>
      <w:r w:rsidRPr="00C71FA6">
        <w:rPr>
          <w:rFonts w:eastAsia="Times New Roman"/>
        </w:rPr>
        <w:t>In such situations, there is a need to closely compare the ‘organisational wrongdoing’ and ‘other concern’ to create a clear distinction (Irfan, 2025. p.20). These structural deficits directly affected process failures at the neonatal unit. Incident reporting, escalating of concerns, and interdisciplinary communication were significantly ineffective clinical processes. There was also a lack of decisiveness or action despite the recurring clinical anomalies. Lack of responsiveness of organizational systems to emerging risks is evidenced by delays in investigating and making poor decisions. In contrast, the use of the Donabedian Model illustrates that the case in hand is a systemic organizational failure, with poor structures leading to poor processes, which ultimately had disastrous consequences.</w:t>
      </w:r>
    </w:p>
    <w:p w14:paraId="3C974012" w14:textId="77777777" w:rsidR="002B4E80" w:rsidRPr="00C71FA6" w:rsidRDefault="002B4E80" w:rsidP="00C71FA6">
      <w:pPr>
        <w:pStyle w:val="Heading2"/>
        <w:spacing w:before="240" w:after="240"/>
        <w:jc w:val="both"/>
        <w:rPr>
          <w:rFonts w:ascii="Arial" w:hAnsi="Arial"/>
          <w:sz w:val="22"/>
          <w:szCs w:val="22"/>
        </w:rPr>
      </w:pPr>
      <w:bookmarkStart w:id="3" w:name="_Toc227248183"/>
      <w:r w:rsidRPr="00C71FA6">
        <w:rPr>
          <w:rFonts w:ascii="Arial" w:hAnsi="Arial"/>
          <w:sz w:val="22"/>
          <w:szCs w:val="22"/>
        </w:rPr>
        <w:t>2.3 SWOT Analysis</w:t>
      </w:r>
      <w:bookmarkEnd w:id="3"/>
    </w:p>
    <w:p w14:paraId="0AB5AC45" w14:textId="77777777" w:rsidR="00266EE5" w:rsidRDefault="002B4E80" w:rsidP="00C71FA6">
      <w:pPr>
        <w:spacing w:before="240" w:after="240" w:line="360" w:lineRule="auto"/>
        <w:jc w:val="both"/>
        <w:rPr>
          <w:rFonts w:eastAsia="Times New Roman"/>
        </w:rPr>
      </w:pPr>
      <w:r w:rsidRPr="00C71FA6">
        <w:rPr>
          <w:rFonts w:eastAsia="Times New Roman"/>
        </w:rPr>
        <w:t xml:space="preserve">The SWOT analysis is a strategic instrument in healthcare quality management (employed to assess internal strengths, weaknesses, and external opportunities and threats) that determines the performance and delivery of services in organisations. It promotes the critical evaluation of the interactions of internal deficiencies and external pressures to influence outcomes (Puyt </w:t>
      </w:r>
      <w:r w:rsidRPr="00C71FA6">
        <w:rPr>
          <w:rFonts w:eastAsia="Times New Roman"/>
          <w:i/>
          <w:iCs/>
        </w:rPr>
        <w:t>et al.</w:t>
      </w:r>
      <w:r w:rsidRPr="00C71FA6">
        <w:rPr>
          <w:rFonts w:eastAsia="Times New Roman"/>
        </w:rPr>
        <w:t xml:space="preserve"> 202, p.01). Therefore, it is very relevant in the analysis of systemic failures in healthcare.</w:t>
      </w:r>
    </w:p>
    <w:p w14:paraId="4E532A82" w14:textId="77777777" w:rsidR="00F5053A" w:rsidRDefault="00F5053A" w:rsidP="00C71FA6">
      <w:pPr>
        <w:spacing w:before="240" w:after="240" w:line="360" w:lineRule="auto"/>
        <w:jc w:val="both"/>
        <w:rPr>
          <w:rFonts w:eastAsia="Times New Roman"/>
        </w:rPr>
      </w:pPr>
    </w:p>
    <w:p w14:paraId="7BF9CD05" w14:textId="77777777" w:rsidR="00F5053A" w:rsidRDefault="00F5053A" w:rsidP="00C71FA6">
      <w:pPr>
        <w:spacing w:before="240" w:after="240" w:line="360" w:lineRule="auto"/>
        <w:jc w:val="both"/>
        <w:rPr>
          <w:rFonts w:eastAsia="Times New Roman"/>
        </w:rPr>
      </w:pPr>
    </w:p>
    <w:p w14:paraId="2E919760" w14:textId="77777777" w:rsidR="00F5053A" w:rsidRDefault="00F5053A" w:rsidP="00C71FA6">
      <w:pPr>
        <w:spacing w:before="240" w:after="240" w:line="360" w:lineRule="auto"/>
        <w:jc w:val="both"/>
        <w:rPr>
          <w:rFonts w:eastAsia="Times New Roman"/>
        </w:rPr>
      </w:pPr>
    </w:p>
    <w:p w14:paraId="3585F03B" w14:textId="77777777" w:rsidR="00F5053A" w:rsidRDefault="00F5053A" w:rsidP="00C71FA6">
      <w:pPr>
        <w:spacing w:before="240" w:after="240" w:line="360" w:lineRule="auto"/>
        <w:jc w:val="both"/>
        <w:rPr>
          <w:rFonts w:eastAsia="Times New Roman"/>
        </w:rPr>
      </w:pPr>
    </w:p>
    <w:p w14:paraId="2028482B" w14:textId="77777777" w:rsidR="00F5053A" w:rsidRDefault="00F5053A" w:rsidP="00C71FA6">
      <w:pPr>
        <w:spacing w:before="240" w:after="240" w:line="360" w:lineRule="auto"/>
        <w:jc w:val="both"/>
        <w:rPr>
          <w:rFonts w:eastAsia="Times New Roman"/>
        </w:rPr>
      </w:pPr>
    </w:p>
    <w:p w14:paraId="1181CCAE" w14:textId="6E5DD103" w:rsidR="002B4E80" w:rsidRPr="00C71FA6" w:rsidRDefault="002B4E80" w:rsidP="00C71FA6">
      <w:pPr>
        <w:spacing w:before="240" w:after="240" w:line="360" w:lineRule="auto"/>
        <w:jc w:val="both"/>
        <w:rPr>
          <w:rFonts w:eastAsia="Times New Roman"/>
        </w:rPr>
      </w:pPr>
      <w:r w:rsidRPr="00C71FA6">
        <w:rPr>
          <w:rFonts w:eastAsia="Times New Roman"/>
          <w:b/>
          <w:bCs/>
        </w:rPr>
        <w:lastRenderedPageBreak/>
        <w:t>Table 1: SWOT Analysis Table</w:t>
      </w:r>
    </w:p>
    <w:tbl>
      <w:tblPr>
        <w:tblStyle w:val="a"/>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05"/>
        <w:gridCol w:w="2475"/>
        <w:gridCol w:w="2340"/>
        <w:gridCol w:w="1815"/>
      </w:tblGrid>
      <w:tr w:rsidR="002B4E80" w:rsidRPr="00C71FA6" w14:paraId="11248970" w14:textId="77777777" w:rsidTr="004622D5">
        <w:trPr>
          <w:trHeight w:val="300"/>
        </w:trPr>
        <w:tc>
          <w:tcPr>
            <w:tcW w:w="220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B95F665" w14:textId="77777777" w:rsidR="002B4E80" w:rsidRPr="00C71FA6" w:rsidRDefault="002B4E80" w:rsidP="00C71FA6">
            <w:pPr>
              <w:spacing w:before="240" w:after="240" w:line="360" w:lineRule="auto"/>
              <w:jc w:val="both"/>
              <w:rPr>
                <w:rFonts w:eastAsia="Times New Roman"/>
                <w:b/>
                <w:bCs/>
              </w:rPr>
            </w:pPr>
            <w:r w:rsidRPr="00C71FA6">
              <w:rPr>
                <w:rFonts w:eastAsia="Times New Roman"/>
                <w:b/>
                <w:bCs/>
              </w:rPr>
              <w:t>Strengths</w:t>
            </w:r>
          </w:p>
        </w:tc>
        <w:tc>
          <w:tcPr>
            <w:tcW w:w="247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31A499A" w14:textId="77777777" w:rsidR="002B4E80" w:rsidRPr="00C71FA6" w:rsidRDefault="002B4E80" w:rsidP="00C71FA6">
            <w:pPr>
              <w:spacing w:before="240" w:after="240" w:line="360" w:lineRule="auto"/>
              <w:jc w:val="both"/>
              <w:rPr>
                <w:rFonts w:eastAsia="Times New Roman"/>
                <w:b/>
                <w:bCs/>
              </w:rPr>
            </w:pPr>
            <w:r w:rsidRPr="00C71FA6">
              <w:rPr>
                <w:rFonts w:eastAsia="Times New Roman"/>
                <w:b/>
                <w:bCs/>
              </w:rPr>
              <w:t>Weaknesses</w:t>
            </w:r>
          </w:p>
        </w:tc>
        <w:tc>
          <w:tcPr>
            <w:tcW w:w="234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286424F" w14:textId="77777777" w:rsidR="002B4E80" w:rsidRPr="00C71FA6" w:rsidRDefault="002B4E80" w:rsidP="00C71FA6">
            <w:pPr>
              <w:spacing w:before="240" w:after="240" w:line="360" w:lineRule="auto"/>
              <w:jc w:val="both"/>
              <w:rPr>
                <w:rFonts w:eastAsia="Times New Roman"/>
                <w:b/>
                <w:bCs/>
              </w:rPr>
            </w:pPr>
            <w:r w:rsidRPr="00C71FA6">
              <w:rPr>
                <w:rFonts w:eastAsia="Times New Roman"/>
                <w:b/>
                <w:bCs/>
              </w:rPr>
              <w:t>Opportunities</w:t>
            </w:r>
          </w:p>
        </w:tc>
        <w:tc>
          <w:tcPr>
            <w:tcW w:w="181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3AA8E5F" w14:textId="77777777" w:rsidR="002B4E80" w:rsidRPr="00C71FA6" w:rsidRDefault="002B4E80" w:rsidP="00C71FA6">
            <w:pPr>
              <w:spacing w:before="240" w:after="240" w:line="360" w:lineRule="auto"/>
              <w:jc w:val="both"/>
              <w:rPr>
                <w:rFonts w:eastAsia="Times New Roman"/>
                <w:b/>
                <w:bCs/>
              </w:rPr>
            </w:pPr>
            <w:r w:rsidRPr="00C71FA6">
              <w:rPr>
                <w:rFonts w:eastAsia="Times New Roman"/>
                <w:b/>
                <w:bCs/>
              </w:rPr>
              <w:t>Threats</w:t>
            </w:r>
          </w:p>
        </w:tc>
      </w:tr>
      <w:tr w:rsidR="002B4E80" w:rsidRPr="00C71FA6" w14:paraId="5FED91AA" w14:textId="77777777" w:rsidTr="004622D5">
        <w:trPr>
          <w:trHeight w:val="870"/>
        </w:trPr>
        <w:tc>
          <w:tcPr>
            <w:tcW w:w="22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1B946A2" w14:textId="77777777" w:rsidR="002B4E80" w:rsidRPr="00C71FA6" w:rsidRDefault="002B4E80" w:rsidP="00C71FA6">
            <w:pPr>
              <w:spacing w:before="240" w:after="240" w:line="360" w:lineRule="auto"/>
              <w:jc w:val="both"/>
              <w:rPr>
                <w:rFonts w:eastAsia="Times New Roman"/>
              </w:rPr>
            </w:pPr>
            <w:r w:rsidRPr="00C71FA6">
              <w:rPr>
                <w:rFonts w:eastAsia="Times New Roman"/>
              </w:rPr>
              <w:t>Established NHS safety frameworks and protocols</w:t>
            </w:r>
          </w:p>
        </w:tc>
        <w:tc>
          <w:tcPr>
            <w:tcW w:w="2475" w:type="dxa"/>
            <w:tcBorders>
              <w:top w:val="nil"/>
              <w:left w:val="nil"/>
              <w:bottom w:val="single" w:sz="8" w:space="0" w:color="000000"/>
              <w:right w:val="single" w:sz="8" w:space="0" w:color="000000"/>
            </w:tcBorders>
            <w:tcMar>
              <w:top w:w="0" w:type="dxa"/>
              <w:left w:w="100" w:type="dxa"/>
              <w:bottom w:w="0" w:type="dxa"/>
              <w:right w:w="100" w:type="dxa"/>
            </w:tcMar>
          </w:tcPr>
          <w:p w14:paraId="7BD7907C" w14:textId="77777777" w:rsidR="002B4E80" w:rsidRPr="00C71FA6" w:rsidRDefault="002B4E80" w:rsidP="00C71FA6">
            <w:pPr>
              <w:spacing w:before="240" w:after="240" w:line="360" w:lineRule="auto"/>
              <w:jc w:val="both"/>
              <w:rPr>
                <w:rFonts w:eastAsia="Times New Roman"/>
              </w:rPr>
            </w:pPr>
            <w:r w:rsidRPr="00C71FA6">
              <w:rPr>
                <w:rFonts w:eastAsia="Times New Roman"/>
              </w:rPr>
              <w:t>Poor clinical governance and oversight</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17CEEADF" w14:textId="77777777" w:rsidR="002B4E80" w:rsidRPr="00C71FA6" w:rsidRDefault="002B4E80" w:rsidP="00C71FA6">
            <w:pPr>
              <w:spacing w:before="240" w:after="240" w:line="360" w:lineRule="auto"/>
              <w:jc w:val="both"/>
              <w:rPr>
                <w:rFonts w:eastAsia="Times New Roman"/>
              </w:rPr>
            </w:pPr>
            <w:r w:rsidRPr="00C71FA6">
              <w:rPr>
                <w:rFonts w:eastAsia="Times New Roman"/>
              </w:rPr>
              <w:t>Strengthening whistleblowing policies</w:t>
            </w:r>
          </w:p>
        </w:tc>
        <w:tc>
          <w:tcPr>
            <w:tcW w:w="1815" w:type="dxa"/>
            <w:tcBorders>
              <w:top w:val="nil"/>
              <w:left w:val="nil"/>
              <w:bottom w:val="single" w:sz="8" w:space="0" w:color="000000"/>
              <w:right w:val="single" w:sz="8" w:space="0" w:color="000000"/>
            </w:tcBorders>
            <w:tcMar>
              <w:top w:w="0" w:type="dxa"/>
              <w:left w:w="100" w:type="dxa"/>
              <w:bottom w:w="0" w:type="dxa"/>
              <w:right w:w="100" w:type="dxa"/>
            </w:tcMar>
          </w:tcPr>
          <w:p w14:paraId="7815305F" w14:textId="77777777" w:rsidR="002B4E80" w:rsidRPr="00C71FA6" w:rsidRDefault="002B4E80" w:rsidP="00C71FA6">
            <w:pPr>
              <w:spacing w:before="240" w:after="240" w:line="360" w:lineRule="auto"/>
              <w:jc w:val="both"/>
              <w:rPr>
                <w:rFonts w:eastAsia="Times New Roman"/>
              </w:rPr>
            </w:pPr>
            <w:r w:rsidRPr="00C71FA6">
              <w:rPr>
                <w:rFonts w:eastAsia="Times New Roman"/>
              </w:rPr>
              <w:t>Legal liability and regulatory scrutiny</w:t>
            </w:r>
          </w:p>
        </w:tc>
      </w:tr>
      <w:tr w:rsidR="002B4E80" w:rsidRPr="00C71FA6" w14:paraId="07AA93F0" w14:textId="77777777" w:rsidTr="004622D5">
        <w:trPr>
          <w:trHeight w:val="870"/>
        </w:trPr>
        <w:tc>
          <w:tcPr>
            <w:tcW w:w="22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7FA08FD" w14:textId="77777777" w:rsidR="002B4E80" w:rsidRPr="00C71FA6" w:rsidRDefault="002B4E80" w:rsidP="00C71FA6">
            <w:pPr>
              <w:spacing w:before="240" w:after="240" w:line="360" w:lineRule="auto"/>
              <w:jc w:val="both"/>
              <w:rPr>
                <w:rFonts w:eastAsia="Times New Roman"/>
              </w:rPr>
            </w:pPr>
            <w:r w:rsidRPr="00C71FA6">
              <w:rPr>
                <w:rFonts w:eastAsia="Times New Roman"/>
              </w:rPr>
              <w:t>Skilled and experienced clinical staff</w:t>
            </w:r>
          </w:p>
        </w:tc>
        <w:tc>
          <w:tcPr>
            <w:tcW w:w="2475" w:type="dxa"/>
            <w:tcBorders>
              <w:top w:val="nil"/>
              <w:left w:val="nil"/>
              <w:bottom w:val="single" w:sz="8" w:space="0" w:color="000000"/>
              <w:right w:val="single" w:sz="8" w:space="0" w:color="000000"/>
            </w:tcBorders>
            <w:tcMar>
              <w:top w:w="0" w:type="dxa"/>
              <w:left w:w="100" w:type="dxa"/>
              <w:bottom w:w="0" w:type="dxa"/>
              <w:right w:w="100" w:type="dxa"/>
            </w:tcMar>
          </w:tcPr>
          <w:p w14:paraId="0E37B0C6" w14:textId="77777777" w:rsidR="002B4E80" w:rsidRPr="00C71FA6" w:rsidRDefault="002B4E80" w:rsidP="00C71FA6">
            <w:pPr>
              <w:spacing w:before="240" w:after="240" w:line="360" w:lineRule="auto"/>
              <w:jc w:val="both"/>
              <w:rPr>
                <w:rFonts w:eastAsia="Times New Roman"/>
              </w:rPr>
            </w:pPr>
            <w:r w:rsidRPr="00C71FA6">
              <w:rPr>
                <w:rFonts w:eastAsia="Times New Roman"/>
              </w:rPr>
              <w:t>Leadership inaction despite repeated warnings</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09854DC3" w14:textId="77777777" w:rsidR="002B4E80" w:rsidRPr="00C71FA6" w:rsidRDefault="002B4E80" w:rsidP="00C71FA6">
            <w:pPr>
              <w:spacing w:before="240" w:after="240" w:line="360" w:lineRule="auto"/>
              <w:jc w:val="both"/>
              <w:rPr>
                <w:rFonts w:eastAsia="Times New Roman"/>
              </w:rPr>
            </w:pPr>
            <w:r w:rsidRPr="00C71FA6">
              <w:rPr>
                <w:rFonts w:eastAsia="Times New Roman"/>
              </w:rPr>
              <w:t>Implementation of digital reporting systems</w:t>
            </w:r>
          </w:p>
        </w:tc>
        <w:tc>
          <w:tcPr>
            <w:tcW w:w="1815" w:type="dxa"/>
            <w:tcBorders>
              <w:top w:val="nil"/>
              <w:left w:val="nil"/>
              <w:bottom w:val="single" w:sz="8" w:space="0" w:color="000000"/>
              <w:right w:val="single" w:sz="8" w:space="0" w:color="000000"/>
            </w:tcBorders>
            <w:tcMar>
              <w:top w:w="0" w:type="dxa"/>
              <w:left w:w="100" w:type="dxa"/>
              <w:bottom w:w="0" w:type="dxa"/>
              <w:right w:w="100" w:type="dxa"/>
            </w:tcMar>
          </w:tcPr>
          <w:p w14:paraId="5A04DD4C" w14:textId="77777777" w:rsidR="002B4E80" w:rsidRPr="00C71FA6" w:rsidRDefault="002B4E80" w:rsidP="00C71FA6">
            <w:pPr>
              <w:spacing w:before="240" w:after="240" w:line="360" w:lineRule="auto"/>
              <w:jc w:val="both"/>
              <w:rPr>
                <w:rFonts w:eastAsia="Times New Roman"/>
              </w:rPr>
            </w:pPr>
            <w:r w:rsidRPr="00C71FA6">
              <w:rPr>
                <w:rFonts w:eastAsia="Times New Roman"/>
              </w:rPr>
              <w:t>Loss of public trust and reputation</w:t>
            </w:r>
          </w:p>
        </w:tc>
      </w:tr>
      <w:tr w:rsidR="002B4E80" w:rsidRPr="00C71FA6" w14:paraId="010DB56F" w14:textId="77777777" w:rsidTr="004622D5">
        <w:trPr>
          <w:trHeight w:val="1946"/>
        </w:trPr>
        <w:tc>
          <w:tcPr>
            <w:tcW w:w="220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5FA242C" w14:textId="77777777" w:rsidR="002B4E80" w:rsidRPr="00C71FA6" w:rsidRDefault="002B4E80" w:rsidP="00C71FA6">
            <w:pPr>
              <w:spacing w:before="240" w:after="240" w:line="360" w:lineRule="auto"/>
              <w:jc w:val="both"/>
              <w:rPr>
                <w:rFonts w:eastAsia="Times New Roman"/>
              </w:rPr>
            </w:pPr>
            <w:r w:rsidRPr="00C71FA6">
              <w:rPr>
                <w:rFonts w:eastAsia="Times New Roman"/>
              </w:rPr>
              <w:t>Existing incident reporting mechanisms</w:t>
            </w:r>
          </w:p>
        </w:tc>
        <w:tc>
          <w:tcPr>
            <w:tcW w:w="2475" w:type="dxa"/>
            <w:tcBorders>
              <w:top w:val="nil"/>
              <w:left w:val="nil"/>
              <w:bottom w:val="single" w:sz="8" w:space="0" w:color="000000"/>
              <w:right w:val="single" w:sz="8" w:space="0" w:color="000000"/>
            </w:tcBorders>
            <w:tcMar>
              <w:top w:w="0" w:type="dxa"/>
              <w:left w:w="100" w:type="dxa"/>
              <w:bottom w:w="0" w:type="dxa"/>
              <w:right w:w="100" w:type="dxa"/>
            </w:tcMar>
          </w:tcPr>
          <w:p w14:paraId="584A787C" w14:textId="77777777" w:rsidR="002B4E80" w:rsidRPr="00C71FA6" w:rsidRDefault="002B4E80" w:rsidP="00C71FA6">
            <w:pPr>
              <w:spacing w:before="240" w:after="240" w:line="360" w:lineRule="auto"/>
              <w:jc w:val="both"/>
              <w:rPr>
                <w:rFonts w:eastAsia="Times New Roman"/>
              </w:rPr>
            </w:pPr>
            <w:r w:rsidRPr="00C71FA6">
              <w:rPr>
                <w:rFonts w:eastAsia="Times New Roman"/>
              </w:rPr>
              <w:t>Ineffective escalation and communication processes</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3BFD1858" w14:textId="77777777" w:rsidR="002B4E80" w:rsidRPr="00C71FA6" w:rsidRDefault="002B4E80" w:rsidP="00C71FA6">
            <w:pPr>
              <w:spacing w:before="240" w:after="240" w:line="360" w:lineRule="auto"/>
              <w:jc w:val="both"/>
              <w:rPr>
                <w:rFonts w:eastAsia="Times New Roman"/>
              </w:rPr>
            </w:pPr>
            <w:r w:rsidRPr="00C71FA6">
              <w:rPr>
                <w:rFonts w:eastAsia="Times New Roman"/>
              </w:rPr>
              <w:t>Leadership training and governance reform</w:t>
            </w:r>
          </w:p>
        </w:tc>
        <w:tc>
          <w:tcPr>
            <w:tcW w:w="1815" w:type="dxa"/>
            <w:tcBorders>
              <w:top w:val="nil"/>
              <w:left w:val="nil"/>
              <w:bottom w:val="single" w:sz="8" w:space="0" w:color="000000"/>
              <w:right w:val="single" w:sz="8" w:space="0" w:color="000000"/>
            </w:tcBorders>
            <w:tcMar>
              <w:top w:w="0" w:type="dxa"/>
              <w:left w:w="100" w:type="dxa"/>
              <w:bottom w:w="0" w:type="dxa"/>
              <w:right w:w="100" w:type="dxa"/>
            </w:tcMar>
          </w:tcPr>
          <w:p w14:paraId="779BC600" w14:textId="77777777" w:rsidR="002B4E80" w:rsidRPr="00C71FA6" w:rsidRDefault="002B4E80" w:rsidP="00C71FA6">
            <w:pPr>
              <w:spacing w:before="240" w:after="240" w:line="360" w:lineRule="auto"/>
              <w:jc w:val="both"/>
              <w:rPr>
                <w:rFonts w:eastAsia="Times New Roman"/>
              </w:rPr>
            </w:pPr>
            <w:r w:rsidRPr="00C71FA6">
              <w:rPr>
                <w:rFonts w:eastAsia="Times New Roman"/>
              </w:rPr>
              <w:t>Staff burnout and workforce instability</w:t>
            </w:r>
          </w:p>
          <w:p w14:paraId="2E07ECA1" w14:textId="77777777" w:rsidR="002B4E80" w:rsidRPr="00C71FA6" w:rsidRDefault="002B4E80" w:rsidP="00C71FA6">
            <w:pPr>
              <w:spacing w:before="240" w:after="240" w:line="360" w:lineRule="auto"/>
              <w:jc w:val="both"/>
              <w:rPr>
                <w:rFonts w:eastAsia="Times New Roman"/>
              </w:rPr>
            </w:pPr>
          </w:p>
        </w:tc>
      </w:tr>
    </w:tbl>
    <w:p w14:paraId="05F607BE" w14:textId="77777777" w:rsidR="002B4E80" w:rsidRPr="00C71FA6" w:rsidRDefault="002B4E80" w:rsidP="00C71FA6">
      <w:pPr>
        <w:spacing w:before="240" w:after="240" w:line="360" w:lineRule="auto"/>
        <w:jc w:val="both"/>
        <w:rPr>
          <w:rFonts w:eastAsia="Times New Roman"/>
        </w:rPr>
      </w:pPr>
      <w:r w:rsidRPr="00C71FA6">
        <w:rPr>
          <w:rFonts w:eastAsia="Times New Roman"/>
        </w:rPr>
        <w:t>The lack of effective utilization of the available systems was overwhelming due to poor governance and failure of leadership. This implies that the lack of internal weaknesses was a direct cause of the external threats. This inability to act on the warning signs made the risks manageable rather than critical failures. In addition, the prospects of reforming policies and digital innovation also point to the possible ways of improvement, but their efficiency should be increased with reference to the underlying problems in culture and leadership.</w:t>
      </w:r>
    </w:p>
    <w:p w14:paraId="4F1ED0ED" w14:textId="77777777" w:rsidR="0086586E" w:rsidRPr="00C71FA6" w:rsidRDefault="0096690A" w:rsidP="00C71FA6">
      <w:pPr>
        <w:pStyle w:val="Heading2"/>
        <w:spacing w:before="240" w:after="240"/>
        <w:jc w:val="both"/>
        <w:rPr>
          <w:rFonts w:ascii="Arial" w:hAnsi="Arial"/>
          <w:sz w:val="22"/>
          <w:szCs w:val="22"/>
        </w:rPr>
      </w:pPr>
      <w:bookmarkStart w:id="4" w:name="_Toc227248184"/>
      <w:r w:rsidRPr="00C71FA6">
        <w:rPr>
          <w:rFonts w:ascii="Arial" w:hAnsi="Arial"/>
          <w:sz w:val="22"/>
          <w:szCs w:val="22"/>
        </w:rPr>
        <w:t>2.2 Fishbone Diagram</w:t>
      </w:r>
      <w:bookmarkEnd w:id="4"/>
    </w:p>
    <w:p w14:paraId="6C41E2FF" w14:textId="73386919" w:rsidR="0086586E" w:rsidRPr="00C71FA6" w:rsidRDefault="0096690A" w:rsidP="00C71FA6">
      <w:pPr>
        <w:spacing w:before="240" w:after="240" w:line="360" w:lineRule="auto"/>
        <w:jc w:val="both"/>
        <w:rPr>
          <w:rFonts w:eastAsia="Times New Roman"/>
        </w:rPr>
      </w:pPr>
      <w:r w:rsidRPr="00C71FA6">
        <w:rPr>
          <w:rFonts w:eastAsia="Times New Roman"/>
        </w:rPr>
        <w:t>A cause-and-effect diag</w:t>
      </w:r>
      <w:r w:rsidRPr="00C71FA6">
        <w:rPr>
          <w:rFonts w:eastAsia="Times New Roman"/>
        </w:rPr>
        <w:t xml:space="preserve">ram (fishbone diagram) is a method used in the healthcare sector to help in the analysis of the underlying cause of a quality-related issue, including poor performance or safety events (Kumah </w:t>
      </w:r>
      <w:r w:rsidRPr="00C71FA6">
        <w:rPr>
          <w:rFonts w:eastAsia="Times New Roman"/>
          <w:i/>
          <w:iCs/>
        </w:rPr>
        <w:t>et al.</w:t>
      </w:r>
      <w:r w:rsidRPr="00C71FA6">
        <w:rPr>
          <w:rFonts w:eastAsia="Times New Roman"/>
        </w:rPr>
        <w:t xml:space="preserve"> 2024, p.01). This is a tool that enables the team to work</w:t>
      </w:r>
      <w:r w:rsidRPr="00C71FA6">
        <w:rPr>
          <w:rFonts w:eastAsia="Times New Roman"/>
        </w:rPr>
        <w:t xml:space="preserve"> on the basis of a certain issue rather than the symptoms. Also, it helps to understand the interaction of various factors in healthcare systems in a holistic manner. </w:t>
      </w:r>
      <w:r w:rsidR="00413F51" w:rsidRPr="00C71FA6">
        <w:rPr>
          <w:rFonts w:eastAsia="Times New Roman"/>
        </w:rPr>
        <w:t xml:space="preserve">This framework can be particularly applied in the Lucy Letby case to indicate that the failures were multi-dimensional and were entrenched in organizational processes. There was also reporting of employee issues, which were not addressed effectively, implying that the culture did not put much emphasis on escalation. Regarding this process, the poor quality of incident reporting </w:t>
      </w:r>
      <w:r w:rsidR="00413F51" w:rsidRPr="00C71FA6">
        <w:rPr>
          <w:rFonts w:eastAsia="Times New Roman"/>
        </w:rPr>
        <w:lastRenderedPageBreak/>
        <w:t>mechanisms and poor escalation procedures greatly affected timely intervention. This implies that there was a lack of proper clinical practice or the existing clinical practices were not well established.</w:t>
      </w:r>
    </w:p>
    <w:p w14:paraId="36AE34BE" w14:textId="760757CD" w:rsidR="0086586E" w:rsidRPr="00C71FA6" w:rsidRDefault="0096690A" w:rsidP="00923BFC">
      <w:pPr>
        <w:spacing w:before="240" w:after="240" w:line="360" w:lineRule="auto"/>
        <w:jc w:val="center"/>
        <w:rPr>
          <w:rFonts w:eastAsia="Times New Roman"/>
          <w:b/>
          <w:bCs/>
        </w:rPr>
      </w:pPr>
      <w:r w:rsidRPr="00C71FA6">
        <w:rPr>
          <w:rFonts w:eastAsia="Times New Roman"/>
          <w:noProof/>
          <w:lang w:val="en-US" w:eastAsia="en-US"/>
        </w:rPr>
        <w:drawing>
          <wp:inline distT="114300" distB="114300" distL="114300" distR="114300" wp14:anchorId="792B2508" wp14:editId="2A5F36CC">
            <wp:extent cx="4800600" cy="3467100"/>
            <wp:effectExtent l="95250" t="19050" r="381000" b="3810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00876" cy="3467299"/>
                    </a:xfrm>
                    <a:prstGeom prst="rect">
                      <a:avLst/>
                    </a:prstGeom>
                    <a:solidFill>
                      <a:srgbClr val="000000">
                        <a:shade val="95000"/>
                      </a:srgbClr>
                    </a:solidFill>
                    <a:ln w="127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r w:rsidRPr="00C71FA6">
        <w:rPr>
          <w:rFonts w:eastAsia="Times New Roman"/>
        </w:rPr>
        <w:br/>
      </w:r>
      <w:r w:rsidRPr="00C71FA6">
        <w:rPr>
          <w:rFonts w:eastAsia="Times New Roman"/>
          <w:b/>
          <w:bCs/>
        </w:rPr>
        <w:t>Figure 2: Fis</w:t>
      </w:r>
      <w:r w:rsidRPr="00C71FA6">
        <w:rPr>
          <w:rFonts w:eastAsia="Times New Roman"/>
          <w:b/>
          <w:bCs/>
        </w:rPr>
        <w:t>hbone Diagram Illustrating Root Causes of Systemic Failure in the Lucy Letby Case</w:t>
      </w:r>
    </w:p>
    <w:p w14:paraId="542A2A46" w14:textId="77777777" w:rsidR="0086586E" w:rsidRPr="00C71FA6" w:rsidRDefault="0096690A" w:rsidP="00923BFC">
      <w:pPr>
        <w:spacing w:before="240" w:after="240" w:line="360" w:lineRule="auto"/>
        <w:jc w:val="center"/>
        <w:rPr>
          <w:rFonts w:eastAsia="Times New Roman"/>
        </w:rPr>
      </w:pPr>
      <w:r w:rsidRPr="00C71FA6">
        <w:rPr>
          <w:rFonts w:eastAsia="Times New Roman"/>
        </w:rPr>
        <w:t>(Self-Developed)</w:t>
      </w:r>
    </w:p>
    <w:p w14:paraId="70A4A3AE" w14:textId="27CE1E1A" w:rsidR="0086586E" w:rsidRPr="00C71FA6" w:rsidRDefault="00413F51" w:rsidP="00C71FA6">
      <w:pPr>
        <w:spacing w:before="240" w:after="240" w:line="360" w:lineRule="auto"/>
        <w:jc w:val="both"/>
        <w:rPr>
          <w:rFonts w:eastAsia="Times New Roman"/>
        </w:rPr>
      </w:pPr>
      <w:r w:rsidRPr="00C71FA6">
        <w:rPr>
          <w:rFonts w:eastAsia="Times New Roman"/>
        </w:rPr>
        <w:t xml:space="preserve">These issues were further complicated by policy-related failures like inadequate governance practices and absence of whistleblowing protection, which diminished risk responsiveness of organisations. Staffing issues and insufficiency of the safety culture in the provided environmental conditions were an environment where errors could be overlooked. Research evidence revealed that 33.5% of staff had reported errors, near misses or events in the previous month which could have harmed staff and/or patients (Whiteing </w:t>
      </w:r>
      <w:r w:rsidRPr="00C71FA6">
        <w:rPr>
          <w:rFonts w:eastAsia="Times New Roman"/>
          <w:i/>
          <w:iCs/>
        </w:rPr>
        <w:t>et al</w:t>
      </w:r>
      <w:r w:rsidRPr="00C71FA6">
        <w:rPr>
          <w:rFonts w:eastAsia="Times New Roman"/>
        </w:rPr>
        <w:t>. 2023, p.06). Also, inefficient systems and surveillance systems lowered the ability of the organization to detect abnormal clinical trends. All these factors were interrelated and led to a combined breakdown of various safety barriers. This emphasizes the interplay of multidimensional aspects of failure, in which organizational weaknesses worked in dynamism and not in isolation.</w:t>
      </w:r>
    </w:p>
    <w:p w14:paraId="54EBA458" w14:textId="77777777" w:rsidR="0086586E" w:rsidRPr="00C71FA6" w:rsidRDefault="0096690A" w:rsidP="00C71FA6">
      <w:pPr>
        <w:pStyle w:val="Heading2"/>
        <w:spacing w:before="240" w:after="240"/>
        <w:jc w:val="both"/>
        <w:rPr>
          <w:rFonts w:ascii="Arial" w:hAnsi="Arial"/>
          <w:sz w:val="22"/>
          <w:szCs w:val="22"/>
        </w:rPr>
      </w:pPr>
      <w:bookmarkStart w:id="5" w:name="_Toc227248185"/>
      <w:r w:rsidRPr="00C71FA6">
        <w:rPr>
          <w:rFonts w:ascii="Arial" w:hAnsi="Arial"/>
          <w:sz w:val="22"/>
          <w:szCs w:val="22"/>
        </w:rPr>
        <w:lastRenderedPageBreak/>
        <w:t>2.4 PDSA Model</w:t>
      </w:r>
      <w:bookmarkEnd w:id="5"/>
    </w:p>
    <w:p w14:paraId="6F0CB3D6" w14:textId="77777777" w:rsidR="0086586E" w:rsidRPr="00C71FA6" w:rsidRDefault="0096690A" w:rsidP="00C71FA6">
      <w:pPr>
        <w:spacing w:before="240" w:after="240" w:line="360" w:lineRule="auto"/>
        <w:jc w:val="both"/>
        <w:rPr>
          <w:rFonts w:eastAsia="Times New Roman"/>
        </w:rPr>
      </w:pPr>
      <w:r w:rsidRPr="00C71FA6">
        <w:rPr>
          <w:rFonts w:eastAsia="Times New Roman"/>
        </w:rPr>
        <w:t>The</w:t>
      </w:r>
      <w:r w:rsidRPr="00C71FA6">
        <w:rPr>
          <w:rFonts w:eastAsia="Times New Roman"/>
        </w:rPr>
        <w:t xml:space="preserve"> Plan-Do-Study-Act (PDSA) cycle is a cyclical model that has been increasingly popular in primary care as a method of quality improvement to promote systematic testing and refinement of changes in services (Manandi </w:t>
      </w:r>
      <w:r w:rsidRPr="00C71FA6">
        <w:rPr>
          <w:rFonts w:eastAsia="Times New Roman"/>
          <w:i/>
          <w:iCs/>
        </w:rPr>
        <w:t xml:space="preserve">et al. </w:t>
      </w:r>
      <w:r w:rsidRPr="00C71FA6">
        <w:rPr>
          <w:rFonts w:eastAsia="Times New Roman"/>
        </w:rPr>
        <w:t>2023, p.01). It allows organizatio</w:t>
      </w:r>
      <w:r w:rsidRPr="00C71FA6">
        <w:rPr>
          <w:rFonts w:eastAsia="Times New Roman"/>
        </w:rPr>
        <w:t>ns to act upon complex failures by relying on iterative learning and evidence-based decision-making and is therefore quite applicable to tackling systemic failures observed in the Lucy Letby case.</w:t>
      </w:r>
    </w:p>
    <w:p w14:paraId="555BF9D9" w14:textId="77777777" w:rsidR="0086586E" w:rsidRPr="00C71FA6" w:rsidRDefault="0096690A" w:rsidP="001A0834">
      <w:pPr>
        <w:spacing w:before="240" w:after="240" w:line="360" w:lineRule="auto"/>
        <w:jc w:val="center"/>
        <w:rPr>
          <w:rFonts w:eastAsia="Times New Roman"/>
        </w:rPr>
      </w:pPr>
      <w:r w:rsidRPr="00C71FA6">
        <w:rPr>
          <w:rFonts w:eastAsia="Times New Roman"/>
          <w:noProof/>
          <w:lang w:val="en-US" w:eastAsia="en-US"/>
        </w:rPr>
        <w:drawing>
          <wp:inline distT="114300" distB="114300" distL="114300" distR="114300" wp14:anchorId="1F8A1F8D" wp14:editId="6EF9093B">
            <wp:extent cx="3905250" cy="2124075"/>
            <wp:effectExtent l="95250" t="19050" r="381000" b="390525"/>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905597" cy="2124264"/>
                    </a:xfrm>
                    <a:prstGeom prst="rect">
                      <a:avLst/>
                    </a:prstGeom>
                    <a:solidFill>
                      <a:srgbClr val="000000">
                        <a:shade val="95000"/>
                      </a:srgbClr>
                    </a:solidFill>
                    <a:ln w="127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p>
    <w:p w14:paraId="6752A859" w14:textId="77777777" w:rsidR="00923BFC" w:rsidRDefault="0096690A" w:rsidP="001A0834">
      <w:pPr>
        <w:spacing w:before="240" w:after="240" w:line="360" w:lineRule="auto"/>
        <w:jc w:val="center"/>
        <w:rPr>
          <w:rFonts w:eastAsia="Times New Roman"/>
        </w:rPr>
      </w:pPr>
      <w:r w:rsidRPr="00C71FA6">
        <w:rPr>
          <w:rFonts w:eastAsia="Times New Roman"/>
          <w:b/>
          <w:bCs/>
        </w:rPr>
        <w:t>Figure 3: PDSA Model</w:t>
      </w:r>
    </w:p>
    <w:p w14:paraId="448CE342" w14:textId="5A0E07EB" w:rsidR="0086586E" w:rsidRPr="00C71FA6" w:rsidRDefault="0096690A" w:rsidP="001A0834">
      <w:pPr>
        <w:spacing w:before="240" w:after="240" w:line="360" w:lineRule="auto"/>
        <w:jc w:val="center"/>
        <w:rPr>
          <w:rFonts w:eastAsia="Times New Roman"/>
        </w:rPr>
      </w:pPr>
      <w:r w:rsidRPr="00C71FA6">
        <w:rPr>
          <w:rFonts w:eastAsia="Times New Roman"/>
        </w:rPr>
        <w:t xml:space="preserve">(Source: Brown </w:t>
      </w:r>
      <w:r w:rsidRPr="00C71FA6">
        <w:rPr>
          <w:rFonts w:eastAsia="Times New Roman"/>
          <w:i/>
          <w:iCs/>
        </w:rPr>
        <w:t>et al.</w:t>
      </w:r>
      <w:r w:rsidRPr="00C71FA6">
        <w:rPr>
          <w:rFonts w:eastAsia="Times New Roman"/>
        </w:rPr>
        <w:t xml:space="preserve"> 2018, p.02)</w:t>
      </w:r>
    </w:p>
    <w:p w14:paraId="6BF72441" w14:textId="77777777" w:rsidR="0086586E" w:rsidRPr="00C71FA6" w:rsidRDefault="0096690A" w:rsidP="00C71FA6">
      <w:pPr>
        <w:spacing w:before="240" w:after="240" w:line="360" w:lineRule="auto"/>
        <w:jc w:val="both"/>
        <w:rPr>
          <w:rFonts w:eastAsia="Times New Roman"/>
          <w:b/>
          <w:bCs/>
        </w:rPr>
      </w:pPr>
      <w:r w:rsidRPr="00C71FA6">
        <w:rPr>
          <w:rFonts w:eastAsia="Times New Roman"/>
          <w:b/>
          <w:bCs/>
        </w:rPr>
        <w:t xml:space="preserve">Plan: </w:t>
      </w:r>
    </w:p>
    <w:p w14:paraId="19C15BD3" w14:textId="05E37500" w:rsidR="00653A09" w:rsidRPr="00C71FA6" w:rsidRDefault="00413F51" w:rsidP="00C71FA6">
      <w:pPr>
        <w:spacing w:before="240" w:after="240" w:line="360" w:lineRule="auto"/>
        <w:jc w:val="both"/>
        <w:rPr>
          <w:rFonts w:eastAsia="Times New Roman"/>
          <w:b/>
          <w:bCs/>
        </w:rPr>
      </w:pPr>
      <w:r w:rsidRPr="00C71FA6">
        <w:rPr>
          <w:rFonts w:eastAsia="Times New Roman"/>
        </w:rPr>
        <w:t>Enhancing the incident reporting mechanisms, improving whistleblowing policies, strengthening leadership responsibility and offering clear escalation procedures are also enhancement plans during the planning phase. This means that the key to making sure that it is prevented and patient safety is restored in the organization lies in governance and communication failures (Qabool et al., 2022, p.2).</w:t>
      </w:r>
    </w:p>
    <w:p w14:paraId="0336C42F" w14:textId="2023D57A" w:rsidR="0086586E" w:rsidRPr="00C71FA6" w:rsidRDefault="0096690A" w:rsidP="00C71FA6">
      <w:pPr>
        <w:spacing w:before="240" w:after="240" w:line="360" w:lineRule="auto"/>
        <w:jc w:val="both"/>
        <w:rPr>
          <w:rFonts w:eastAsia="Times New Roman"/>
          <w:b/>
          <w:bCs/>
        </w:rPr>
      </w:pPr>
      <w:r w:rsidRPr="00C71FA6">
        <w:rPr>
          <w:rFonts w:eastAsia="Times New Roman"/>
          <w:b/>
          <w:bCs/>
        </w:rPr>
        <w:t>Do:</w:t>
      </w:r>
    </w:p>
    <w:p w14:paraId="6C12A867" w14:textId="77777777" w:rsidR="001A0834" w:rsidRDefault="0096690A" w:rsidP="00C71FA6">
      <w:pPr>
        <w:spacing w:before="240" w:after="240" w:line="360" w:lineRule="auto"/>
        <w:jc w:val="both"/>
        <w:rPr>
          <w:rFonts w:eastAsia="Times New Roman"/>
          <w:b/>
          <w:bCs/>
        </w:rPr>
      </w:pPr>
      <w:r w:rsidRPr="00C71FA6">
        <w:rPr>
          <w:rFonts w:eastAsia="Times New Roman"/>
        </w:rPr>
        <w:t>Doing stage involves the implementation of these strategies within a controlled setting such as the n</w:t>
      </w:r>
      <w:r w:rsidRPr="00C71FA6">
        <w:rPr>
          <w:rFonts w:eastAsia="Times New Roman"/>
        </w:rPr>
        <w:t>eonatal unit. This includes staffing of personnel, changes in reporting structures and increased leadership participation. This allows the organisation to put the interventions into practice and to identify the operational problems and keep the service del</w:t>
      </w:r>
      <w:r w:rsidRPr="00C71FA6">
        <w:rPr>
          <w:rFonts w:eastAsia="Times New Roman"/>
        </w:rPr>
        <w:t>ivery to a minimum.</w:t>
      </w:r>
      <w:r w:rsidRPr="00C71FA6">
        <w:rPr>
          <w:rFonts w:eastAsia="Times New Roman"/>
          <w:b/>
          <w:bCs/>
        </w:rPr>
        <w:br/>
      </w:r>
    </w:p>
    <w:p w14:paraId="6710E835" w14:textId="431DDF77" w:rsidR="0086586E" w:rsidRPr="00C71FA6" w:rsidRDefault="0096690A" w:rsidP="00C71FA6">
      <w:pPr>
        <w:spacing w:before="240" w:after="240" w:line="360" w:lineRule="auto"/>
        <w:jc w:val="both"/>
        <w:rPr>
          <w:rFonts w:eastAsia="Times New Roman"/>
          <w:b/>
          <w:bCs/>
        </w:rPr>
      </w:pPr>
      <w:r w:rsidRPr="00C71FA6">
        <w:rPr>
          <w:rFonts w:eastAsia="Times New Roman"/>
          <w:b/>
          <w:bCs/>
        </w:rPr>
        <w:lastRenderedPageBreak/>
        <w:t>Study:</w:t>
      </w:r>
    </w:p>
    <w:p w14:paraId="0EA92EBF" w14:textId="77777777" w:rsidR="0086586E" w:rsidRPr="00C71FA6" w:rsidRDefault="0096690A" w:rsidP="00C71FA6">
      <w:pPr>
        <w:spacing w:before="240" w:after="240" w:line="360" w:lineRule="auto"/>
        <w:jc w:val="both"/>
        <w:rPr>
          <w:rFonts w:eastAsia="Times New Roman"/>
          <w:b/>
          <w:bCs/>
        </w:rPr>
      </w:pPr>
      <w:r w:rsidRPr="00C71FA6">
        <w:rPr>
          <w:rFonts w:eastAsia="Times New Roman"/>
        </w:rPr>
        <w:t>The study phase involves regular analysis of results, which involves monitoring reporting frequency, response times, and patient safety indicators. One can say that constant monitoring is necessary to check whether implemented c</w:t>
      </w:r>
      <w:r w:rsidRPr="00C71FA6">
        <w:rPr>
          <w:rFonts w:eastAsia="Times New Roman"/>
        </w:rPr>
        <w:t>hanges are effective or not and to reveal any loopholes or unexpected system outcomes.</w:t>
      </w:r>
    </w:p>
    <w:p w14:paraId="0B7318AD" w14:textId="77777777" w:rsidR="0086586E" w:rsidRPr="00C71FA6" w:rsidRDefault="0096690A" w:rsidP="00C71FA6">
      <w:pPr>
        <w:spacing w:before="240" w:after="240" w:line="360" w:lineRule="auto"/>
        <w:jc w:val="both"/>
        <w:rPr>
          <w:rFonts w:eastAsia="Times New Roman"/>
          <w:b/>
          <w:bCs/>
        </w:rPr>
      </w:pPr>
      <w:r w:rsidRPr="00C71FA6">
        <w:rPr>
          <w:rFonts w:eastAsia="Times New Roman"/>
          <w:b/>
          <w:bCs/>
        </w:rPr>
        <w:t xml:space="preserve">Act: </w:t>
      </w:r>
    </w:p>
    <w:p w14:paraId="129DF254" w14:textId="29EC7177" w:rsidR="0086586E" w:rsidRPr="00C71FA6" w:rsidRDefault="0096690A" w:rsidP="00C71FA6">
      <w:pPr>
        <w:spacing w:before="240" w:after="240" w:line="360" w:lineRule="auto"/>
        <w:jc w:val="both"/>
        <w:rPr>
          <w:rFonts w:eastAsia="Times New Roman"/>
        </w:rPr>
      </w:pPr>
      <w:r w:rsidRPr="00C71FA6">
        <w:rPr>
          <w:rFonts w:eastAsia="Times New Roman"/>
        </w:rPr>
        <w:t>Act phase focuses on standardization of effective interventions and scaling of effective interventions across the organization. This highlights the significance of</w:t>
      </w:r>
      <w:r w:rsidRPr="00C71FA6">
        <w:rPr>
          <w:rFonts w:eastAsia="Times New Roman"/>
        </w:rPr>
        <w:t xml:space="preserve"> the working practices in policy and organizational culture in order to make sustainable improvement.</w:t>
      </w:r>
    </w:p>
    <w:p w14:paraId="50662AB3" w14:textId="77777777" w:rsidR="0086586E" w:rsidRPr="00C71FA6" w:rsidRDefault="0096690A" w:rsidP="00C71FA6">
      <w:pPr>
        <w:pStyle w:val="Heading2"/>
        <w:spacing w:before="240" w:after="240"/>
        <w:jc w:val="both"/>
        <w:rPr>
          <w:rFonts w:ascii="Arial" w:hAnsi="Arial"/>
          <w:sz w:val="22"/>
          <w:szCs w:val="22"/>
        </w:rPr>
      </w:pPr>
      <w:bookmarkStart w:id="6" w:name="_Toc227248186"/>
      <w:r w:rsidRPr="00C71FA6">
        <w:rPr>
          <w:rFonts w:ascii="Arial" w:hAnsi="Arial"/>
          <w:sz w:val="22"/>
          <w:szCs w:val="22"/>
        </w:rPr>
        <w:t>2.5 Kotter’s 8 Change Model</w:t>
      </w:r>
      <w:bookmarkEnd w:id="6"/>
    </w:p>
    <w:p w14:paraId="73DBC4C3" w14:textId="77777777" w:rsidR="001612CF" w:rsidRDefault="0096690A" w:rsidP="00C71FA6">
      <w:pPr>
        <w:spacing w:before="240" w:after="240" w:line="360" w:lineRule="auto"/>
        <w:jc w:val="both"/>
        <w:rPr>
          <w:rFonts w:eastAsia="Times New Roman"/>
        </w:rPr>
      </w:pPr>
      <w:r w:rsidRPr="00C71FA6">
        <w:rPr>
          <w:rFonts w:eastAsia="Times New Roman"/>
        </w:rPr>
        <w:t xml:space="preserve">One of the most famous models of implementing sustainable changes into the world of business and government is Kotters 8 step </w:t>
      </w:r>
      <w:r w:rsidRPr="00C71FA6">
        <w:rPr>
          <w:rFonts w:eastAsia="Times New Roman"/>
        </w:rPr>
        <w:t xml:space="preserve">framework created to help resolve the most widespread reasons behind failure in transformation programs (Carreño </w:t>
      </w:r>
      <w:r w:rsidRPr="00C71FA6">
        <w:rPr>
          <w:rFonts w:eastAsia="Times New Roman"/>
          <w:i/>
          <w:iCs/>
        </w:rPr>
        <w:t>et al</w:t>
      </w:r>
      <w:r w:rsidRPr="00C71FA6">
        <w:rPr>
          <w:rFonts w:eastAsia="Times New Roman"/>
        </w:rPr>
        <w:t>. 2024, p.01). It offers a systematic method of resistance mitigation, unity of stakeholders and embedding long-term change, which makes i</w:t>
      </w:r>
      <w:r w:rsidRPr="00C71FA6">
        <w:rPr>
          <w:rFonts w:eastAsia="Times New Roman"/>
        </w:rPr>
        <w:t xml:space="preserve">t very applicable in the context of systemic failures that are present in the Lucy Letby case. Lack of urgency and leadership responsibility in the organisation also helped to perpetuate unsafe practices. </w:t>
      </w:r>
    </w:p>
    <w:p w14:paraId="31780C9B" w14:textId="77777777" w:rsidR="001612CF" w:rsidRDefault="0096690A" w:rsidP="00C71FA6">
      <w:pPr>
        <w:spacing w:before="240" w:after="240" w:line="360" w:lineRule="auto"/>
        <w:jc w:val="both"/>
        <w:rPr>
          <w:rFonts w:eastAsia="Times New Roman"/>
        </w:rPr>
      </w:pPr>
      <w:r w:rsidRPr="00C71FA6">
        <w:rPr>
          <w:rFonts w:eastAsia="Times New Roman"/>
        </w:rPr>
        <w:t xml:space="preserve">This underscores the lack of translation of early </w:t>
      </w:r>
      <w:r w:rsidRPr="00C71FA6">
        <w:rPr>
          <w:rFonts w:eastAsia="Times New Roman"/>
        </w:rPr>
        <w:t xml:space="preserve">warning signs into action. To align organisational priorities and increase accountability, it is necessary to develop and communicate a clear vision that is patient-focused and based on a zero-harm </w:t>
      </w:r>
      <w:r w:rsidR="00653A09" w:rsidRPr="00C71FA6">
        <w:rPr>
          <w:rFonts w:eastAsia="Times New Roman"/>
        </w:rPr>
        <w:t>culture. Moreover</w:t>
      </w:r>
      <w:r w:rsidRPr="00C71FA6">
        <w:rPr>
          <w:rFonts w:eastAsia="Times New Roman"/>
        </w:rPr>
        <w:t>, effective change involves empowering the staff such that they are not afraid to take action against them. This implies that the absence of barriers, such as poor whistleblowing provisions, would lead to open communication and escalation of risks in time.</w:t>
      </w:r>
      <w:r w:rsidRPr="00C71FA6">
        <w:rPr>
          <w:rFonts w:eastAsia="Times New Roman"/>
        </w:rPr>
        <w:t xml:space="preserve"> </w:t>
      </w:r>
      <w:r w:rsidR="00413F51" w:rsidRPr="00C71FA6">
        <w:rPr>
          <w:rFonts w:eastAsia="Times New Roman"/>
        </w:rPr>
        <w:t xml:space="preserve">Quick wins such as the increase in the incident reporting and response times can assist in developing a feeling of confidence in the change process and demonstrate actual progress. </w:t>
      </w:r>
    </w:p>
    <w:p w14:paraId="7A80F8FA" w14:textId="4DD4A5D7" w:rsidR="0086586E" w:rsidRPr="00C71FA6" w:rsidRDefault="00413F51" w:rsidP="00C71FA6">
      <w:pPr>
        <w:spacing w:before="240" w:after="240" w:line="360" w:lineRule="auto"/>
        <w:jc w:val="both"/>
        <w:rPr>
          <w:rFonts w:eastAsia="Times New Roman"/>
        </w:rPr>
      </w:pPr>
      <w:r w:rsidRPr="00C71FA6">
        <w:rPr>
          <w:rFonts w:eastAsia="Times New Roman"/>
        </w:rPr>
        <w:t xml:space="preserve">It will be important to sustain the momentum by engaging in constant improvement activities so that the changes are not merely seen as a </w:t>
      </w:r>
      <w:r w:rsidR="003C4255" w:rsidRPr="00C71FA6">
        <w:rPr>
          <w:rFonts w:eastAsia="Times New Roman"/>
        </w:rPr>
        <w:t>quick fix</w:t>
      </w:r>
      <w:r w:rsidRPr="00C71FA6">
        <w:rPr>
          <w:rFonts w:eastAsia="Times New Roman"/>
        </w:rPr>
        <w:t xml:space="preserve">. Lastly, such changes need to be anchored on the organisational culture to ensure success in the long run. This leads to the fact that failure of the systems in the case was not solely founded on the absence of procedures but also of the cultural negative aspects (Dahmen, 2023, p.285). The model by Kotter thus covers both the behavioural and structural aspects of </w:t>
      </w:r>
      <w:r w:rsidR="00054CDD" w:rsidRPr="00C71FA6">
        <w:rPr>
          <w:rFonts w:eastAsia="Times New Roman"/>
        </w:rPr>
        <w:t>change and</w:t>
      </w:r>
      <w:r w:rsidRPr="00C71FA6">
        <w:rPr>
          <w:rFonts w:eastAsia="Times New Roman"/>
        </w:rPr>
        <w:t xml:space="preserve"> makes the change accountable to the leadership as the means of patient safety improvement.</w:t>
      </w:r>
    </w:p>
    <w:p w14:paraId="40DC9ADD" w14:textId="77777777" w:rsidR="0086586E" w:rsidRPr="00C71FA6" w:rsidRDefault="0096690A" w:rsidP="008030FC">
      <w:pPr>
        <w:spacing w:before="240" w:after="240" w:line="360" w:lineRule="auto"/>
        <w:jc w:val="center"/>
        <w:rPr>
          <w:rFonts w:eastAsia="Times New Roman"/>
        </w:rPr>
      </w:pPr>
      <w:r w:rsidRPr="00C71FA6">
        <w:rPr>
          <w:rFonts w:eastAsia="Times New Roman"/>
          <w:noProof/>
          <w:lang w:val="en-US" w:eastAsia="en-US"/>
        </w:rPr>
        <w:lastRenderedPageBreak/>
        <w:drawing>
          <wp:inline distT="114300" distB="114300" distL="114300" distR="114300" wp14:anchorId="590E21E6" wp14:editId="7352374B">
            <wp:extent cx="4645025" cy="2235200"/>
            <wp:effectExtent l="95250" t="19050" r="384175" b="3746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645294" cy="2235329"/>
                    </a:xfrm>
                    <a:prstGeom prst="rect">
                      <a:avLst/>
                    </a:prstGeom>
                    <a:solidFill>
                      <a:srgbClr val="000000">
                        <a:shade val="95000"/>
                      </a:srgbClr>
                    </a:solidFill>
                    <a:ln w="127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p>
    <w:p w14:paraId="6A2DD67E" w14:textId="77777777" w:rsidR="0086586E" w:rsidRPr="00C71FA6" w:rsidRDefault="0096690A" w:rsidP="008030FC">
      <w:pPr>
        <w:spacing w:before="240" w:after="240" w:line="360" w:lineRule="auto"/>
        <w:jc w:val="center"/>
        <w:rPr>
          <w:rFonts w:eastAsia="Times New Roman"/>
          <w:b/>
          <w:bCs/>
        </w:rPr>
      </w:pPr>
      <w:r w:rsidRPr="00C71FA6">
        <w:rPr>
          <w:rFonts w:eastAsia="Times New Roman"/>
          <w:b/>
          <w:bCs/>
        </w:rPr>
        <w:t>Figure 4: Kotter’s 8 Change Model</w:t>
      </w:r>
    </w:p>
    <w:p w14:paraId="7B8A812D" w14:textId="4F8A8188" w:rsidR="00663D8E" w:rsidRPr="00C71FA6" w:rsidRDefault="0096690A" w:rsidP="008030FC">
      <w:pPr>
        <w:spacing w:before="240" w:after="240" w:line="360" w:lineRule="auto"/>
        <w:jc w:val="center"/>
        <w:rPr>
          <w:rFonts w:eastAsia="Times New Roman"/>
        </w:rPr>
      </w:pPr>
      <w:r w:rsidRPr="00C71FA6">
        <w:rPr>
          <w:rFonts w:eastAsia="Times New Roman"/>
        </w:rPr>
        <w:t xml:space="preserve">(Source: Ha </w:t>
      </w:r>
      <w:r w:rsidRPr="00C71FA6">
        <w:rPr>
          <w:rFonts w:eastAsia="Times New Roman"/>
          <w:i/>
          <w:iCs/>
        </w:rPr>
        <w:t>et al.</w:t>
      </w:r>
      <w:r w:rsidRPr="00C71FA6">
        <w:rPr>
          <w:rFonts w:eastAsia="Times New Roman"/>
        </w:rPr>
        <w:t xml:space="preserve"> 2024, p. 83)</w:t>
      </w:r>
    </w:p>
    <w:p w14:paraId="2831EADE" w14:textId="77777777" w:rsidR="00663D8E" w:rsidRPr="00C71FA6" w:rsidRDefault="00663D8E" w:rsidP="00C71FA6">
      <w:pPr>
        <w:pStyle w:val="Heading1"/>
        <w:spacing w:before="240" w:after="240" w:line="360" w:lineRule="auto"/>
        <w:jc w:val="both"/>
        <w:rPr>
          <w:rFonts w:ascii="Arial" w:hAnsi="Arial"/>
          <w:sz w:val="22"/>
          <w:szCs w:val="22"/>
        </w:rPr>
      </w:pPr>
      <w:bookmarkStart w:id="7" w:name="_Toc227248187"/>
      <w:r w:rsidRPr="00C71FA6">
        <w:rPr>
          <w:rFonts w:ascii="Arial" w:hAnsi="Arial"/>
          <w:sz w:val="22"/>
          <w:szCs w:val="22"/>
        </w:rPr>
        <w:t>3. Recommendation</w:t>
      </w:r>
      <w:bookmarkEnd w:id="7"/>
    </w:p>
    <w:p w14:paraId="4E113D94" w14:textId="77777777" w:rsidR="00663D8E" w:rsidRPr="00C71FA6" w:rsidRDefault="00663D8E" w:rsidP="00C71FA6">
      <w:pPr>
        <w:pStyle w:val="Heading2"/>
        <w:spacing w:before="240" w:after="240"/>
        <w:jc w:val="both"/>
        <w:rPr>
          <w:rFonts w:ascii="Arial" w:hAnsi="Arial"/>
          <w:sz w:val="22"/>
          <w:szCs w:val="22"/>
        </w:rPr>
      </w:pPr>
      <w:bookmarkStart w:id="8" w:name="_Toc227248188"/>
      <w:r w:rsidRPr="00C71FA6">
        <w:rPr>
          <w:rFonts w:ascii="Arial" w:hAnsi="Arial"/>
          <w:sz w:val="22"/>
          <w:szCs w:val="22"/>
        </w:rPr>
        <w:t>3.1 Redesign of Incident Reporting and Escalation Systems (PDSA Approach)</w:t>
      </w:r>
      <w:bookmarkEnd w:id="8"/>
    </w:p>
    <w:p w14:paraId="04ABF3E0" w14:textId="77777777" w:rsidR="008030FC" w:rsidRDefault="009D7137" w:rsidP="00C71FA6">
      <w:pPr>
        <w:spacing w:before="240" w:after="240" w:line="360" w:lineRule="auto"/>
        <w:jc w:val="both"/>
        <w:rPr>
          <w:rFonts w:eastAsia="Times New Roman"/>
        </w:rPr>
      </w:pPr>
      <w:r w:rsidRPr="00C71FA6">
        <w:rPr>
          <w:rFonts w:eastAsia="Times New Roman"/>
        </w:rPr>
        <w:t xml:space="preserve">The analysis of systemic failures in the neonatal unit shows a critical weakness in the incident reporting, leadership accountability, organisational culture, and workforce capacity. </w:t>
      </w:r>
      <w:r w:rsidR="00207EE0" w:rsidRPr="00C71FA6">
        <w:rPr>
          <w:rFonts w:eastAsia="Times New Roman"/>
        </w:rPr>
        <w:t>These failures were interrelated and reflect endemic cultural in the healthcare system. To solve these problems, they need to be addressed in an evidence-based fashion, through deployment of quality improvement methodologies, including PDSA, PDCA, LEAN, and Six Sigma (Barr and Brannan, 2024).</w:t>
      </w:r>
      <w:r w:rsidR="00B11066" w:rsidRPr="00C71FA6">
        <w:rPr>
          <w:rFonts w:eastAsia="Times New Roman"/>
        </w:rPr>
        <w:t xml:space="preserve"> </w:t>
      </w:r>
      <w:r w:rsidR="00663D8E" w:rsidRPr="00C71FA6">
        <w:rPr>
          <w:rFonts w:eastAsia="Times New Roman"/>
        </w:rPr>
        <w:t xml:space="preserve">One of the most significant failures identified was the ineffective incident reporting system that delayed the recognition of abnormal clinical patterns and hampered the timely intervention. Organisations should adopt the Plan-Do-Study-Act (PDSA) cycle to redesign reporting mechanisms. Healthcare organisations must implement a standardised digital reporting system in the planning phase (Rehman </w:t>
      </w:r>
      <w:r w:rsidR="00663D8E" w:rsidRPr="00C71FA6">
        <w:rPr>
          <w:rFonts w:eastAsia="Times New Roman"/>
          <w:i/>
          <w:iCs/>
        </w:rPr>
        <w:t>et al.</w:t>
      </w:r>
      <w:r w:rsidR="00663D8E" w:rsidRPr="00C71FA6">
        <w:rPr>
          <w:rFonts w:eastAsia="Times New Roman"/>
        </w:rPr>
        <w:t xml:space="preserve">, 2024, p.6). This system assists in real-time documentation of adverse events, unusual clinical trends, and near misses. Clear escalation thresholds need to be defined that specify incidents must be immediately reviewed by senior clinicians and management. </w:t>
      </w:r>
    </w:p>
    <w:p w14:paraId="06743B06" w14:textId="18279981" w:rsidR="00663D8E" w:rsidRPr="00C71FA6" w:rsidRDefault="00663D8E" w:rsidP="00C71FA6">
      <w:pPr>
        <w:spacing w:before="240" w:after="240" w:line="360" w:lineRule="auto"/>
        <w:jc w:val="both"/>
        <w:rPr>
          <w:rFonts w:eastAsia="Times New Roman"/>
        </w:rPr>
      </w:pPr>
      <w:r w:rsidRPr="00C71FA6">
        <w:rPr>
          <w:rFonts w:eastAsia="Times New Roman"/>
        </w:rPr>
        <w:t xml:space="preserve">During the phase of </w:t>
      </w:r>
      <w:r w:rsidR="00B46F37" w:rsidRPr="00C71FA6">
        <w:rPr>
          <w:rFonts w:eastAsia="Times New Roman"/>
        </w:rPr>
        <w:t>implementation,</w:t>
      </w:r>
      <w:r w:rsidRPr="00C71FA6">
        <w:rPr>
          <w:rFonts w:eastAsia="Times New Roman"/>
        </w:rPr>
        <w:t xml:space="preserve"> the system needs to be piloted in higher-risk areas such as intensive care units (Chheda </w:t>
      </w:r>
      <w:r w:rsidRPr="00C71FA6">
        <w:rPr>
          <w:rFonts w:eastAsia="Times New Roman"/>
          <w:i/>
          <w:iCs/>
        </w:rPr>
        <w:t>et al</w:t>
      </w:r>
      <w:r w:rsidRPr="00C71FA6">
        <w:rPr>
          <w:rFonts w:eastAsia="Times New Roman"/>
        </w:rPr>
        <w:t xml:space="preserve">., 2023, p.51). </w:t>
      </w:r>
      <w:r w:rsidR="00413F51" w:rsidRPr="00C71FA6">
        <w:rPr>
          <w:rFonts w:eastAsia="Times New Roman"/>
        </w:rPr>
        <w:t xml:space="preserve">The indicators of performance in the study phase need to be tracked that include the response time, reporting phase, and compliance with the escalation phase. This enables organisations to assess the effectiveness of the system in capturing and responding to risks. Successful interventions need to be standardised </w:t>
      </w:r>
      <w:r w:rsidR="00413F51" w:rsidRPr="00C71FA6">
        <w:rPr>
          <w:rFonts w:eastAsia="Times New Roman"/>
        </w:rPr>
        <w:lastRenderedPageBreak/>
        <w:t>and scaled across the organisation in the act phase (Saad and Alsada, 2025, p.103). The constant monitoring will keep the reporting system being responsive and in line with patient safety goals.</w:t>
      </w:r>
    </w:p>
    <w:p w14:paraId="34090A01" w14:textId="77777777" w:rsidR="00663D8E" w:rsidRPr="00C71FA6" w:rsidRDefault="00663D8E" w:rsidP="00C71FA6">
      <w:pPr>
        <w:pStyle w:val="Heading2"/>
        <w:spacing w:before="240" w:after="240"/>
        <w:jc w:val="both"/>
        <w:rPr>
          <w:rFonts w:ascii="Arial" w:hAnsi="Arial"/>
          <w:sz w:val="22"/>
          <w:szCs w:val="22"/>
        </w:rPr>
      </w:pPr>
      <w:bookmarkStart w:id="9" w:name="_Toc227248189"/>
      <w:r w:rsidRPr="00C71FA6">
        <w:rPr>
          <w:rFonts w:ascii="Arial" w:hAnsi="Arial"/>
          <w:sz w:val="22"/>
          <w:szCs w:val="22"/>
        </w:rPr>
        <w:t>3.2. Strengthening Leadership Accountability and Clinical Governance (PDCA Model)</w:t>
      </w:r>
      <w:bookmarkEnd w:id="9"/>
    </w:p>
    <w:p w14:paraId="4A897610" w14:textId="77777777" w:rsidR="00F62CE8" w:rsidRDefault="002007ED" w:rsidP="00C71FA6">
      <w:pPr>
        <w:spacing w:before="240" w:after="240" w:line="360" w:lineRule="auto"/>
        <w:jc w:val="both"/>
        <w:rPr>
          <w:rFonts w:eastAsia="Times New Roman"/>
        </w:rPr>
      </w:pPr>
      <w:r w:rsidRPr="00C71FA6">
        <w:rPr>
          <w:rFonts w:eastAsia="Times New Roman"/>
        </w:rPr>
        <w:t xml:space="preserve">The issue of leadership failure was one of the key factors in the case and clinic warnings were not followed up. The PDCA model would offer an organized approach to improve the governance and accountability. Organisations should have clear governance structure that outlines the roles of leadership in patient safety like the decision-making on escalation and the obligatory review of incident reports (Fei, 2025, p.70). </w:t>
      </w:r>
      <w:r w:rsidR="00207EE0" w:rsidRPr="00C71FA6">
        <w:rPr>
          <w:rFonts w:eastAsia="Times New Roman"/>
        </w:rPr>
        <w:t xml:space="preserve">Each level should have accountability of the roles and responsibilities. Do stage involves regular safety conference, official line of escalation and review of the case by over one discipline (Chen </w:t>
      </w:r>
      <w:r w:rsidR="00207EE0" w:rsidRPr="00C71FA6">
        <w:rPr>
          <w:rFonts w:eastAsia="Times New Roman"/>
          <w:i/>
          <w:iCs/>
        </w:rPr>
        <w:t>et al</w:t>
      </w:r>
      <w:r w:rsidR="00207EE0" w:rsidRPr="00C71FA6">
        <w:rPr>
          <w:rFonts w:eastAsia="Times New Roman"/>
        </w:rPr>
        <w:t xml:space="preserve">., 2024, p.4). </w:t>
      </w:r>
    </w:p>
    <w:p w14:paraId="59D1A460" w14:textId="6DAC6486" w:rsidR="00663D8E" w:rsidRPr="00C71FA6" w:rsidRDefault="00207EE0" w:rsidP="00C71FA6">
      <w:pPr>
        <w:spacing w:before="240" w:after="240" w:line="360" w:lineRule="auto"/>
        <w:jc w:val="both"/>
        <w:rPr>
          <w:rFonts w:eastAsia="Times New Roman"/>
        </w:rPr>
      </w:pPr>
      <w:r w:rsidRPr="00C71FA6">
        <w:rPr>
          <w:rFonts w:eastAsia="Times New Roman"/>
        </w:rPr>
        <w:t>The review of the safety data should actively engage the leadership and prompt decisions should be made.</w:t>
      </w:r>
      <w:r w:rsidR="000C54EF" w:rsidRPr="00C71FA6">
        <w:rPr>
          <w:rFonts w:eastAsia="Times New Roman"/>
        </w:rPr>
        <w:t xml:space="preserve"> During</w:t>
      </w:r>
      <w:r w:rsidR="002007ED" w:rsidRPr="00C71FA6">
        <w:rPr>
          <w:rFonts w:eastAsia="Times New Roman"/>
        </w:rPr>
        <w:t xml:space="preserve"> the check phase, audits ought to analyze the leadership responsiveness and </w:t>
      </w:r>
      <w:r w:rsidRPr="00C71FA6">
        <w:rPr>
          <w:rFonts w:eastAsia="Times New Roman"/>
        </w:rPr>
        <w:t>decision-making</w:t>
      </w:r>
      <w:r w:rsidR="002007ED" w:rsidRPr="00C71FA6">
        <w:rPr>
          <w:rFonts w:eastAsia="Times New Roman"/>
        </w:rPr>
        <w:t xml:space="preserve"> </w:t>
      </w:r>
      <w:r w:rsidR="00487EC3" w:rsidRPr="00C71FA6">
        <w:rPr>
          <w:rFonts w:eastAsia="Times New Roman"/>
        </w:rPr>
        <w:t>timelines</w:t>
      </w:r>
      <w:r w:rsidR="002007ED" w:rsidRPr="00C71FA6">
        <w:rPr>
          <w:rFonts w:eastAsia="Times New Roman"/>
        </w:rPr>
        <w:t xml:space="preserve">. The performance measures should also incorporate the response time to incidences and intervention effectiveness (Zhong </w:t>
      </w:r>
      <w:r w:rsidR="002007ED" w:rsidRPr="00C71FA6">
        <w:rPr>
          <w:rFonts w:eastAsia="Times New Roman"/>
          <w:i/>
          <w:iCs/>
        </w:rPr>
        <w:t>et al</w:t>
      </w:r>
      <w:r w:rsidR="002007ED" w:rsidRPr="00C71FA6">
        <w:rPr>
          <w:rFonts w:eastAsia="Times New Roman"/>
        </w:rPr>
        <w:t xml:space="preserve">., 2023, p.3). Act phase concentrates on disciplinary action and related with corrective action, leadership training and performance evaluation. By embracing the concept of accountability in the governance frameworks, the instances of leadership failure will not betray patient safety (Avilés </w:t>
      </w:r>
      <w:r w:rsidR="002007ED" w:rsidRPr="00C71FA6">
        <w:rPr>
          <w:rFonts w:eastAsia="Times New Roman"/>
          <w:i/>
          <w:iCs/>
        </w:rPr>
        <w:t>et al.,</w:t>
      </w:r>
      <w:r w:rsidR="002007ED" w:rsidRPr="00C71FA6">
        <w:rPr>
          <w:rFonts w:eastAsia="Times New Roman"/>
        </w:rPr>
        <w:t xml:space="preserve"> 2024, p.25).</w:t>
      </w:r>
    </w:p>
    <w:p w14:paraId="5A9BD2D0" w14:textId="77777777" w:rsidR="00663D8E" w:rsidRPr="00C71FA6" w:rsidRDefault="00663D8E" w:rsidP="00C71FA6">
      <w:pPr>
        <w:pStyle w:val="Heading2"/>
        <w:spacing w:before="240" w:after="240"/>
        <w:jc w:val="both"/>
        <w:rPr>
          <w:rFonts w:ascii="Arial" w:hAnsi="Arial"/>
          <w:sz w:val="22"/>
          <w:szCs w:val="22"/>
        </w:rPr>
      </w:pPr>
      <w:bookmarkStart w:id="10" w:name="_Toc227248190"/>
      <w:r w:rsidRPr="00C71FA6">
        <w:rPr>
          <w:rFonts w:ascii="Arial" w:hAnsi="Arial"/>
          <w:sz w:val="22"/>
          <w:szCs w:val="22"/>
        </w:rPr>
        <w:t>3.3 Developing a Just Culture and Strengthening Whistleblowing Mechanisms (Lean Principles)</w:t>
      </w:r>
      <w:bookmarkEnd w:id="10"/>
    </w:p>
    <w:p w14:paraId="26F34A88" w14:textId="7B38522F" w:rsidR="00663D8E" w:rsidRPr="00C71FA6" w:rsidRDefault="002007ED" w:rsidP="00C71FA6">
      <w:pPr>
        <w:spacing w:before="240" w:after="240" w:line="360" w:lineRule="auto"/>
        <w:jc w:val="both"/>
        <w:rPr>
          <w:rFonts w:eastAsia="Times New Roman"/>
        </w:rPr>
      </w:pPr>
      <w:r w:rsidRPr="00C71FA6">
        <w:rPr>
          <w:rFonts w:eastAsia="Times New Roman"/>
        </w:rPr>
        <w:t xml:space="preserve">Fear and silence were a major factor that led to the inability to raise issues. Lean can be used to eradicate any inefficiency within the organisation and inculcate a culture of transparency. Healthcare organisations must employ a just culture and employees are urged to approach with concerns as they are not afraid of being blamed (Talero </w:t>
      </w:r>
      <w:r w:rsidRPr="00C71FA6">
        <w:rPr>
          <w:rFonts w:eastAsia="Times New Roman"/>
          <w:i/>
          <w:iCs/>
        </w:rPr>
        <w:t>et al.,</w:t>
      </w:r>
      <w:r w:rsidRPr="00C71FA6">
        <w:rPr>
          <w:rFonts w:eastAsia="Times New Roman"/>
        </w:rPr>
        <w:t xml:space="preserve"> 2024, p.2). This approach should be supported by implementing anonymous reporting systems and strong whistleblowing protection (Vian </w:t>
      </w:r>
      <w:r w:rsidRPr="00C71FA6">
        <w:rPr>
          <w:rFonts w:eastAsia="Times New Roman"/>
          <w:i/>
          <w:iCs/>
        </w:rPr>
        <w:t>et al.,</w:t>
      </w:r>
      <w:r w:rsidRPr="00C71FA6">
        <w:rPr>
          <w:rFonts w:eastAsia="Times New Roman"/>
        </w:rPr>
        <w:t xml:space="preserve"> 2022, p.4). Lean thinking is also focused on eliminating non-value-added activities like bureaucracies and hierarchical communications (Aurelija et al., 2024, p.519). Motivating inter-disciplinary cooperation and facilitating communication channels can go a long way in increasing responsiveness to safety issues. Periodical staff engagement and safety briefings as well as feedback systems must be implemented (Naughton et al., 2024, p.4).</w:t>
      </w:r>
    </w:p>
    <w:p w14:paraId="5E7F1C7F" w14:textId="77777777" w:rsidR="00663D8E" w:rsidRPr="00C71FA6" w:rsidRDefault="00663D8E" w:rsidP="00C71FA6">
      <w:pPr>
        <w:pStyle w:val="Heading2"/>
        <w:spacing w:before="240" w:after="240"/>
        <w:jc w:val="both"/>
        <w:rPr>
          <w:rFonts w:ascii="Arial" w:hAnsi="Arial"/>
          <w:sz w:val="22"/>
          <w:szCs w:val="22"/>
        </w:rPr>
      </w:pPr>
      <w:bookmarkStart w:id="11" w:name="_Toc227248191"/>
      <w:r w:rsidRPr="00C71FA6">
        <w:rPr>
          <w:rFonts w:ascii="Arial" w:hAnsi="Arial"/>
          <w:sz w:val="22"/>
          <w:szCs w:val="22"/>
        </w:rPr>
        <w:lastRenderedPageBreak/>
        <w:t>3.4 Implementation of Data-Driven Monitoring and Early Warning Systems (Six Sigma Approach)</w:t>
      </w:r>
      <w:bookmarkEnd w:id="11"/>
    </w:p>
    <w:p w14:paraId="27E72F2C" w14:textId="77777777" w:rsidR="00B9496B" w:rsidRDefault="002007ED" w:rsidP="00C71FA6">
      <w:pPr>
        <w:spacing w:before="240" w:after="240" w:line="360" w:lineRule="auto"/>
        <w:jc w:val="both"/>
        <w:rPr>
          <w:rFonts w:eastAsia="Times New Roman"/>
        </w:rPr>
      </w:pPr>
      <w:r w:rsidRPr="00C71FA6">
        <w:rPr>
          <w:rFonts w:eastAsia="Times New Roman"/>
        </w:rPr>
        <w:t xml:space="preserve">Lack of detection of symptoms of abnormal clinical patterns like high rates of mortality was a major failure in the case. </w:t>
      </w:r>
      <w:r w:rsidR="00207EE0" w:rsidRPr="00C71FA6">
        <w:rPr>
          <w:rFonts w:eastAsia="Times New Roman"/>
        </w:rPr>
        <w:t xml:space="preserve">Six Sigma is an effective, fact-oriented framework to improve the quality and reduce variability in healthcare. The cross-functional approach of DMAIC (Define, Measure, Analyse, Improve, Control) can help organisations to improve clinical monitoring systems (Mansur </w:t>
      </w:r>
      <w:r w:rsidR="00207EE0" w:rsidRPr="00C71FA6">
        <w:rPr>
          <w:rFonts w:eastAsia="Times New Roman"/>
          <w:i/>
          <w:iCs/>
        </w:rPr>
        <w:t>et al.,</w:t>
      </w:r>
      <w:r w:rsidR="00207EE0" w:rsidRPr="00C71FA6">
        <w:rPr>
          <w:rFonts w:eastAsia="Times New Roman"/>
        </w:rPr>
        <w:t xml:space="preserve"> 2022, p.216). </w:t>
      </w:r>
      <w:r w:rsidRPr="00C71FA6">
        <w:rPr>
          <w:rFonts w:eastAsia="Times New Roman"/>
        </w:rPr>
        <w:t>During the define phase, the important safety indicators, including but not limited to neonatal mortality rates, adverse clinical events, and abnormal patient outcomes are established to determine the extent of the issue (Monday, 2022, p.45).</w:t>
      </w:r>
      <w:r w:rsidR="00663D8E" w:rsidRPr="00C71FA6">
        <w:rPr>
          <w:rFonts w:eastAsia="Times New Roman"/>
        </w:rPr>
        <w:t xml:space="preserve"> </w:t>
      </w:r>
    </w:p>
    <w:p w14:paraId="4D750CDA" w14:textId="0EB77D28" w:rsidR="00663D8E" w:rsidRPr="00C71FA6" w:rsidRDefault="00663D8E" w:rsidP="00C71FA6">
      <w:pPr>
        <w:spacing w:before="240" w:after="240" w:line="360" w:lineRule="auto"/>
        <w:jc w:val="both"/>
        <w:rPr>
          <w:rFonts w:eastAsia="Times New Roman"/>
        </w:rPr>
      </w:pPr>
      <w:r w:rsidRPr="00C71FA6">
        <w:rPr>
          <w:rFonts w:eastAsia="Times New Roman"/>
        </w:rPr>
        <w:t xml:space="preserve">This is then succeeded by the measure </w:t>
      </w:r>
      <w:r w:rsidR="00B669CE" w:rsidRPr="00C71FA6">
        <w:rPr>
          <w:rFonts w:eastAsia="Times New Roman"/>
        </w:rPr>
        <w:t>phase;</w:t>
      </w:r>
      <w:r w:rsidRPr="00C71FA6">
        <w:rPr>
          <w:rFonts w:eastAsia="Times New Roman"/>
        </w:rPr>
        <w:t xml:space="preserve"> whereby correct and real-time data are gathered systematically using electronic health records and clinical monitoring systems to avoid uncertainties. During the analysis step statistical methods are used to analyse the data, which allows to establish trends, any anomalies, and the root causes of variation in clinical outcomes (Tlapa </w:t>
      </w:r>
      <w:r w:rsidRPr="00C71FA6">
        <w:rPr>
          <w:rFonts w:eastAsia="Times New Roman"/>
          <w:i/>
          <w:iCs/>
        </w:rPr>
        <w:t xml:space="preserve">et al., </w:t>
      </w:r>
      <w:r w:rsidRPr="00C71FA6">
        <w:rPr>
          <w:rFonts w:eastAsia="Times New Roman"/>
        </w:rPr>
        <w:t xml:space="preserve">2022, p.3). With the help of these insights, the improvement phase is dedicated to the introduction of specific interventions such as improved surveillance measures, staffing changes, and process improvements that could help mitigate the risks (Clark </w:t>
      </w:r>
      <w:r w:rsidRPr="00C71FA6">
        <w:rPr>
          <w:rFonts w:eastAsia="Times New Roman"/>
          <w:i/>
          <w:iCs/>
        </w:rPr>
        <w:t>et al.</w:t>
      </w:r>
      <w:r w:rsidRPr="00C71FA6">
        <w:rPr>
          <w:rFonts w:eastAsia="Times New Roman"/>
        </w:rPr>
        <w:t>, 2024, p.5). Lastly, the control phase is used to stabilise long-term sustainability by having systems of continuous monitoring, performance dashboards, and frequent audits to sustain the improvements and to ensure that failures in safety do not recur.</w:t>
      </w:r>
    </w:p>
    <w:p w14:paraId="1E7AE36F" w14:textId="25BAD4FA" w:rsidR="00663D8E" w:rsidRPr="00C71FA6" w:rsidRDefault="00663D8E" w:rsidP="00C71FA6">
      <w:pPr>
        <w:spacing w:before="240" w:after="240" w:line="360" w:lineRule="auto"/>
        <w:jc w:val="both"/>
        <w:rPr>
          <w:rFonts w:eastAsia="Times New Roman"/>
          <w:b/>
          <w:bCs/>
        </w:rPr>
      </w:pPr>
      <w:r w:rsidRPr="00C71FA6">
        <w:rPr>
          <w:rFonts w:eastAsia="Times New Roman"/>
          <w:b/>
          <w:bCs/>
        </w:rPr>
        <w:t>Table 2: Benchmark Table</w:t>
      </w:r>
    </w:p>
    <w:tbl>
      <w:tblPr>
        <w:tblW w:w="0" w:type="auto"/>
        <w:tblCellMar>
          <w:top w:w="15" w:type="dxa"/>
          <w:left w:w="15" w:type="dxa"/>
          <w:bottom w:w="15" w:type="dxa"/>
          <w:right w:w="15" w:type="dxa"/>
        </w:tblCellMar>
        <w:tblLook w:val="04A0" w:firstRow="1" w:lastRow="0" w:firstColumn="1" w:lastColumn="0" w:noHBand="0" w:noVBand="1"/>
      </w:tblPr>
      <w:tblGrid>
        <w:gridCol w:w="1799"/>
        <w:gridCol w:w="1910"/>
        <w:gridCol w:w="2055"/>
        <w:gridCol w:w="2122"/>
        <w:gridCol w:w="1127"/>
      </w:tblGrid>
      <w:tr w:rsidR="00663D8E" w:rsidRPr="00C71FA6" w14:paraId="783BA744" w14:textId="77777777">
        <w:trPr>
          <w:trHeight w:val="84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73E3CD" w14:textId="77777777" w:rsidR="00663D8E" w:rsidRPr="00C71FA6" w:rsidRDefault="00663D8E" w:rsidP="00C71FA6">
            <w:pPr>
              <w:spacing w:before="240" w:after="240" w:line="360" w:lineRule="auto"/>
              <w:jc w:val="both"/>
              <w:rPr>
                <w:rFonts w:eastAsia="Times New Roman"/>
              </w:rPr>
            </w:pPr>
            <w:r w:rsidRPr="00C71FA6">
              <w:rPr>
                <w:rFonts w:eastAsia="Times New Roman"/>
                <w:b/>
                <w:bCs/>
              </w:rPr>
              <w:t>Area of Failure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F71E71" w14:textId="77777777" w:rsidR="00663D8E" w:rsidRPr="00C71FA6" w:rsidRDefault="00663D8E" w:rsidP="00C71FA6">
            <w:pPr>
              <w:spacing w:before="240" w:after="240" w:line="360" w:lineRule="auto"/>
              <w:jc w:val="both"/>
              <w:rPr>
                <w:rFonts w:eastAsia="Times New Roman"/>
              </w:rPr>
            </w:pPr>
            <w:r w:rsidRPr="00C71FA6">
              <w:rPr>
                <w:rFonts w:eastAsia="Times New Roman"/>
                <w:b/>
                <w:bCs/>
              </w:rPr>
              <w:t>Current Gap Identified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57AF57" w14:textId="77777777" w:rsidR="00663D8E" w:rsidRPr="00C71FA6" w:rsidRDefault="00663D8E" w:rsidP="00C71FA6">
            <w:pPr>
              <w:spacing w:before="240" w:after="240" w:line="360" w:lineRule="auto"/>
              <w:jc w:val="both"/>
              <w:rPr>
                <w:rFonts w:eastAsia="Times New Roman"/>
              </w:rPr>
            </w:pPr>
            <w:r w:rsidRPr="00C71FA6">
              <w:rPr>
                <w:rFonts w:eastAsia="Times New Roman"/>
                <w:b/>
                <w:bCs/>
              </w:rPr>
              <w:t>Benchmark Standard (Best Practice)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EE71B9" w14:textId="77777777" w:rsidR="00663D8E" w:rsidRPr="00C71FA6" w:rsidRDefault="00663D8E" w:rsidP="00C71FA6">
            <w:pPr>
              <w:spacing w:before="240" w:after="240" w:line="360" w:lineRule="auto"/>
              <w:jc w:val="both"/>
              <w:rPr>
                <w:rFonts w:eastAsia="Times New Roman"/>
              </w:rPr>
            </w:pPr>
            <w:r w:rsidRPr="00C71FA6">
              <w:rPr>
                <w:rFonts w:eastAsia="Times New Roman"/>
                <w:b/>
                <w:bCs/>
              </w:rPr>
              <w:t>Recommended Intervention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8DAD3D" w14:textId="77777777" w:rsidR="00663D8E" w:rsidRPr="00C71FA6" w:rsidRDefault="00663D8E" w:rsidP="00C71FA6">
            <w:pPr>
              <w:spacing w:before="240" w:after="240" w:line="360" w:lineRule="auto"/>
              <w:jc w:val="both"/>
              <w:rPr>
                <w:rFonts w:eastAsia="Times New Roman"/>
              </w:rPr>
            </w:pPr>
            <w:r w:rsidRPr="00C71FA6">
              <w:rPr>
                <w:rFonts w:eastAsia="Times New Roman"/>
                <w:b/>
                <w:bCs/>
              </w:rPr>
              <w:t>Quality Tool Applied</w:t>
            </w:r>
          </w:p>
        </w:tc>
      </w:tr>
      <w:tr w:rsidR="00663D8E" w:rsidRPr="00C71FA6" w14:paraId="7F5C9C18" w14:textId="77777777">
        <w:trPr>
          <w:trHeight w:val="16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8CDF0E" w14:textId="77777777" w:rsidR="00663D8E" w:rsidRPr="00C71FA6" w:rsidRDefault="00663D8E" w:rsidP="00C71FA6">
            <w:pPr>
              <w:spacing w:before="240" w:after="240" w:line="360" w:lineRule="auto"/>
              <w:jc w:val="both"/>
              <w:rPr>
                <w:rFonts w:eastAsia="Times New Roman"/>
              </w:rPr>
            </w:pPr>
            <w:r w:rsidRPr="00C71FA6">
              <w:rPr>
                <w:rFonts w:eastAsia="Times New Roman"/>
              </w:rPr>
              <w:t>Incident Reporting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55DF98" w14:textId="77777777" w:rsidR="00663D8E" w:rsidRPr="00C71FA6" w:rsidRDefault="00663D8E" w:rsidP="00C71FA6">
            <w:pPr>
              <w:spacing w:before="240" w:after="240" w:line="360" w:lineRule="auto"/>
              <w:jc w:val="both"/>
              <w:rPr>
                <w:rFonts w:eastAsia="Times New Roman"/>
              </w:rPr>
            </w:pPr>
            <w:r w:rsidRPr="00C71FA6">
              <w:rPr>
                <w:rFonts w:eastAsia="Times New Roman"/>
              </w:rPr>
              <w:t>Underreporting of incidents and delayed escalation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6FBD4E" w14:textId="77777777" w:rsidR="00663D8E" w:rsidRPr="00C71FA6" w:rsidRDefault="00663D8E" w:rsidP="00C71FA6">
            <w:pPr>
              <w:spacing w:before="240" w:after="240" w:line="360" w:lineRule="auto"/>
              <w:jc w:val="both"/>
              <w:rPr>
                <w:rFonts w:eastAsia="Times New Roman"/>
              </w:rPr>
            </w:pPr>
            <w:r w:rsidRPr="00C71FA6">
              <w:rPr>
                <w:rFonts w:eastAsia="Times New Roman"/>
              </w:rPr>
              <w:t>WHO Patient Safety Reporting Systems; NHS Duty of Candour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BE598A" w14:textId="77777777" w:rsidR="00663D8E" w:rsidRPr="00C71FA6" w:rsidRDefault="00663D8E" w:rsidP="00C71FA6">
            <w:pPr>
              <w:spacing w:before="240" w:after="240" w:line="360" w:lineRule="auto"/>
              <w:jc w:val="both"/>
              <w:rPr>
                <w:rFonts w:eastAsia="Times New Roman"/>
              </w:rPr>
            </w:pPr>
            <w:r w:rsidRPr="00C71FA6">
              <w:rPr>
                <w:rFonts w:eastAsia="Times New Roman"/>
              </w:rPr>
              <w:t>Implement real-time digital reporting system with mandatory escalation protocols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7DD4E2" w14:textId="77777777" w:rsidR="00663D8E" w:rsidRPr="00C71FA6" w:rsidRDefault="00663D8E" w:rsidP="00C71FA6">
            <w:pPr>
              <w:spacing w:before="240" w:after="240" w:line="360" w:lineRule="auto"/>
              <w:jc w:val="both"/>
              <w:rPr>
                <w:rFonts w:eastAsia="Times New Roman"/>
              </w:rPr>
            </w:pPr>
            <w:r w:rsidRPr="00C71FA6">
              <w:rPr>
                <w:rFonts w:eastAsia="Times New Roman"/>
              </w:rPr>
              <w:t>PDSA</w:t>
            </w:r>
          </w:p>
        </w:tc>
      </w:tr>
      <w:tr w:rsidR="00663D8E" w:rsidRPr="00C71FA6" w14:paraId="55FAE860" w14:textId="77777777">
        <w:trPr>
          <w:trHeight w:val="16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DD3530" w14:textId="77777777" w:rsidR="00663D8E" w:rsidRPr="00C71FA6" w:rsidRDefault="00663D8E" w:rsidP="00C71FA6">
            <w:pPr>
              <w:spacing w:before="240" w:after="240" w:line="360" w:lineRule="auto"/>
              <w:jc w:val="both"/>
              <w:rPr>
                <w:rFonts w:eastAsia="Times New Roman"/>
              </w:rPr>
            </w:pPr>
            <w:r w:rsidRPr="00C71FA6">
              <w:rPr>
                <w:rFonts w:eastAsia="Times New Roman"/>
              </w:rPr>
              <w:lastRenderedPageBreak/>
              <w:t>Leadership &amp; Governance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4E3EA4" w14:textId="77777777" w:rsidR="00663D8E" w:rsidRPr="00C71FA6" w:rsidRDefault="00663D8E" w:rsidP="00C71FA6">
            <w:pPr>
              <w:spacing w:before="240" w:after="240" w:line="360" w:lineRule="auto"/>
              <w:jc w:val="both"/>
              <w:rPr>
                <w:rFonts w:eastAsia="Times New Roman"/>
              </w:rPr>
            </w:pPr>
            <w:r w:rsidRPr="00C71FA6">
              <w:rPr>
                <w:rFonts w:eastAsia="Times New Roman"/>
              </w:rPr>
              <w:t>Lack of accountability and delayed decision-making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C5E900" w14:textId="77777777" w:rsidR="00663D8E" w:rsidRPr="00C71FA6" w:rsidRDefault="00663D8E" w:rsidP="00C71FA6">
            <w:pPr>
              <w:spacing w:before="240" w:after="240" w:line="360" w:lineRule="auto"/>
              <w:jc w:val="both"/>
              <w:rPr>
                <w:rFonts w:eastAsia="Times New Roman"/>
              </w:rPr>
            </w:pPr>
            <w:r w:rsidRPr="00C71FA6">
              <w:rPr>
                <w:rFonts w:eastAsia="Times New Roman"/>
              </w:rPr>
              <w:t>NHS Clinical Governance Framework; High Reliability Organisations (HROs)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6889384" w14:textId="77777777" w:rsidR="00663D8E" w:rsidRPr="00C71FA6" w:rsidRDefault="00663D8E" w:rsidP="00C71FA6">
            <w:pPr>
              <w:spacing w:before="240" w:after="240" w:line="360" w:lineRule="auto"/>
              <w:jc w:val="both"/>
              <w:rPr>
                <w:rFonts w:eastAsia="Times New Roman"/>
              </w:rPr>
            </w:pPr>
            <w:r w:rsidRPr="00C71FA6">
              <w:rPr>
                <w:rFonts w:eastAsia="Times New Roman"/>
              </w:rPr>
              <w:t>Establish clear accountability structures and regular safety audits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902C29" w14:textId="77777777" w:rsidR="00663D8E" w:rsidRPr="00C71FA6" w:rsidRDefault="00663D8E" w:rsidP="00C71FA6">
            <w:pPr>
              <w:spacing w:before="240" w:after="240" w:line="360" w:lineRule="auto"/>
              <w:jc w:val="both"/>
              <w:rPr>
                <w:rFonts w:eastAsia="Times New Roman"/>
              </w:rPr>
            </w:pPr>
            <w:r w:rsidRPr="00C71FA6">
              <w:rPr>
                <w:rFonts w:eastAsia="Times New Roman"/>
              </w:rPr>
              <w:t>PDCA</w:t>
            </w:r>
          </w:p>
        </w:tc>
      </w:tr>
      <w:tr w:rsidR="00663D8E" w:rsidRPr="00C71FA6" w14:paraId="45DE5EC3" w14:textId="77777777">
        <w:trPr>
          <w:trHeight w:val="16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B18FA8" w14:textId="77777777" w:rsidR="00663D8E" w:rsidRPr="00C71FA6" w:rsidRDefault="00663D8E" w:rsidP="00C71FA6">
            <w:pPr>
              <w:spacing w:before="240" w:after="240" w:line="360" w:lineRule="auto"/>
              <w:jc w:val="both"/>
              <w:rPr>
                <w:rFonts w:eastAsia="Times New Roman"/>
              </w:rPr>
            </w:pPr>
            <w:r w:rsidRPr="00C71FA6">
              <w:rPr>
                <w:rFonts w:eastAsia="Times New Roman"/>
              </w:rPr>
              <w:t>Whistleblowing Culture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E0DF45" w14:textId="77777777" w:rsidR="00663D8E" w:rsidRPr="00C71FA6" w:rsidRDefault="00663D8E" w:rsidP="00C71FA6">
            <w:pPr>
              <w:spacing w:before="240" w:after="240" w:line="360" w:lineRule="auto"/>
              <w:jc w:val="both"/>
              <w:rPr>
                <w:rFonts w:eastAsia="Times New Roman"/>
              </w:rPr>
            </w:pPr>
            <w:r w:rsidRPr="00C71FA6">
              <w:rPr>
                <w:rFonts w:eastAsia="Times New Roman"/>
              </w:rPr>
              <w:t>Fear of speaking up; lack of protection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E23F98" w14:textId="77777777" w:rsidR="00663D8E" w:rsidRPr="00C71FA6" w:rsidRDefault="00663D8E" w:rsidP="00C71FA6">
            <w:pPr>
              <w:spacing w:before="240" w:after="240" w:line="360" w:lineRule="auto"/>
              <w:jc w:val="both"/>
              <w:rPr>
                <w:rFonts w:eastAsia="Times New Roman"/>
              </w:rPr>
            </w:pPr>
            <w:r w:rsidRPr="00C71FA6">
              <w:rPr>
                <w:rFonts w:eastAsia="Times New Roman"/>
              </w:rPr>
              <w:t>Freedom to Speak Up Guardian (NHS)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AE88C7" w14:textId="77777777" w:rsidR="00663D8E" w:rsidRPr="00C71FA6" w:rsidRDefault="00663D8E" w:rsidP="00C71FA6">
            <w:pPr>
              <w:spacing w:before="240" w:after="240" w:line="360" w:lineRule="auto"/>
              <w:jc w:val="both"/>
              <w:rPr>
                <w:rFonts w:eastAsia="Times New Roman"/>
              </w:rPr>
            </w:pPr>
            <w:r w:rsidRPr="00C71FA6">
              <w:rPr>
                <w:rFonts w:eastAsia="Times New Roman"/>
              </w:rPr>
              <w:t>Strengthen whistleblowing policies and anonymous reporting channels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C21CFA" w14:textId="77777777" w:rsidR="00663D8E" w:rsidRPr="00C71FA6" w:rsidRDefault="00663D8E" w:rsidP="00C71FA6">
            <w:pPr>
              <w:spacing w:before="240" w:after="240" w:line="360" w:lineRule="auto"/>
              <w:jc w:val="both"/>
              <w:rPr>
                <w:rFonts w:eastAsia="Times New Roman"/>
              </w:rPr>
            </w:pPr>
            <w:r w:rsidRPr="00C71FA6">
              <w:rPr>
                <w:rFonts w:eastAsia="Times New Roman"/>
              </w:rPr>
              <w:t>Lean</w:t>
            </w:r>
          </w:p>
        </w:tc>
      </w:tr>
      <w:tr w:rsidR="00663D8E" w:rsidRPr="00C71FA6" w14:paraId="64E4A786" w14:textId="77777777">
        <w:trPr>
          <w:trHeight w:val="16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E644AA" w14:textId="77777777" w:rsidR="00663D8E" w:rsidRPr="00C71FA6" w:rsidRDefault="00663D8E" w:rsidP="00C71FA6">
            <w:pPr>
              <w:spacing w:before="240" w:after="240" w:line="360" w:lineRule="auto"/>
              <w:jc w:val="both"/>
              <w:rPr>
                <w:rFonts w:eastAsia="Times New Roman"/>
              </w:rPr>
            </w:pPr>
            <w:r w:rsidRPr="00C71FA6">
              <w:rPr>
                <w:rFonts w:eastAsia="Times New Roman"/>
              </w:rPr>
              <w:t>Clinical Monitoring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E52830" w14:textId="77777777" w:rsidR="00663D8E" w:rsidRPr="00C71FA6" w:rsidRDefault="00663D8E" w:rsidP="00C71FA6">
            <w:pPr>
              <w:spacing w:before="240" w:after="240" w:line="360" w:lineRule="auto"/>
              <w:jc w:val="both"/>
              <w:rPr>
                <w:rFonts w:eastAsia="Times New Roman"/>
              </w:rPr>
            </w:pPr>
            <w:r w:rsidRPr="00C71FA6">
              <w:rPr>
                <w:rFonts w:eastAsia="Times New Roman"/>
              </w:rPr>
              <w:t>Failure to detect abnormal mortality trends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43B227" w14:textId="77777777" w:rsidR="00663D8E" w:rsidRPr="00C71FA6" w:rsidRDefault="00663D8E" w:rsidP="00C71FA6">
            <w:pPr>
              <w:spacing w:before="240" w:after="240" w:line="360" w:lineRule="auto"/>
              <w:jc w:val="both"/>
              <w:rPr>
                <w:rFonts w:eastAsia="Times New Roman"/>
              </w:rPr>
            </w:pPr>
            <w:r w:rsidRPr="00C71FA6">
              <w:rPr>
                <w:rFonts w:eastAsia="Times New Roman"/>
              </w:rPr>
              <w:t>Six Sigma data-driven monitoring; Early Warning Systems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16272F" w14:textId="77777777" w:rsidR="00663D8E" w:rsidRPr="00C71FA6" w:rsidRDefault="00663D8E" w:rsidP="00C71FA6">
            <w:pPr>
              <w:spacing w:before="240" w:after="240" w:line="360" w:lineRule="auto"/>
              <w:jc w:val="both"/>
              <w:rPr>
                <w:rFonts w:eastAsia="Times New Roman"/>
              </w:rPr>
            </w:pPr>
            <w:r w:rsidRPr="00C71FA6">
              <w:rPr>
                <w:rFonts w:eastAsia="Times New Roman"/>
              </w:rPr>
              <w:t>Introduce predictive analytics and continuous monitoring dashboards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EA0593" w14:textId="77777777" w:rsidR="00663D8E" w:rsidRPr="00C71FA6" w:rsidRDefault="00663D8E" w:rsidP="00C71FA6">
            <w:pPr>
              <w:spacing w:before="240" w:after="240" w:line="360" w:lineRule="auto"/>
              <w:jc w:val="both"/>
              <w:rPr>
                <w:rFonts w:eastAsia="Times New Roman"/>
              </w:rPr>
            </w:pPr>
            <w:r w:rsidRPr="00C71FA6">
              <w:rPr>
                <w:rFonts w:eastAsia="Times New Roman"/>
              </w:rPr>
              <w:t>Six Sigma (DMAIC)</w:t>
            </w:r>
          </w:p>
        </w:tc>
      </w:tr>
      <w:tr w:rsidR="00663D8E" w:rsidRPr="00C71FA6" w14:paraId="06E2C3FA" w14:textId="77777777">
        <w:trPr>
          <w:trHeight w:val="112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FBB8B1" w14:textId="77777777" w:rsidR="00663D8E" w:rsidRPr="00C71FA6" w:rsidRDefault="00663D8E" w:rsidP="00C71FA6">
            <w:pPr>
              <w:spacing w:before="240" w:after="240" w:line="360" w:lineRule="auto"/>
              <w:jc w:val="both"/>
              <w:rPr>
                <w:rFonts w:eastAsia="Times New Roman"/>
              </w:rPr>
            </w:pPr>
            <w:r w:rsidRPr="00C71FA6">
              <w:rPr>
                <w:rFonts w:eastAsia="Times New Roman"/>
              </w:rPr>
              <w:t>Staffing &amp; Workload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E91F2F" w14:textId="77777777" w:rsidR="00663D8E" w:rsidRPr="00C71FA6" w:rsidRDefault="00663D8E" w:rsidP="00C71FA6">
            <w:pPr>
              <w:spacing w:before="240" w:after="240" w:line="360" w:lineRule="auto"/>
              <w:jc w:val="both"/>
              <w:rPr>
                <w:rFonts w:eastAsia="Times New Roman"/>
              </w:rPr>
            </w:pPr>
            <w:r w:rsidRPr="00C71FA6">
              <w:rPr>
                <w:rFonts w:eastAsia="Times New Roman"/>
              </w:rPr>
              <w:t>Staff shortages and burnout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5E59D0" w14:textId="77777777" w:rsidR="00663D8E" w:rsidRPr="00C71FA6" w:rsidRDefault="00663D8E" w:rsidP="00C71FA6">
            <w:pPr>
              <w:spacing w:before="240" w:after="240" w:line="360" w:lineRule="auto"/>
              <w:jc w:val="both"/>
              <w:rPr>
                <w:rFonts w:eastAsia="Times New Roman"/>
              </w:rPr>
            </w:pPr>
            <w:r w:rsidRPr="00C71FA6">
              <w:rPr>
                <w:rFonts w:eastAsia="Times New Roman"/>
              </w:rPr>
              <w:t>Safe Staffing Guidelines (NICE)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A877A1" w14:textId="77777777" w:rsidR="00663D8E" w:rsidRPr="00C71FA6" w:rsidRDefault="00663D8E" w:rsidP="00C71FA6">
            <w:pPr>
              <w:spacing w:before="240" w:after="240" w:line="360" w:lineRule="auto"/>
              <w:jc w:val="both"/>
              <w:rPr>
                <w:rFonts w:eastAsia="Times New Roman"/>
              </w:rPr>
            </w:pPr>
            <w:r w:rsidRPr="00C71FA6">
              <w:rPr>
                <w:rFonts w:eastAsia="Times New Roman"/>
              </w:rPr>
              <w:t>Ensure adequate staffing levels and workload distribution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0200BB" w14:textId="77777777" w:rsidR="00663D8E" w:rsidRPr="00C71FA6" w:rsidRDefault="00663D8E" w:rsidP="00C71FA6">
            <w:pPr>
              <w:spacing w:before="240" w:after="240" w:line="360" w:lineRule="auto"/>
              <w:jc w:val="both"/>
              <w:rPr>
                <w:rFonts w:eastAsia="Times New Roman"/>
              </w:rPr>
            </w:pPr>
            <w:r w:rsidRPr="00C71FA6">
              <w:rPr>
                <w:rFonts w:eastAsia="Times New Roman"/>
              </w:rPr>
              <w:t>Lean</w:t>
            </w:r>
          </w:p>
        </w:tc>
      </w:tr>
      <w:tr w:rsidR="00663D8E" w:rsidRPr="00C71FA6" w14:paraId="58974947" w14:textId="77777777">
        <w:trPr>
          <w:trHeight w:val="112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851095" w14:textId="77777777" w:rsidR="00663D8E" w:rsidRPr="00C71FA6" w:rsidRDefault="00663D8E" w:rsidP="00C71FA6">
            <w:pPr>
              <w:spacing w:before="240" w:after="240" w:line="360" w:lineRule="auto"/>
              <w:jc w:val="both"/>
              <w:rPr>
                <w:rFonts w:eastAsia="Times New Roman"/>
              </w:rPr>
            </w:pPr>
            <w:r w:rsidRPr="00C71FA6">
              <w:rPr>
                <w:rFonts w:eastAsia="Times New Roman"/>
              </w:rPr>
              <w:t>Communication &amp; Escalation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D9F7E6" w14:textId="77777777" w:rsidR="00663D8E" w:rsidRPr="00C71FA6" w:rsidRDefault="00663D8E" w:rsidP="00C71FA6">
            <w:pPr>
              <w:spacing w:before="240" w:after="240" w:line="360" w:lineRule="auto"/>
              <w:jc w:val="both"/>
              <w:rPr>
                <w:rFonts w:eastAsia="Times New Roman"/>
              </w:rPr>
            </w:pPr>
            <w:r w:rsidRPr="00C71FA6">
              <w:rPr>
                <w:rFonts w:eastAsia="Times New Roman"/>
              </w:rPr>
              <w:t>Poor interdisciplinary communication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080F3E" w14:textId="77777777" w:rsidR="00663D8E" w:rsidRPr="00C71FA6" w:rsidRDefault="00663D8E" w:rsidP="00C71FA6">
            <w:pPr>
              <w:spacing w:before="240" w:after="240" w:line="360" w:lineRule="auto"/>
              <w:jc w:val="both"/>
              <w:rPr>
                <w:rFonts w:eastAsia="Times New Roman"/>
              </w:rPr>
            </w:pPr>
            <w:r w:rsidRPr="00C71FA6">
              <w:rPr>
                <w:rFonts w:eastAsia="Times New Roman"/>
              </w:rPr>
              <w:t>SBAR Communication Model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3D8B73" w14:textId="77777777" w:rsidR="00663D8E" w:rsidRPr="00C71FA6" w:rsidRDefault="00663D8E" w:rsidP="00C71FA6">
            <w:pPr>
              <w:spacing w:before="240" w:after="240" w:line="360" w:lineRule="auto"/>
              <w:jc w:val="both"/>
              <w:rPr>
                <w:rFonts w:eastAsia="Times New Roman"/>
              </w:rPr>
            </w:pPr>
            <w:r w:rsidRPr="00C71FA6">
              <w:rPr>
                <w:rFonts w:eastAsia="Times New Roman"/>
              </w:rPr>
              <w:t>Standardise communication protocols across teams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1B9105" w14:textId="77777777" w:rsidR="00663D8E" w:rsidRPr="00C71FA6" w:rsidRDefault="00663D8E" w:rsidP="00C71FA6">
            <w:pPr>
              <w:spacing w:before="240" w:after="240" w:line="360" w:lineRule="auto"/>
              <w:jc w:val="both"/>
              <w:rPr>
                <w:rFonts w:eastAsia="Times New Roman"/>
              </w:rPr>
            </w:pPr>
            <w:r w:rsidRPr="00C71FA6">
              <w:rPr>
                <w:rFonts w:eastAsia="Times New Roman"/>
              </w:rPr>
              <w:t>PDSA</w:t>
            </w:r>
          </w:p>
        </w:tc>
      </w:tr>
      <w:tr w:rsidR="00663D8E" w:rsidRPr="00C71FA6" w14:paraId="251FB40F" w14:textId="77777777">
        <w:trPr>
          <w:trHeight w:val="139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E3082D" w14:textId="77777777" w:rsidR="00663D8E" w:rsidRPr="00C71FA6" w:rsidRDefault="00663D8E" w:rsidP="00C71FA6">
            <w:pPr>
              <w:spacing w:before="240" w:after="240" w:line="360" w:lineRule="auto"/>
              <w:jc w:val="both"/>
              <w:rPr>
                <w:rFonts w:eastAsia="Times New Roman"/>
              </w:rPr>
            </w:pPr>
            <w:r w:rsidRPr="00C71FA6">
              <w:rPr>
                <w:rFonts w:eastAsia="Times New Roman"/>
              </w:rPr>
              <w:t>Training &amp; Competency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BD88F5" w14:textId="77777777" w:rsidR="00663D8E" w:rsidRPr="00C71FA6" w:rsidRDefault="00663D8E" w:rsidP="00C71FA6">
            <w:pPr>
              <w:spacing w:before="240" w:after="240" w:line="360" w:lineRule="auto"/>
              <w:jc w:val="both"/>
              <w:rPr>
                <w:rFonts w:eastAsia="Times New Roman"/>
              </w:rPr>
            </w:pPr>
            <w:r w:rsidRPr="00C71FA6">
              <w:rPr>
                <w:rFonts w:eastAsia="Times New Roman"/>
              </w:rPr>
              <w:t>Lack of preparedness and awareness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3BD3FA" w14:textId="77777777" w:rsidR="00663D8E" w:rsidRPr="00C71FA6" w:rsidRDefault="00663D8E" w:rsidP="00C71FA6">
            <w:pPr>
              <w:spacing w:before="240" w:after="240" w:line="360" w:lineRule="auto"/>
              <w:jc w:val="both"/>
              <w:rPr>
                <w:rFonts w:eastAsia="Times New Roman"/>
              </w:rPr>
            </w:pPr>
            <w:r w:rsidRPr="00C71FA6">
              <w:rPr>
                <w:rFonts w:eastAsia="Times New Roman"/>
              </w:rPr>
              <w:t>Continuous Professional Development (CPD) standards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4007C5" w14:textId="77777777" w:rsidR="00663D8E" w:rsidRPr="00C71FA6" w:rsidRDefault="00663D8E" w:rsidP="00C71FA6">
            <w:pPr>
              <w:spacing w:before="240" w:after="240" w:line="360" w:lineRule="auto"/>
              <w:jc w:val="both"/>
              <w:rPr>
                <w:rFonts w:eastAsia="Times New Roman"/>
              </w:rPr>
            </w:pPr>
            <w:r w:rsidRPr="00C71FA6">
              <w:rPr>
                <w:rFonts w:eastAsia="Times New Roman"/>
              </w:rPr>
              <w:t>Implement regular safety and escalation training programs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76E444" w14:textId="77777777" w:rsidR="00663D8E" w:rsidRPr="00C71FA6" w:rsidRDefault="00663D8E" w:rsidP="00C71FA6">
            <w:pPr>
              <w:spacing w:before="240" w:after="240" w:line="360" w:lineRule="auto"/>
              <w:jc w:val="both"/>
              <w:rPr>
                <w:rFonts w:eastAsia="Times New Roman"/>
              </w:rPr>
            </w:pPr>
            <w:r w:rsidRPr="00C71FA6">
              <w:rPr>
                <w:rFonts w:eastAsia="Times New Roman"/>
              </w:rPr>
              <w:t>PDCA</w:t>
            </w:r>
          </w:p>
        </w:tc>
      </w:tr>
    </w:tbl>
    <w:p w14:paraId="05E75F02" w14:textId="77777777" w:rsidR="00663D8E" w:rsidRPr="00C71FA6" w:rsidRDefault="00663D8E" w:rsidP="00C71FA6">
      <w:pPr>
        <w:pStyle w:val="Heading1"/>
        <w:spacing w:before="240" w:after="240" w:line="360" w:lineRule="auto"/>
        <w:jc w:val="both"/>
        <w:rPr>
          <w:rFonts w:ascii="Arial" w:hAnsi="Arial"/>
          <w:sz w:val="22"/>
          <w:szCs w:val="22"/>
        </w:rPr>
      </w:pPr>
      <w:bookmarkStart w:id="12" w:name="_Toc227248192"/>
      <w:r w:rsidRPr="00C71FA6">
        <w:rPr>
          <w:rFonts w:ascii="Arial" w:hAnsi="Arial"/>
          <w:sz w:val="22"/>
          <w:szCs w:val="22"/>
        </w:rPr>
        <w:lastRenderedPageBreak/>
        <w:t>Conclusion</w:t>
      </w:r>
      <w:bookmarkEnd w:id="12"/>
    </w:p>
    <w:p w14:paraId="4F8F8267" w14:textId="00E267B2" w:rsidR="0086586E" w:rsidRPr="00C71FA6" w:rsidRDefault="00413F51" w:rsidP="00C71FA6">
      <w:pPr>
        <w:spacing w:before="240" w:after="240" w:line="360" w:lineRule="auto"/>
        <w:jc w:val="both"/>
        <w:rPr>
          <w:rFonts w:eastAsia="Times New Roman"/>
        </w:rPr>
      </w:pPr>
      <w:r w:rsidRPr="00C71FA6">
        <w:rPr>
          <w:rFonts w:eastAsia="Times New Roman"/>
        </w:rPr>
        <w:t xml:space="preserve">This report has revealed that the failures at the neonatal unit were not solely due to the actions of individual </w:t>
      </w:r>
      <w:r w:rsidR="00A5087F" w:rsidRPr="00C71FA6">
        <w:rPr>
          <w:rFonts w:eastAsia="Times New Roman"/>
        </w:rPr>
        <w:t>wrongdoing,</w:t>
      </w:r>
      <w:r w:rsidRPr="00C71FA6">
        <w:rPr>
          <w:rFonts w:eastAsia="Times New Roman"/>
        </w:rPr>
        <w:t xml:space="preserve"> but it was due to the failure of the system in companies to govern, lead and even culture. The Donabedian Model presentation revealed the inefficient processes and ineffective outcomes obtained as the result of structural failures, and the fishbone diagram, in its turn, displayed the inter-relationship of the root causes such as the absence of incident reporting, the lack of effective escalation, and the cultural barriers. The SWOT analysis also highlighted the internal weaknesses and external threats. </w:t>
      </w:r>
      <w:r w:rsidR="00663D8E" w:rsidRPr="00C71FA6">
        <w:rPr>
          <w:rFonts w:eastAsia="Times New Roman"/>
        </w:rPr>
        <w:t>Altogether, the results verify that patient safety improvement is sustainable only with systemic, procedural, and cultural change in the healthcare systems.</w:t>
      </w:r>
      <w:bookmarkStart w:id="13" w:name="_GoBack"/>
      <w:bookmarkEnd w:id="13"/>
      <w:r w:rsidR="00663D8E" w:rsidRPr="00C71FA6">
        <w:rPr>
          <w:rFonts w:eastAsia="Times New Roman"/>
        </w:rPr>
        <w:br w:type="page"/>
      </w:r>
    </w:p>
    <w:p w14:paraId="0B8AA0A6" w14:textId="3C142FA3" w:rsidR="0086586E" w:rsidRPr="00C71FA6" w:rsidRDefault="00653A09" w:rsidP="00C71FA6">
      <w:pPr>
        <w:pStyle w:val="Heading1"/>
        <w:spacing w:before="240" w:after="240" w:line="360" w:lineRule="auto"/>
        <w:jc w:val="both"/>
        <w:rPr>
          <w:rFonts w:ascii="Arial" w:hAnsi="Arial"/>
          <w:sz w:val="22"/>
          <w:szCs w:val="22"/>
        </w:rPr>
      </w:pPr>
      <w:bookmarkStart w:id="14" w:name="_Toc227248193"/>
      <w:r w:rsidRPr="00C71FA6">
        <w:rPr>
          <w:rFonts w:ascii="Arial" w:hAnsi="Arial"/>
          <w:sz w:val="22"/>
          <w:szCs w:val="22"/>
        </w:rPr>
        <w:lastRenderedPageBreak/>
        <w:t>References</w:t>
      </w:r>
      <w:bookmarkEnd w:id="14"/>
    </w:p>
    <w:p w14:paraId="1F43924B" w14:textId="1A975100" w:rsidR="002E43D1" w:rsidRPr="00C71FA6" w:rsidRDefault="002E43D1" w:rsidP="00C71FA6">
      <w:pPr>
        <w:spacing w:before="240" w:after="240" w:line="360" w:lineRule="auto"/>
        <w:jc w:val="both"/>
      </w:pPr>
      <w:r w:rsidRPr="00C71FA6">
        <w:t>Aurelija Ulbinaitė and Gabrielė Šimoliūnaitė</w:t>
      </w:r>
      <w:r w:rsidR="00A761A6">
        <w:t xml:space="preserve">., </w:t>
      </w:r>
      <w:r w:rsidRPr="00C71FA6">
        <w:t xml:space="preserve">2024. Implementation of Lean Thinking in a higher education institution: an overview of problems and countermeasures. </w:t>
      </w:r>
      <w:r w:rsidRPr="00C71FA6">
        <w:rPr>
          <w:i/>
          <w:iCs/>
        </w:rPr>
        <w:t>Deleted Journal</w:t>
      </w:r>
      <w:r w:rsidRPr="00C71FA6">
        <w:t>. doi:https://doi.org/10.3846/bm.2024.1196.</w:t>
      </w:r>
    </w:p>
    <w:p w14:paraId="7E50019D" w14:textId="411B379B" w:rsidR="002E43D1" w:rsidRPr="00C71FA6" w:rsidRDefault="002E43D1" w:rsidP="00C71FA6">
      <w:pPr>
        <w:spacing w:before="240" w:after="240" w:line="360" w:lineRule="auto"/>
        <w:jc w:val="both"/>
      </w:pPr>
      <w:r w:rsidRPr="00C71FA6">
        <w:t>Avilés-Sacoto, S., Estefanía Caridad Avilés-Sacoto, José Luis Valencia-Vallejo and Flores-Figueroa, D.S.</w:t>
      </w:r>
      <w:r w:rsidR="0016748A">
        <w:t xml:space="preserve">, </w:t>
      </w:r>
      <w:r w:rsidRPr="00C71FA6">
        <w:t xml:space="preserve">2024. </w:t>
      </w:r>
      <w:r w:rsidRPr="00C71FA6">
        <w:rPr>
          <w:i/>
          <w:iCs/>
        </w:rPr>
        <w:t>An Overview of Lean Manufacturing and Sustainability</w:t>
      </w:r>
      <w:r w:rsidRPr="00C71FA6">
        <w:t>. [online] doi:</w:t>
      </w:r>
      <w:hyperlink r:id="rId13" w:history="1">
        <w:r w:rsidRPr="00C71FA6">
          <w:rPr>
            <w:rStyle w:val="Hyperlink"/>
          </w:rPr>
          <w:t>https://doi.org/10.1007/978-3-031-70984-5</w:t>
        </w:r>
      </w:hyperlink>
      <w:r w:rsidRPr="00C71FA6">
        <w:t>.</w:t>
      </w:r>
    </w:p>
    <w:p w14:paraId="5E5AD0FB" w14:textId="77777777" w:rsidR="002E43D1" w:rsidRPr="00C71FA6" w:rsidRDefault="002E43D1" w:rsidP="00C71FA6">
      <w:pPr>
        <w:spacing w:before="240" w:after="240" w:line="360" w:lineRule="auto"/>
        <w:jc w:val="both"/>
      </w:pPr>
      <w:r w:rsidRPr="00C71FA6">
        <w:t>Barr, E. and Brannan, G.D., 2024. Quality improvement methods (lean, pdsa, six sigma). In StatPearls [Internet]. StatPearls Publishing. https://www.ncbi.nlm.nih.gov/books/NBK599556/</w:t>
      </w:r>
    </w:p>
    <w:p w14:paraId="5D100B38" w14:textId="77777777" w:rsidR="002E43D1" w:rsidRPr="00C71FA6" w:rsidRDefault="002E43D1" w:rsidP="00C71FA6">
      <w:pPr>
        <w:spacing w:before="240" w:after="240" w:line="360" w:lineRule="auto"/>
        <w:jc w:val="both"/>
      </w:pPr>
      <w:r w:rsidRPr="00C71FA6">
        <w:t xml:space="preserve">Brown, D.K., Fosnight, S., Whitford, M., Hazelett, S., Mcquown, C., Drost, J.C., Kropp, D.J., Hovland, C.A., Niederriter, J.E., Patton, R. and Morgan, A., 2018. Interprofessional education model for geriatric falls risk assessment and prevention. </w:t>
      </w:r>
      <w:r w:rsidRPr="00C71FA6">
        <w:rPr>
          <w:i/>
          <w:iCs/>
        </w:rPr>
        <w:t>BMJ Open Quality</w:t>
      </w:r>
      <w:r w:rsidRPr="00C71FA6">
        <w:t xml:space="preserve">, </w:t>
      </w:r>
      <w:r w:rsidRPr="00C71FA6">
        <w:rPr>
          <w:i/>
          <w:iCs/>
        </w:rPr>
        <w:t>7</w:t>
      </w:r>
      <w:r w:rsidRPr="00C71FA6">
        <w:t>(4).</w:t>
      </w:r>
      <w:hyperlink r:id="rId14" w:history="1">
        <w:r w:rsidRPr="00C71FA6">
          <w:rPr>
            <w:rStyle w:val="Hyperlink"/>
          </w:rPr>
          <w:t>https://bmjopenquality.bmj.com/content/bmjqir/7/4/e000417.full.pdf</w:t>
        </w:r>
      </w:hyperlink>
      <w:r w:rsidRPr="00C71FA6">
        <w:t> </w:t>
      </w:r>
    </w:p>
    <w:p w14:paraId="4B8B3B9C" w14:textId="77777777" w:rsidR="002E43D1" w:rsidRPr="00C71FA6" w:rsidRDefault="002E43D1" w:rsidP="00C71FA6">
      <w:pPr>
        <w:spacing w:before="240" w:after="240" w:line="360" w:lineRule="auto"/>
        <w:jc w:val="both"/>
      </w:pPr>
      <w:r w:rsidRPr="00C71FA6">
        <w:t xml:space="preserve">Carreño, A.M., 2024. An analytical review of John Kotter's change leadership framework: A modern approach to sustainable organizational transformation. </w:t>
      </w:r>
      <w:r w:rsidRPr="00C71FA6">
        <w:rPr>
          <w:i/>
          <w:iCs/>
        </w:rPr>
        <w:t>Available at SSRN 5044428</w:t>
      </w:r>
      <w:r w:rsidRPr="00C71FA6">
        <w:t>.</w:t>
      </w:r>
      <w:hyperlink r:id="rId15" w:history="1">
        <w:r w:rsidRPr="00C71FA6">
          <w:rPr>
            <w:rStyle w:val="Hyperlink"/>
          </w:rPr>
          <w:t>https://papers.ssrn.com/sol3/Delivery.cfm?abstractid=5044428</w:t>
        </w:r>
      </w:hyperlink>
      <w:r w:rsidRPr="00C71FA6">
        <w:t> </w:t>
      </w:r>
    </w:p>
    <w:p w14:paraId="377AA876" w14:textId="77777777" w:rsidR="002E43D1" w:rsidRPr="00C71FA6" w:rsidRDefault="002E43D1" w:rsidP="00C71FA6">
      <w:pPr>
        <w:spacing w:before="240" w:after="240" w:line="360" w:lineRule="auto"/>
        <w:jc w:val="both"/>
      </w:pPr>
      <w:r w:rsidRPr="00C71FA6">
        <w:t xml:space="preserve">Chakravorty, I., 2023. Case of Nurse Letby: Systems Failure in Safeguarding Patients: Impact of Differential Protection for Whistleblowers. </w:t>
      </w:r>
      <w:r w:rsidRPr="00C71FA6">
        <w:rPr>
          <w:i/>
          <w:iCs/>
        </w:rPr>
        <w:t>Sushruta Journal of Health Policy &amp; Opinion</w:t>
      </w:r>
      <w:r w:rsidRPr="00C71FA6">
        <w:t xml:space="preserve">, </w:t>
      </w:r>
      <w:r w:rsidRPr="00C71FA6">
        <w:rPr>
          <w:i/>
          <w:iCs/>
        </w:rPr>
        <w:t>15</w:t>
      </w:r>
      <w:r w:rsidRPr="00C71FA6">
        <w:t>(3).</w:t>
      </w:r>
      <w:hyperlink r:id="rId16" w:history="1">
        <w:r w:rsidRPr="00C71FA6">
          <w:rPr>
            <w:rStyle w:val="Hyperlink"/>
          </w:rPr>
          <w:t>https://www.scienceopen.com/document_file/8d09d9cd-bce3-45ea-b48d-58d62821bb99/ScienceOpen/downloaded_8d09d9cd-bce3-45ea-b48d-58d62821bb99.pdf</w:t>
        </w:r>
      </w:hyperlink>
      <w:r w:rsidRPr="00C71FA6">
        <w:t> </w:t>
      </w:r>
    </w:p>
    <w:p w14:paraId="779D9A12" w14:textId="6833E603" w:rsidR="002E43D1" w:rsidRPr="00C71FA6" w:rsidRDefault="002E43D1" w:rsidP="00C71FA6">
      <w:pPr>
        <w:spacing w:before="240" w:after="240" w:line="360" w:lineRule="auto"/>
        <w:jc w:val="both"/>
      </w:pPr>
      <w:r w:rsidRPr="00C71FA6">
        <w:t>Chen, J., Li, Z., Ma, W., Tang, Y., Liu, C., Ma, S., Xu, M. and Zhang, Q.</w:t>
      </w:r>
      <w:r w:rsidR="002F7E78">
        <w:t xml:space="preserve">, </w:t>
      </w:r>
      <w:r w:rsidRPr="00C71FA6">
        <w:t xml:space="preserve">2024. Enhancing the timeliness of EMR documentation in resident doctors: the role of PDCA cycle management. </w:t>
      </w:r>
      <w:r w:rsidRPr="00C71FA6">
        <w:rPr>
          <w:i/>
          <w:iCs/>
        </w:rPr>
        <w:t>BMC Medical Education</w:t>
      </w:r>
      <w:r w:rsidRPr="00C71FA6">
        <w:t>, 24(1). doi:https://doi.org/10.1186/s12909-024-06134-2.</w:t>
      </w:r>
    </w:p>
    <w:p w14:paraId="742C9142" w14:textId="5705E420" w:rsidR="002E43D1" w:rsidRPr="00C71FA6" w:rsidRDefault="002E43D1" w:rsidP="00C71FA6">
      <w:pPr>
        <w:spacing w:before="240" w:after="240" w:line="360" w:lineRule="auto"/>
        <w:jc w:val="both"/>
      </w:pPr>
      <w:r w:rsidRPr="00C71FA6">
        <w:t>Chheda, S., Tullius, Z., Tejeda, K.A. and Leiner, M.</w:t>
      </w:r>
      <w:r w:rsidR="00933675">
        <w:t xml:space="preserve">, </w:t>
      </w:r>
      <w:r w:rsidRPr="00C71FA6">
        <w:t xml:space="preserve">2023. Virtual Visitation in a Neonatal Intensive Care Unit. </w:t>
      </w:r>
      <w:r w:rsidRPr="00C71FA6">
        <w:rPr>
          <w:i/>
          <w:iCs/>
        </w:rPr>
        <w:t>Journal of Perinatal &amp; Neonatal Nursing</w:t>
      </w:r>
      <w:r w:rsidRPr="00C71FA6">
        <w:t>, 37(1), pp.50–60. https://doi.org/10.1097/jpn.0000000000000685.</w:t>
      </w:r>
    </w:p>
    <w:p w14:paraId="6CCD8064" w14:textId="77777777" w:rsidR="002E43D1" w:rsidRPr="00C71FA6" w:rsidRDefault="002E43D1" w:rsidP="00C71FA6">
      <w:pPr>
        <w:spacing w:before="240" w:after="240" w:line="360" w:lineRule="auto"/>
        <w:jc w:val="both"/>
      </w:pPr>
      <w:r w:rsidRPr="00C71FA6">
        <w:t>Clark, E.C., Neumann, S., Hopkins, S., Kostopoulos, A., Hagerman, L. and Dobbins, M., 2024. Changes to public health surveillance methods due to the COVID-19 pandemic: scoping review. JMIR Public Health and Surveillance, 10(1), p.e49185. https://doi.org/10.2196/49185</w:t>
      </w:r>
    </w:p>
    <w:p w14:paraId="22C3806E" w14:textId="471BA924" w:rsidR="002E43D1" w:rsidRPr="00C71FA6" w:rsidRDefault="002E43D1" w:rsidP="00C71FA6">
      <w:pPr>
        <w:spacing w:before="240" w:after="240" w:line="360" w:lineRule="auto"/>
        <w:jc w:val="both"/>
      </w:pPr>
      <w:r w:rsidRPr="00C71FA6">
        <w:lastRenderedPageBreak/>
        <w:t>Dahmen, P.</w:t>
      </w:r>
      <w:r w:rsidR="000E7E59">
        <w:t xml:space="preserve">, </w:t>
      </w:r>
      <w:r w:rsidRPr="00C71FA6">
        <w:t xml:space="preserve">2023. Organizational resilience as a key property of enterprise risk management in response to novel and severe crisis events. </w:t>
      </w:r>
      <w:r w:rsidRPr="00C71FA6">
        <w:rPr>
          <w:i/>
          <w:iCs/>
        </w:rPr>
        <w:t>Risk Management and Insurance Review</w:t>
      </w:r>
      <w:r w:rsidRPr="00C71FA6">
        <w:t>, 26(2), pp.203–245. doi:https://doi.org/10.1111/rmir.12245.</w:t>
      </w:r>
    </w:p>
    <w:p w14:paraId="4122B86E" w14:textId="77777777" w:rsidR="002E43D1" w:rsidRPr="00C71FA6" w:rsidRDefault="002E43D1" w:rsidP="00C71FA6">
      <w:pPr>
        <w:spacing w:before="240" w:after="240" w:line="360" w:lineRule="auto"/>
        <w:jc w:val="both"/>
      </w:pPr>
      <w:r w:rsidRPr="00C71FA6">
        <w:t xml:space="preserve">Fei, J., 2025. CONTINUOUS IMPROVEMENT OF OBSTETRIC NURSING QUALITY BASED ON THE PDCA CYCLE. Теория и практика современной науки, (9 (123)), pp.65-72. </w:t>
      </w:r>
      <w:hyperlink r:id="rId17" w:history="1">
        <w:r w:rsidRPr="00C71FA6">
          <w:rPr>
            <w:rStyle w:val="Hyperlink"/>
          </w:rPr>
          <w:t>https://cyberleninka.ru/article/n/continuous-improvement-of-obstetric-nursing-quality-based-on-the-pdca-cycle</w:t>
        </w:r>
      </w:hyperlink>
    </w:p>
    <w:p w14:paraId="6C0A1DD6" w14:textId="77777777" w:rsidR="002E43D1" w:rsidRPr="00C71FA6" w:rsidRDefault="002E43D1" w:rsidP="00C71FA6">
      <w:pPr>
        <w:spacing w:before="240" w:after="240" w:line="360" w:lineRule="auto"/>
        <w:jc w:val="both"/>
      </w:pPr>
      <w:r w:rsidRPr="00C71FA6">
        <w:t xml:space="preserve">Ha, D.V. and Thanh, N.C., 2024. Applying the Kotter change management model in high school education: Some initial results in Hanoi, Vietnam. </w:t>
      </w:r>
      <w:r w:rsidRPr="00C71FA6">
        <w:rPr>
          <w:i/>
          <w:iCs/>
        </w:rPr>
        <w:t>European Journal of Education Studies</w:t>
      </w:r>
      <w:r w:rsidRPr="00C71FA6">
        <w:t xml:space="preserve">, </w:t>
      </w:r>
      <w:r w:rsidRPr="00C71FA6">
        <w:rPr>
          <w:i/>
          <w:iCs/>
        </w:rPr>
        <w:t>11</w:t>
      </w:r>
      <w:r w:rsidRPr="00C71FA6">
        <w:t>(8).</w:t>
      </w:r>
      <w:hyperlink r:id="rId18" w:history="1">
        <w:r w:rsidRPr="00C71FA6">
          <w:rPr>
            <w:rStyle w:val="Hyperlink"/>
          </w:rPr>
          <w:t>https://oapub.org/edu/index.php/ejes/article/download/5440/8072</w:t>
        </w:r>
      </w:hyperlink>
      <w:r w:rsidRPr="00C71FA6">
        <w:t xml:space="preserve"> </w:t>
      </w:r>
    </w:p>
    <w:p w14:paraId="5B279EB1" w14:textId="77777777" w:rsidR="002E43D1" w:rsidRPr="00C71FA6" w:rsidRDefault="002E43D1" w:rsidP="00C71FA6">
      <w:pPr>
        <w:spacing w:before="240" w:after="240" w:line="360" w:lineRule="auto"/>
        <w:jc w:val="both"/>
      </w:pPr>
      <w:r w:rsidRPr="00C71FA6">
        <w:t>Irfan, M., 2021. Enhancing willingness to whistleblow internally: The role of leaders and work culture.</w:t>
      </w:r>
      <w:hyperlink r:id="rId19" w:history="1">
        <w:r w:rsidRPr="00C71FA6">
          <w:rPr>
            <w:rStyle w:val="Hyperlink"/>
          </w:rPr>
          <w:t>https://researchrepository.universityofgalway.ie/bitstreams/2a65d1a6-fd81-4985-91ec-eed87ecd8fa9/download</w:t>
        </w:r>
      </w:hyperlink>
      <w:r w:rsidRPr="00C71FA6">
        <w:t> </w:t>
      </w:r>
    </w:p>
    <w:p w14:paraId="19FFC132" w14:textId="74CE51B6" w:rsidR="002E43D1" w:rsidRPr="00C71FA6" w:rsidRDefault="002E43D1" w:rsidP="00C71FA6">
      <w:pPr>
        <w:spacing w:before="240" w:after="240" w:line="360" w:lineRule="auto"/>
        <w:jc w:val="both"/>
      </w:pPr>
      <w:r w:rsidRPr="00C71FA6">
        <w:t>Kumah, A., Nwogu, C.N., Issah, A.-R., Obot, E., Kanamitie, D.T., Sifa, J.S. and Aidoo, L.A.</w:t>
      </w:r>
      <w:r w:rsidR="00CA6AD1">
        <w:t xml:space="preserve">, </w:t>
      </w:r>
      <w:r w:rsidRPr="00C71FA6">
        <w:t xml:space="preserve">2024. Cause-and-Effect (Fishbone) Diagram: a Tool for Generating and Organizing Quality Improvement Ideas. </w:t>
      </w:r>
      <w:r w:rsidRPr="00C71FA6">
        <w:rPr>
          <w:i/>
          <w:iCs/>
        </w:rPr>
        <w:t>Innovations Journals</w:t>
      </w:r>
      <w:r w:rsidRPr="00C71FA6">
        <w:t>, [online] 7(2), pp.85–87. doi:https://doi.org/10.36401/JQSH-23-42.</w:t>
      </w:r>
    </w:p>
    <w:p w14:paraId="03A36D4A" w14:textId="6CEAB4FB" w:rsidR="002E43D1" w:rsidRPr="00C71FA6" w:rsidRDefault="002E43D1" w:rsidP="00C71FA6">
      <w:pPr>
        <w:spacing w:before="240" w:after="240" w:line="360" w:lineRule="auto"/>
        <w:jc w:val="both"/>
      </w:pPr>
      <w:r w:rsidRPr="00C71FA6">
        <w:t>Kushniruk, A. and Kaufman, D.</w:t>
      </w:r>
      <w:r w:rsidR="00254EB4">
        <w:t xml:space="preserve">, </w:t>
      </w:r>
      <w:r w:rsidRPr="00C71FA6">
        <w:t xml:space="preserve">2024. Human Factors and Organizational Issues in Health Informatics: Review of Recent Developments and Advances. </w:t>
      </w:r>
      <w:r w:rsidRPr="00C71FA6">
        <w:rPr>
          <w:i/>
          <w:iCs/>
        </w:rPr>
        <w:t>Yearbook of Medical Informatics</w:t>
      </w:r>
      <w:r w:rsidRPr="00C71FA6">
        <w:t>, 33(01), pp.196–209. doi:</w:t>
      </w:r>
      <w:hyperlink r:id="rId20" w:history="1">
        <w:r w:rsidRPr="00C71FA6">
          <w:rPr>
            <w:rStyle w:val="Hyperlink"/>
          </w:rPr>
          <w:t>https://doi.org/10.1055/s-0044-1800744</w:t>
        </w:r>
      </w:hyperlink>
      <w:r w:rsidRPr="00C71FA6">
        <w:t>. </w:t>
      </w:r>
    </w:p>
    <w:p w14:paraId="2FA4665B" w14:textId="77777777" w:rsidR="002E43D1" w:rsidRPr="00C71FA6" w:rsidRDefault="002E43D1" w:rsidP="00C71FA6">
      <w:pPr>
        <w:spacing w:before="240" w:after="240" w:line="360" w:lineRule="auto"/>
        <w:jc w:val="both"/>
      </w:pPr>
      <w:r w:rsidRPr="00C71FA6">
        <w:t xml:space="preserve">Manandi, D., Tu, Q., Hafiz, N., Raeside, R., Redfern, J. and Hyun, K., 2023. The evaluation of the Plan–Do–Study–Act cycles for a healthcare quality improvement intervention in primary care. </w:t>
      </w:r>
      <w:r w:rsidRPr="00C71FA6">
        <w:rPr>
          <w:i/>
          <w:iCs/>
        </w:rPr>
        <w:t>Australian journal of primary health</w:t>
      </w:r>
      <w:r w:rsidRPr="00C71FA6">
        <w:t xml:space="preserve">, </w:t>
      </w:r>
      <w:r w:rsidRPr="00C71FA6">
        <w:rPr>
          <w:i/>
          <w:iCs/>
        </w:rPr>
        <w:t>30</w:t>
      </w:r>
      <w:r w:rsidRPr="00C71FA6">
        <w:t>(1), p.PY23123.</w:t>
      </w:r>
      <w:hyperlink r:id="rId21" w:history="1">
        <w:r w:rsidRPr="00C71FA6">
          <w:rPr>
            <w:rStyle w:val="Hyperlink"/>
          </w:rPr>
          <w:t>https://connectsci.au/py/article-pdf/doi/10.1071/PY23123/586598/py23123.pdf</w:t>
        </w:r>
      </w:hyperlink>
      <w:r w:rsidRPr="00C71FA6">
        <w:t> </w:t>
      </w:r>
    </w:p>
    <w:p w14:paraId="50F78CEC" w14:textId="11EFB14E" w:rsidR="002E43D1" w:rsidRPr="00C71FA6" w:rsidRDefault="002E43D1" w:rsidP="00C71FA6">
      <w:pPr>
        <w:spacing w:before="240" w:after="240" w:line="360" w:lineRule="auto"/>
        <w:jc w:val="both"/>
      </w:pPr>
      <w:r w:rsidRPr="00C71FA6">
        <w:t>Mansur dos Reis, M.E.D., de Abreu, M.F., Neto, O. de O.B., Viera, L.E.V., Torres, L.F. and Calado, R.D.</w:t>
      </w:r>
      <w:r w:rsidR="009B275C">
        <w:t xml:space="preserve">, </w:t>
      </w:r>
      <w:r w:rsidRPr="00C71FA6">
        <w:t xml:space="preserve">2022. DMAIC in improving patient care processes: Challenges and facilitators in context of healthcare. </w:t>
      </w:r>
      <w:r w:rsidRPr="00C71FA6">
        <w:rPr>
          <w:i/>
          <w:iCs/>
        </w:rPr>
        <w:t>IFAC-PapersOnLine</w:t>
      </w:r>
      <w:r w:rsidRPr="00C71FA6">
        <w:t>, [online] 55(10), pp.215–220. doi:https://doi.org/10.1016/j.ifacol.2022.09.628.</w:t>
      </w:r>
    </w:p>
    <w:p w14:paraId="43E607BC" w14:textId="07967DFD" w:rsidR="002E43D1" w:rsidRPr="00C71FA6" w:rsidRDefault="002E43D1" w:rsidP="00C71FA6">
      <w:pPr>
        <w:spacing w:before="240" w:after="240" w:line="360" w:lineRule="auto"/>
        <w:jc w:val="both"/>
      </w:pPr>
      <w:r w:rsidRPr="00C71FA6">
        <w:t>Monday, L.</w:t>
      </w:r>
      <w:r w:rsidR="009B275C">
        <w:t xml:space="preserve">, </w:t>
      </w:r>
      <w:r w:rsidRPr="00C71FA6">
        <w:t xml:space="preserve">2022. Define, measure, analyze, improve, control (DMAIC) methodology as a roadmap in quality improvement. </w:t>
      </w:r>
      <w:r w:rsidRPr="00C71FA6">
        <w:rPr>
          <w:i/>
          <w:iCs/>
        </w:rPr>
        <w:t>Global Journal on Quality and Safety in Healthcare</w:t>
      </w:r>
      <w:r w:rsidRPr="00C71FA6">
        <w:t>, [online] 5(2), pp.44–46. doi:https://doi.org/10.36401/jqsh-22-x2.</w:t>
      </w:r>
    </w:p>
    <w:p w14:paraId="6AC39481" w14:textId="30324E4F" w:rsidR="002E43D1" w:rsidRPr="00C71FA6" w:rsidRDefault="002E43D1" w:rsidP="00C71FA6">
      <w:pPr>
        <w:spacing w:before="240" w:after="240" w:line="360" w:lineRule="auto"/>
        <w:jc w:val="both"/>
      </w:pPr>
      <w:r w:rsidRPr="00C71FA6">
        <w:lastRenderedPageBreak/>
        <w:t>Naughton, E., Moran, R., Kharub, M., Sa, J.C. and McDermott, O.</w:t>
      </w:r>
      <w:r w:rsidR="009B275C">
        <w:t xml:space="preserve">, </w:t>
      </w:r>
      <w:r w:rsidRPr="00C71FA6">
        <w:t xml:space="preserve">2024. A structured model for continuous improvement methodology deployment and sustainment: A case study. </w:t>
      </w:r>
      <w:r w:rsidRPr="00C71FA6">
        <w:rPr>
          <w:i/>
          <w:iCs/>
        </w:rPr>
        <w:t>Heliyon</w:t>
      </w:r>
      <w:r w:rsidRPr="00C71FA6">
        <w:t>, [online] 10(21), p.e40034. doi:https://doi.org/10.1016/j.heliyon.2024.e40034.</w:t>
      </w:r>
    </w:p>
    <w:p w14:paraId="6C251791" w14:textId="3202702A" w:rsidR="002E43D1" w:rsidRPr="00C71FA6" w:rsidRDefault="002E43D1" w:rsidP="00C71FA6">
      <w:pPr>
        <w:spacing w:before="240" w:after="240" w:line="360" w:lineRule="auto"/>
        <w:jc w:val="both"/>
      </w:pPr>
      <w:r w:rsidRPr="00C71FA6">
        <w:t>Puyt, R.W., Lie, F.B. and Wilderom, C.P.M.</w:t>
      </w:r>
      <w:r w:rsidR="009B275C">
        <w:t xml:space="preserve">, </w:t>
      </w:r>
      <w:r w:rsidRPr="00C71FA6">
        <w:t xml:space="preserve">2023. The Origins of SWOT Analysis. </w:t>
      </w:r>
      <w:r w:rsidRPr="00C71FA6">
        <w:rPr>
          <w:i/>
          <w:iCs/>
        </w:rPr>
        <w:t>Long Range Planning</w:t>
      </w:r>
      <w:r w:rsidRPr="00C71FA6">
        <w:t>, 56(3), p.102304. doi:</w:t>
      </w:r>
      <w:hyperlink r:id="rId22" w:history="1">
        <w:r w:rsidRPr="00C71FA6">
          <w:rPr>
            <w:rStyle w:val="Hyperlink"/>
          </w:rPr>
          <w:t>https://doi.org/10.1016/j.lrp.2023.102304</w:t>
        </w:r>
      </w:hyperlink>
      <w:r w:rsidRPr="00C71FA6">
        <w:t> </w:t>
      </w:r>
    </w:p>
    <w:p w14:paraId="6605F56F" w14:textId="77777777" w:rsidR="002E43D1" w:rsidRPr="00C71FA6" w:rsidRDefault="002E43D1" w:rsidP="00C71FA6">
      <w:pPr>
        <w:spacing w:before="240" w:after="240" w:line="360" w:lineRule="auto"/>
        <w:jc w:val="both"/>
      </w:pPr>
      <w:r w:rsidRPr="00C71FA6">
        <w:t>Qabool, H., Ali, F., Sukhia, R.H. and Badruddin, N., 2022. Compliance to donning and doffing of personal protective equipment among dental healthcare practitioners during the coronavirus pandemic: a quality improvement plan, do, study and act (PDSA) Initiative. </w:t>
      </w:r>
      <w:r w:rsidRPr="00C71FA6">
        <w:rPr>
          <w:i/>
          <w:iCs/>
        </w:rPr>
        <w:t>BMJ Open Quality</w:t>
      </w:r>
      <w:r w:rsidRPr="00C71FA6">
        <w:t>, </w:t>
      </w:r>
      <w:r w:rsidRPr="00C71FA6">
        <w:rPr>
          <w:i/>
          <w:iCs/>
        </w:rPr>
        <w:t>11</w:t>
      </w:r>
      <w:r w:rsidRPr="00C71FA6">
        <w:t>(3). doi:10.1136/bmjoq-2022-002001</w:t>
      </w:r>
    </w:p>
    <w:p w14:paraId="0DA58290" w14:textId="2E952576" w:rsidR="002E43D1" w:rsidRPr="00C71FA6" w:rsidRDefault="002E43D1" w:rsidP="00C71FA6">
      <w:pPr>
        <w:spacing w:before="240" w:after="240" w:line="360" w:lineRule="auto"/>
        <w:jc w:val="both"/>
      </w:pPr>
      <w:r w:rsidRPr="00C71FA6">
        <w:t>Rehman, I. ur, Muhammad Daniyal Shafqat, Muhammad Danish Shafqat, Rehman, H. ur, Rasool, T., Amir, M.A., Satti, R.A., Farooqui, F., khan, saad, Munir, A. and Iqbal, J.</w:t>
      </w:r>
      <w:r w:rsidR="00391093">
        <w:t xml:space="preserve">, </w:t>
      </w:r>
      <w:r w:rsidRPr="00C71FA6">
        <w:t>2024. Enhancing Hand Hygiene compliance in surgical wards: A Quality Improvement Initiative using two Plan- Do- Study- Act (PDSA) cycles. Research Square (Research Square). https://doi.org/10.21203/rs.3.rs-5298035/v1.</w:t>
      </w:r>
    </w:p>
    <w:p w14:paraId="218E7C9F" w14:textId="4D6758ED" w:rsidR="002E43D1" w:rsidRPr="00C71FA6" w:rsidRDefault="002E43D1" w:rsidP="00C71FA6">
      <w:pPr>
        <w:spacing w:before="240" w:after="240" w:line="360" w:lineRule="auto"/>
        <w:jc w:val="both"/>
      </w:pPr>
      <w:r w:rsidRPr="00C71FA6">
        <w:t>Saad, R.H.A. and Alsada, M.A.</w:t>
      </w:r>
      <w:r w:rsidR="00F92576">
        <w:t xml:space="preserve">, </w:t>
      </w:r>
      <w:r w:rsidRPr="00C71FA6">
        <w:t xml:space="preserve">2025. Future Direction of Quality Improvement of Neonatal Intensive Care Units: A Short Narrative Review. </w:t>
      </w:r>
      <w:r w:rsidRPr="00C71FA6">
        <w:rPr>
          <w:i/>
          <w:iCs/>
        </w:rPr>
        <w:t>SVOA Paediatrics</w:t>
      </w:r>
      <w:r w:rsidRPr="00C71FA6">
        <w:t>, [online] 4(4), pp.100–108. doi:https://doi.org/10.58624/svoapd.2025.04.016.</w:t>
      </w:r>
    </w:p>
    <w:p w14:paraId="724F9CFA" w14:textId="78B0DB5C" w:rsidR="002E43D1" w:rsidRPr="00C71FA6" w:rsidRDefault="002E43D1" w:rsidP="00C71FA6">
      <w:pPr>
        <w:spacing w:before="240" w:after="240" w:line="360" w:lineRule="auto"/>
        <w:jc w:val="both"/>
      </w:pPr>
      <w:r w:rsidRPr="00C71FA6">
        <w:t>Talero-Sarmiento, L.H., Escobar-Rodríguez, L.Y., Gomez-Avila, F.L. and Parra-Sanchez, D.T.</w:t>
      </w:r>
      <w:r w:rsidR="00AD55DB">
        <w:t xml:space="preserve">, </w:t>
      </w:r>
      <w:r w:rsidRPr="00C71FA6">
        <w:t xml:space="preserve">2024. A literature review on Lean healthcare: implementation strategies, challenges, and future research directions. </w:t>
      </w:r>
      <w:r w:rsidRPr="00C71FA6">
        <w:rPr>
          <w:i/>
          <w:iCs/>
        </w:rPr>
        <w:t>Cogent Engineering</w:t>
      </w:r>
      <w:r w:rsidRPr="00C71FA6">
        <w:t>, [online] 11(1). doi:https://doi.org/10.1080/23311916.2024.2411857.</w:t>
      </w:r>
    </w:p>
    <w:p w14:paraId="73460C04" w14:textId="0A091D86" w:rsidR="002E43D1" w:rsidRPr="00C71FA6" w:rsidRDefault="002E43D1" w:rsidP="00C71FA6">
      <w:pPr>
        <w:spacing w:before="240" w:after="240" w:line="360" w:lineRule="auto"/>
        <w:jc w:val="both"/>
      </w:pPr>
      <w:r w:rsidRPr="00C71FA6">
        <w:t>Tlapa, D., Franco-Alucano, I., Limon-Romero, J., Baez-Lopez, Y. and Tortorella, G.</w:t>
      </w:r>
      <w:r w:rsidR="00B565DA">
        <w:t xml:space="preserve">, </w:t>
      </w:r>
      <w:r w:rsidRPr="00C71FA6">
        <w:t xml:space="preserve">2022. Lean, Six Sigma, and Simulation: Evidence from Healthcare Interventions. </w:t>
      </w:r>
      <w:r w:rsidRPr="00C71FA6">
        <w:rPr>
          <w:i/>
          <w:iCs/>
        </w:rPr>
        <w:t>Sustainability</w:t>
      </w:r>
      <w:r w:rsidRPr="00C71FA6">
        <w:t>, 14(24), p.16849. doi:https://doi.org/10.3390/su142416849.</w:t>
      </w:r>
    </w:p>
    <w:p w14:paraId="6147F68E" w14:textId="77777777" w:rsidR="002E43D1" w:rsidRPr="00C71FA6" w:rsidRDefault="002E43D1" w:rsidP="00C71FA6">
      <w:pPr>
        <w:spacing w:before="240" w:after="240" w:line="360" w:lineRule="auto"/>
        <w:jc w:val="both"/>
      </w:pPr>
      <w:r w:rsidRPr="00C71FA6">
        <w:t xml:space="preserve">Tossaint-Schoenmakers, R., Versluis, A., Chavannes, N., Talboom-Kamp, E. and Kasteleyn, M., 2021. The challenge of integrating eHealth into health care: systematic literature review of the Donabedian model of structure, process, and outcome. </w:t>
      </w:r>
      <w:r w:rsidRPr="00C71FA6">
        <w:rPr>
          <w:i/>
          <w:iCs/>
        </w:rPr>
        <w:t>Journal of medical Internet research</w:t>
      </w:r>
      <w:r w:rsidRPr="00C71FA6">
        <w:t xml:space="preserve">, </w:t>
      </w:r>
      <w:r w:rsidRPr="00C71FA6">
        <w:rPr>
          <w:i/>
          <w:iCs/>
        </w:rPr>
        <w:t>23</w:t>
      </w:r>
      <w:r w:rsidRPr="00C71FA6">
        <w:t>(5), p.e27180.</w:t>
      </w:r>
      <w:hyperlink r:id="rId23" w:history="1">
        <w:r w:rsidRPr="00C71FA6">
          <w:rPr>
            <w:rStyle w:val="Hyperlink"/>
          </w:rPr>
          <w:t>https://doi.org/10.2196/27180</w:t>
        </w:r>
      </w:hyperlink>
      <w:r w:rsidRPr="00C71FA6">
        <w:t> </w:t>
      </w:r>
    </w:p>
    <w:p w14:paraId="20CA7E3A" w14:textId="4BA78B38" w:rsidR="002E43D1" w:rsidRPr="00C71FA6" w:rsidRDefault="002E43D1" w:rsidP="00C71FA6">
      <w:pPr>
        <w:spacing w:before="240" w:after="240" w:line="360" w:lineRule="auto"/>
        <w:jc w:val="both"/>
      </w:pPr>
      <w:r w:rsidRPr="00C71FA6">
        <w:t>Vian, T., Agnew, B. and McInnes, K.</w:t>
      </w:r>
      <w:r w:rsidR="001477F3">
        <w:t>, 2</w:t>
      </w:r>
      <w:r w:rsidRPr="00C71FA6">
        <w:t xml:space="preserve">022. Whistleblowing as an anti-corruption strategy in health and pharmaceutical organizations in low- and middle-income countries: a scoping review. </w:t>
      </w:r>
      <w:r w:rsidRPr="00C71FA6">
        <w:rPr>
          <w:i/>
          <w:iCs/>
        </w:rPr>
        <w:t>Global Health Action</w:t>
      </w:r>
      <w:r w:rsidRPr="00C71FA6">
        <w:t>, [online] 15(1). doi:https://doi.org/10.1080/16549716.2022.2140494.</w:t>
      </w:r>
    </w:p>
    <w:p w14:paraId="13594C57" w14:textId="799F5EDF" w:rsidR="002E43D1" w:rsidRPr="00C71FA6" w:rsidRDefault="002E43D1" w:rsidP="00C71FA6">
      <w:pPr>
        <w:spacing w:before="240" w:after="240" w:line="360" w:lineRule="auto"/>
        <w:jc w:val="both"/>
      </w:pPr>
      <w:r w:rsidRPr="00C71FA6">
        <w:lastRenderedPageBreak/>
        <w:t>Whiteing, P.</w:t>
      </w:r>
      <w:r w:rsidR="006A16CD">
        <w:t xml:space="preserve">, </w:t>
      </w:r>
      <w:r w:rsidRPr="00C71FA6">
        <w:t xml:space="preserve">2023. Lucy Letby Inquiry Could Be a Missed Opportunity If It Does Not Look at the Wider Issue. </w:t>
      </w:r>
      <w:r w:rsidRPr="00C71FA6">
        <w:rPr>
          <w:i/>
          <w:iCs/>
        </w:rPr>
        <w:t>Journal of patient safety and risk management</w:t>
      </w:r>
      <w:r w:rsidRPr="00C71FA6">
        <w:t>, 29(1). doi:https://doi.org/10.1177/25160435231212956.</w:t>
      </w:r>
    </w:p>
    <w:p w14:paraId="63D27434" w14:textId="77777777" w:rsidR="002E43D1" w:rsidRPr="00C71FA6" w:rsidRDefault="002E43D1" w:rsidP="00C71FA6">
      <w:pPr>
        <w:spacing w:before="240" w:after="240" w:line="360" w:lineRule="auto"/>
        <w:jc w:val="both"/>
      </w:pPr>
      <w:r w:rsidRPr="00C71FA6">
        <w:t>World Health Organization, 2020. Patient safety incident reporting and learning systems: technical report and guidance.</w:t>
      </w:r>
      <w:hyperlink r:id="rId24" w:history="1">
        <w:r w:rsidRPr="00C71FA6">
          <w:rPr>
            <w:rStyle w:val="Hyperlink"/>
          </w:rPr>
          <w:t>https://iris.who.int/bitstreams/49947589-0a06-4708-8cc9-379bc8d2f9f2/download</w:t>
        </w:r>
      </w:hyperlink>
      <w:r w:rsidRPr="00C71FA6">
        <w:t> </w:t>
      </w:r>
    </w:p>
    <w:p w14:paraId="1BC0DD7D" w14:textId="07BBFF64" w:rsidR="002E43D1" w:rsidRPr="00C71FA6" w:rsidRDefault="002E43D1" w:rsidP="00C71FA6">
      <w:pPr>
        <w:spacing w:before="240" w:after="240" w:line="360" w:lineRule="auto"/>
        <w:jc w:val="both"/>
      </w:pPr>
      <w:r w:rsidRPr="00C71FA6">
        <w:t>Zhong, X., Wu, X., Xie, X., Zhou, Q., Xu, R., Wang, J., He, L., He, Y. and Qiu, X.</w:t>
      </w:r>
      <w:r w:rsidR="00A90E6B">
        <w:t xml:space="preserve">, </w:t>
      </w:r>
      <w:r w:rsidRPr="00C71FA6">
        <w:t xml:space="preserve">2023. A descriptive study on clinical department managers’ cognition of the Plan-Do-Check-Act cycle and factors influencing their cognition. </w:t>
      </w:r>
      <w:r w:rsidRPr="00C71FA6">
        <w:rPr>
          <w:i/>
          <w:iCs/>
        </w:rPr>
        <w:t>BMC Medical Education</w:t>
      </w:r>
      <w:r w:rsidRPr="00C71FA6">
        <w:t>, 23(1). https://doi.org/10.1186/s12909-023-04293-2.</w:t>
      </w:r>
    </w:p>
    <w:sectPr w:rsidR="002E43D1" w:rsidRPr="00C71FA6" w:rsidSect="00580F00">
      <w:footerReference w:type="default" r:id="rId25"/>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C3ED1" w14:textId="77777777" w:rsidR="0096690A" w:rsidRDefault="0096690A">
      <w:pPr>
        <w:spacing w:line="240" w:lineRule="auto"/>
      </w:pPr>
      <w:r>
        <w:separator/>
      </w:r>
    </w:p>
  </w:endnote>
  <w:endnote w:type="continuationSeparator" w:id="0">
    <w:p w14:paraId="6D7F8B53" w14:textId="77777777" w:rsidR="0096690A" w:rsidRDefault="009669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D77F750-7897-487E-8CDC-1DBAC7102321}"/>
  </w:font>
  <w:font w:name="Vrinda">
    <w:panose1 w:val="00000400000000000000"/>
    <w:charset w:val="00"/>
    <w:family w:val="swiss"/>
    <w:pitch w:val="variable"/>
    <w:sig w:usb0="00010003" w:usb1="00000000" w:usb2="00000000" w:usb3="00000000" w:csb0="00000001" w:csb1="00000000"/>
    <w:embedRegular r:id="rId2" w:fontKey="{F31A8DBF-5DC5-4A39-9D53-7B4D73266607}"/>
  </w:font>
  <w:font w:name="Cambria">
    <w:panose1 w:val="02040503050406030204"/>
    <w:charset w:val="00"/>
    <w:family w:val="roman"/>
    <w:pitch w:val="variable"/>
    <w:sig w:usb0="E00006FF" w:usb1="420024FF" w:usb2="02000000" w:usb3="00000000" w:csb0="0000019F" w:csb1="00000000"/>
    <w:embedRegular r:id="rId3" w:fontKey="{6376EE27-1345-423F-B6CF-049AFABDFD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010615"/>
      <w:docPartObj>
        <w:docPartGallery w:val="Page Numbers (Bottom of Page)"/>
        <w:docPartUnique/>
      </w:docPartObj>
    </w:sdtPr>
    <w:sdtEndPr/>
    <w:sdtContent>
      <w:p w14:paraId="40D9F2C9" w14:textId="502582F2" w:rsidR="002E43D1" w:rsidRDefault="002E43D1">
        <w:pPr>
          <w:pStyle w:val="Footer"/>
          <w:jc w:val="right"/>
        </w:pPr>
        <w:r>
          <w:fldChar w:fldCharType="begin"/>
        </w:r>
        <w:r>
          <w:instrText>PAGE   \* MERGEFORMAT</w:instrText>
        </w:r>
        <w:r>
          <w:fldChar w:fldCharType="separate"/>
        </w:r>
        <w:r w:rsidR="00F86B04">
          <w:rPr>
            <w:noProof/>
          </w:rPr>
          <w:t>1</w:t>
        </w:r>
        <w:r>
          <w:fldChar w:fldCharType="end"/>
        </w:r>
      </w:p>
    </w:sdtContent>
  </w:sdt>
  <w:p w14:paraId="11AC96BF" w14:textId="77777777" w:rsidR="0086586E" w:rsidRDefault="0086586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90770" w14:textId="77777777" w:rsidR="0096690A" w:rsidRDefault="0096690A">
      <w:pPr>
        <w:spacing w:line="240" w:lineRule="auto"/>
      </w:pPr>
      <w:r>
        <w:separator/>
      </w:r>
    </w:p>
  </w:footnote>
  <w:footnote w:type="continuationSeparator" w:id="0">
    <w:p w14:paraId="42955A8A" w14:textId="77777777" w:rsidR="0096690A" w:rsidRDefault="009669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FE7F58"/>
    <w:multiLevelType w:val="hybridMultilevel"/>
    <w:tmpl w:val="4E50B3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EB14527"/>
    <w:multiLevelType w:val="multilevel"/>
    <w:tmpl w:val="4E20B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86E"/>
    <w:rsid w:val="000036E0"/>
    <w:rsid w:val="00015359"/>
    <w:rsid w:val="00054CDD"/>
    <w:rsid w:val="000A3218"/>
    <w:rsid w:val="000C54EF"/>
    <w:rsid w:val="000C7C19"/>
    <w:rsid w:val="000E0A5D"/>
    <w:rsid w:val="000E7E59"/>
    <w:rsid w:val="001477F3"/>
    <w:rsid w:val="001612CF"/>
    <w:rsid w:val="0016748A"/>
    <w:rsid w:val="0018327C"/>
    <w:rsid w:val="001929F2"/>
    <w:rsid w:val="001A0834"/>
    <w:rsid w:val="002007ED"/>
    <w:rsid w:val="00207EE0"/>
    <w:rsid w:val="00225134"/>
    <w:rsid w:val="00233C2C"/>
    <w:rsid w:val="00254EB4"/>
    <w:rsid w:val="00266EE5"/>
    <w:rsid w:val="002B1FEC"/>
    <w:rsid w:val="002B4E80"/>
    <w:rsid w:val="002D022B"/>
    <w:rsid w:val="002E43D1"/>
    <w:rsid w:val="002F7E78"/>
    <w:rsid w:val="00302C72"/>
    <w:rsid w:val="00391093"/>
    <w:rsid w:val="003C4255"/>
    <w:rsid w:val="003E2F74"/>
    <w:rsid w:val="00413F51"/>
    <w:rsid w:val="00446971"/>
    <w:rsid w:val="00456FCE"/>
    <w:rsid w:val="00484354"/>
    <w:rsid w:val="00487EC3"/>
    <w:rsid w:val="00580F00"/>
    <w:rsid w:val="00653A09"/>
    <w:rsid w:val="00663D8E"/>
    <w:rsid w:val="006A16CD"/>
    <w:rsid w:val="007D7C8A"/>
    <w:rsid w:val="007F6EBF"/>
    <w:rsid w:val="008030FC"/>
    <w:rsid w:val="0082641D"/>
    <w:rsid w:val="0086586E"/>
    <w:rsid w:val="008A5A91"/>
    <w:rsid w:val="0090225F"/>
    <w:rsid w:val="00923BFC"/>
    <w:rsid w:val="00933675"/>
    <w:rsid w:val="0096690A"/>
    <w:rsid w:val="009B275C"/>
    <w:rsid w:val="009D7137"/>
    <w:rsid w:val="00A5087F"/>
    <w:rsid w:val="00A625B1"/>
    <w:rsid w:val="00A761A6"/>
    <w:rsid w:val="00A90E6B"/>
    <w:rsid w:val="00AD55DB"/>
    <w:rsid w:val="00B11066"/>
    <w:rsid w:val="00B46F37"/>
    <w:rsid w:val="00B565DA"/>
    <w:rsid w:val="00B669CE"/>
    <w:rsid w:val="00B80627"/>
    <w:rsid w:val="00B9496B"/>
    <w:rsid w:val="00BB3378"/>
    <w:rsid w:val="00BB6D26"/>
    <w:rsid w:val="00C061CA"/>
    <w:rsid w:val="00C71FA6"/>
    <w:rsid w:val="00CA6AD1"/>
    <w:rsid w:val="00D02611"/>
    <w:rsid w:val="00D43F0E"/>
    <w:rsid w:val="00D657DF"/>
    <w:rsid w:val="00DA0D5E"/>
    <w:rsid w:val="00EF0F0D"/>
    <w:rsid w:val="00F03463"/>
    <w:rsid w:val="00F11BB8"/>
    <w:rsid w:val="00F5053A"/>
    <w:rsid w:val="00F62CE8"/>
    <w:rsid w:val="00F86B04"/>
    <w:rsid w:val="00F9061E"/>
    <w:rsid w:val="00F92576"/>
    <w:rsid w:val="00FC00E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1B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653A09"/>
    <w:pPr>
      <w:keepNext/>
      <w:keepLines/>
      <w:spacing w:before="400" w:after="120" w:line="480" w:lineRule="auto"/>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653A09"/>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653A09"/>
    <w:rPr>
      <w:color w:val="0000FF" w:themeColor="hyperlink"/>
      <w:u w:val="single"/>
    </w:rPr>
  </w:style>
  <w:style w:type="character" w:customStyle="1" w:styleId="UnresolvedMention">
    <w:name w:val="Unresolved Mention"/>
    <w:basedOn w:val="DefaultParagraphFont"/>
    <w:uiPriority w:val="99"/>
    <w:semiHidden/>
    <w:unhideWhenUsed/>
    <w:rsid w:val="00653A09"/>
    <w:rPr>
      <w:color w:val="605E5C"/>
      <w:shd w:val="clear" w:color="auto" w:fill="E1DFDD"/>
    </w:rPr>
  </w:style>
  <w:style w:type="paragraph" w:styleId="TOCHeading">
    <w:name w:val="TOC Heading"/>
    <w:basedOn w:val="Heading1"/>
    <w:next w:val="Normal"/>
    <w:uiPriority w:val="39"/>
    <w:unhideWhenUsed/>
    <w:qFormat/>
    <w:rsid w:val="00653A0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53A09"/>
    <w:pPr>
      <w:spacing w:after="100"/>
    </w:pPr>
  </w:style>
  <w:style w:type="paragraph" w:styleId="TOC2">
    <w:name w:val="toc 2"/>
    <w:basedOn w:val="Normal"/>
    <w:next w:val="Normal"/>
    <w:autoRedefine/>
    <w:uiPriority w:val="39"/>
    <w:unhideWhenUsed/>
    <w:rsid w:val="00653A09"/>
    <w:pPr>
      <w:spacing w:after="100"/>
      <w:ind w:left="220"/>
    </w:pPr>
  </w:style>
  <w:style w:type="paragraph" w:styleId="ListParagraph">
    <w:name w:val="List Paragraph"/>
    <w:basedOn w:val="Normal"/>
    <w:uiPriority w:val="34"/>
    <w:qFormat/>
    <w:rsid w:val="002E43D1"/>
    <w:pPr>
      <w:ind w:left="720"/>
      <w:contextualSpacing/>
    </w:pPr>
  </w:style>
  <w:style w:type="paragraph" w:styleId="Header">
    <w:name w:val="header"/>
    <w:basedOn w:val="Normal"/>
    <w:link w:val="HeaderChar"/>
    <w:uiPriority w:val="99"/>
    <w:unhideWhenUsed/>
    <w:rsid w:val="002E43D1"/>
    <w:pPr>
      <w:tabs>
        <w:tab w:val="center" w:pos="4513"/>
        <w:tab w:val="right" w:pos="9026"/>
      </w:tabs>
      <w:spacing w:line="240" w:lineRule="auto"/>
    </w:pPr>
  </w:style>
  <w:style w:type="character" w:customStyle="1" w:styleId="HeaderChar">
    <w:name w:val="Header Char"/>
    <w:basedOn w:val="DefaultParagraphFont"/>
    <w:link w:val="Header"/>
    <w:uiPriority w:val="99"/>
    <w:rsid w:val="002E43D1"/>
  </w:style>
  <w:style w:type="paragraph" w:styleId="Footer">
    <w:name w:val="footer"/>
    <w:basedOn w:val="Normal"/>
    <w:link w:val="FooterChar"/>
    <w:uiPriority w:val="99"/>
    <w:unhideWhenUsed/>
    <w:rsid w:val="002E43D1"/>
    <w:pPr>
      <w:tabs>
        <w:tab w:val="center" w:pos="4513"/>
        <w:tab w:val="right" w:pos="9026"/>
      </w:tabs>
      <w:spacing w:line="240" w:lineRule="auto"/>
    </w:pPr>
  </w:style>
  <w:style w:type="character" w:customStyle="1" w:styleId="FooterChar">
    <w:name w:val="Footer Char"/>
    <w:basedOn w:val="DefaultParagraphFont"/>
    <w:link w:val="Footer"/>
    <w:uiPriority w:val="99"/>
    <w:rsid w:val="002E4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978-3-031-70984-5" TargetMode="External"/><Relationship Id="rId18" Type="http://schemas.openxmlformats.org/officeDocument/2006/relationships/hyperlink" Target="https://oapub.org/edu/index.php/ejes/article/download/5440/807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onnectsci.au/py/article-pdf/doi/10.1071/PY23123/586598/py23123.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yberleninka.ru/article/n/continuous-improvement-of-obstetric-nursing-quality-based-on-the-pdca-cycl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cienceopen.com/document_file/8d09d9cd-bce3-45ea-b48d-58d62821bb99/ScienceOpen/downloaded_8d09d9cd-bce3-45ea-b48d-58d62821bb99.pdf" TargetMode="External"/><Relationship Id="rId20" Type="http://schemas.openxmlformats.org/officeDocument/2006/relationships/hyperlink" Target="https://doi.org/10.1055/s-0044-18007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ris.who.int/bitstreams/49947589-0a06-4708-8cc9-379bc8d2f9f2/download" TargetMode="External"/><Relationship Id="rId5" Type="http://schemas.openxmlformats.org/officeDocument/2006/relationships/webSettings" Target="webSettings.xml"/><Relationship Id="rId15" Type="http://schemas.openxmlformats.org/officeDocument/2006/relationships/hyperlink" Target="https://papers.ssrn.com/sol3/Delivery.cfm?abstractid=5044428" TargetMode="External"/><Relationship Id="rId23" Type="http://schemas.openxmlformats.org/officeDocument/2006/relationships/hyperlink" Target="https://doi.org/10.2196/27180" TargetMode="External"/><Relationship Id="rId10" Type="http://schemas.openxmlformats.org/officeDocument/2006/relationships/image" Target="media/image3.png"/><Relationship Id="rId19" Type="http://schemas.openxmlformats.org/officeDocument/2006/relationships/hyperlink" Target="https://researchrepository.universityofgalway.ie/bitstreams/2a65d1a6-fd81-4985-91ec-eed87ecd8fa9/downloa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mjopenquality.bmj.com/content/bmjqir/7/4/e000417.full.pdf" TargetMode="External"/><Relationship Id="rId22" Type="http://schemas.openxmlformats.org/officeDocument/2006/relationships/hyperlink" Target="https://doi.org/10.1016/j.lrp.2023.102304"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F3789-651D-46EA-804D-36E6707B9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4887</Words>
  <Characters>27860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2026-04-16T21:01:00Z</dcterms:created>
  <dcterms:modified xsi:type="dcterms:W3CDTF">2026-04-16T21:01:00Z</dcterms:modified>
</cp:coreProperties>
</file>