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4D28E734"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2E8AF09" w:rsidR="7908378C" w:rsidRDefault="7908378C" w:rsidP="33572C6E">
            <w:pPr>
              <w:ind w:right="237"/>
              <w:rPr>
                <w:b/>
                <w:bCs/>
                <w:color w:val="auto"/>
                <w:sz w:val="32"/>
                <w:szCs w:val="32"/>
              </w:rPr>
            </w:pPr>
            <w:r w:rsidRPr="33572C6E">
              <w:rPr>
                <w:b/>
                <w:bCs/>
                <w:color w:val="auto"/>
                <w:sz w:val="32"/>
                <w:szCs w:val="32"/>
              </w:rPr>
              <w:t xml:space="preserve">Learner name: </w:t>
            </w:r>
            <w:r w:rsidR="00386CA3">
              <w:rPr>
                <w:b/>
                <w:bCs/>
                <w:color w:val="auto"/>
                <w:sz w:val="32"/>
                <w:szCs w:val="32"/>
              </w:rPr>
              <w:t>Samuel Parratt</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333053B8" w:rsidR="7908378C" w:rsidRDefault="00386CA3" w:rsidP="33572C6E">
            <w:pPr>
              <w:ind w:right="237"/>
              <w:rPr>
                <w:b/>
                <w:bCs/>
                <w:color w:val="auto"/>
                <w:sz w:val="32"/>
                <w:szCs w:val="32"/>
              </w:rPr>
            </w:pPr>
            <w:r>
              <w:rPr>
                <w:b/>
                <w:bCs/>
                <w:color w:val="auto"/>
                <w:sz w:val="32"/>
                <w:szCs w:val="32"/>
              </w:rPr>
              <w:t>2134505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A16F8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55885AA0" w14:textId="209844B1" w:rsidR="008B28E7" w:rsidRPr="00F41946" w:rsidRDefault="008B28E7" w:rsidP="00F41946">
      <w:pPr>
        <w:ind w:right="237"/>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304D3A27" w14:textId="3D19CEAD" w:rsidR="00386CA3" w:rsidRPr="00386CA3" w:rsidRDefault="00386CA3" w:rsidP="00386CA3">
      <w:pPr>
        <w:ind w:right="237"/>
        <w:rPr>
          <w:sz w:val="24"/>
          <w:szCs w:val="24"/>
        </w:rPr>
      </w:pPr>
      <w:r w:rsidRPr="00386CA3">
        <w:rPr>
          <w:sz w:val="24"/>
          <w:szCs w:val="24"/>
        </w:rPr>
        <w:t>Anti-social behaviour</w:t>
      </w:r>
      <w:r w:rsidR="000A7216">
        <w:rPr>
          <w:sz w:val="24"/>
          <w:szCs w:val="24"/>
        </w:rPr>
        <w:t xml:space="preserve"> (ASB)</w:t>
      </w:r>
      <w:r w:rsidRPr="00386CA3">
        <w:rPr>
          <w:sz w:val="24"/>
          <w:szCs w:val="24"/>
        </w:rPr>
        <w:t xml:space="preserve"> is defined as ‘behaviour which causes or is likely to cause to another harassment, alarm or distress’ (Metropolitan Police, no date). Heap (2016) highlights that ASB can be persistent and include repeat incidents which escalate over time. Findings by Heap (2020) illustrate that cases of ASB often start as noise nuisance or name calling, which can then escalate to damage to property or even assault. Heap (2020) found that ASB can be debilitating for victims, with mental and physical consequences. This is further highlighted by the tragic case of Fiona Pilkington, after Fiona Pilkington took her and her daughters’ life following years of ASB by youths (BBC, 2011). This case led to a report being released by the Independent Police Complaints Commission (IPCC), which set out recommendations as to how the incident could have been managed. This essay will reflect on an incident I have attended using Gibbs (1988) model of reflection, whilst evaluating the effectiveness of different police responses to protecting vulnerable victims and preventing reoffending. </w:t>
      </w:r>
    </w:p>
    <w:p w14:paraId="1DBCA583" w14:textId="77777777" w:rsidR="00386CA3" w:rsidRPr="00386CA3" w:rsidRDefault="00386CA3" w:rsidP="00386CA3">
      <w:pPr>
        <w:ind w:right="237"/>
        <w:rPr>
          <w:sz w:val="24"/>
          <w:szCs w:val="24"/>
        </w:rPr>
      </w:pPr>
      <w:r w:rsidRPr="00386CA3">
        <w:rPr>
          <w:sz w:val="24"/>
          <w:szCs w:val="24"/>
        </w:rPr>
        <w:t>I attended an incident whereby it was reported that the victim’s ex-neighbour was standing outside of the victim’s home address, shouting threats and shouting words to the effect that he was going to cause him harm. Following this, the male in question started throwing items at the victim’s flat, and following this, the victim believes that the male ran around to the flat buildings’ car park and caused damage to the victim’s vehicle.</w:t>
      </w:r>
    </w:p>
    <w:p w14:paraId="69266708" w14:textId="77777777" w:rsidR="00386CA3" w:rsidRPr="00386CA3" w:rsidRDefault="00386CA3" w:rsidP="00386CA3">
      <w:pPr>
        <w:ind w:right="237"/>
        <w:rPr>
          <w:sz w:val="24"/>
          <w:szCs w:val="24"/>
        </w:rPr>
      </w:pPr>
      <w:r w:rsidRPr="00386CA3">
        <w:rPr>
          <w:sz w:val="24"/>
          <w:szCs w:val="24"/>
        </w:rPr>
        <w:t xml:space="preserve">One of the conclusions drawn by the IPCC following the case of Fiona Pilkington is that there was a failure to define the family as vulnerable, and that their personal circumstances needed to be considered to implement an effective approach to what they were experiencing (IPCC, no date). Right ‘4’ of the Victims Codes of </w:t>
      </w:r>
      <w:r w:rsidRPr="00386CA3">
        <w:rPr>
          <w:sz w:val="24"/>
          <w:szCs w:val="24"/>
        </w:rPr>
        <w:lastRenderedPageBreak/>
        <w:t xml:space="preserve">Practice sets out the right for all victims to have services which tailor to their </w:t>
      </w:r>
      <w:proofErr w:type="gramStart"/>
      <w:r w:rsidRPr="00386CA3">
        <w:rPr>
          <w:sz w:val="24"/>
          <w:szCs w:val="24"/>
        </w:rPr>
        <w:t>needs, and</w:t>
      </w:r>
      <w:proofErr w:type="gramEnd"/>
      <w:r w:rsidRPr="00386CA3">
        <w:rPr>
          <w:sz w:val="24"/>
          <w:szCs w:val="24"/>
        </w:rPr>
        <w:t xml:space="preserve"> sets out that victims for example who are intimidated, vulnerable or who are repeat victims will likely require a more specialised support (Ministry of Justice, 2020). Findings of categories of victim support needs included (but not limited to) practical and emotional needs, safety and protection from re-victimisation and navigation through the Criminal Justice System (Ministry of Justice, 2012). Due to this, I submitted a Victim Focus referral form for the victim to receive appropriate practical support, which included advice surrounding CCTV camera instalments and other appropriate support. As the victim expressed a desire to move away from his property, I also submitted a referral for local authority and housing to support with this. I also submitted another referral known as a public protection notification for the appropriate partner agencies to reach out to the victim if required. Furthermore, the victim believed that this incident was hate-related due to the male’s use of homophobic slurs as the male in question has previously suggested to the victim that he has never seen him with a woman. The agreed definition for identifying hate-crimes by police and the Crown Prosecution Service (2022) is an offence which is perceived by the victim or another to be motivated by prejudice or hostility towards the victim’s race, religion, disability, sexual orientation, transgender identity, or what the offender perceives these to be. Due to this, I made the Hate Crime Officer aware who would then go on to provide the appropriate services to the victim. </w:t>
      </w:r>
    </w:p>
    <w:p w14:paraId="014B92F3" w14:textId="088E1BC3" w:rsidR="00386CA3" w:rsidRPr="00386CA3" w:rsidRDefault="00386CA3" w:rsidP="00386CA3">
      <w:pPr>
        <w:ind w:right="237"/>
        <w:rPr>
          <w:sz w:val="24"/>
          <w:szCs w:val="24"/>
        </w:rPr>
      </w:pPr>
      <w:r w:rsidRPr="00386CA3">
        <w:rPr>
          <w:sz w:val="24"/>
          <w:szCs w:val="24"/>
        </w:rPr>
        <w:t xml:space="preserve">Whilst it was found that signposting to support services usually makes victims feel safe and that they are taken seriously (HMICFRS, 2020), as time has gone on with enquiries to make contact with the male, the victim has become frustrated with this support as it was not </w:t>
      </w:r>
      <w:proofErr w:type="gramStart"/>
      <w:r w:rsidRPr="00386CA3">
        <w:rPr>
          <w:sz w:val="24"/>
          <w:szCs w:val="24"/>
        </w:rPr>
        <w:t>support</w:t>
      </w:r>
      <w:proofErr w:type="gramEnd"/>
      <w:r w:rsidRPr="00386CA3">
        <w:rPr>
          <w:sz w:val="24"/>
          <w:szCs w:val="24"/>
        </w:rPr>
        <w:t xml:space="preserve"> he wanted, rather action taken against the offender. At the time of writing, enquiries are still being made in relation to the male however contact has not been made with him yet. Furthermore, as previous incidents have resulted in no further action due to evidential difficulties, this has caused the victim to feel as though the police are not taking him seriously and that he is frightened. Maguire (1991, cited in </w:t>
      </w:r>
      <w:proofErr w:type="spellStart"/>
      <w:r w:rsidRPr="00386CA3">
        <w:rPr>
          <w:sz w:val="24"/>
          <w:szCs w:val="24"/>
        </w:rPr>
        <w:t>Wemmers</w:t>
      </w:r>
      <w:proofErr w:type="spellEnd"/>
      <w:r w:rsidRPr="00386CA3">
        <w:rPr>
          <w:sz w:val="24"/>
          <w:szCs w:val="24"/>
        </w:rPr>
        <w:t xml:space="preserve">, 2013, pp.221-233) describes this secondary victimisation as increasing the victim’s negative emotions by ‘unsympathetic’ responses. To highlight how important this is, </w:t>
      </w:r>
      <w:proofErr w:type="spellStart"/>
      <w:r w:rsidRPr="00386CA3">
        <w:rPr>
          <w:sz w:val="24"/>
          <w:szCs w:val="24"/>
        </w:rPr>
        <w:t>Wemmers</w:t>
      </w:r>
      <w:proofErr w:type="spellEnd"/>
      <w:r w:rsidRPr="00386CA3">
        <w:rPr>
          <w:sz w:val="24"/>
          <w:szCs w:val="24"/>
        </w:rPr>
        <w:t xml:space="preserve"> (2013) found that participants’ perception on whether they were treated fairly or not by criminal justice authorities, impacted their recovery in relation to PTSD symptoms. On the other hand, Symonds (2010) describes that when victims expect support, and do not receive it, this can lead to a perceived rejection which he describes as the ‘second injury’. Symonds (2010) notes that it is important to consider that the initial ‘injury’ began with their first experience as a victim and believes that how they react to this perceived rejection is only one element to their perceived rejection, with the offender in question bringing about a feeling of ‘powerlessness’ to the victim. The victim has made similar reports against the male for approximately two years after believing he has been frequently targeted by him, making him a repeat victim, which is defined as a victim who has been subject to the same or similar offence two or more times in a 12-month period (Surrey Police, no date). It is also important to note the escalation of this incident, as issues started when the victim and the male were neighbours, when the male used to play loud music in the late hours and shout verbal abuse at the victim when he wished for the music to be turned down, to now damage to the victim’s vehicle and now</w:t>
      </w:r>
      <w:r w:rsidR="00F41946">
        <w:rPr>
          <w:sz w:val="24"/>
          <w:szCs w:val="24"/>
        </w:rPr>
        <w:t xml:space="preserve"> make</w:t>
      </w:r>
      <w:r w:rsidRPr="00386CA3">
        <w:rPr>
          <w:sz w:val="24"/>
          <w:szCs w:val="24"/>
        </w:rPr>
        <w:t xml:space="preserve"> threats to harm. Despite the victim’s frustration, putting support and safeguarding in place is essential, however is not enough alone to resolve the matter or increase the </w:t>
      </w:r>
      <w:r w:rsidRPr="00386CA3">
        <w:rPr>
          <w:sz w:val="24"/>
          <w:szCs w:val="24"/>
        </w:rPr>
        <w:lastRenderedPageBreak/>
        <w:t xml:space="preserve">victim’s sense of safety or reassurance. Part of the victim’s frustration has stemmed from the evidential difficulties overall across the two years and not this incident alone, therefore it became apparent that further practical support through the process was required. </w:t>
      </w:r>
    </w:p>
    <w:p w14:paraId="4B511D1D" w14:textId="77777777" w:rsidR="00386CA3" w:rsidRPr="00386CA3" w:rsidRDefault="00386CA3" w:rsidP="00386CA3">
      <w:pPr>
        <w:ind w:right="237"/>
        <w:rPr>
          <w:sz w:val="24"/>
          <w:szCs w:val="24"/>
        </w:rPr>
      </w:pPr>
      <w:r w:rsidRPr="00386CA3">
        <w:rPr>
          <w:sz w:val="24"/>
          <w:szCs w:val="24"/>
        </w:rPr>
        <w:t>Navigating the victim through the Criminal Justice System is a recognised category of victims’ support needs (Ministry of Justice, 2012). If previous reports made by the victim have resulted in no further action due to evidential difficulties and no action taken against the offender, this could have increased the victim’s sense of ‘powerlessness’. Due to this, I explained to the victim the practicalities of the Criminal Justice System, that proving the guilt of an offender is the responsibility of the prosecution, where the offence must be proved beyond all reasonable doubt, with evidence being used to do this (Health and Safety Executive, no date). In addition to this, the decision to prosecute an offender relies on the prosecutors being satisfied that based on the available evidence, that there is a ‘realistic prospect of conviction’. Without this, the case cannot go ahead (Crown Prosecution Service, 2022). As part of the appropriate referrals submitted for the victim, advice was then provided for the victim for the placement of CCTV cameras at the property, which will be explored and reflected on later in the essay.</w:t>
      </w:r>
    </w:p>
    <w:p w14:paraId="01D6BB28" w14:textId="11E69257" w:rsidR="00386CA3" w:rsidRPr="00386CA3" w:rsidRDefault="00386CA3" w:rsidP="00386CA3">
      <w:pPr>
        <w:ind w:right="237"/>
        <w:rPr>
          <w:sz w:val="24"/>
          <w:szCs w:val="24"/>
        </w:rPr>
      </w:pPr>
      <w:r w:rsidRPr="00386CA3">
        <w:rPr>
          <w:sz w:val="24"/>
          <w:szCs w:val="24"/>
        </w:rPr>
        <w:t xml:space="preserve">As aforementioned, enquiries are still being made in relation to the male </w:t>
      </w:r>
      <w:proofErr w:type="gramStart"/>
      <w:r w:rsidRPr="00386CA3">
        <w:rPr>
          <w:sz w:val="24"/>
          <w:szCs w:val="24"/>
        </w:rPr>
        <w:t>in order to</w:t>
      </w:r>
      <w:proofErr w:type="gramEnd"/>
      <w:r w:rsidRPr="00386CA3">
        <w:rPr>
          <w:sz w:val="24"/>
          <w:szCs w:val="24"/>
        </w:rPr>
        <w:t xml:space="preserve"> take action against him as per the victim’s wishes. If the male is arrested and released from custody, bail conditions can be imposed on him, such as not to attend the location of the victim’s home address, or not to contact the victim directly or indirectly. Research from the HMICFRS (2017) found that the application of bail conditions can reassure victims and can be interpreted as the police taking them seriously. As the victim is frustrated with the lack of action against the offender to date, this would support</w:t>
      </w:r>
      <w:r w:rsidR="00F41946">
        <w:rPr>
          <w:sz w:val="24"/>
          <w:szCs w:val="24"/>
        </w:rPr>
        <w:t xml:space="preserve"> with</w:t>
      </w:r>
      <w:r w:rsidRPr="00386CA3">
        <w:rPr>
          <w:sz w:val="24"/>
          <w:szCs w:val="24"/>
        </w:rPr>
        <w:t xml:space="preserve"> this. After speaking to the victim and discussing the possibility of bail conditions, the victim believes that there will be retaliation once the male is released, despite bail conditions. In Scotland, there were 3,851 convictions of breach of bail conditions between 2019/20 (Scottish Government, 2022), which highlights the risk of retaliation. Due to this, whilst the victim wishes for action to be taken against the male, it is also important to place further safeguarding measures in place and measures to tackle repeat offending to protect the victim. </w:t>
      </w:r>
    </w:p>
    <w:p w14:paraId="25D68F67" w14:textId="77777777" w:rsidR="00386CA3" w:rsidRPr="00386CA3" w:rsidRDefault="00386CA3" w:rsidP="00386CA3">
      <w:pPr>
        <w:ind w:right="237"/>
        <w:rPr>
          <w:sz w:val="24"/>
          <w:szCs w:val="24"/>
        </w:rPr>
      </w:pPr>
      <w:r w:rsidRPr="00386CA3">
        <w:rPr>
          <w:sz w:val="24"/>
          <w:szCs w:val="24"/>
        </w:rPr>
        <w:t xml:space="preserve">One method of protecting the victim and preventing re-offending is target hardening. Cozens (2015) describes it as ‘increasing the risk of offending and reducing the reward associated with committing an offence.  Rational Choice Theory proposes that an offender will weigh up costs and the benefits of committing an offence before taking the action of their own perceived best interest (Paternoster and </w:t>
      </w:r>
      <w:proofErr w:type="spellStart"/>
      <w:r w:rsidRPr="00386CA3">
        <w:rPr>
          <w:sz w:val="24"/>
          <w:szCs w:val="24"/>
        </w:rPr>
        <w:t>Mamayek</w:t>
      </w:r>
      <w:proofErr w:type="spellEnd"/>
      <w:r w:rsidRPr="00386CA3">
        <w:rPr>
          <w:sz w:val="24"/>
          <w:szCs w:val="24"/>
        </w:rPr>
        <w:t xml:space="preserve"> Jaynes, 2017). Nagin (2013) notes that the certainty of apprehension, rather than the severity of the punishment, is an effective deterrent for offending. In light of this, I have conducted regular patrols of the area along with my colleagues as our presence could deter possible repeat offending if it was believed that he could be apprehended if he was to commit an offence </w:t>
      </w:r>
      <w:proofErr w:type="gramStart"/>
      <w:r w:rsidRPr="00386CA3">
        <w:rPr>
          <w:sz w:val="24"/>
          <w:szCs w:val="24"/>
        </w:rPr>
        <w:t>an</w:t>
      </w:r>
      <w:proofErr w:type="gramEnd"/>
      <w:r w:rsidRPr="00386CA3">
        <w:rPr>
          <w:sz w:val="24"/>
          <w:szCs w:val="24"/>
        </w:rPr>
        <w:t xml:space="preserve"> caught by officers. However, Taylor et al. (2011) found that patrols in hot spots of crime delivered positive short-term results, however are unsustainable for reducing crime. From a resource perspective, it is not practical to have officers patrolling the streets </w:t>
      </w:r>
      <w:proofErr w:type="gramStart"/>
      <w:r w:rsidRPr="00386CA3">
        <w:rPr>
          <w:sz w:val="24"/>
          <w:szCs w:val="24"/>
        </w:rPr>
        <w:t>all of</w:t>
      </w:r>
      <w:proofErr w:type="gramEnd"/>
      <w:r w:rsidRPr="00386CA3">
        <w:rPr>
          <w:sz w:val="24"/>
          <w:szCs w:val="24"/>
        </w:rPr>
        <w:t xml:space="preserve"> the time, and despite these patrols, the victim later reported an incident of a similar nature involving the male following my initial attendance and patrols during a time where patrols were not ongoing. This highlights that patrols alone are not enough to reduce re-offending.</w:t>
      </w:r>
    </w:p>
    <w:p w14:paraId="334819CB" w14:textId="77777777" w:rsidR="00386CA3" w:rsidRPr="00386CA3" w:rsidRDefault="00386CA3" w:rsidP="00386CA3">
      <w:pPr>
        <w:ind w:right="237"/>
        <w:rPr>
          <w:sz w:val="24"/>
          <w:szCs w:val="24"/>
        </w:rPr>
      </w:pPr>
      <w:r w:rsidRPr="00386CA3">
        <w:rPr>
          <w:sz w:val="24"/>
          <w:szCs w:val="24"/>
        </w:rPr>
        <w:lastRenderedPageBreak/>
        <w:t xml:space="preserve">As aforementioned, the victim in this incident is a repeat victim of the male. Advice has been provided to place CCTV cameras in front of his property and near his vehicle. This is also a form of target hardening as obvious camera placements could deter offenders from committing offences if as rational choice theory suggests, they will get caught. This is supported by Farrington et al. (2007) who found that CCTV was effective at reducing vehicle crimes, especially in car parks, but it is also noted that this type of crime is more likely to consist of an element of rational choice, as opposed to violent crimes which could carry a degree of compulsion or emotion. This suggests that CCTV would be an appropriate method of preventing reoffending in this incident if the cameras were clearly visible for the offender to see, as opposed to previous occasions. If this incident did not progress due to lack of evidence as cameras had not been fitted for this or the previous incidents, then if the cameras were ineffective at preventing re-offending in future, particularly in relation to the vehicle damage, then it would still allow the victim the chance to capture evidence in future. Whilst Rodgers (2022) found this risked secondary victimisation through the onus that it places on victims to collect evidence as they felt like they were doing the role of the state, it was explained that reasonable lines of enquiry had been pursued in relation to gathering the evidence. Carr et al. (2003) found that victims who had a positive interaction with the police felt more involved in the case. On reflection, advice had been provided to the victim in relation to installing CCTV cameras through victim support prior to the initial incident, however following navigating the victim through the practicalities of the Criminal Justice System and then another incident occurring where nothing was captured evidentially, this has inspired the victim to install the CCTV cameras in order to protect himself further and capture possible evidence of offences as there had been none up to this point, despite myself and other colleagues pursuing other reasonable lines of enquiry. As no CCTV cameras had been installed up until this point following another incident, this highlighted the importance of navigating the victim through the Criminal Justice System as the victim has now put plans in place to have cameras installed, which where other lines of enquiry had been unsuccessful, this could assist the police in assisting the victim, whilst providing a possible deterrence for repeat offending in turn protecting the victim. </w:t>
      </w:r>
    </w:p>
    <w:p w14:paraId="5A14BEB8" w14:textId="70125424" w:rsidR="5B843AF0" w:rsidRPr="00386CA3" w:rsidRDefault="00386CA3" w:rsidP="00386CA3">
      <w:pPr>
        <w:ind w:right="237"/>
        <w:rPr>
          <w:sz w:val="24"/>
          <w:szCs w:val="24"/>
        </w:rPr>
      </w:pPr>
      <w:r w:rsidRPr="00386CA3">
        <w:rPr>
          <w:sz w:val="24"/>
          <w:szCs w:val="24"/>
        </w:rPr>
        <w:t xml:space="preserve">To conclude this essay, at the time of writing enquiries are still ongoing to locate the male and there have since been no other reports of further victimisation caused by the male, which could suggest that the CCTV cameras have been an effective deterrence. Putting in place the appropriate support services will always be essential to protect victims of crime however understanding the victim’s frustration allowed me to then implement ways and work with the victim </w:t>
      </w:r>
      <w:proofErr w:type="gramStart"/>
      <w:r w:rsidRPr="00386CA3">
        <w:rPr>
          <w:sz w:val="24"/>
          <w:szCs w:val="24"/>
        </w:rPr>
        <w:t>in order to</w:t>
      </w:r>
      <w:proofErr w:type="gramEnd"/>
      <w:r w:rsidRPr="00386CA3">
        <w:rPr>
          <w:sz w:val="24"/>
          <w:szCs w:val="24"/>
        </w:rPr>
        <w:t xml:space="preserve"> protect him and potentially reduce repeat offending by the male, whilst remedying issues which have come in the past which has caused the victim this frustration. This is a complex incident whereby there have been evidential difficulties in the past which has impacted the victim’s perception of the police. Dealing with this incident has increased my awareness regarding identifying issues or weaknesses which may have come during previous cases in relation to repeat victims of crime, and how this can improve my understanding of how to implement effective methods to deal with the current incident.</w:t>
      </w:r>
    </w:p>
    <w:p w14:paraId="68317E39" w14:textId="77777777" w:rsidR="00E676F7" w:rsidRDefault="00E676F7">
      <w:pPr>
        <w:overflowPunct/>
        <w:autoSpaceDE/>
        <w:autoSpaceDN/>
        <w:adjustRightInd/>
        <w:textAlignment w:val="auto"/>
        <w:rPr>
          <w:b/>
          <w:bCs/>
          <w:sz w:val="24"/>
          <w:szCs w:val="24"/>
        </w:rPr>
      </w:pPr>
      <w:r w:rsidRPr="5CE196A1">
        <w:rPr>
          <w:b/>
          <w:bCs/>
          <w:sz w:val="24"/>
          <w:szCs w:val="24"/>
        </w:rPr>
        <w:br w:type="page"/>
      </w:r>
    </w:p>
    <w:p w14:paraId="06491356" w14:textId="7422ED2B" w:rsidR="00A221AB" w:rsidRPr="00F41946" w:rsidRDefault="00386CA3" w:rsidP="00F41946">
      <w:pPr>
        <w:overflowPunct/>
        <w:autoSpaceDE/>
        <w:autoSpaceDN/>
        <w:adjustRightInd/>
        <w:textAlignment w:val="auto"/>
        <w:rPr>
          <w:sz w:val="24"/>
          <w:szCs w:val="24"/>
        </w:rPr>
      </w:pPr>
      <w:r w:rsidRPr="00386CA3">
        <w:rPr>
          <w:sz w:val="24"/>
          <w:szCs w:val="24"/>
        </w:rPr>
        <w:lastRenderedPageBreak/>
        <w:t xml:space="preserve">WORD COUNT - </w:t>
      </w:r>
      <w:r w:rsidR="00F41946">
        <w:rPr>
          <w:sz w:val="24"/>
          <w:szCs w:val="24"/>
        </w:rPr>
        <w:t>2186</w:t>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5EBC5590" w14:textId="77777777" w:rsidR="00386CA3" w:rsidRPr="00386CA3" w:rsidRDefault="00386CA3" w:rsidP="00386CA3">
      <w:pPr>
        <w:ind w:right="237"/>
        <w:jc w:val="both"/>
        <w:rPr>
          <w:color w:val="000000" w:themeColor="text1"/>
          <w:sz w:val="24"/>
          <w:szCs w:val="24"/>
        </w:rPr>
      </w:pPr>
      <w:r w:rsidRPr="00386CA3">
        <w:rPr>
          <w:color w:val="000000" w:themeColor="text1"/>
          <w:sz w:val="24"/>
          <w:szCs w:val="24"/>
        </w:rPr>
        <w:t>In the year ending March 2022, 1,500,369 domestic abuse-related incidents were recorded in England and Wales, with 910,980 being crimes (ONS, 2022). Historically, when the police received calls of domestic violence, the police did not take the matter seriously, and considered it a private matter (HMIC, 2014). In the present day, this is not the case, with the Government setting out the ‘Tackling Domestic Abuse Plan’ and the Domestic Abuse Act 2021 passing as legislation. In fact, Article 2 of the Human Rights Act (1998) sets out that everyone’s right to life is protected by law, and that appropriate steps are taken to safeguard the lives of its citizens (L.C.B. v The United Kingdom, 1998). Further to this, the state and authorities are to take ‘preventative operational measures’ where they know or ought to know where there is an immediate risk to life (Osman v The United Kingdom, 1998). This essay will cover the challenges associated with a domestic-related incident which I attended, and the strategies in which I implemented to ensure I responded effectively.</w:t>
      </w:r>
    </w:p>
    <w:p w14:paraId="7A2B6FAB" w14:textId="77777777" w:rsidR="00386CA3" w:rsidRPr="00386CA3" w:rsidRDefault="00386CA3" w:rsidP="00386CA3">
      <w:pPr>
        <w:ind w:right="237"/>
        <w:jc w:val="both"/>
        <w:rPr>
          <w:color w:val="000000" w:themeColor="text1"/>
          <w:sz w:val="24"/>
          <w:szCs w:val="24"/>
        </w:rPr>
      </w:pPr>
      <w:r w:rsidRPr="00386CA3">
        <w:rPr>
          <w:color w:val="000000" w:themeColor="text1"/>
          <w:sz w:val="24"/>
          <w:szCs w:val="24"/>
        </w:rPr>
        <w:t xml:space="preserve">When we arrived at an address following a domestic-related report, I could hear loud shouting from inside the address. I knocked on the door, to which there was no answer. Due to the nature of the report, the sound of a disturbance and previous knowledge that ‘Person B’ was a victim of domestic-related assault in the address earlier that day, I decided to open the unlocked door and enter under a common law power of entry to prevent a breach of the peace (Police and Criminal Evidence (PACE) Act 1984). Entry powers are intrusive in nature and when used incorrectly may breach Human Rights Articles (Home Office, 2014). However, Article 8 sets out that the right to respect for private and family life cannot be interfered with unless in this instance, for the prevention of disorder or crime (Human Rights Act, 1998). I overcame any breaches to Human Rights by ensuring that the appropriate power of entry was used, as I believed that due to the above considerations, that harm may have been caused, or was likely to have been caused, or that a person inside of the property would have been put in fear of harm being done through an assault or other disturbance (College of Policing, 2023). I then entered the property to engage with those inside. </w:t>
      </w:r>
    </w:p>
    <w:p w14:paraId="6F67E4B6" w14:textId="77777777" w:rsidR="00386CA3" w:rsidRPr="00386CA3" w:rsidRDefault="00386CA3" w:rsidP="00386CA3">
      <w:pPr>
        <w:ind w:right="237"/>
        <w:jc w:val="both"/>
        <w:rPr>
          <w:color w:val="000000" w:themeColor="text1"/>
          <w:sz w:val="24"/>
          <w:szCs w:val="24"/>
        </w:rPr>
      </w:pPr>
      <w:r w:rsidRPr="00386CA3">
        <w:rPr>
          <w:color w:val="000000" w:themeColor="text1"/>
          <w:sz w:val="24"/>
          <w:szCs w:val="24"/>
        </w:rPr>
        <w:t xml:space="preserve">As I entered the property, ‘A’ approached us and then brought us into the kitchen, where we met ‘B’, who was with her baby in his pram. As we were in there, ‘A’ and ‘B’ began arguing again. To prevent escalation, I tried to separate the parties, by asking ‘A’ to come into the living-room to talk to us. ‘A’ refused, and argued that as it is her house, she could go where she wanted. As a result of this, ‘A’ continued to go into the kitchen and argue with ‘B’, with the tension continuing to rise, a breach of the peace was seeming more likely. Under the principles of policing by consent, officers are instructed to recognise that if co-operation from the public can be secured, the need for use of force is diminished, and that force is only necessary when all other options have been exhausted, such as verbal warnings (Home Office, 2012). Dryer-Beers et al. (2020) found that interventions to manage volatility in conflict situations should focus on understanding the motivations of others and showing empathy, interpersonal communication skills and remaining calm and controlling your own emotions. This strongly links to the concept of </w:t>
      </w:r>
      <w:proofErr w:type="spellStart"/>
      <w:r w:rsidRPr="00386CA3">
        <w:rPr>
          <w:color w:val="000000" w:themeColor="text1"/>
          <w:sz w:val="24"/>
          <w:szCs w:val="24"/>
        </w:rPr>
        <w:t>Betari’s</w:t>
      </w:r>
      <w:proofErr w:type="spellEnd"/>
      <w:r w:rsidRPr="00386CA3">
        <w:rPr>
          <w:color w:val="000000" w:themeColor="text1"/>
          <w:sz w:val="24"/>
          <w:szCs w:val="24"/>
        </w:rPr>
        <w:t xml:space="preserve"> Box, which suggests a cyclical concept that your attitude affects your behaviour, which effects another’s attitude which in turns affects their behaviour, and so on (College </w:t>
      </w:r>
      <w:r w:rsidRPr="00386CA3">
        <w:rPr>
          <w:color w:val="000000" w:themeColor="text1"/>
          <w:sz w:val="24"/>
          <w:szCs w:val="24"/>
        </w:rPr>
        <w:lastRenderedPageBreak/>
        <w:t xml:space="preserve">of Policing, 2020). </w:t>
      </w:r>
      <w:proofErr w:type="spellStart"/>
      <w:r w:rsidRPr="00386CA3">
        <w:rPr>
          <w:color w:val="000000" w:themeColor="text1"/>
          <w:sz w:val="24"/>
          <w:szCs w:val="24"/>
        </w:rPr>
        <w:t>Depow</w:t>
      </w:r>
      <w:proofErr w:type="spellEnd"/>
      <w:r w:rsidRPr="00386CA3">
        <w:rPr>
          <w:color w:val="000000" w:themeColor="text1"/>
          <w:sz w:val="24"/>
          <w:szCs w:val="24"/>
        </w:rPr>
        <w:t xml:space="preserve"> et al. (2021) defines empathy as the ‘understanding, sharing, and caring about the emotions of other people’, and found that experiencing empathy in the presence of an opportunity to display empathy was a predictor of prosocial behaviour. In this incident, I allowed ‘A’ the opportunity to express how she was </w:t>
      </w:r>
      <w:proofErr w:type="gramStart"/>
      <w:r w:rsidRPr="00386CA3">
        <w:rPr>
          <w:color w:val="000000" w:themeColor="text1"/>
          <w:sz w:val="24"/>
          <w:szCs w:val="24"/>
        </w:rPr>
        <w:t>feeling</w:t>
      </w:r>
      <w:proofErr w:type="gramEnd"/>
      <w:r w:rsidRPr="00386CA3">
        <w:rPr>
          <w:color w:val="000000" w:themeColor="text1"/>
          <w:sz w:val="24"/>
          <w:szCs w:val="24"/>
        </w:rPr>
        <w:t xml:space="preserve"> and I expressed to her that I understood her frustrations. I emphasised that I wanted to let her give her account as to what had happened and following this, ‘A’ became more inclined to wish to speak to me alone, as she previously believed that </w:t>
      </w:r>
      <w:proofErr w:type="gramStart"/>
      <w:r w:rsidRPr="00386CA3">
        <w:rPr>
          <w:color w:val="000000" w:themeColor="text1"/>
          <w:sz w:val="24"/>
          <w:szCs w:val="24"/>
        </w:rPr>
        <w:t>myself and her colleagues</w:t>
      </w:r>
      <w:proofErr w:type="gramEnd"/>
      <w:r w:rsidRPr="00386CA3">
        <w:rPr>
          <w:color w:val="000000" w:themeColor="text1"/>
          <w:sz w:val="24"/>
          <w:szCs w:val="24"/>
        </w:rPr>
        <w:t xml:space="preserve"> were only interested in B’s account as she had a child with her. Following this, I then spoke to ‘A’ in the living-room. </w:t>
      </w:r>
    </w:p>
    <w:p w14:paraId="7FBE020A" w14:textId="61D120FB" w:rsidR="00386CA3" w:rsidRPr="00386CA3" w:rsidRDefault="00386CA3" w:rsidP="00386CA3">
      <w:pPr>
        <w:ind w:right="237"/>
        <w:jc w:val="both"/>
        <w:rPr>
          <w:color w:val="000000" w:themeColor="text1"/>
          <w:sz w:val="24"/>
          <w:szCs w:val="24"/>
        </w:rPr>
      </w:pPr>
      <w:r w:rsidRPr="00386CA3">
        <w:rPr>
          <w:color w:val="000000" w:themeColor="text1"/>
          <w:sz w:val="24"/>
          <w:szCs w:val="24"/>
        </w:rPr>
        <w:t xml:space="preserve">No further offences were disclosed to officers however I decided to take positive action by separating parties </w:t>
      </w:r>
      <w:proofErr w:type="gramStart"/>
      <w:r w:rsidRPr="00386CA3">
        <w:rPr>
          <w:color w:val="000000" w:themeColor="text1"/>
          <w:sz w:val="24"/>
          <w:szCs w:val="24"/>
        </w:rPr>
        <w:t>in order to</w:t>
      </w:r>
      <w:proofErr w:type="gramEnd"/>
      <w:r w:rsidRPr="00386CA3">
        <w:rPr>
          <w:color w:val="000000" w:themeColor="text1"/>
          <w:sz w:val="24"/>
          <w:szCs w:val="24"/>
        </w:rPr>
        <w:t xml:space="preserve"> allow for a cooling down period and to prevent any further possible disorder between the two. Following ‘A’ becoming compliant and agreeing to leave and stay at her father’s, she went upstairs to collect some belongings as agreed. When doing this, she woke up her partner (‘C’) (‘B’s’ </w:t>
      </w:r>
      <w:proofErr w:type="gramStart"/>
      <w:r w:rsidRPr="00386CA3">
        <w:rPr>
          <w:color w:val="000000" w:themeColor="text1"/>
          <w:sz w:val="24"/>
          <w:szCs w:val="24"/>
        </w:rPr>
        <w:t>step-father</w:t>
      </w:r>
      <w:proofErr w:type="gramEnd"/>
      <w:r w:rsidRPr="00386CA3">
        <w:rPr>
          <w:color w:val="000000" w:themeColor="text1"/>
          <w:sz w:val="24"/>
          <w:szCs w:val="24"/>
        </w:rPr>
        <w:t>), and told him what had happened, and that she was going to be leaving. This caused ‘C’ to become irate and confront myself and my colleagues, telling myself that ‘A’ was not going anywhere. ‘C’ was also shouting that ‘B’ in an aggressive and hostile manner. This presented a further challenge as allowing for his behaviour to continue could have resulted in possible harm coming to ‘B’ or my colleagues when executing their duties. I attempted to demonstrate empathy towards ‘C’</w:t>
      </w:r>
      <w:r w:rsidR="00103A0B">
        <w:rPr>
          <w:color w:val="000000" w:themeColor="text1"/>
          <w:sz w:val="24"/>
          <w:szCs w:val="24"/>
        </w:rPr>
        <w:t>, which was unsuccessful</w:t>
      </w:r>
      <w:r w:rsidRPr="00386CA3">
        <w:rPr>
          <w:color w:val="000000" w:themeColor="text1"/>
          <w:sz w:val="24"/>
          <w:szCs w:val="24"/>
        </w:rPr>
        <w:t>, however despite empathy being a predictor of prosocial behaviour, this would suggest that empathy alone cannot explain what encourages prosocial behaviour and that there are more factors at play. I will explore this further in the next part of the essay. However, Due to ‘C’s’ behaviour and unwillingness to cooperate, I decided to arrest ‘C’ in order to prevent a breach of the peace, which provides police with an arrest power to when an individual causes harm or is likely to cause harm to a person, or to a person’s property in their presence, or puts that person in fear of an such harm being done through an assault, affray or other disturbance (College of Policing, 2023).</w:t>
      </w:r>
    </w:p>
    <w:p w14:paraId="37613770" w14:textId="0DD5F4FE" w:rsidR="00386CA3" w:rsidRPr="00386CA3" w:rsidRDefault="00386CA3" w:rsidP="00386CA3">
      <w:pPr>
        <w:ind w:right="237"/>
        <w:jc w:val="both"/>
        <w:rPr>
          <w:color w:val="000000" w:themeColor="text1"/>
          <w:sz w:val="24"/>
          <w:szCs w:val="24"/>
        </w:rPr>
      </w:pPr>
      <w:r w:rsidRPr="00386CA3">
        <w:rPr>
          <w:color w:val="000000" w:themeColor="text1"/>
          <w:sz w:val="24"/>
          <w:szCs w:val="24"/>
        </w:rPr>
        <w:t xml:space="preserve">Following the parties being separated and the incident de-escalating, I then spoke to ‘B’, who had been a victim of a domestic-related assault earlier on in the </w:t>
      </w:r>
      <w:proofErr w:type="gramStart"/>
      <w:r w:rsidRPr="00386CA3">
        <w:rPr>
          <w:color w:val="000000" w:themeColor="text1"/>
          <w:sz w:val="24"/>
          <w:szCs w:val="24"/>
        </w:rPr>
        <w:t>day, but</w:t>
      </w:r>
      <w:proofErr w:type="gramEnd"/>
      <w:r w:rsidRPr="00386CA3">
        <w:rPr>
          <w:color w:val="000000" w:themeColor="text1"/>
          <w:sz w:val="24"/>
          <w:szCs w:val="24"/>
        </w:rPr>
        <w:t xml:space="preserve"> did not wish to provide evidence or a statement regarding the matter. This incident gave me the opportunity to speak to ‘B' regarding the matter again as Person C was yet to be interviewed. A study by Collins et al. (2005) found that a lack of rapport has the potential to turn a potentially cooperative witness into an uncooperative witness. The College of Policing (2020) defines building rapport as developing a relationship or bond with the victim so that they feel comfortable. Cooperation is particularly crucial in domestic-related incidents as it can lead to further safeguarding measures being put in place such as prolonged bail conditions, whereas in some cases if a victim does not support police action, this can result in a case likely being ‘no further action’, which was a possibility in this case. This is of concern when considering that repeat victimisation is more prevalent in violent crime, especially domestic violence (ONS, 2019). Due to this, I tried to build rapport with Person C following the initial incident before discussing the initial domestic which took place prior. When building rapport, Silvia (2005) believed that interpersonal similarity could moderate resistance to persuasion. However, during a call it is not appropriate in the immediate situation and the context of the call to gauge similarity when interacting. Abbe and Brandon (2013) point out that where this is not possible, immediate context can be relied on to find commonality. In this </w:t>
      </w:r>
      <w:r w:rsidRPr="00386CA3">
        <w:rPr>
          <w:color w:val="000000" w:themeColor="text1"/>
          <w:sz w:val="24"/>
          <w:szCs w:val="24"/>
        </w:rPr>
        <w:lastRenderedPageBreak/>
        <w:t xml:space="preserve">case, this consisted of showing interest in what was on the </w:t>
      </w:r>
      <w:proofErr w:type="gramStart"/>
      <w:r w:rsidRPr="00386CA3">
        <w:rPr>
          <w:color w:val="000000" w:themeColor="text1"/>
          <w:sz w:val="24"/>
          <w:szCs w:val="24"/>
        </w:rPr>
        <w:t>television, or</w:t>
      </w:r>
      <w:proofErr w:type="gramEnd"/>
      <w:r w:rsidRPr="00386CA3">
        <w:rPr>
          <w:color w:val="000000" w:themeColor="text1"/>
          <w:sz w:val="24"/>
          <w:szCs w:val="24"/>
        </w:rPr>
        <w:t xml:space="preserve"> asking her about the baby. </w:t>
      </w:r>
      <w:proofErr w:type="gramStart"/>
      <w:r w:rsidRPr="00386CA3">
        <w:rPr>
          <w:color w:val="000000" w:themeColor="text1"/>
          <w:sz w:val="24"/>
          <w:szCs w:val="24"/>
        </w:rPr>
        <w:t>As a police officer, a</w:t>
      </w:r>
      <w:proofErr w:type="gramEnd"/>
      <w:r w:rsidRPr="00386CA3">
        <w:rPr>
          <w:color w:val="000000" w:themeColor="text1"/>
          <w:sz w:val="24"/>
          <w:szCs w:val="24"/>
        </w:rPr>
        <w:t xml:space="preserve"> given situation requires immediate attention and due to limited time with victims due to workload or other calls which require attention, immediate context in finding commonality is one of the only ways police officers can build rapport. Moreland and Zajonc (1980) note that exposure to other people can also impact perceived similarity, or even likeableness. However, Abbe and Brandon (2013) believe whilst this generally should support a build of rapport, this is not the case where the relationship is negative or disrupted. This could explain ‘C’s lack of cooperation with myself and my colleagues, as his first encounter with the police involved myself and my colleagues attempting to remove ‘A’ from where she and himself reside. Camp et al. (2021) found that participants who had previous negative interactions with the police, were more likely to rate an officer’s tone of voice as negative, than those who had previous positive interactions. This suggests that building rapport with an individual would be more difficult in the context of policing if individuals have already ha</w:t>
      </w:r>
      <w:r w:rsidR="00103A0B">
        <w:rPr>
          <w:color w:val="000000" w:themeColor="text1"/>
          <w:sz w:val="24"/>
          <w:szCs w:val="24"/>
        </w:rPr>
        <w:t>d</w:t>
      </w:r>
      <w:r w:rsidRPr="00386CA3">
        <w:rPr>
          <w:color w:val="000000" w:themeColor="text1"/>
          <w:sz w:val="24"/>
          <w:szCs w:val="24"/>
        </w:rPr>
        <w:t xml:space="preserve"> a negative perception of police presence based on previous experience with them. This idea touches on the notion of policing by consent.</w:t>
      </w:r>
    </w:p>
    <w:p w14:paraId="27989CA1" w14:textId="77777777" w:rsidR="00386CA3" w:rsidRPr="00386CA3" w:rsidRDefault="00386CA3" w:rsidP="00386CA3">
      <w:pPr>
        <w:ind w:right="237"/>
        <w:jc w:val="both"/>
        <w:rPr>
          <w:color w:val="000000" w:themeColor="text1"/>
          <w:sz w:val="24"/>
          <w:szCs w:val="24"/>
        </w:rPr>
      </w:pPr>
      <w:r w:rsidRPr="00386CA3">
        <w:rPr>
          <w:color w:val="000000" w:themeColor="text1"/>
          <w:sz w:val="24"/>
          <w:szCs w:val="24"/>
        </w:rPr>
        <w:t xml:space="preserve">Policing by consent sets out that the power of the police is dependent on the public’s approval (Home Office, 2012). As such, the way the police interact with the public can impact the public’s confidence in the police and in turn the public’s willingness to assist the police (College of Policing, 2013). If the public have respect for the police, they will be willing to assist in providing statements or other forms of evidence which allow for suspects to be processed and can potentially prosecuted. In contrast, if the public do not support the police, they may not be willing to engage which can lead to negative consequences such as offenders potentially not being brought to justice, and putting victims at risk of reoffending, which as previously mentioned is a particular risk to victims of domestic violence. The principle of policing by consent would suggest that how victims engage with the police may already be determined by incidents which have come before. If a police officer is having their first encounter with a repeat victim of crime, the victim’s cooperation will initially be determined by interactions that have come before. This will mean that often, police officers may have to try and amend an individual’s possible broken relationship with the police. Even this early on in my career, I have seen individuals treat each colleague differently based on their past dealings with them. In this incident, I had previously investigated a matter for which ‘B’ was a victim of, however due to a lack of evidence the case did not progress. This caused ‘B’ to become upset and inform myself that she will not contact the police again. Prior to our arrival, officers had already dealt with the incident where ‘B’ did not support police action against ‘D’, and despite attempting to use rapport building tactics with ‘B’ as per </w:t>
      </w:r>
      <w:proofErr w:type="spellStart"/>
      <w:r w:rsidRPr="00386CA3">
        <w:rPr>
          <w:color w:val="000000" w:themeColor="text1"/>
          <w:sz w:val="24"/>
          <w:szCs w:val="24"/>
        </w:rPr>
        <w:t>Betari’s</w:t>
      </w:r>
      <w:proofErr w:type="spellEnd"/>
      <w:r w:rsidRPr="00386CA3">
        <w:rPr>
          <w:color w:val="000000" w:themeColor="text1"/>
          <w:sz w:val="24"/>
          <w:szCs w:val="24"/>
        </w:rPr>
        <w:t xml:space="preserve"> Box, which would have suggested that it could potentially lead to a shift in her engagement, ‘B’ still did not support police action against ‘D’. In this instance, ‘B’ and ‘D’ were siblings. Reich et al. (2002) found that victims sometimes did not wish to report an offender to the police due to the nature of their relationship with them. This would suggest that the model of </w:t>
      </w:r>
      <w:proofErr w:type="spellStart"/>
      <w:r w:rsidRPr="00386CA3">
        <w:rPr>
          <w:color w:val="000000" w:themeColor="text1"/>
          <w:sz w:val="24"/>
          <w:szCs w:val="24"/>
        </w:rPr>
        <w:t>Betari’s</w:t>
      </w:r>
      <w:proofErr w:type="spellEnd"/>
      <w:r w:rsidRPr="00386CA3">
        <w:rPr>
          <w:color w:val="000000" w:themeColor="text1"/>
          <w:sz w:val="24"/>
          <w:szCs w:val="24"/>
        </w:rPr>
        <w:t xml:space="preserve"> Box may not be enough alone and could be too oversimplistic in explaining what leads to a shift in attitude and behaviour, as in this instance it could have been down to an unwillingness to support police action against a family member, or previous negative experience with the police.</w:t>
      </w:r>
    </w:p>
    <w:p w14:paraId="042CB012" w14:textId="24BD9745" w:rsidR="00025650" w:rsidRPr="00E676F7" w:rsidRDefault="00386CA3" w:rsidP="00386CA3">
      <w:pPr>
        <w:ind w:right="237"/>
        <w:jc w:val="both"/>
        <w:rPr>
          <w:color w:val="000000" w:themeColor="text1"/>
          <w:sz w:val="24"/>
          <w:szCs w:val="24"/>
        </w:rPr>
      </w:pPr>
      <w:r w:rsidRPr="00386CA3">
        <w:rPr>
          <w:color w:val="000000" w:themeColor="text1"/>
          <w:sz w:val="24"/>
          <w:szCs w:val="24"/>
        </w:rPr>
        <w:t xml:space="preserve">As the police are victim led, it is important to respect the wishes of ‘B’ and put the necessary measures in place to respond effectively and safeguard her. The </w:t>
      </w:r>
      <w:r w:rsidRPr="00386CA3">
        <w:rPr>
          <w:color w:val="000000" w:themeColor="text1"/>
          <w:sz w:val="24"/>
          <w:szCs w:val="24"/>
        </w:rPr>
        <w:lastRenderedPageBreak/>
        <w:t>Government’s Domestic Abuse Action Plan recognises that when protecting victims of domestic abuse, it is a multi-agency responsibility as the police cannot manage it alone (Home Office, 2022). Following my use of rapport building tactics with ‘B’, despite not wishing to support police action against ‘D’, she was agreeable to engage with safeguarding questions as per the public protection notification (PPN), which further supports the idea that she may have simply not been willing to support prosecution against her sibling. The PPN allows the appropriate partner agencies to become aware of the situation and provide the necessary support and interventions. I ensured that I respected B’s wishes, although did everything else I could to safeguard her following this incident, as the relevant agencies such as Women’s Refuge or other domestic-related charities could be made aware to support her and explore further avenues for her.</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41381FDB" w14:textId="399FC95F" w:rsidR="00025650" w:rsidRPr="00E676F7" w:rsidRDefault="00386CA3" w:rsidP="0FF883D4">
      <w:pPr>
        <w:ind w:right="237"/>
        <w:jc w:val="both"/>
        <w:rPr>
          <w:color w:val="000000" w:themeColor="text1"/>
          <w:sz w:val="24"/>
          <w:szCs w:val="24"/>
        </w:rPr>
      </w:pPr>
      <w:r>
        <w:rPr>
          <w:color w:val="000000" w:themeColor="text1"/>
          <w:sz w:val="24"/>
          <w:szCs w:val="24"/>
        </w:rPr>
        <w:t xml:space="preserve">WORD COUNT </w:t>
      </w:r>
      <w:r w:rsidR="00103A0B">
        <w:rPr>
          <w:color w:val="000000" w:themeColor="text1"/>
          <w:sz w:val="24"/>
          <w:szCs w:val="24"/>
        </w:rPr>
        <w:t>–</w:t>
      </w:r>
      <w:r>
        <w:rPr>
          <w:color w:val="000000" w:themeColor="text1"/>
          <w:sz w:val="24"/>
          <w:szCs w:val="24"/>
        </w:rPr>
        <w:t xml:space="preserve"> </w:t>
      </w:r>
      <w:r w:rsidR="00103A0B">
        <w:rPr>
          <w:color w:val="000000" w:themeColor="text1"/>
          <w:sz w:val="24"/>
          <w:szCs w:val="24"/>
        </w:rPr>
        <w:t>2102</w:t>
      </w: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0114C20">
      <w:pPr>
        <w:ind w:right="237"/>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3852AC5D" w14:textId="583EFE3E" w:rsidR="0FF883D4" w:rsidRDefault="0FF883D4" w:rsidP="00114C20">
      <w:pPr>
        <w:ind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lastRenderedPageBreak/>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23F8F164" w14:textId="77777777" w:rsidR="00114C20" w:rsidRDefault="00114C20" w:rsidP="00114C20">
      <w:pPr>
        <w:ind w:right="237"/>
        <w:rPr>
          <w:color w:val="000000" w:themeColor="text1"/>
          <w:sz w:val="24"/>
          <w:szCs w:val="24"/>
        </w:rPr>
      </w:pPr>
    </w:p>
    <w:p w14:paraId="6BA70DB1" w14:textId="77777777" w:rsidR="00114C20" w:rsidRDefault="00114C20" w:rsidP="00114C20">
      <w:pPr>
        <w:ind w:right="237"/>
        <w:rPr>
          <w:color w:val="000000" w:themeColor="text1"/>
          <w:sz w:val="24"/>
          <w:szCs w:val="24"/>
        </w:rPr>
      </w:pPr>
    </w:p>
    <w:p w14:paraId="1ADEFAE5" w14:textId="205157EE" w:rsidR="0FF883D4" w:rsidRDefault="5CE196A1" w:rsidP="00114C20">
      <w:pPr>
        <w:ind w:right="237"/>
      </w:pPr>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4996093" w:rsidR="0FF883D4" w:rsidRPr="00386CA3" w:rsidRDefault="5CE196A1" w:rsidP="5CE196A1">
      <w:r w:rsidRPr="5CE196A1">
        <w:rPr>
          <w:rFonts w:eastAsia="Arial"/>
          <w:b/>
          <w:bCs/>
          <w:color w:val="000000" w:themeColor="text1"/>
          <w:sz w:val="24"/>
          <w:szCs w:val="24"/>
        </w:rPr>
        <w:t xml:space="preserve">Signed: </w:t>
      </w:r>
      <w:proofErr w:type="gramStart"/>
      <w:r w:rsidR="00386CA3" w:rsidRPr="00386CA3">
        <w:rPr>
          <w:rFonts w:eastAsia="Arial"/>
          <w:color w:val="000000" w:themeColor="text1"/>
          <w:sz w:val="24"/>
          <w:szCs w:val="24"/>
        </w:rPr>
        <w:t>S.PARRATT</w:t>
      </w:r>
      <w:proofErr w:type="gramEnd"/>
    </w:p>
    <w:p w14:paraId="563192E7" w14:textId="7A83C86F" w:rsidR="0FF883D4" w:rsidRDefault="5CE196A1" w:rsidP="5CE196A1">
      <w:r w:rsidRPr="5CE196A1">
        <w:rPr>
          <w:rFonts w:eastAsia="Arial"/>
          <w:b/>
          <w:bCs/>
          <w:color w:val="000000" w:themeColor="text1"/>
          <w:sz w:val="24"/>
          <w:szCs w:val="24"/>
        </w:rPr>
        <w:t xml:space="preserve"> </w:t>
      </w:r>
    </w:p>
    <w:p w14:paraId="482B2B3A" w14:textId="2645D8C7" w:rsidR="0FF883D4" w:rsidRPr="00386CA3" w:rsidRDefault="5CE196A1" w:rsidP="00386CA3">
      <w:pPr>
        <w:sectPr w:rsidR="0FF883D4" w:rsidRPr="00386CA3"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386CA3">
        <w:t xml:space="preserve"> </w:t>
      </w:r>
      <w:r w:rsidR="00386CA3">
        <w:rPr>
          <w:sz w:val="24"/>
          <w:szCs w:val="24"/>
          <w:lang w:eastAsia="zh-TW"/>
        </w:rPr>
        <w:t>5 February 20</w:t>
      </w:r>
      <w:r w:rsidR="00114C20">
        <w:rPr>
          <w:sz w:val="24"/>
          <w:szCs w:val="24"/>
          <w:lang w:eastAsia="zh-TW"/>
        </w:rPr>
        <w:t>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594626F" w14:textId="77777777" w:rsidR="00386CA3" w:rsidRDefault="00386CA3" w:rsidP="00EA28F1">
      <w:pPr>
        <w:keepNext/>
        <w:spacing w:before="240" w:after="60"/>
        <w:ind w:right="237"/>
        <w:jc w:val="both"/>
        <w:rPr>
          <w:sz w:val="24"/>
          <w:szCs w:val="24"/>
        </w:rPr>
      </w:pPr>
    </w:p>
    <w:p w14:paraId="6E1DDCAE" w14:textId="282D1F1E" w:rsidR="00386CA3" w:rsidRDefault="00386CA3" w:rsidP="00EA28F1">
      <w:pPr>
        <w:keepNext/>
        <w:spacing w:before="240" w:after="60"/>
        <w:ind w:right="237"/>
        <w:jc w:val="both"/>
        <w:rPr>
          <w:b/>
          <w:bCs/>
          <w:sz w:val="24"/>
          <w:szCs w:val="24"/>
        </w:rPr>
      </w:pPr>
      <w:r w:rsidRPr="00386CA3">
        <w:rPr>
          <w:b/>
          <w:bCs/>
          <w:sz w:val="24"/>
          <w:szCs w:val="24"/>
        </w:rPr>
        <w:t xml:space="preserve">References: </w:t>
      </w:r>
    </w:p>
    <w:p w14:paraId="20551E21" w14:textId="77777777" w:rsidR="00386CA3" w:rsidRDefault="00386CA3" w:rsidP="00EA28F1">
      <w:pPr>
        <w:keepNext/>
        <w:spacing w:before="240" w:after="60"/>
        <w:ind w:right="237"/>
        <w:jc w:val="both"/>
        <w:rPr>
          <w:b/>
          <w:bCs/>
          <w:sz w:val="24"/>
          <w:szCs w:val="24"/>
        </w:rPr>
      </w:pPr>
    </w:p>
    <w:p w14:paraId="3344D4DD"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‘L.C.B. V THE UNITED KINGDOM’ (1998) ECHR 49, (1999) 27 EHRR 212. Available at: http://www.bailii.org/eu/cases/ECHR/1998/49.html (Accessed: 25 November 2023)</w:t>
      </w:r>
    </w:p>
    <w:p w14:paraId="487ED854" w14:textId="77777777" w:rsidR="00386CA3" w:rsidRPr="00386CA3" w:rsidRDefault="00386CA3" w:rsidP="00386CA3">
      <w:pPr>
        <w:rPr>
          <w:rFonts w:asciiTheme="minorHAnsi" w:hAnsiTheme="minorHAnsi" w:cstheme="minorHAnsi"/>
          <w:sz w:val="22"/>
          <w:szCs w:val="22"/>
        </w:rPr>
      </w:pPr>
    </w:p>
    <w:p w14:paraId="72A6FCA6" w14:textId="77777777" w:rsidR="00386CA3" w:rsidRPr="00386CA3" w:rsidRDefault="00386CA3" w:rsidP="00386CA3">
      <w:pPr>
        <w:rPr>
          <w:rFonts w:asciiTheme="minorHAnsi" w:hAnsiTheme="minorHAnsi" w:cstheme="minorHAnsi"/>
          <w:sz w:val="22"/>
          <w:szCs w:val="22"/>
        </w:rPr>
      </w:pPr>
    </w:p>
    <w:p w14:paraId="0B375F66"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‘Osman V THE UNITED KINGDOM’ (1998) HRCF 966, (1999) Available at: http://www.bailii.org/eu/cases/ECHR/1998/101.html (Accessed: 25 November 2023)</w:t>
      </w:r>
    </w:p>
    <w:p w14:paraId="76045A54" w14:textId="77777777" w:rsidR="00386CA3" w:rsidRPr="00386CA3" w:rsidRDefault="00386CA3" w:rsidP="00386CA3">
      <w:pPr>
        <w:rPr>
          <w:rFonts w:asciiTheme="minorHAnsi" w:hAnsiTheme="minorHAnsi" w:cstheme="minorHAnsi"/>
          <w:sz w:val="22"/>
          <w:szCs w:val="22"/>
        </w:rPr>
      </w:pPr>
    </w:p>
    <w:p w14:paraId="66537F87" w14:textId="77777777" w:rsidR="00386CA3" w:rsidRPr="00386CA3" w:rsidRDefault="00386CA3" w:rsidP="00386CA3">
      <w:pPr>
        <w:rPr>
          <w:rFonts w:asciiTheme="minorHAnsi" w:hAnsiTheme="minorHAnsi" w:cstheme="minorHAnsi"/>
          <w:sz w:val="22"/>
          <w:szCs w:val="22"/>
        </w:rPr>
      </w:pPr>
    </w:p>
    <w:p w14:paraId="2C505614"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Abbe, A. and Brandon, S. (2013) </w:t>
      </w:r>
      <w:r w:rsidRPr="00386CA3">
        <w:rPr>
          <w:rFonts w:asciiTheme="minorHAnsi" w:hAnsiTheme="minorHAnsi" w:cstheme="minorHAnsi"/>
          <w:i/>
          <w:iCs/>
          <w:sz w:val="22"/>
          <w:szCs w:val="22"/>
        </w:rPr>
        <w:t>Building and maintaining rapport in investigative interviews</w:t>
      </w:r>
      <w:r w:rsidRPr="00386CA3">
        <w:rPr>
          <w:rFonts w:asciiTheme="minorHAnsi" w:hAnsiTheme="minorHAnsi" w:cstheme="minorHAnsi"/>
          <w:sz w:val="22"/>
          <w:szCs w:val="22"/>
        </w:rPr>
        <w:t>. Police Practice and Research (e-journal), 15(3), 207-220. Available at: https://www.tandfonline.com/doi/full/10.1080/15614263.2013.827835 (Accessed: 23 November 2023)</w:t>
      </w:r>
    </w:p>
    <w:p w14:paraId="210316A8" w14:textId="77777777" w:rsidR="00386CA3" w:rsidRPr="00386CA3" w:rsidRDefault="00386CA3" w:rsidP="00386CA3">
      <w:pPr>
        <w:rPr>
          <w:rFonts w:asciiTheme="minorHAnsi" w:hAnsiTheme="minorHAnsi" w:cstheme="minorHAnsi"/>
          <w:sz w:val="22"/>
          <w:szCs w:val="22"/>
        </w:rPr>
      </w:pPr>
    </w:p>
    <w:p w14:paraId="42363363" w14:textId="77777777" w:rsidR="00386CA3" w:rsidRPr="00386CA3" w:rsidRDefault="00386CA3" w:rsidP="00386CA3">
      <w:pPr>
        <w:rPr>
          <w:rFonts w:asciiTheme="minorHAnsi" w:hAnsiTheme="minorHAnsi" w:cstheme="minorHAnsi"/>
          <w:sz w:val="22"/>
          <w:szCs w:val="22"/>
        </w:rPr>
      </w:pPr>
    </w:p>
    <w:p w14:paraId="0E88F942"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BBC (2011), </w:t>
      </w:r>
      <w:r w:rsidRPr="00386CA3">
        <w:rPr>
          <w:rFonts w:asciiTheme="minorHAnsi" w:hAnsiTheme="minorHAnsi" w:cstheme="minorHAnsi"/>
          <w:i/>
          <w:iCs/>
          <w:sz w:val="22"/>
          <w:szCs w:val="22"/>
        </w:rPr>
        <w:t>Fiona Pilkington officers face misconduct proceedings.</w:t>
      </w:r>
      <w:r w:rsidRPr="00386CA3">
        <w:rPr>
          <w:rFonts w:asciiTheme="minorHAnsi" w:hAnsiTheme="minorHAnsi" w:cstheme="minorHAnsi"/>
          <w:sz w:val="22"/>
          <w:szCs w:val="22"/>
        </w:rPr>
        <w:t xml:space="preserve"> Available at: https://www.bbc.co.uk/news/uk-england-leicestershire-13504618 (Accessed: 3 February 2024)</w:t>
      </w:r>
    </w:p>
    <w:p w14:paraId="1FB0D442" w14:textId="77777777" w:rsidR="00386CA3" w:rsidRPr="00386CA3" w:rsidRDefault="00386CA3" w:rsidP="00386CA3">
      <w:pPr>
        <w:rPr>
          <w:rFonts w:asciiTheme="minorHAnsi" w:hAnsiTheme="minorHAnsi" w:cstheme="minorHAnsi"/>
          <w:sz w:val="22"/>
          <w:szCs w:val="22"/>
        </w:rPr>
      </w:pPr>
    </w:p>
    <w:p w14:paraId="37CF24BB" w14:textId="77777777" w:rsidR="00386CA3" w:rsidRPr="00386CA3" w:rsidRDefault="00386CA3" w:rsidP="00386CA3">
      <w:pPr>
        <w:rPr>
          <w:rFonts w:asciiTheme="minorHAnsi" w:hAnsiTheme="minorHAnsi" w:cstheme="minorHAnsi"/>
          <w:sz w:val="22"/>
          <w:szCs w:val="22"/>
        </w:rPr>
      </w:pPr>
    </w:p>
    <w:p w14:paraId="20C0E5EA"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Camp, N. et al. (2021). </w:t>
      </w:r>
      <w:r w:rsidRPr="00386CA3">
        <w:rPr>
          <w:rFonts w:asciiTheme="minorHAnsi" w:hAnsiTheme="minorHAnsi" w:cstheme="minorHAnsi"/>
          <w:i/>
          <w:iCs/>
          <w:sz w:val="22"/>
          <w:szCs w:val="22"/>
        </w:rPr>
        <w:t xml:space="preserve">The Thin Blue Waveform: Racial Disparities in Officer Prosody Undermine Institutional Trust in Police. </w:t>
      </w:r>
      <w:r w:rsidRPr="00386CA3">
        <w:rPr>
          <w:rFonts w:asciiTheme="minorHAnsi" w:hAnsiTheme="minorHAnsi" w:cstheme="minorHAnsi"/>
          <w:sz w:val="22"/>
          <w:szCs w:val="22"/>
        </w:rPr>
        <w:t xml:space="preserve">Journal of Personality and Social Psychology: Attitudes and Social Cognition (pdf). Available at: </w:t>
      </w:r>
      <w:hyperlink r:id="rId16" w:history="1">
        <w:r w:rsidRPr="00386CA3">
          <w:rPr>
            <w:rStyle w:val="Hyperlink"/>
            <w:rFonts w:asciiTheme="minorHAnsi" w:hAnsiTheme="minorHAnsi" w:cstheme="minorHAnsi"/>
            <w:color w:val="000000" w:themeColor="text1"/>
            <w:sz w:val="22"/>
            <w:szCs w:val="22"/>
            <w:u w:val="none"/>
          </w:rPr>
          <w:t>https://www.apa.org/pubs/journals/releases/psp-pspa0000270.pdf</w:t>
        </w:r>
      </w:hyperlink>
      <w:r w:rsidRPr="00386CA3">
        <w:rPr>
          <w:rFonts w:asciiTheme="minorHAnsi" w:hAnsiTheme="minorHAnsi" w:cstheme="minorHAnsi"/>
          <w:color w:val="000000" w:themeColor="text1"/>
          <w:sz w:val="22"/>
          <w:szCs w:val="22"/>
        </w:rPr>
        <w:t xml:space="preserve"> </w:t>
      </w:r>
      <w:r w:rsidRPr="00386CA3">
        <w:rPr>
          <w:rFonts w:asciiTheme="minorHAnsi" w:hAnsiTheme="minorHAnsi" w:cstheme="minorHAnsi"/>
          <w:sz w:val="22"/>
          <w:szCs w:val="22"/>
        </w:rPr>
        <w:t>(Accessed: 5 February 2024)</w:t>
      </w:r>
    </w:p>
    <w:p w14:paraId="169E9187" w14:textId="77777777" w:rsidR="00386CA3" w:rsidRPr="00386CA3" w:rsidRDefault="00386CA3" w:rsidP="00386CA3">
      <w:pPr>
        <w:rPr>
          <w:rFonts w:asciiTheme="minorHAnsi" w:hAnsiTheme="minorHAnsi" w:cstheme="minorHAnsi"/>
          <w:sz w:val="22"/>
          <w:szCs w:val="22"/>
        </w:rPr>
      </w:pPr>
    </w:p>
    <w:p w14:paraId="2340FC87" w14:textId="77777777" w:rsidR="00386CA3" w:rsidRPr="00386CA3" w:rsidRDefault="00386CA3" w:rsidP="00386CA3">
      <w:pPr>
        <w:rPr>
          <w:rFonts w:asciiTheme="minorHAnsi" w:hAnsiTheme="minorHAnsi" w:cstheme="minorHAnsi"/>
          <w:sz w:val="22"/>
          <w:szCs w:val="22"/>
        </w:rPr>
      </w:pPr>
    </w:p>
    <w:p w14:paraId="0F249B91"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Carr, P. et al. (2003), </w:t>
      </w:r>
      <w:r w:rsidRPr="00386CA3">
        <w:rPr>
          <w:rFonts w:asciiTheme="minorHAnsi" w:hAnsiTheme="minorHAnsi" w:cstheme="minorHAnsi"/>
          <w:i/>
          <w:iCs/>
          <w:sz w:val="22"/>
          <w:szCs w:val="22"/>
        </w:rPr>
        <w:t xml:space="preserve">KEEP ME INFORMED: WHAT MATTERS FOR VICTIMS AS THEY NAVIGATE THE JUVENILE CRIMINAL JUSTICE SYSTEM IN PHILADELPHIA*. </w:t>
      </w:r>
      <w:r w:rsidRPr="00386CA3">
        <w:rPr>
          <w:rFonts w:asciiTheme="minorHAnsi" w:hAnsiTheme="minorHAnsi" w:cstheme="minorHAnsi"/>
          <w:sz w:val="22"/>
          <w:szCs w:val="22"/>
        </w:rPr>
        <w:t xml:space="preserve">International Review of Criminology (e-journal), 10(2), 95-191. Available at: </w:t>
      </w:r>
      <w:hyperlink r:id="rId17" w:history="1">
        <w:r w:rsidRPr="00386CA3">
          <w:rPr>
            <w:rStyle w:val="Hyperlink"/>
            <w:rFonts w:asciiTheme="minorHAnsi" w:hAnsiTheme="minorHAnsi" w:cstheme="minorHAnsi"/>
            <w:color w:val="000000" w:themeColor="text1"/>
            <w:sz w:val="22"/>
            <w:szCs w:val="22"/>
            <w:u w:val="none"/>
          </w:rPr>
          <w:t>https://doi.org/10.1177/026975800301000202</w:t>
        </w:r>
      </w:hyperlink>
      <w:r w:rsidRPr="00386CA3">
        <w:rPr>
          <w:rFonts w:asciiTheme="minorHAnsi" w:hAnsiTheme="minorHAnsi" w:cstheme="minorHAnsi"/>
          <w:color w:val="000000" w:themeColor="text1"/>
          <w:sz w:val="22"/>
          <w:szCs w:val="22"/>
        </w:rPr>
        <w:t xml:space="preserve"> </w:t>
      </w:r>
      <w:r w:rsidRPr="00386CA3">
        <w:rPr>
          <w:rFonts w:asciiTheme="minorHAnsi" w:hAnsiTheme="minorHAnsi" w:cstheme="minorHAnsi"/>
          <w:sz w:val="22"/>
          <w:szCs w:val="22"/>
        </w:rPr>
        <w:t>(Accessed: 4 February 2024)</w:t>
      </w:r>
    </w:p>
    <w:p w14:paraId="5D793DA8" w14:textId="77777777" w:rsidR="00386CA3" w:rsidRPr="00386CA3" w:rsidRDefault="00386CA3" w:rsidP="00386CA3">
      <w:pPr>
        <w:rPr>
          <w:rFonts w:asciiTheme="minorHAnsi" w:hAnsiTheme="minorHAnsi" w:cstheme="minorHAnsi"/>
          <w:sz w:val="22"/>
          <w:szCs w:val="22"/>
        </w:rPr>
      </w:pPr>
    </w:p>
    <w:p w14:paraId="0A70B8F6" w14:textId="77777777" w:rsidR="00386CA3" w:rsidRPr="00386CA3" w:rsidRDefault="00386CA3" w:rsidP="00386CA3">
      <w:pPr>
        <w:rPr>
          <w:rFonts w:asciiTheme="minorHAnsi" w:hAnsiTheme="minorHAnsi" w:cstheme="minorHAnsi"/>
          <w:sz w:val="22"/>
          <w:szCs w:val="22"/>
        </w:rPr>
      </w:pPr>
    </w:p>
    <w:p w14:paraId="21745A16"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College of Policing (2013) </w:t>
      </w:r>
      <w:r w:rsidRPr="00386CA3">
        <w:rPr>
          <w:rFonts w:asciiTheme="minorHAnsi" w:hAnsiTheme="minorHAnsi" w:cstheme="minorHAnsi"/>
          <w:i/>
          <w:iCs/>
          <w:sz w:val="22"/>
          <w:szCs w:val="22"/>
        </w:rPr>
        <w:t>Engagement</w:t>
      </w:r>
      <w:r w:rsidRPr="00386CA3">
        <w:rPr>
          <w:rFonts w:asciiTheme="minorHAnsi" w:hAnsiTheme="minorHAnsi" w:cstheme="minorHAnsi"/>
          <w:sz w:val="22"/>
          <w:szCs w:val="22"/>
        </w:rPr>
        <w:t>. Available at: https://www.college.police.uk/app/engagement-and-communication/engagement (Accessed: 14 January 2024)</w:t>
      </w:r>
    </w:p>
    <w:p w14:paraId="0986285F" w14:textId="77777777" w:rsidR="00386CA3" w:rsidRPr="00386CA3" w:rsidRDefault="00386CA3" w:rsidP="00386CA3">
      <w:pPr>
        <w:rPr>
          <w:rFonts w:asciiTheme="minorHAnsi" w:hAnsiTheme="minorHAnsi" w:cstheme="minorHAnsi"/>
          <w:sz w:val="22"/>
          <w:szCs w:val="22"/>
        </w:rPr>
      </w:pPr>
    </w:p>
    <w:p w14:paraId="07B0B19F" w14:textId="77777777" w:rsidR="00386CA3" w:rsidRPr="00386CA3" w:rsidRDefault="00386CA3" w:rsidP="00386CA3">
      <w:pPr>
        <w:rPr>
          <w:rFonts w:asciiTheme="minorHAnsi" w:hAnsiTheme="minorHAnsi" w:cstheme="minorHAnsi"/>
          <w:sz w:val="22"/>
          <w:szCs w:val="22"/>
        </w:rPr>
      </w:pPr>
    </w:p>
    <w:p w14:paraId="209ADA02"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lastRenderedPageBreak/>
        <w:t xml:space="preserve">College of Policing (2020) </w:t>
      </w:r>
      <w:r w:rsidRPr="00386CA3">
        <w:rPr>
          <w:rFonts w:asciiTheme="minorHAnsi" w:hAnsiTheme="minorHAnsi" w:cstheme="minorHAnsi"/>
          <w:i/>
          <w:iCs/>
          <w:sz w:val="22"/>
          <w:szCs w:val="22"/>
        </w:rPr>
        <w:t>Conflict management skills</w:t>
      </w:r>
      <w:r w:rsidRPr="00386CA3">
        <w:rPr>
          <w:rFonts w:asciiTheme="minorHAnsi" w:hAnsiTheme="minorHAnsi" w:cstheme="minorHAnsi"/>
          <w:sz w:val="22"/>
          <w:szCs w:val="22"/>
        </w:rPr>
        <w:t>. Available at: https://www.college.police.uk/guidance/conflict-management/conflict-management-skills (Accessed: 3 January 2024)</w:t>
      </w:r>
    </w:p>
    <w:p w14:paraId="6FAA4FDF" w14:textId="77777777" w:rsidR="00386CA3" w:rsidRPr="00386CA3" w:rsidRDefault="00386CA3" w:rsidP="00386CA3">
      <w:pPr>
        <w:rPr>
          <w:rFonts w:asciiTheme="minorHAnsi" w:hAnsiTheme="minorHAnsi" w:cstheme="minorHAnsi"/>
          <w:sz w:val="22"/>
          <w:szCs w:val="22"/>
        </w:rPr>
      </w:pPr>
    </w:p>
    <w:p w14:paraId="533BA099" w14:textId="77777777" w:rsidR="00386CA3" w:rsidRPr="00386CA3" w:rsidRDefault="00386CA3" w:rsidP="00386CA3">
      <w:pPr>
        <w:rPr>
          <w:rFonts w:asciiTheme="minorHAnsi" w:hAnsiTheme="minorHAnsi" w:cstheme="minorHAnsi"/>
          <w:sz w:val="22"/>
          <w:szCs w:val="22"/>
        </w:rPr>
      </w:pPr>
    </w:p>
    <w:p w14:paraId="73C71359"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College of Policing (2020</w:t>
      </w:r>
      <w:r w:rsidRPr="00386CA3">
        <w:rPr>
          <w:rFonts w:asciiTheme="minorHAnsi" w:hAnsiTheme="minorHAnsi" w:cstheme="minorHAnsi"/>
          <w:i/>
          <w:iCs/>
          <w:sz w:val="22"/>
          <w:szCs w:val="22"/>
        </w:rPr>
        <w:t>) rapport building</w:t>
      </w:r>
      <w:r w:rsidRPr="00386CA3">
        <w:rPr>
          <w:rFonts w:asciiTheme="minorHAnsi" w:hAnsiTheme="minorHAnsi" w:cstheme="minorHAnsi"/>
          <w:sz w:val="22"/>
          <w:szCs w:val="22"/>
        </w:rPr>
        <w:t>. Available at: https://www.college.police.uk/guidance/obtaining-initial-accounts/rapport-building (Accessed: 23 November 2023</w:t>
      </w:r>
    </w:p>
    <w:p w14:paraId="5B56EC08" w14:textId="77777777" w:rsidR="00386CA3" w:rsidRPr="00386CA3" w:rsidRDefault="00386CA3" w:rsidP="00386CA3">
      <w:pPr>
        <w:rPr>
          <w:rFonts w:asciiTheme="minorHAnsi" w:hAnsiTheme="minorHAnsi" w:cstheme="minorHAnsi"/>
          <w:sz w:val="22"/>
          <w:szCs w:val="22"/>
        </w:rPr>
      </w:pPr>
    </w:p>
    <w:p w14:paraId="7BC3A1D9" w14:textId="77777777" w:rsidR="00386CA3" w:rsidRPr="00386CA3" w:rsidRDefault="00386CA3" w:rsidP="00386CA3">
      <w:pPr>
        <w:rPr>
          <w:rFonts w:asciiTheme="minorHAnsi" w:hAnsiTheme="minorHAnsi" w:cstheme="minorHAnsi"/>
          <w:sz w:val="22"/>
          <w:szCs w:val="22"/>
        </w:rPr>
      </w:pPr>
    </w:p>
    <w:p w14:paraId="66A6A6BA" w14:textId="30A9C3A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College of Policing (2023) </w:t>
      </w:r>
      <w:r w:rsidRPr="00386CA3">
        <w:rPr>
          <w:rFonts w:asciiTheme="minorHAnsi" w:hAnsiTheme="minorHAnsi" w:cstheme="minorHAnsi"/>
          <w:i/>
          <w:iCs/>
          <w:sz w:val="22"/>
          <w:szCs w:val="22"/>
        </w:rPr>
        <w:t>Legal framework and legislation.</w:t>
      </w:r>
      <w:r w:rsidRPr="00386CA3">
        <w:rPr>
          <w:rFonts w:asciiTheme="minorHAnsi" w:hAnsiTheme="minorHAnsi" w:cstheme="minorHAnsi"/>
          <w:sz w:val="22"/>
          <w:szCs w:val="22"/>
        </w:rPr>
        <w:t xml:space="preserve"> Available at: https://www.college.police.uk/app/public-order-public-safety/legal-framework-and-legislation (Accessed: 25 November 2023)</w:t>
      </w:r>
    </w:p>
    <w:p w14:paraId="225710ED" w14:textId="77777777" w:rsidR="00386CA3" w:rsidRPr="00386CA3" w:rsidRDefault="00386CA3" w:rsidP="00386CA3">
      <w:pPr>
        <w:rPr>
          <w:rFonts w:asciiTheme="minorHAnsi" w:hAnsiTheme="minorHAnsi" w:cstheme="minorHAnsi"/>
          <w:sz w:val="22"/>
          <w:szCs w:val="22"/>
        </w:rPr>
      </w:pPr>
    </w:p>
    <w:p w14:paraId="04047E04" w14:textId="77777777" w:rsidR="00386CA3" w:rsidRPr="00386CA3" w:rsidRDefault="00386CA3" w:rsidP="00386CA3">
      <w:pPr>
        <w:rPr>
          <w:rFonts w:asciiTheme="minorHAnsi" w:hAnsiTheme="minorHAnsi" w:cstheme="minorHAnsi"/>
          <w:sz w:val="22"/>
          <w:szCs w:val="22"/>
        </w:rPr>
      </w:pPr>
    </w:p>
    <w:p w14:paraId="01312865"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Collins, R. et al. (2005) </w:t>
      </w:r>
      <w:r w:rsidRPr="00386CA3">
        <w:rPr>
          <w:rFonts w:asciiTheme="minorHAnsi" w:hAnsiTheme="minorHAnsi" w:cstheme="minorHAnsi"/>
          <w:i/>
          <w:iCs/>
          <w:sz w:val="22"/>
          <w:szCs w:val="22"/>
        </w:rPr>
        <w:t>The need for rapport in police interviews</w:t>
      </w:r>
      <w:r w:rsidRPr="00386CA3">
        <w:rPr>
          <w:rFonts w:asciiTheme="minorHAnsi" w:hAnsiTheme="minorHAnsi" w:cstheme="minorHAnsi"/>
          <w:sz w:val="22"/>
          <w:szCs w:val="22"/>
        </w:rPr>
        <w:t xml:space="preserve">. Faculty of Humanities and Social Sciences: </w:t>
      </w:r>
      <w:proofErr w:type="spellStart"/>
      <w:r w:rsidRPr="00386CA3">
        <w:rPr>
          <w:rFonts w:asciiTheme="minorHAnsi" w:hAnsiTheme="minorHAnsi" w:cstheme="minorHAnsi"/>
          <w:sz w:val="22"/>
          <w:szCs w:val="22"/>
        </w:rPr>
        <w:t>ePublications@bond</w:t>
      </w:r>
      <w:proofErr w:type="spellEnd"/>
      <w:r w:rsidRPr="00386CA3">
        <w:rPr>
          <w:rFonts w:asciiTheme="minorHAnsi" w:hAnsiTheme="minorHAnsi" w:cstheme="minorHAnsi"/>
          <w:sz w:val="22"/>
          <w:szCs w:val="22"/>
        </w:rPr>
        <w:t>. Available at: https://www.researchgate.net/publication/27826896_The_Need_for_Rapport_in_Police_Interviews (Accessed: 14 January 2024)</w:t>
      </w:r>
    </w:p>
    <w:p w14:paraId="55E76B6E" w14:textId="77777777" w:rsidR="00386CA3" w:rsidRPr="00386CA3" w:rsidRDefault="00386CA3" w:rsidP="00386CA3">
      <w:pPr>
        <w:rPr>
          <w:rFonts w:asciiTheme="minorHAnsi" w:hAnsiTheme="minorHAnsi" w:cstheme="minorHAnsi"/>
          <w:sz w:val="22"/>
          <w:szCs w:val="22"/>
        </w:rPr>
      </w:pPr>
    </w:p>
    <w:p w14:paraId="2A113268" w14:textId="77777777" w:rsidR="00386CA3" w:rsidRPr="00386CA3" w:rsidRDefault="00386CA3" w:rsidP="00386CA3">
      <w:pPr>
        <w:spacing w:before="240"/>
        <w:rPr>
          <w:rFonts w:asciiTheme="minorHAnsi" w:hAnsiTheme="minorHAnsi" w:cstheme="minorHAnsi"/>
          <w:sz w:val="22"/>
          <w:szCs w:val="22"/>
        </w:rPr>
      </w:pPr>
      <w:r w:rsidRPr="00386CA3">
        <w:rPr>
          <w:rFonts w:asciiTheme="minorHAnsi" w:hAnsiTheme="minorHAnsi" w:cstheme="minorHAnsi"/>
          <w:sz w:val="22"/>
          <w:szCs w:val="22"/>
        </w:rPr>
        <w:t xml:space="preserve">Cozens, P. (2015). </w:t>
      </w:r>
      <w:r w:rsidRPr="00386CA3">
        <w:rPr>
          <w:rFonts w:asciiTheme="minorHAnsi" w:hAnsiTheme="minorHAnsi" w:cstheme="minorHAnsi"/>
          <w:i/>
          <w:iCs/>
          <w:sz w:val="22"/>
          <w:szCs w:val="22"/>
        </w:rPr>
        <w:t xml:space="preserve">A Review and Current Status of Crime Prevention through Environmental Design (CPTED). </w:t>
      </w:r>
      <w:r w:rsidRPr="00386CA3">
        <w:rPr>
          <w:rFonts w:asciiTheme="minorHAnsi" w:hAnsiTheme="minorHAnsi" w:cstheme="minorHAnsi"/>
          <w:sz w:val="22"/>
          <w:szCs w:val="22"/>
        </w:rPr>
        <w:t xml:space="preserve">Journal of Planning Literature (e-journal), 30(4), 393-412. Available at: </w:t>
      </w:r>
      <w:r w:rsidRPr="00386CA3">
        <w:rPr>
          <w:rFonts w:asciiTheme="minorHAnsi" w:hAnsiTheme="minorHAnsi" w:cstheme="minorHAnsi"/>
          <w:i/>
          <w:iCs/>
          <w:sz w:val="22"/>
          <w:szCs w:val="22"/>
        </w:rPr>
        <w:t xml:space="preserve"> </w:t>
      </w:r>
      <w:hyperlink r:id="rId18" w:history="1">
        <w:r w:rsidRPr="00386CA3">
          <w:rPr>
            <w:rStyle w:val="Hyperlink"/>
            <w:rFonts w:asciiTheme="minorHAnsi" w:hAnsiTheme="minorHAnsi" w:cstheme="minorHAnsi"/>
            <w:color w:val="000000" w:themeColor="text1"/>
            <w:sz w:val="22"/>
            <w:szCs w:val="22"/>
            <w:u w:val="none"/>
          </w:rPr>
          <w:t>https://journals.sagepub.com/stoken/default+domain/32BpDARe9FRQNTNzFpEd/full</w:t>
        </w:r>
      </w:hyperlink>
      <w:r w:rsidRPr="00386CA3">
        <w:rPr>
          <w:rFonts w:asciiTheme="minorHAnsi" w:hAnsiTheme="minorHAnsi" w:cstheme="minorHAnsi"/>
          <w:color w:val="000000" w:themeColor="text1"/>
          <w:sz w:val="22"/>
          <w:szCs w:val="22"/>
        </w:rPr>
        <w:t xml:space="preserve"> </w:t>
      </w:r>
      <w:r w:rsidRPr="00386CA3">
        <w:rPr>
          <w:rFonts w:asciiTheme="minorHAnsi" w:hAnsiTheme="minorHAnsi" w:cstheme="minorHAnsi"/>
          <w:sz w:val="22"/>
          <w:szCs w:val="22"/>
        </w:rPr>
        <w:t>(Accessed: 4 February 2024)</w:t>
      </w:r>
    </w:p>
    <w:p w14:paraId="70C77DBF" w14:textId="77777777" w:rsidR="00386CA3" w:rsidRPr="00386CA3" w:rsidRDefault="00386CA3" w:rsidP="00386CA3">
      <w:pPr>
        <w:spacing w:before="240"/>
        <w:rPr>
          <w:rFonts w:asciiTheme="minorHAnsi" w:hAnsiTheme="minorHAnsi" w:cstheme="minorHAnsi"/>
          <w:sz w:val="22"/>
          <w:szCs w:val="22"/>
        </w:rPr>
      </w:pPr>
    </w:p>
    <w:p w14:paraId="302FEA8B" w14:textId="72EB7C03"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Crown Prosecution Service (2022) </w:t>
      </w:r>
      <w:r w:rsidRPr="00386CA3">
        <w:rPr>
          <w:rFonts w:asciiTheme="minorHAnsi" w:hAnsiTheme="minorHAnsi" w:cstheme="minorHAnsi"/>
          <w:i/>
          <w:iCs/>
          <w:sz w:val="22"/>
          <w:szCs w:val="22"/>
        </w:rPr>
        <w:t>Principles we follow</w:t>
      </w:r>
      <w:r w:rsidRPr="00386CA3">
        <w:rPr>
          <w:rFonts w:asciiTheme="minorHAnsi" w:hAnsiTheme="minorHAnsi" w:cstheme="minorHAnsi"/>
          <w:sz w:val="22"/>
          <w:szCs w:val="22"/>
        </w:rPr>
        <w:t xml:space="preserve">. Available at: https://www.cps.gov.uk/principles-we-follow (Accessed: </w:t>
      </w:r>
      <w:r w:rsidR="002F2C6B">
        <w:rPr>
          <w:rFonts w:asciiTheme="minorHAnsi" w:hAnsiTheme="minorHAnsi" w:cstheme="minorHAnsi"/>
          <w:sz w:val="22"/>
          <w:szCs w:val="22"/>
        </w:rPr>
        <w:t>1 February 2024</w:t>
      </w:r>
      <w:r w:rsidRPr="00386CA3">
        <w:rPr>
          <w:rFonts w:asciiTheme="minorHAnsi" w:hAnsiTheme="minorHAnsi" w:cstheme="minorHAnsi"/>
          <w:sz w:val="22"/>
          <w:szCs w:val="22"/>
        </w:rPr>
        <w:t>)</w:t>
      </w:r>
    </w:p>
    <w:p w14:paraId="777B119D" w14:textId="77777777" w:rsidR="00386CA3" w:rsidRPr="00386CA3" w:rsidRDefault="00386CA3" w:rsidP="00386CA3">
      <w:pPr>
        <w:rPr>
          <w:rFonts w:asciiTheme="minorHAnsi" w:hAnsiTheme="minorHAnsi" w:cstheme="minorHAnsi"/>
          <w:sz w:val="22"/>
          <w:szCs w:val="22"/>
        </w:rPr>
      </w:pPr>
    </w:p>
    <w:p w14:paraId="3945AE8A"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ab/>
      </w:r>
    </w:p>
    <w:p w14:paraId="4145A805"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Crown Prosecution Service (2022), </w:t>
      </w:r>
      <w:r w:rsidRPr="00386CA3">
        <w:rPr>
          <w:rFonts w:asciiTheme="minorHAnsi" w:hAnsiTheme="minorHAnsi" w:cstheme="minorHAnsi"/>
          <w:i/>
          <w:iCs/>
          <w:sz w:val="22"/>
          <w:szCs w:val="22"/>
        </w:rPr>
        <w:t xml:space="preserve">Hate Crime. </w:t>
      </w:r>
      <w:r w:rsidRPr="00386CA3">
        <w:rPr>
          <w:rFonts w:asciiTheme="minorHAnsi" w:hAnsiTheme="minorHAnsi" w:cstheme="minorHAnsi"/>
          <w:sz w:val="22"/>
          <w:szCs w:val="22"/>
        </w:rPr>
        <w:t>Available at: https://www.cps.gov.uk/crime-info/hate-crime (Accessed: 2 January 2024)</w:t>
      </w:r>
    </w:p>
    <w:p w14:paraId="3DE5B615" w14:textId="77777777" w:rsidR="00386CA3" w:rsidRPr="00386CA3" w:rsidRDefault="00386CA3" w:rsidP="00386CA3">
      <w:pPr>
        <w:rPr>
          <w:rFonts w:asciiTheme="minorHAnsi" w:hAnsiTheme="minorHAnsi" w:cstheme="minorHAnsi"/>
          <w:sz w:val="22"/>
          <w:szCs w:val="22"/>
        </w:rPr>
      </w:pPr>
    </w:p>
    <w:p w14:paraId="284B9106" w14:textId="77777777" w:rsidR="00386CA3" w:rsidRPr="00386CA3" w:rsidRDefault="00386CA3" w:rsidP="00386CA3">
      <w:pPr>
        <w:rPr>
          <w:rFonts w:asciiTheme="minorHAnsi" w:hAnsiTheme="minorHAnsi" w:cstheme="minorHAnsi"/>
          <w:sz w:val="22"/>
          <w:szCs w:val="22"/>
        </w:rPr>
      </w:pPr>
    </w:p>
    <w:p w14:paraId="76075869" w14:textId="77777777" w:rsidR="00386CA3" w:rsidRPr="00386CA3" w:rsidRDefault="00386CA3" w:rsidP="00386CA3">
      <w:pPr>
        <w:rPr>
          <w:rFonts w:asciiTheme="minorHAnsi" w:hAnsiTheme="minorHAnsi" w:cstheme="minorHAnsi"/>
          <w:sz w:val="22"/>
          <w:szCs w:val="22"/>
        </w:rPr>
      </w:pPr>
      <w:proofErr w:type="spellStart"/>
      <w:r w:rsidRPr="00386CA3">
        <w:rPr>
          <w:rFonts w:asciiTheme="minorHAnsi" w:hAnsiTheme="minorHAnsi" w:cstheme="minorHAnsi"/>
          <w:sz w:val="22"/>
          <w:szCs w:val="22"/>
        </w:rPr>
        <w:t>Depow</w:t>
      </w:r>
      <w:proofErr w:type="spellEnd"/>
      <w:r w:rsidRPr="00386CA3">
        <w:rPr>
          <w:rFonts w:asciiTheme="minorHAnsi" w:hAnsiTheme="minorHAnsi" w:cstheme="minorHAnsi"/>
          <w:sz w:val="22"/>
          <w:szCs w:val="22"/>
        </w:rPr>
        <w:t xml:space="preserve">, G. et al. (2021) </w:t>
      </w:r>
      <w:r w:rsidRPr="00114C20">
        <w:rPr>
          <w:rFonts w:asciiTheme="minorHAnsi" w:hAnsiTheme="minorHAnsi" w:cstheme="minorHAnsi"/>
          <w:i/>
          <w:iCs/>
          <w:sz w:val="22"/>
          <w:szCs w:val="22"/>
        </w:rPr>
        <w:t>The Experience of Empathy in Everyday Life</w:t>
      </w:r>
      <w:r w:rsidRPr="00386CA3">
        <w:rPr>
          <w:rFonts w:asciiTheme="minorHAnsi" w:hAnsiTheme="minorHAnsi" w:cstheme="minorHAnsi"/>
          <w:sz w:val="22"/>
          <w:szCs w:val="22"/>
        </w:rPr>
        <w:t>. Psychological Science (e-journal), 32(8), 1198-1213. Available at: https://doi.org/10.1177/0956797621995202 (Accessed: 14 January 2024)</w:t>
      </w:r>
    </w:p>
    <w:p w14:paraId="49C77EAC" w14:textId="77777777" w:rsidR="00386CA3" w:rsidRPr="00386CA3" w:rsidRDefault="00386CA3" w:rsidP="00386CA3">
      <w:pPr>
        <w:rPr>
          <w:rFonts w:asciiTheme="minorHAnsi" w:hAnsiTheme="minorHAnsi" w:cstheme="minorHAnsi"/>
          <w:sz w:val="22"/>
          <w:szCs w:val="22"/>
        </w:rPr>
      </w:pPr>
    </w:p>
    <w:p w14:paraId="12D7AE0E" w14:textId="77777777" w:rsidR="00386CA3" w:rsidRPr="00386CA3" w:rsidRDefault="00386CA3" w:rsidP="00386CA3">
      <w:pPr>
        <w:rPr>
          <w:rFonts w:asciiTheme="minorHAnsi" w:hAnsiTheme="minorHAnsi" w:cstheme="minorHAnsi"/>
          <w:sz w:val="22"/>
          <w:szCs w:val="22"/>
        </w:rPr>
      </w:pPr>
    </w:p>
    <w:p w14:paraId="773D16F0"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Dryers Beers, E. et al. (2020) </w:t>
      </w:r>
      <w:r w:rsidRPr="00114C20">
        <w:rPr>
          <w:rFonts w:asciiTheme="minorHAnsi" w:hAnsiTheme="minorHAnsi" w:cstheme="minorHAnsi"/>
          <w:i/>
          <w:iCs/>
          <w:sz w:val="22"/>
          <w:szCs w:val="22"/>
        </w:rPr>
        <w:t>Conflict management: What works and risk factors.</w:t>
      </w:r>
      <w:r w:rsidRPr="00386CA3">
        <w:rPr>
          <w:rFonts w:asciiTheme="minorHAnsi" w:hAnsiTheme="minorHAnsi" w:cstheme="minorHAnsi"/>
          <w:sz w:val="22"/>
          <w:szCs w:val="22"/>
        </w:rPr>
        <w:t xml:space="preserve"> Available at: https://assets.college.police.uk/s3fs-public/2020-09/200818-conflict-management-rea-final-1.0.pdf (Accessed: 3 January 2024)</w:t>
      </w:r>
    </w:p>
    <w:p w14:paraId="6B5E31C3" w14:textId="77777777" w:rsidR="00386CA3" w:rsidRPr="00386CA3" w:rsidRDefault="00386CA3" w:rsidP="00386CA3">
      <w:pPr>
        <w:rPr>
          <w:rFonts w:asciiTheme="minorHAnsi" w:hAnsiTheme="minorHAnsi" w:cstheme="minorHAnsi"/>
          <w:sz w:val="22"/>
          <w:szCs w:val="22"/>
        </w:rPr>
      </w:pPr>
    </w:p>
    <w:p w14:paraId="7DA5FCCE" w14:textId="77777777" w:rsidR="00386CA3" w:rsidRPr="00386CA3" w:rsidRDefault="00386CA3" w:rsidP="00386CA3">
      <w:pPr>
        <w:rPr>
          <w:rFonts w:asciiTheme="minorHAnsi" w:hAnsiTheme="minorHAnsi" w:cstheme="minorHAnsi"/>
          <w:sz w:val="22"/>
          <w:szCs w:val="22"/>
        </w:rPr>
      </w:pPr>
    </w:p>
    <w:p w14:paraId="63E06258"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Farrington, D. et al. (2007), </w:t>
      </w:r>
      <w:r w:rsidRPr="00386CA3">
        <w:rPr>
          <w:rFonts w:asciiTheme="minorHAnsi" w:hAnsiTheme="minorHAnsi" w:cstheme="minorHAnsi"/>
          <w:i/>
          <w:iCs/>
          <w:sz w:val="22"/>
          <w:szCs w:val="22"/>
        </w:rPr>
        <w:t xml:space="preserve">The effects of closed-circuit television on crime: meta-analysis of an English national quasi-experimental multi-site evaluation. </w:t>
      </w:r>
      <w:r w:rsidRPr="00386CA3">
        <w:rPr>
          <w:rFonts w:asciiTheme="minorHAnsi" w:hAnsiTheme="minorHAnsi" w:cstheme="minorHAnsi"/>
          <w:sz w:val="22"/>
          <w:szCs w:val="22"/>
        </w:rPr>
        <w:t xml:space="preserve">Journal of Experimental Criminology (e-journal), 3, 21-38. Available at: </w:t>
      </w:r>
      <w:hyperlink r:id="rId19" w:history="1">
        <w:r w:rsidRPr="00386CA3">
          <w:rPr>
            <w:rStyle w:val="Hyperlink"/>
            <w:rFonts w:asciiTheme="minorHAnsi" w:hAnsiTheme="minorHAnsi" w:cstheme="minorHAnsi"/>
            <w:color w:val="000000" w:themeColor="text1"/>
            <w:sz w:val="22"/>
            <w:szCs w:val="22"/>
            <w:u w:val="none"/>
          </w:rPr>
          <w:t>https://doi.org/10.1007/s11292-007-9024-2</w:t>
        </w:r>
      </w:hyperlink>
      <w:r w:rsidRPr="00386CA3">
        <w:rPr>
          <w:rFonts w:asciiTheme="minorHAnsi" w:hAnsiTheme="minorHAnsi" w:cstheme="minorHAnsi"/>
          <w:sz w:val="22"/>
          <w:szCs w:val="22"/>
        </w:rPr>
        <w:t xml:space="preserve"> (Accessed: 4 February 2024) </w:t>
      </w:r>
    </w:p>
    <w:p w14:paraId="3229BF62" w14:textId="77777777" w:rsidR="00386CA3" w:rsidRPr="00386CA3" w:rsidRDefault="00386CA3" w:rsidP="00386CA3">
      <w:pPr>
        <w:rPr>
          <w:rFonts w:asciiTheme="minorHAnsi" w:hAnsiTheme="minorHAnsi" w:cstheme="minorHAnsi"/>
          <w:sz w:val="22"/>
          <w:szCs w:val="22"/>
        </w:rPr>
      </w:pPr>
    </w:p>
    <w:p w14:paraId="21AF6055" w14:textId="77777777" w:rsidR="00386CA3" w:rsidRPr="00386CA3" w:rsidRDefault="00386CA3" w:rsidP="00386CA3">
      <w:pPr>
        <w:rPr>
          <w:rFonts w:asciiTheme="minorHAnsi" w:hAnsiTheme="minorHAnsi" w:cstheme="minorHAnsi"/>
          <w:sz w:val="22"/>
          <w:szCs w:val="22"/>
        </w:rPr>
      </w:pPr>
    </w:p>
    <w:p w14:paraId="069FDE48"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lastRenderedPageBreak/>
        <w:t xml:space="preserve">Gibbs, G. (1988), </w:t>
      </w:r>
      <w:r w:rsidRPr="00386CA3">
        <w:rPr>
          <w:rFonts w:asciiTheme="minorHAnsi" w:hAnsiTheme="minorHAnsi" w:cstheme="minorHAnsi"/>
          <w:i/>
          <w:iCs/>
          <w:sz w:val="22"/>
          <w:szCs w:val="22"/>
        </w:rPr>
        <w:t xml:space="preserve">Learning by Doing </w:t>
      </w:r>
      <w:r w:rsidRPr="00386CA3">
        <w:rPr>
          <w:rFonts w:asciiTheme="minorHAnsi" w:hAnsiTheme="minorHAnsi" w:cstheme="minorHAnsi"/>
          <w:sz w:val="22"/>
          <w:szCs w:val="22"/>
        </w:rPr>
        <w:t xml:space="preserve">(e-book) Further Education Unit: Oxford Polytechnic. Available at: </w:t>
      </w:r>
      <w:hyperlink r:id="rId20" w:history="1">
        <w:r w:rsidRPr="00386CA3">
          <w:rPr>
            <w:rStyle w:val="Hyperlink"/>
            <w:rFonts w:asciiTheme="minorHAnsi" w:hAnsiTheme="minorHAnsi" w:cstheme="minorHAnsi"/>
            <w:color w:val="000000" w:themeColor="text1"/>
            <w:sz w:val="22"/>
            <w:szCs w:val="22"/>
            <w:u w:val="none"/>
          </w:rPr>
          <w:t>https://thoughtsmostlyaboutlearning.files.wordpress.com/2015/12/learning-by-doing-graham-gibbs.pdf</w:t>
        </w:r>
      </w:hyperlink>
      <w:r w:rsidRPr="00386CA3">
        <w:rPr>
          <w:rFonts w:asciiTheme="minorHAnsi" w:hAnsiTheme="minorHAnsi" w:cstheme="minorHAnsi"/>
          <w:color w:val="000000" w:themeColor="text1"/>
          <w:sz w:val="22"/>
          <w:szCs w:val="22"/>
        </w:rPr>
        <w:t xml:space="preserve"> </w:t>
      </w:r>
      <w:r w:rsidRPr="00386CA3">
        <w:rPr>
          <w:rFonts w:asciiTheme="minorHAnsi" w:hAnsiTheme="minorHAnsi" w:cstheme="minorHAnsi"/>
          <w:sz w:val="22"/>
          <w:szCs w:val="22"/>
        </w:rPr>
        <w:t>(Accessed: 31 January 2024)</w:t>
      </w:r>
    </w:p>
    <w:p w14:paraId="48AF8C07" w14:textId="77777777" w:rsidR="00386CA3" w:rsidRPr="00386CA3" w:rsidRDefault="00386CA3" w:rsidP="00386CA3">
      <w:pPr>
        <w:rPr>
          <w:rFonts w:asciiTheme="minorHAnsi" w:hAnsiTheme="minorHAnsi" w:cstheme="minorHAnsi"/>
          <w:sz w:val="22"/>
          <w:szCs w:val="22"/>
        </w:rPr>
      </w:pPr>
    </w:p>
    <w:p w14:paraId="3E1F352A" w14:textId="77777777" w:rsidR="00386CA3" w:rsidRPr="00386CA3" w:rsidRDefault="00386CA3" w:rsidP="00386CA3">
      <w:pPr>
        <w:rPr>
          <w:rFonts w:asciiTheme="minorHAnsi" w:hAnsiTheme="minorHAnsi" w:cstheme="minorHAnsi"/>
          <w:sz w:val="22"/>
          <w:szCs w:val="22"/>
        </w:rPr>
      </w:pPr>
    </w:p>
    <w:p w14:paraId="4E477143" w14:textId="7DB351DB"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Health and Safety Executive (no date) </w:t>
      </w:r>
      <w:r w:rsidRPr="00386CA3">
        <w:rPr>
          <w:rFonts w:asciiTheme="minorHAnsi" w:hAnsiTheme="minorHAnsi" w:cstheme="minorHAnsi"/>
          <w:i/>
          <w:iCs/>
          <w:sz w:val="22"/>
          <w:szCs w:val="22"/>
        </w:rPr>
        <w:t>Proving the offence</w:t>
      </w:r>
      <w:r w:rsidRPr="00386CA3">
        <w:rPr>
          <w:rFonts w:asciiTheme="minorHAnsi" w:hAnsiTheme="minorHAnsi" w:cstheme="minorHAnsi"/>
          <w:sz w:val="22"/>
          <w:szCs w:val="22"/>
        </w:rPr>
        <w:t xml:space="preserve">. Available at: https://www.hse.gov.uk/enforce/enforcementguide/court/rules-prove.htm (Accessed: </w:t>
      </w:r>
      <w:r w:rsidR="002F2C6B">
        <w:rPr>
          <w:rFonts w:asciiTheme="minorHAnsi" w:hAnsiTheme="minorHAnsi" w:cstheme="minorHAnsi"/>
          <w:sz w:val="22"/>
          <w:szCs w:val="22"/>
        </w:rPr>
        <w:t>1 February 2024</w:t>
      </w:r>
      <w:r w:rsidRPr="00386CA3">
        <w:rPr>
          <w:rFonts w:asciiTheme="minorHAnsi" w:hAnsiTheme="minorHAnsi" w:cstheme="minorHAnsi"/>
          <w:sz w:val="22"/>
          <w:szCs w:val="22"/>
        </w:rPr>
        <w:t>)</w:t>
      </w:r>
    </w:p>
    <w:p w14:paraId="25D0EB7C" w14:textId="77777777" w:rsidR="00386CA3" w:rsidRPr="00386CA3" w:rsidRDefault="00386CA3" w:rsidP="00386CA3">
      <w:pPr>
        <w:rPr>
          <w:rFonts w:asciiTheme="minorHAnsi" w:hAnsiTheme="minorHAnsi" w:cstheme="minorHAnsi"/>
          <w:sz w:val="22"/>
          <w:szCs w:val="22"/>
        </w:rPr>
      </w:pPr>
    </w:p>
    <w:p w14:paraId="2231BC1C" w14:textId="77777777" w:rsidR="00386CA3" w:rsidRPr="00386CA3" w:rsidRDefault="00386CA3" w:rsidP="00386CA3">
      <w:pPr>
        <w:rPr>
          <w:rFonts w:asciiTheme="minorHAnsi" w:hAnsiTheme="minorHAnsi" w:cstheme="minorHAnsi"/>
          <w:sz w:val="22"/>
          <w:szCs w:val="22"/>
        </w:rPr>
      </w:pPr>
    </w:p>
    <w:p w14:paraId="5AE6CD36"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Heap, V. (2016), </w:t>
      </w:r>
      <w:r w:rsidRPr="00386CA3">
        <w:rPr>
          <w:rFonts w:asciiTheme="minorHAnsi" w:hAnsiTheme="minorHAnsi" w:cstheme="minorHAnsi"/>
          <w:i/>
          <w:iCs/>
          <w:sz w:val="22"/>
          <w:szCs w:val="22"/>
        </w:rPr>
        <w:t xml:space="preserve">Putting victims first? A critique of Coalition anti-social behaviour policy. </w:t>
      </w:r>
      <w:r w:rsidRPr="00386CA3">
        <w:rPr>
          <w:rFonts w:asciiTheme="minorHAnsi" w:hAnsiTheme="minorHAnsi" w:cstheme="minorHAnsi"/>
          <w:sz w:val="22"/>
          <w:szCs w:val="22"/>
        </w:rPr>
        <w:t>Critical Social Policy</w:t>
      </w:r>
      <w:r w:rsidRPr="00386CA3">
        <w:rPr>
          <w:rFonts w:asciiTheme="minorHAnsi" w:hAnsiTheme="minorHAnsi" w:cstheme="minorHAnsi"/>
          <w:i/>
          <w:iCs/>
          <w:sz w:val="22"/>
          <w:szCs w:val="22"/>
        </w:rPr>
        <w:t xml:space="preserve"> </w:t>
      </w:r>
      <w:r w:rsidRPr="00386CA3">
        <w:rPr>
          <w:rFonts w:asciiTheme="minorHAnsi" w:hAnsiTheme="minorHAnsi" w:cstheme="minorHAnsi"/>
          <w:sz w:val="22"/>
          <w:szCs w:val="22"/>
        </w:rPr>
        <w:t>(e-journal)</w:t>
      </w:r>
      <w:r w:rsidRPr="00386CA3">
        <w:rPr>
          <w:rFonts w:asciiTheme="minorHAnsi" w:hAnsiTheme="minorHAnsi" w:cstheme="minorHAnsi"/>
          <w:i/>
          <w:iCs/>
          <w:sz w:val="22"/>
          <w:szCs w:val="22"/>
        </w:rPr>
        <w:t xml:space="preserve">, </w:t>
      </w:r>
      <w:r w:rsidRPr="00386CA3">
        <w:rPr>
          <w:rFonts w:asciiTheme="minorHAnsi" w:hAnsiTheme="minorHAnsi" w:cstheme="minorHAnsi"/>
          <w:sz w:val="22"/>
          <w:szCs w:val="22"/>
        </w:rPr>
        <w:t>36(2), 246-264</w:t>
      </w:r>
      <w:r w:rsidRPr="00386CA3">
        <w:rPr>
          <w:rFonts w:asciiTheme="minorHAnsi" w:hAnsiTheme="minorHAnsi" w:cstheme="minorHAnsi"/>
          <w:i/>
          <w:iCs/>
          <w:sz w:val="22"/>
          <w:szCs w:val="22"/>
        </w:rPr>
        <w:t>.</w:t>
      </w:r>
      <w:r w:rsidRPr="00386CA3">
        <w:rPr>
          <w:rFonts w:asciiTheme="minorHAnsi" w:hAnsiTheme="minorHAnsi" w:cstheme="minorHAnsi"/>
          <w:sz w:val="22"/>
          <w:szCs w:val="22"/>
        </w:rPr>
        <w:t xml:space="preserve"> Available at: https://doi.org/10.1177/0261018315624173 (Accessed: 1 February 2024)</w:t>
      </w:r>
    </w:p>
    <w:p w14:paraId="635B704C" w14:textId="77777777" w:rsidR="00386CA3" w:rsidRPr="00386CA3" w:rsidRDefault="00386CA3" w:rsidP="00386CA3">
      <w:pPr>
        <w:rPr>
          <w:rFonts w:asciiTheme="minorHAnsi" w:hAnsiTheme="minorHAnsi" w:cstheme="minorHAnsi"/>
          <w:sz w:val="22"/>
          <w:szCs w:val="22"/>
        </w:rPr>
      </w:pPr>
    </w:p>
    <w:p w14:paraId="47B21861" w14:textId="77777777" w:rsidR="00386CA3" w:rsidRPr="00386CA3" w:rsidRDefault="00386CA3" w:rsidP="00386CA3">
      <w:pPr>
        <w:rPr>
          <w:rFonts w:asciiTheme="minorHAnsi" w:hAnsiTheme="minorHAnsi" w:cstheme="minorHAnsi"/>
          <w:sz w:val="22"/>
          <w:szCs w:val="22"/>
        </w:rPr>
      </w:pPr>
    </w:p>
    <w:p w14:paraId="45F01217" w14:textId="77777777" w:rsid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Heap, V. (2020), </w:t>
      </w:r>
      <w:r w:rsidRPr="00386CA3">
        <w:rPr>
          <w:rFonts w:asciiTheme="minorHAnsi" w:hAnsiTheme="minorHAnsi" w:cstheme="minorHAnsi"/>
          <w:i/>
          <w:iCs/>
          <w:sz w:val="22"/>
          <w:szCs w:val="22"/>
        </w:rPr>
        <w:t xml:space="preserve">Exploring the effect of long-term anti-social behaviour victimisation. </w:t>
      </w:r>
      <w:r w:rsidRPr="00386CA3">
        <w:rPr>
          <w:rFonts w:asciiTheme="minorHAnsi" w:hAnsiTheme="minorHAnsi" w:cstheme="minorHAnsi"/>
          <w:sz w:val="22"/>
          <w:szCs w:val="22"/>
        </w:rPr>
        <w:t>International Review of Victimology (e-journal), 27(2), 227-242. Available at: https://journals.sagepub.com/doi/full/10.1177/0269758020961979 (Accessed: 1 February 2024)</w:t>
      </w:r>
    </w:p>
    <w:p w14:paraId="125535F4" w14:textId="77777777" w:rsidR="00114C20" w:rsidRPr="00386CA3" w:rsidRDefault="00114C20" w:rsidP="00386CA3">
      <w:pPr>
        <w:rPr>
          <w:rFonts w:asciiTheme="minorHAnsi" w:hAnsiTheme="minorHAnsi" w:cstheme="minorHAnsi"/>
          <w:sz w:val="22"/>
          <w:szCs w:val="22"/>
        </w:rPr>
      </w:pPr>
    </w:p>
    <w:p w14:paraId="25F2C736" w14:textId="77777777" w:rsidR="00386CA3" w:rsidRPr="00386CA3" w:rsidRDefault="00386CA3" w:rsidP="00386CA3">
      <w:pPr>
        <w:rPr>
          <w:rFonts w:asciiTheme="minorHAnsi" w:hAnsiTheme="minorHAnsi" w:cstheme="minorHAnsi"/>
          <w:sz w:val="22"/>
          <w:szCs w:val="22"/>
        </w:rPr>
      </w:pPr>
    </w:p>
    <w:p w14:paraId="6DD127B3" w14:textId="2070453F"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Her Majesty’s Inspectorate of Constabulary and Fire and Rescue Service (2020) </w:t>
      </w:r>
      <w:r w:rsidRPr="00386CA3">
        <w:rPr>
          <w:rFonts w:asciiTheme="minorHAnsi" w:hAnsiTheme="minorHAnsi" w:cstheme="minorHAnsi"/>
          <w:i/>
          <w:iCs/>
          <w:sz w:val="22"/>
          <w:szCs w:val="22"/>
        </w:rPr>
        <w:t>Research into victim and suspect experiences of changes to the Policing and Crime Act 2017</w:t>
      </w:r>
      <w:r w:rsidRPr="00386CA3">
        <w:rPr>
          <w:rFonts w:asciiTheme="minorHAnsi" w:hAnsiTheme="minorHAnsi" w:cstheme="minorHAnsi"/>
          <w:sz w:val="22"/>
          <w:szCs w:val="22"/>
        </w:rPr>
        <w:t xml:space="preserve">. Available at: https://assets-hmicfrs.justiceinspectorates.gov.uk/uploads/research-into-victim-suspect-experiences-changes-policing-crime-act-2017.pdf (Accessed: </w:t>
      </w:r>
      <w:r w:rsidR="002F2C6B">
        <w:rPr>
          <w:rFonts w:asciiTheme="minorHAnsi" w:hAnsiTheme="minorHAnsi" w:cstheme="minorHAnsi"/>
          <w:sz w:val="22"/>
          <w:szCs w:val="22"/>
        </w:rPr>
        <w:t>1 February 2024</w:t>
      </w:r>
      <w:r w:rsidRPr="00386CA3">
        <w:rPr>
          <w:rFonts w:asciiTheme="minorHAnsi" w:hAnsiTheme="minorHAnsi" w:cstheme="minorHAnsi"/>
          <w:sz w:val="22"/>
          <w:szCs w:val="22"/>
        </w:rPr>
        <w:t>)</w:t>
      </w:r>
    </w:p>
    <w:p w14:paraId="362FDE2F" w14:textId="77777777" w:rsidR="00386CA3" w:rsidRPr="00386CA3" w:rsidRDefault="00386CA3" w:rsidP="00386CA3">
      <w:pPr>
        <w:rPr>
          <w:rFonts w:asciiTheme="minorHAnsi" w:hAnsiTheme="minorHAnsi" w:cstheme="minorHAnsi"/>
          <w:sz w:val="22"/>
          <w:szCs w:val="22"/>
        </w:rPr>
      </w:pPr>
    </w:p>
    <w:p w14:paraId="0BECEA01" w14:textId="77777777" w:rsidR="00386CA3" w:rsidRPr="00386CA3" w:rsidRDefault="00386CA3" w:rsidP="00386CA3">
      <w:pPr>
        <w:rPr>
          <w:rFonts w:asciiTheme="minorHAnsi" w:hAnsiTheme="minorHAnsi" w:cstheme="minorHAnsi"/>
          <w:sz w:val="22"/>
          <w:szCs w:val="22"/>
        </w:rPr>
      </w:pPr>
    </w:p>
    <w:p w14:paraId="1AD9D21A"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Her Majesty’s Inspectorate of Constabulary and Fire and Rescue Services (2017), </w:t>
      </w:r>
      <w:r w:rsidRPr="00386CA3">
        <w:rPr>
          <w:rFonts w:asciiTheme="minorHAnsi" w:hAnsiTheme="minorHAnsi" w:cstheme="minorHAnsi"/>
          <w:i/>
          <w:iCs/>
          <w:sz w:val="22"/>
          <w:szCs w:val="22"/>
        </w:rPr>
        <w:t xml:space="preserve">Research into victim and suspect experiences of changes to the Policing and Crime Act 2017. </w:t>
      </w:r>
      <w:r w:rsidRPr="00386CA3">
        <w:rPr>
          <w:rFonts w:asciiTheme="minorHAnsi" w:hAnsiTheme="minorHAnsi" w:cstheme="minorHAnsi"/>
          <w:sz w:val="22"/>
          <w:szCs w:val="22"/>
        </w:rPr>
        <w:t xml:space="preserve">Available at: </w:t>
      </w:r>
      <w:hyperlink r:id="rId21" w:history="1">
        <w:r w:rsidRPr="00386CA3">
          <w:rPr>
            <w:rStyle w:val="Hyperlink"/>
            <w:rFonts w:asciiTheme="minorHAnsi" w:hAnsiTheme="minorHAnsi" w:cstheme="minorHAnsi"/>
            <w:color w:val="000000" w:themeColor="text1"/>
            <w:sz w:val="22"/>
            <w:szCs w:val="22"/>
            <w:u w:val="none"/>
          </w:rPr>
          <w:t>https://assets-hmicfrs.justiceinspectorates.gov.uk/uploads/research-into-victim-suspect-experiences-changes-policing-crime-act-2017.pdf</w:t>
        </w:r>
      </w:hyperlink>
      <w:r w:rsidRPr="00386CA3">
        <w:rPr>
          <w:rFonts w:asciiTheme="minorHAnsi" w:hAnsiTheme="minorHAnsi" w:cstheme="minorHAnsi"/>
          <w:sz w:val="22"/>
          <w:szCs w:val="22"/>
        </w:rPr>
        <w:t xml:space="preserve"> (Accessed: 2 February 2024)</w:t>
      </w:r>
    </w:p>
    <w:p w14:paraId="697527E9" w14:textId="77777777" w:rsidR="00386CA3" w:rsidRPr="00386CA3" w:rsidRDefault="00386CA3" w:rsidP="00386CA3">
      <w:pPr>
        <w:rPr>
          <w:rFonts w:asciiTheme="minorHAnsi" w:hAnsiTheme="minorHAnsi" w:cstheme="minorHAnsi"/>
          <w:sz w:val="22"/>
          <w:szCs w:val="22"/>
        </w:rPr>
      </w:pPr>
    </w:p>
    <w:p w14:paraId="315DE997" w14:textId="77777777" w:rsidR="00386CA3" w:rsidRPr="00386CA3" w:rsidRDefault="00386CA3" w:rsidP="00386CA3">
      <w:pPr>
        <w:rPr>
          <w:rFonts w:asciiTheme="minorHAnsi" w:hAnsiTheme="minorHAnsi" w:cstheme="minorHAnsi"/>
          <w:sz w:val="22"/>
          <w:szCs w:val="22"/>
        </w:rPr>
      </w:pPr>
    </w:p>
    <w:p w14:paraId="7AD71DE5"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HMIC (2014), </w:t>
      </w:r>
      <w:r w:rsidRPr="00386CA3">
        <w:rPr>
          <w:rFonts w:asciiTheme="minorHAnsi" w:hAnsiTheme="minorHAnsi" w:cstheme="minorHAnsi"/>
          <w:i/>
          <w:iCs/>
          <w:sz w:val="22"/>
          <w:szCs w:val="22"/>
        </w:rPr>
        <w:t>HMIC Review on Police Response to Domestic Violence and Abuse. Submission by Southall Black Sisters.</w:t>
      </w:r>
      <w:r w:rsidRPr="00386CA3">
        <w:rPr>
          <w:rFonts w:asciiTheme="minorHAnsi" w:hAnsiTheme="minorHAnsi" w:cstheme="minorHAnsi"/>
          <w:sz w:val="22"/>
          <w:szCs w:val="22"/>
        </w:rPr>
        <w:t xml:space="preserve"> Available at: https://assets.publishing.service.gov.uk/media/5c1cef2ae5274a6590040e71/Appendix_3.pdf (Accessed: 24 November 2023) </w:t>
      </w:r>
    </w:p>
    <w:p w14:paraId="29A2C471" w14:textId="77777777" w:rsidR="00386CA3" w:rsidRPr="00386CA3" w:rsidRDefault="00386CA3" w:rsidP="00386CA3">
      <w:pPr>
        <w:rPr>
          <w:rFonts w:asciiTheme="minorHAnsi" w:hAnsiTheme="minorHAnsi" w:cstheme="minorHAnsi"/>
          <w:sz w:val="22"/>
          <w:szCs w:val="22"/>
        </w:rPr>
      </w:pPr>
    </w:p>
    <w:p w14:paraId="7A37ED19" w14:textId="77777777" w:rsidR="00386CA3" w:rsidRPr="00386CA3" w:rsidRDefault="00386CA3" w:rsidP="00386CA3">
      <w:pPr>
        <w:rPr>
          <w:rFonts w:asciiTheme="minorHAnsi" w:hAnsiTheme="minorHAnsi" w:cstheme="minorHAnsi"/>
          <w:sz w:val="22"/>
          <w:szCs w:val="22"/>
        </w:rPr>
      </w:pPr>
    </w:p>
    <w:p w14:paraId="6456EC67"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Home Office (2012) </w:t>
      </w:r>
      <w:r w:rsidRPr="00386CA3">
        <w:rPr>
          <w:rFonts w:asciiTheme="minorHAnsi" w:hAnsiTheme="minorHAnsi" w:cstheme="minorHAnsi"/>
          <w:i/>
          <w:iCs/>
          <w:sz w:val="22"/>
          <w:szCs w:val="22"/>
        </w:rPr>
        <w:t>Definition of policing by consent</w:t>
      </w:r>
      <w:r w:rsidRPr="00386CA3">
        <w:rPr>
          <w:rFonts w:asciiTheme="minorHAnsi" w:hAnsiTheme="minorHAnsi" w:cstheme="minorHAnsi"/>
          <w:sz w:val="22"/>
          <w:szCs w:val="22"/>
        </w:rPr>
        <w:t>. Available at: https://www.gov.uk/government/publications/policing-by-consent/definition-of-policing-by-consent (Accessed: 25 November 2023)</w:t>
      </w:r>
    </w:p>
    <w:p w14:paraId="7EFEDF1F" w14:textId="77777777" w:rsidR="00386CA3" w:rsidRPr="00386CA3" w:rsidRDefault="00386CA3" w:rsidP="00386CA3">
      <w:pPr>
        <w:rPr>
          <w:rFonts w:asciiTheme="minorHAnsi" w:hAnsiTheme="minorHAnsi" w:cstheme="minorHAnsi"/>
          <w:sz w:val="22"/>
          <w:szCs w:val="22"/>
        </w:rPr>
      </w:pPr>
    </w:p>
    <w:p w14:paraId="75B824F3" w14:textId="77777777" w:rsidR="00386CA3" w:rsidRPr="00386CA3" w:rsidRDefault="00386CA3" w:rsidP="00386CA3">
      <w:pPr>
        <w:rPr>
          <w:rFonts w:asciiTheme="minorHAnsi" w:hAnsiTheme="minorHAnsi" w:cstheme="minorHAnsi"/>
          <w:sz w:val="22"/>
          <w:szCs w:val="22"/>
        </w:rPr>
      </w:pPr>
    </w:p>
    <w:p w14:paraId="346E6FF2"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Home Office (2014), </w:t>
      </w:r>
      <w:r w:rsidRPr="00386CA3">
        <w:rPr>
          <w:rFonts w:asciiTheme="minorHAnsi" w:hAnsiTheme="minorHAnsi" w:cstheme="minorHAnsi"/>
          <w:i/>
          <w:iCs/>
          <w:sz w:val="22"/>
          <w:szCs w:val="22"/>
        </w:rPr>
        <w:t>Codes of Practice Powers of Entry</w:t>
      </w:r>
      <w:r w:rsidRPr="00386CA3">
        <w:rPr>
          <w:rFonts w:asciiTheme="minorHAnsi" w:hAnsiTheme="minorHAnsi" w:cstheme="minorHAnsi"/>
          <w:sz w:val="22"/>
          <w:szCs w:val="22"/>
        </w:rPr>
        <w:t>. Available at: https://assets.publishing.service.gov.uk/media/5a7e12d2e5274a2e8ab45ab9/Code_of_Practice_-_Powers_of_Entry__web_.pdf#:~:text=1.2%20Powers%20of%20entry%20and%20associated%20powers%20are,and%20allow%20for%20the%20necessary%20enforcement%20of%20regulations (Accessed: 25 November 2023)</w:t>
      </w:r>
    </w:p>
    <w:p w14:paraId="52A5B974" w14:textId="77777777" w:rsidR="00386CA3" w:rsidRPr="00386CA3" w:rsidRDefault="00386CA3" w:rsidP="00386CA3">
      <w:pPr>
        <w:rPr>
          <w:rFonts w:asciiTheme="minorHAnsi" w:hAnsiTheme="minorHAnsi" w:cstheme="minorHAnsi"/>
          <w:sz w:val="22"/>
          <w:szCs w:val="22"/>
        </w:rPr>
      </w:pPr>
    </w:p>
    <w:p w14:paraId="0BC95F86" w14:textId="77777777" w:rsidR="00386CA3" w:rsidRPr="00386CA3" w:rsidRDefault="00386CA3" w:rsidP="00386CA3">
      <w:pPr>
        <w:rPr>
          <w:rFonts w:asciiTheme="minorHAnsi" w:hAnsiTheme="minorHAnsi" w:cstheme="minorHAnsi"/>
          <w:sz w:val="22"/>
          <w:szCs w:val="22"/>
        </w:rPr>
      </w:pPr>
    </w:p>
    <w:p w14:paraId="47624B88"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lastRenderedPageBreak/>
        <w:t xml:space="preserve">Home Office (2022) </w:t>
      </w:r>
      <w:r w:rsidRPr="00386CA3">
        <w:rPr>
          <w:rFonts w:asciiTheme="minorHAnsi" w:hAnsiTheme="minorHAnsi" w:cstheme="minorHAnsi"/>
          <w:i/>
          <w:iCs/>
          <w:sz w:val="22"/>
          <w:szCs w:val="22"/>
        </w:rPr>
        <w:t>Tackling domestic abuse plan.</w:t>
      </w:r>
      <w:r w:rsidRPr="00386CA3">
        <w:rPr>
          <w:rFonts w:asciiTheme="minorHAnsi" w:hAnsiTheme="minorHAnsi" w:cstheme="minorHAnsi"/>
          <w:sz w:val="22"/>
          <w:szCs w:val="22"/>
        </w:rPr>
        <w:t xml:space="preserve"> Available at: https://www.gov.uk/government/publications/tackling-domestic-abuse-plan/tackling-domestic-abuse-plan-command-paper-639-accessible-version (Accessed: 14 January 2024)</w:t>
      </w:r>
    </w:p>
    <w:p w14:paraId="3901A392" w14:textId="77777777" w:rsidR="00386CA3" w:rsidRPr="00386CA3" w:rsidRDefault="00386CA3" w:rsidP="00386CA3">
      <w:pPr>
        <w:rPr>
          <w:rFonts w:asciiTheme="minorHAnsi" w:hAnsiTheme="minorHAnsi" w:cstheme="minorHAnsi"/>
          <w:sz w:val="22"/>
          <w:szCs w:val="22"/>
        </w:rPr>
      </w:pPr>
    </w:p>
    <w:p w14:paraId="20F86E8F" w14:textId="77777777" w:rsidR="00386CA3" w:rsidRPr="00386CA3" w:rsidRDefault="00386CA3" w:rsidP="00386CA3">
      <w:pPr>
        <w:rPr>
          <w:rFonts w:asciiTheme="minorHAnsi" w:hAnsiTheme="minorHAnsi" w:cstheme="minorHAnsi"/>
          <w:sz w:val="22"/>
          <w:szCs w:val="22"/>
        </w:rPr>
      </w:pPr>
    </w:p>
    <w:p w14:paraId="75B628BB" w14:textId="77777777" w:rsidR="00386CA3" w:rsidRPr="00386CA3" w:rsidRDefault="00386CA3" w:rsidP="00386CA3">
      <w:pPr>
        <w:tabs>
          <w:tab w:val="left" w:pos="1665"/>
        </w:tabs>
        <w:rPr>
          <w:rFonts w:asciiTheme="minorHAnsi" w:hAnsiTheme="minorHAnsi" w:cstheme="minorHAnsi"/>
          <w:sz w:val="22"/>
          <w:szCs w:val="22"/>
        </w:rPr>
      </w:pPr>
      <w:r w:rsidRPr="00386CA3">
        <w:rPr>
          <w:rFonts w:asciiTheme="minorHAnsi" w:hAnsiTheme="minorHAnsi" w:cstheme="minorHAnsi"/>
          <w:sz w:val="22"/>
          <w:szCs w:val="22"/>
        </w:rPr>
        <w:t xml:space="preserve">Independent Police Complaints Commission (no date), </w:t>
      </w:r>
      <w:r w:rsidRPr="00386CA3">
        <w:rPr>
          <w:rFonts w:asciiTheme="minorHAnsi" w:hAnsiTheme="minorHAnsi" w:cstheme="minorHAnsi"/>
          <w:i/>
          <w:iCs/>
          <w:sz w:val="22"/>
          <w:szCs w:val="22"/>
        </w:rPr>
        <w:t xml:space="preserve">IPCC report into the contact between Fiona Pilkington and Leicestershire Constabulary 2004-2007. </w:t>
      </w:r>
      <w:r w:rsidRPr="00386CA3">
        <w:rPr>
          <w:rFonts w:asciiTheme="minorHAnsi" w:hAnsiTheme="minorHAnsi" w:cstheme="minorHAnsi"/>
          <w:sz w:val="22"/>
          <w:szCs w:val="22"/>
        </w:rPr>
        <w:t xml:space="preserve">Available at: </w:t>
      </w:r>
      <w:hyperlink r:id="rId22" w:history="1">
        <w:r w:rsidRPr="00386CA3">
          <w:rPr>
            <w:rStyle w:val="Hyperlink"/>
            <w:rFonts w:asciiTheme="minorHAnsi" w:hAnsiTheme="minorHAnsi" w:cstheme="minorHAnsi"/>
            <w:color w:val="000000" w:themeColor="text1"/>
            <w:sz w:val="22"/>
            <w:szCs w:val="22"/>
            <w:u w:val="none"/>
          </w:rPr>
          <w:t>https://www.report-it.org.uk/files/ipcc_report-fiona-pilkington-leicestershire.pdf</w:t>
        </w:r>
      </w:hyperlink>
      <w:r w:rsidRPr="00386CA3">
        <w:rPr>
          <w:rFonts w:asciiTheme="minorHAnsi" w:hAnsiTheme="minorHAnsi" w:cstheme="minorHAnsi"/>
          <w:sz w:val="22"/>
          <w:szCs w:val="22"/>
        </w:rPr>
        <w:t xml:space="preserve"> (Accessed: 31 January 2024) </w:t>
      </w:r>
    </w:p>
    <w:p w14:paraId="2F22A34A" w14:textId="77777777" w:rsidR="00386CA3" w:rsidRPr="00386CA3" w:rsidRDefault="00386CA3" w:rsidP="00386CA3">
      <w:pPr>
        <w:tabs>
          <w:tab w:val="left" w:pos="1665"/>
        </w:tabs>
        <w:rPr>
          <w:rFonts w:asciiTheme="minorHAnsi" w:hAnsiTheme="minorHAnsi" w:cstheme="minorHAnsi"/>
          <w:sz w:val="22"/>
          <w:szCs w:val="22"/>
        </w:rPr>
      </w:pPr>
    </w:p>
    <w:p w14:paraId="68458465" w14:textId="77777777" w:rsidR="00386CA3" w:rsidRPr="00386CA3" w:rsidRDefault="00386CA3" w:rsidP="00386CA3">
      <w:pPr>
        <w:tabs>
          <w:tab w:val="left" w:pos="1665"/>
        </w:tabs>
        <w:rPr>
          <w:rFonts w:asciiTheme="minorHAnsi" w:hAnsiTheme="minorHAnsi" w:cstheme="minorHAnsi"/>
          <w:sz w:val="22"/>
          <w:szCs w:val="22"/>
        </w:rPr>
      </w:pPr>
    </w:p>
    <w:p w14:paraId="4DF4F746"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Metropolitan Police (no date), </w:t>
      </w:r>
      <w:r w:rsidRPr="00386CA3">
        <w:rPr>
          <w:rFonts w:asciiTheme="minorHAnsi" w:hAnsiTheme="minorHAnsi" w:cstheme="minorHAnsi"/>
          <w:i/>
          <w:iCs/>
          <w:sz w:val="22"/>
          <w:szCs w:val="22"/>
        </w:rPr>
        <w:t>What is antisocial behaviour?</w:t>
      </w:r>
      <w:r w:rsidRPr="00386CA3">
        <w:rPr>
          <w:rFonts w:asciiTheme="minorHAnsi" w:hAnsiTheme="minorHAnsi" w:cstheme="minorHAnsi"/>
          <w:sz w:val="22"/>
          <w:szCs w:val="22"/>
        </w:rPr>
        <w:t xml:space="preserve"> Available at: https://www.met.police.uk/advice/advice-and-information/asb/asb/antisocial-behaviour/what-is-antisocial-behaviour/ (Accessed: 4 February 2024)</w:t>
      </w:r>
    </w:p>
    <w:p w14:paraId="2DC806A3" w14:textId="77777777" w:rsidR="00386CA3" w:rsidRPr="00386CA3" w:rsidRDefault="00386CA3" w:rsidP="00386CA3">
      <w:pPr>
        <w:rPr>
          <w:rFonts w:asciiTheme="minorHAnsi" w:hAnsiTheme="minorHAnsi" w:cstheme="minorHAnsi"/>
          <w:sz w:val="22"/>
          <w:szCs w:val="22"/>
        </w:rPr>
      </w:pPr>
    </w:p>
    <w:p w14:paraId="49BF1770" w14:textId="77777777" w:rsidR="00386CA3" w:rsidRPr="00386CA3" w:rsidRDefault="00386CA3" w:rsidP="00386CA3">
      <w:pPr>
        <w:rPr>
          <w:rFonts w:asciiTheme="minorHAnsi" w:hAnsiTheme="minorHAnsi" w:cstheme="minorHAnsi"/>
          <w:sz w:val="22"/>
          <w:szCs w:val="22"/>
        </w:rPr>
      </w:pPr>
    </w:p>
    <w:p w14:paraId="42F309D1"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Ministry of Justice (2012), </w:t>
      </w:r>
      <w:r w:rsidRPr="00386CA3">
        <w:rPr>
          <w:rFonts w:asciiTheme="minorHAnsi" w:hAnsiTheme="minorHAnsi" w:cstheme="minorHAnsi"/>
          <w:i/>
          <w:iCs/>
          <w:sz w:val="22"/>
          <w:szCs w:val="22"/>
        </w:rPr>
        <w:t xml:space="preserve">Evidence and Practice Review of support for victims and outcome measurement. </w:t>
      </w:r>
      <w:r w:rsidRPr="00386CA3">
        <w:rPr>
          <w:rFonts w:asciiTheme="minorHAnsi" w:hAnsiTheme="minorHAnsi" w:cstheme="minorHAnsi"/>
          <w:sz w:val="22"/>
          <w:szCs w:val="22"/>
        </w:rPr>
        <w:t xml:space="preserve">Available at: </w:t>
      </w:r>
      <w:hyperlink r:id="rId23" w:history="1">
        <w:r w:rsidRPr="00386CA3">
          <w:rPr>
            <w:rStyle w:val="Hyperlink"/>
            <w:rFonts w:asciiTheme="minorHAnsi" w:hAnsiTheme="minorHAnsi" w:cstheme="minorHAnsi"/>
            <w:color w:val="000000" w:themeColor="text1"/>
            <w:sz w:val="22"/>
            <w:szCs w:val="22"/>
            <w:u w:val="none"/>
          </w:rPr>
          <w:t>https://assets.publishing.service.gov.uk/media/5a7c6e9ded915d6969f44d12/evidence-practice-review-support-for-victims-outcome-measurement.pdf</w:t>
        </w:r>
      </w:hyperlink>
      <w:r w:rsidRPr="00386CA3">
        <w:rPr>
          <w:rFonts w:asciiTheme="minorHAnsi" w:hAnsiTheme="minorHAnsi" w:cstheme="minorHAnsi"/>
          <w:color w:val="000000" w:themeColor="text1"/>
          <w:sz w:val="22"/>
          <w:szCs w:val="22"/>
        </w:rPr>
        <w:t xml:space="preserve"> </w:t>
      </w:r>
      <w:r w:rsidRPr="00386CA3">
        <w:rPr>
          <w:rFonts w:asciiTheme="minorHAnsi" w:hAnsiTheme="minorHAnsi" w:cstheme="minorHAnsi"/>
          <w:sz w:val="22"/>
          <w:szCs w:val="22"/>
        </w:rPr>
        <w:t>(Accessed: 31 January 2024)</w:t>
      </w:r>
    </w:p>
    <w:p w14:paraId="15AA6DC6" w14:textId="77777777" w:rsidR="00386CA3" w:rsidRPr="00386CA3" w:rsidRDefault="00386CA3" w:rsidP="00386CA3">
      <w:pPr>
        <w:rPr>
          <w:rFonts w:asciiTheme="minorHAnsi" w:hAnsiTheme="minorHAnsi" w:cstheme="minorHAnsi"/>
          <w:sz w:val="22"/>
          <w:szCs w:val="22"/>
        </w:rPr>
      </w:pPr>
    </w:p>
    <w:p w14:paraId="00CC6082" w14:textId="77777777" w:rsidR="00386CA3" w:rsidRPr="00386CA3" w:rsidRDefault="00386CA3" w:rsidP="00386CA3">
      <w:pPr>
        <w:rPr>
          <w:rFonts w:asciiTheme="minorHAnsi" w:hAnsiTheme="minorHAnsi" w:cstheme="minorHAnsi"/>
          <w:sz w:val="22"/>
          <w:szCs w:val="22"/>
        </w:rPr>
      </w:pPr>
    </w:p>
    <w:p w14:paraId="3B9F1CF0"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Ministry of Justice (2020), </w:t>
      </w:r>
      <w:r w:rsidRPr="00386CA3">
        <w:rPr>
          <w:rFonts w:asciiTheme="minorHAnsi" w:hAnsiTheme="minorHAnsi" w:cstheme="minorHAnsi"/>
          <w:i/>
          <w:iCs/>
          <w:sz w:val="22"/>
          <w:szCs w:val="22"/>
        </w:rPr>
        <w:t>Codes of Practice for Victims of Crime in England and Wales</w:t>
      </w:r>
      <w:r w:rsidRPr="00386CA3">
        <w:rPr>
          <w:rFonts w:asciiTheme="minorHAnsi" w:hAnsiTheme="minorHAnsi" w:cstheme="minorHAnsi"/>
          <w:sz w:val="22"/>
          <w:szCs w:val="22"/>
        </w:rPr>
        <w:t>. Available at: https://assets.publishing.service.gov.uk/media/60620279d3bf7f5ceaca0d89/victims-code-2020.pdf (Accessed: 31 January 2024)</w:t>
      </w:r>
    </w:p>
    <w:p w14:paraId="6226087D" w14:textId="77777777" w:rsidR="00386CA3" w:rsidRPr="00386CA3" w:rsidRDefault="00386CA3" w:rsidP="00386CA3">
      <w:pPr>
        <w:rPr>
          <w:rFonts w:asciiTheme="minorHAnsi" w:hAnsiTheme="minorHAnsi" w:cstheme="minorHAnsi"/>
          <w:sz w:val="22"/>
          <w:szCs w:val="22"/>
        </w:rPr>
      </w:pPr>
    </w:p>
    <w:p w14:paraId="6D47EF6A" w14:textId="77777777" w:rsidR="00386CA3" w:rsidRPr="00386CA3" w:rsidRDefault="00386CA3" w:rsidP="00386CA3">
      <w:pPr>
        <w:rPr>
          <w:rFonts w:asciiTheme="minorHAnsi" w:hAnsiTheme="minorHAnsi" w:cstheme="minorHAnsi"/>
          <w:sz w:val="22"/>
          <w:szCs w:val="22"/>
        </w:rPr>
      </w:pPr>
    </w:p>
    <w:p w14:paraId="68209EE4" w14:textId="77777777" w:rsid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Moreland, R. and </w:t>
      </w:r>
      <w:proofErr w:type="spellStart"/>
      <w:r w:rsidRPr="00386CA3">
        <w:rPr>
          <w:rFonts w:asciiTheme="minorHAnsi" w:hAnsiTheme="minorHAnsi" w:cstheme="minorHAnsi"/>
          <w:sz w:val="22"/>
          <w:szCs w:val="22"/>
        </w:rPr>
        <w:t>Zanjonc</w:t>
      </w:r>
      <w:proofErr w:type="spellEnd"/>
      <w:r w:rsidRPr="00386CA3">
        <w:rPr>
          <w:rFonts w:asciiTheme="minorHAnsi" w:hAnsiTheme="minorHAnsi" w:cstheme="minorHAnsi"/>
          <w:sz w:val="22"/>
          <w:szCs w:val="22"/>
        </w:rPr>
        <w:t>, R. (1980</w:t>
      </w:r>
      <w:r w:rsidRPr="00386CA3">
        <w:rPr>
          <w:rFonts w:asciiTheme="minorHAnsi" w:hAnsiTheme="minorHAnsi" w:cstheme="minorHAnsi"/>
          <w:i/>
          <w:iCs/>
          <w:sz w:val="22"/>
          <w:szCs w:val="22"/>
        </w:rPr>
        <w:t>) Exposure Effects in Person Perception: Familiarity, Similarity, and Attraction.</w:t>
      </w:r>
      <w:r w:rsidRPr="00386CA3">
        <w:rPr>
          <w:rFonts w:asciiTheme="minorHAnsi" w:hAnsiTheme="minorHAnsi" w:cstheme="minorHAnsi"/>
          <w:sz w:val="22"/>
          <w:szCs w:val="22"/>
        </w:rPr>
        <w:t xml:space="preserve"> Journal of Experimental Social Psychology (e-journal), 18, 395-415. Available at: https://deepblue.lib.umich.edu/bitstream/handle/2027.42/23882/0000121.pdf;jsessionid=01DE4FBCEA5208ECBD152F953214FCC4?sequence=1 (Accessed: 23 November 2023)</w:t>
      </w:r>
    </w:p>
    <w:p w14:paraId="25BCDDDB" w14:textId="77777777" w:rsidR="005F518F" w:rsidRPr="00386CA3" w:rsidRDefault="005F518F" w:rsidP="00386CA3">
      <w:pPr>
        <w:rPr>
          <w:rFonts w:asciiTheme="minorHAnsi" w:hAnsiTheme="minorHAnsi" w:cstheme="minorHAnsi"/>
          <w:sz w:val="22"/>
          <w:szCs w:val="22"/>
        </w:rPr>
      </w:pPr>
    </w:p>
    <w:p w14:paraId="467C77DB" w14:textId="77777777" w:rsidR="00386CA3" w:rsidRPr="00386CA3" w:rsidRDefault="00386CA3" w:rsidP="00386CA3">
      <w:pPr>
        <w:rPr>
          <w:rFonts w:asciiTheme="minorHAnsi" w:hAnsiTheme="minorHAnsi" w:cstheme="minorHAnsi"/>
          <w:sz w:val="22"/>
          <w:szCs w:val="22"/>
        </w:rPr>
      </w:pPr>
    </w:p>
    <w:p w14:paraId="300EDD08"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Nagin, D. (2013), </w:t>
      </w:r>
      <w:r w:rsidRPr="00386CA3">
        <w:rPr>
          <w:rFonts w:asciiTheme="minorHAnsi" w:hAnsiTheme="minorHAnsi" w:cstheme="minorHAnsi"/>
          <w:i/>
          <w:iCs/>
          <w:sz w:val="22"/>
          <w:szCs w:val="22"/>
        </w:rPr>
        <w:t xml:space="preserve">Deterrence in the Twenty-First Century. </w:t>
      </w:r>
      <w:r w:rsidRPr="00386CA3">
        <w:rPr>
          <w:rFonts w:asciiTheme="minorHAnsi" w:hAnsiTheme="minorHAnsi" w:cstheme="minorHAnsi"/>
          <w:sz w:val="22"/>
          <w:szCs w:val="22"/>
        </w:rPr>
        <w:t xml:space="preserve">Crime and Justice (e-journal), 42(1), 199-263. Available at: </w:t>
      </w:r>
      <w:hyperlink r:id="rId24" w:history="1">
        <w:r w:rsidRPr="00386CA3">
          <w:rPr>
            <w:rStyle w:val="Hyperlink"/>
            <w:rFonts w:asciiTheme="minorHAnsi" w:hAnsiTheme="minorHAnsi" w:cstheme="minorHAnsi"/>
            <w:color w:val="000000" w:themeColor="text1"/>
            <w:sz w:val="22"/>
            <w:szCs w:val="22"/>
            <w:u w:val="none"/>
          </w:rPr>
          <w:t>https://doi.org/10.1086/670398</w:t>
        </w:r>
      </w:hyperlink>
      <w:r w:rsidRPr="00386CA3">
        <w:rPr>
          <w:rFonts w:asciiTheme="minorHAnsi" w:hAnsiTheme="minorHAnsi" w:cstheme="minorHAnsi"/>
          <w:sz w:val="22"/>
          <w:szCs w:val="22"/>
        </w:rPr>
        <w:t xml:space="preserve"> (Accessed: 4 February 2024)</w:t>
      </w:r>
    </w:p>
    <w:p w14:paraId="76372ED9" w14:textId="77777777" w:rsidR="00386CA3" w:rsidRPr="00386CA3" w:rsidRDefault="00386CA3" w:rsidP="00386CA3">
      <w:pPr>
        <w:rPr>
          <w:rFonts w:asciiTheme="minorHAnsi" w:hAnsiTheme="minorHAnsi" w:cstheme="minorHAnsi"/>
          <w:sz w:val="22"/>
          <w:szCs w:val="22"/>
        </w:rPr>
      </w:pPr>
    </w:p>
    <w:p w14:paraId="454258E4" w14:textId="77777777" w:rsidR="00386CA3" w:rsidRPr="00386CA3" w:rsidRDefault="00386CA3" w:rsidP="00386CA3">
      <w:pPr>
        <w:rPr>
          <w:rFonts w:asciiTheme="minorHAnsi" w:hAnsiTheme="minorHAnsi" w:cstheme="minorHAnsi"/>
          <w:sz w:val="22"/>
          <w:szCs w:val="22"/>
        </w:rPr>
      </w:pPr>
    </w:p>
    <w:p w14:paraId="1D590CA1"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Office for National Statistics (2019</w:t>
      </w:r>
      <w:r w:rsidRPr="00386CA3">
        <w:rPr>
          <w:rFonts w:asciiTheme="minorHAnsi" w:hAnsiTheme="minorHAnsi" w:cstheme="minorHAnsi"/>
          <w:i/>
          <w:iCs/>
          <w:sz w:val="22"/>
          <w:szCs w:val="22"/>
        </w:rPr>
        <w:t>) Improving victimisation estimates derived from the Crime Survey for England and Wales</w:t>
      </w:r>
      <w:r w:rsidRPr="00386CA3">
        <w:rPr>
          <w:rFonts w:asciiTheme="minorHAnsi" w:hAnsiTheme="minorHAnsi" w:cstheme="minorHAnsi"/>
          <w:sz w:val="22"/>
          <w:szCs w:val="22"/>
        </w:rPr>
        <w:t>. Available at: https://www.ons.gov.uk/peoplepopulationandcommunity/crimeandjustice/articles/improvingvictimisationestimatesderivedfromthecrimesurveyforenglandandwales/2019-01-24 (Accessed: 23 November 2023</w:t>
      </w:r>
    </w:p>
    <w:p w14:paraId="195CFF86" w14:textId="77777777" w:rsidR="00386CA3" w:rsidRPr="00386CA3" w:rsidRDefault="00386CA3" w:rsidP="00386CA3">
      <w:pPr>
        <w:rPr>
          <w:rFonts w:asciiTheme="minorHAnsi" w:hAnsiTheme="minorHAnsi" w:cstheme="minorHAnsi"/>
          <w:sz w:val="22"/>
          <w:szCs w:val="22"/>
        </w:rPr>
      </w:pPr>
    </w:p>
    <w:p w14:paraId="7C46423E" w14:textId="77777777" w:rsidR="00386CA3" w:rsidRPr="00386CA3" w:rsidRDefault="00386CA3" w:rsidP="00386CA3">
      <w:pPr>
        <w:rPr>
          <w:rFonts w:asciiTheme="minorHAnsi" w:hAnsiTheme="minorHAnsi" w:cstheme="minorHAnsi"/>
          <w:sz w:val="22"/>
          <w:szCs w:val="22"/>
        </w:rPr>
      </w:pPr>
    </w:p>
    <w:p w14:paraId="2E6848D9"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Office for National Statistics (2022), </w:t>
      </w:r>
      <w:r w:rsidRPr="00386CA3">
        <w:rPr>
          <w:rFonts w:asciiTheme="minorHAnsi" w:hAnsiTheme="minorHAnsi" w:cstheme="minorHAnsi"/>
          <w:i/>
          <w:iCs/>
          <w:sz w:val="22"/>
          <w:szCs w:val="22"/>
        </w:rPr>
        <w:t>Domestic abuse in England and Wales overview: November 2022.</w:t>
      </w:r>
      <w:r w:rsidRPr="00386CA3">
        <w:rPr>
          <w:rFonts w:asciiTheme="minorHAnsi" w:hAnsiTheme="minorHAnsi" w:cstheme="minorHAnsi"/>
          <w:sz w:val="22"/>
          <w:szCs w:val="22"/>
        </w:rPr>
        <w:t xml:space="preserve"> Available at: https://www.ons.gov.uk/peoplepopulationandcommunity/crimeandjustice/bulletins/domesticabuseinenglandandwalesoverview/november2022 (Accessed: 24 November 2023) </w:t>
      </w:r>
    </w:p>
    <w:p w14:paraId="28CCF9DE" w14:textId="77777777" w:rsidR="00386CA3" w:rsidRPr="00386CA3" w:rsidRDefault="00386CA3" w:rsidP="00386CA3">
      <w:pPr>
        <w:rPr>
          <w:rFonts w:asciiTheme="minorHAnsi" w:hAnsiTheme="minorHAnsi" w:cstheme="minorHAnsi"/>
          <w:sz w:val="22"/>
          <w:szCs w:val="22"/>
        </w:rPr>
      </w:pPr>
    </w:p>
    <w:p w14:paraId="71BF7E47" w14:textId="77777777" w:rsidR="00386CA3" w:rsidRPr="00386CA3" w:rsidRDefault="00386CA3" w:rsidP="00386CA3">
      <w:pPr>
        <w:rPr>
          <w:rFonts w:asciiTheme="minorHAnsi" w:hAnsiTheme="minorHAnsi" w:cstheme="minorHAnsi"/>
          <w:sz w:val="22"/>
          <w:szCs w:val="22"/>
        </w:rPr>
      </w:pPr>
    </w:p>
    <w:p w14:paraId="5A5C54A4"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lastRenderedPageBreak/>
        <w:t xml:space="preserve">Paternoster, R. and </w:t>
      </w:r>
      <w:proofErr w:type="spellStart"/>
      <w:r w:rsidRPr="00386CA3">
        <w:rPr>
          <w:rFonts w:asciiTheme="minorHAnsi" w:hAnsiTheme="minorHAnsi" w:cstheme="minorHAnsi"/>
          <w:sz w:val="22"/>
          <w:szCs w:val="22"/>
        </w:rPr>
        <w:t>Mamayek</w:t>
      </w:r>
      <w:proofErr w:type="spellEnd"/>
      <w:r w:rsidRPr="00386CA3">
        <w:rPr>
          <w:rFonts w:asciiTheme="minorHAnsi" w:hAnsiTheme="minorHAnsi" w:cstheme="minorHAnsi"/>
          <w:sz w:val="22"/>
          <w:szCs w:val="22"/>
        </w:rPr>
        <w:t xml:space="preserve"> Janes, C. (2017), </w:t>
      </w:r>
      <w:r w:rsidRPr="00386CA3">
        <w:rPr>
          <w:rFonts w:asciiTheme="minorHAnsi" w:hAnsiTheme="minorHAnsi" w:cstheme="minorHAnsi"/>
          <w:i/>
          <w:iCs/>
          <w:sz w:val="22"/>
          <w:szCs w:val="22"/>
        </w:rPr>
        <w:t xml:space="preserve">Rational Choice Theory and Interest in the “Fortune of Others”. </w:t>
      </w:r>
      <w:r w:rsidRPr="00386CA3">
        <w:rPr>
          <w:rFonts w:asciiTheme="minorHAnsi" w:hAnsiTheme="minorHAnsi" w:cstheme="minorHAnsi"/>
          <w:sz w:val="22"/>
          <w:szCs w:val="22"/>
        </w:rPr>
        <w:t xml:space="preserve">Journal of Research in Crime and Delinquency (e-journal), 54(6), 847-868. Available at: </w:t>
      </w:r>
      <w:hyperlink r:id="rId25" w:history="1">
        <w:r w:rsidRPr="00386CA3">
          <w:rPr>
            <w:rStyle w:val="Hyperlink"/>
            <w:rFonts w:asciiTheme="minorHAnsi" w:hAnsiTheme="minorHAnsi" w:cstheme="minorHAnsi"/>
            <w:color w:val="000000" w:themeColor="text1"/>
            <w:sz w:val="22"/>
            <w:szCs w:val="22"/>
            <w:u w:val="none"/>
          </w:rPr>
          <w:t>https://doi-org.ezproxy.uwtsd.ac.uk/10.1177/0022427817707240</w:t>
        </w:r>
      </w:hyperlink>
      <w:r w:rsidRPr="00386CA3">
        <w:rPr>
          <w:rFonts w:asciiTheme="minorHAnsi" w:hAnsiTheme="minorHAnsi" w:cstheme="minorHAnsi"/>
          <w:sz w:val="22"/>
          <w:szCs w:val="22"/>
        </w:rPr>
        <w:t xml:space="preserve"> (Accessed: 4 February 2024)</w:t>
      </w:r>
    </w:p>
    <w:p w14:paraId="72DD44D6" w14:textId="77777777" w:rsidR="00386CA3" w:rsidRPr="00386CA3" w:rsidRDefault="00386CA3" w:rsidP="00386CA3">
      <w:pPr>
        <w:rPr>
          <w:rFonts w:asciiTheme="minorHAnsi" w:hAnsiTheme="minorHAnsi" w:cstheme="minorHAnsi"/>
          <w:sz w:val="22"/>
          <w:szCs w:val="22"/>
        </w:rPr>
      </w:pPr>
    </w:p>
    <w:p w14:paraId="2327F252" w14:textId="77777777" w:rsidR="00386CA3" w:rsidRPr="00386CA3" w:rsidRDefault="00386CA3" w:rsidP="00386CA3">
      <w:pPr>
        <w:rPr>
          <w:rFonts w:asciiTheme="minorHAnsi" w:hAnsiTheme="minorHAnsi" w:cstheme="minorHAnsi"/>
          <w:sz w:val="22"/>
          <w:szCs w:val="22"/>
        </w:rPr>
      </w:pPr>
    </w:p>
    <w:p w14:paraId="4E87E5FE"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Police and Criminal Evidence Act 1984, c.60, Part II. Available at: https://www.legislation.gov.uk/ukpga/1984/60/section/17 (Accessed: 25 November 2023)</w:t>
      </w:r>
    </w:p>
    <w:p w14:paraId="6F10A899" w14:textId="77777777" w:rsidR="00386CA3" w:rsidRPr="00386CA3" w:rsidRDefault="00386CA3" w:rsidP="00386CA3">
      <w:pPr>
        <w:rPr>
          <w:rFonts w:asciiTheme="minorHAnsi" w:hAnsiTheme="minorHAnsi" w:cstheme="minorHAnsi"/>
          <w:sz w:val="22"/>
          <w:szCs w:val="22"/>
        </w:rPr>
      </w:pPr>
    </w:p>
    <w:p w14:paraId="4E8F0F93" w14:textId="77777777" w:rsidR="00386CA3" w:rsidRPr="00386CA3" w:rsidRDefault="00386CA3" w:rsidP="00386CA3">
      <w:pPr>
        <w:rPr>
          <w:rFonts w:asciiTheme="minorHAnsi" w:hAnsiTheme="minorHAnsi" w:cstheme="minorHAnsi"/>
          <w:sz w:val="22"/>
          <w:szCs w:val="22"/>
        </w:rPr>
      </w:pPr>
    </w:p>
    <w:p w14:paraId="61554D1F"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Reich, C. et al. (2020) </w:t>
      </w:r>
      <w:r w:rsidRPr="00386CA3">
        <w:rPr>
          <w:rFonts w:asciiTheme="minorHAnsi" w:hAnsiTheme="minorHAnsi" w:cstheme="minorHAnsi"/>
          <w:i/>
          <w:iCs/>
          <w:sz w:val="22"/>
          <w:szCs w:val="22"/>
        </w:rPr>
        <w:t xml:space="preserve">Why I Didn’t Report: Reasons for Not Reporting Sexual Violence as Stated on Twitter. </w:t>
      </w:r>
      <w:r w:rsidRPr="00386CA3">
        <w:rPr>
          <w:rFonts w:asciiTheme="minorHAnsi" w:hAnsiTheme="minorHAnsi" w:cstheme="minorHAnsi"/>
          <w:sz w:val="22"/>
          <w:szCs w:val="22"/>
        </w:rPr>
        <w:t>Journal of Aggression, Maltreatment &amp; Trauma. 31(4), 478-496. Available at: https://doi.org/10.1080/10926771.2021.1912873 (Accessed: 14 January 2024)</w:t>
      </w:r>
    </w:p>
    <w:p w14:paraId="2023C427" w14:textId="77777777" w:rsidR="00386CA3" w:rsidRPr="00386CA3" w:rsidRDefault="00386CA3" w:rsidP="00386CA3">
      <w:pPr>
        <w:rPr>
          <w:rFonts w:asciiTheme="minorHAnsi" w:hAnsiTheme="minorHAnsi" w:cstheme="minorHAnsi"/>
          <w:sz w:val="22"/>
          <w:szCs w:val="22"/>
        </w:rPr>
      </w:pPr>
    </w:p>
    <w:p w14:paraId="207C8C7C" w14:textId="77777777" w:rsidR="00386CA3" w:rsidRPr="00386CA3" w:rsidRDefault="00386CA3" w:rsidP="00386CA3">
      <w:pPr>
        <w:rPr>
          <w:rFonts w:asciiTheme="minorHAnsi" w:hAnsiTheme="minorHAnsi" w:cstheme="minorHAnsi"/>
          <w:sz w:val="22"/>
          <w:szCs w:val="22"/>
        </w:rPr>
      </w:pPr>
    </w:p>
    <w:p w14:paraId="65262BF0"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Rodgers, Z. (2022), </w:t>
      </w:r>
      <w:r w:rsidRPr="00386CA3">
        <w:rPr>
          <w:rFonts w:asciiTheme="minorHAnsi" w:hAnsiTheme="minorHAnsi" w:cstheme="minorHAnsi"/>
          <w:i/>
          <w:iCs/>
          <w:sz w:val="22"/>
          <w:szCs w:val="22"/>
        </w:rPr>
        <w:t xml:space="preserve">Examining victims’ experiences of Community Protection Notices in managing anti-social behaviour. </w:t>
      </w:r>
      <w:r w:rsidRPr="00386CA3">
        <w:rPr>
          <w:rFonts w:asciiTheme="minorHAnsi" w:hAnsiTheme="minorHAnsi" w:cstheme="minorHAnsi"/>
          <w:sz w:val="22"/>
          <w:szCs w:val="22"/>
        </w:rPr>
        <w:t xml:space="preserve">International Review of Victimology (e-journal), 29(3), 487-506. Available at: </w:t>
      </w:r>
      <w:hyperlink r:id="rId26" w:history="1">
        <w:r w:rsidRPr="00386CA3">
          <w:rPr>
            <w:rStyle w:val="Hyperlink"/>
            <w:rFonts w:asciiTheme="minorHAnsi" w:hAnsiTheme="minorHAnsi" w:cstheme="minorHAnsi"/>
            <w:color w:val="000000" w:themeColor="text1"/>
            <w:sz w:val="22"/>
            <w:szCs w:val="22"/>
            <w:u w:val="none"/>
          </w:rPr>
          <w:t>https://doi.org/10.1177/026975802210818</w:t>
        </w:r>
      </w:hyperlink>
      <w:r w:rsidRPr="00386CA3">
        <w:rPr>
          <w:rFonts w:asciiTheme="minorHAnsi" w:hAnsiTheme="minorHAnsi" w:cstheme="minorHAnsi"/>
          <w:sz w:val="22"/>
          <w:szCs w:val="22"/>
        </w:rPr>
        <w:t xml:space="preserve"> (Accessed: 4 February 2024)</w:t>
      </w:r>
    </w:p>
    <w:p w14:paraId="121BE54E" w14:textId="77777777" w:rsidR="00386CA3" w:rsidRPr="00386CA3" w:rsidRDefault="00386CA3" w:rsidP="00386CA3">
      <w:pPr>
        <w:rPr>
          <w:rFonts w:asciiTheme="minorHAnsi" w:hAnsiTheme="minorHAnsi" w:cstheme="minorHAnsi"/>
          <w:sz w:val="22"/>
          <w:szCs w:val="22"/>
        </w:rPr>
      </w:pPr>
    </w:p>
    <w:p w14:paraId="04708D8D" w14:textId="77777777" w:rsidR="00386CA3" w:rsidRPr="00386CA3" w:rsidRDefault="00386CA3" w:rsidP="00386CA3">
      <w:pPr>
        <w:rPr>
          <w:rFonts w:asciiTheme="minorHAnsi" w:hAnsiTheme="minorHAnsi" w:cstheme="minorHAnsi"/>
          <w:sz w:val="22"/>
          <w:szCs w:val="22"/>
        </w:rPr>
      </w:pPr>
    </w:p>
    <w:p w14:paraId="6CF31B42"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Scottish Government (2022), </w:t>
      </w:r>
      <w:r w:rsidRPr="00386CA3">
        <w:rPr>
          <w:rFonts w:asciiTheme="minorHAnsi" w:hAnsiTheme="minorHAnsi" w:cstheme="minorHAnsi"/>
          <w:i/>
          <w:iCs/>
          <w:sz w:val="22"/>
          <w:szCs w:val="22"/>
        </w:rPr>
        <w:t xml:space="preserve">Convictions of breach of bail conditions statistics: FOI release. </w:t>
      </w:r>
      <w:r w:rsidRPr="00386CA3">
        <w:rPr>
          <w:rFonts w:asciiTheme="minorHAnsi" w:hAnsiTheme="minorHAnsi" w:cstheme="minorHAnsi"/>
          <w:sz w:val="22"/>
          <w:szCs w:val="22"/>
        </w:rPr>
        <w:t>Available at</w:t>
      </w:r>
      <w:r w:rsidRPr="00386CA3">
        <w:rPr>
          <w:rFonts w:asciiTheme="minorHAnsi" w:hAnsiTheme="minorHAnsi" w:cstheme="minorHAnsi"/>
          <w:color w:val="000000" w:themeColor="text1"/>
          <w:sz w:val="22"/>
          <w:szCs w:val="22"/>
        </w:rPr>
        <w:t xml:space="preserve">: </w:t>
      </w:r>
      <w:hyperlink r:id="rId27" w:history="1">
        <w:r w:rsidRPr="00386CA3">
          <w:rPr>
            <w:rStyle w:val="Hyperlink"/>
            <w:rFonts w:asciiTheme="minorHAnsi" w:hAnsiTheme="minorHAnsi" w:cstheme="minorHAnsi"/>
            <w:color w:val="000000" w:themeColor="text1"/>
            <w:sz w:val="22"/>
            <w:szCs w:val="22"/>
            <w:u w:val="none"/>
          </w:rPr>
          <w:t>https://www.gov.scot/publications/foi-202200283333/</w:t>
        </w:r>
      </w:hyperlink>
      <w:r w:rsidRPr="00386CA3">
        <w:rPr>
          <w:rFonts w:asciiTheme="minorHAnsi" w:hAnsiTheme="minorHAnsi" w:cstheme="minorHAnsi"/>
          <w:sz w:val="22"/>
          <w:szCs w:val="22"/>
        </w:rPr>
        <w:t xml:space="preserve"> (Accessed: 3 February 2024)</w:t>
      </w:r>
    </w:p>
    <w:p w14:paraId="3E27706C" w14:textId="77777777" w:rsidR="00386CA3" w:rsidRPr="00386CA3" w:rsidRDefault="00386CA3" w:rsidP="00386CA3">
      <w:pPr>
        <w:rPr>
          <w:rFonts w:asciiTheme="minorHAnsi" w:hAnsiTheme="minorHAnsi" w:cstheme="minorHAnsi"/>
          <w:sz w:val="22"/>
          <w:szCs w:val="22"/>
        </w:rPr>
      </w:pPr>
    </w:p>
    <w:p w14:paraId="4569A64B" w14:textId="77777777" w:rsidR="00386CA3" w:rsidRPr="00386CA3" w:rsidRDefault="00386CA3" w:rsidP="00386CA3">
      <w:pPr>
        <w:rPr>
          <w:rFonts w:asciiTheme="minorHAnsi" w:hAnsiTheme="minorHAnsi" w:cstheme="minorHAnsi"/>
          <w:sz w:val="22"/>
          <w:szCs w:val="22"/>
        </w:rPr>
      </w:pPr>
    </w:p>
    <w:p w14:paraId="011D53B5"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Silvia, P. (2005) </w:t>
      </w:r>
      <w:r w:rsidRPr="00386CA3">
        <w:rPr>
          <w:rFonts w:asciiTheme="minorHAnsi" w:hAnsiTheme="minorHAnsi" w:cstheme="minorHAnsi"/>
          <w:i/>
          <w:iCs/>
          <w:sz w:val="22"/>
          <w:szCs w:val="22"/>
        </w:rPr>
        <w:t>Deflecting Reactance: The Role of Similarity in Increasing Compliance and Reducing Resistance</w:t>
      </w:r>
      <w:r w:rsidRPr="00386CA3">
        <w:rPr>
          <w:rFonts w:asciiTheme="minorHAnsi" w:hAnsiTheme="minorHAnsi" w:cstheme="minorHAnsi"/>
          <w:sz w:val="22"/>
          <w:szCs w:val="22"/>
        </w:rPr>
        <w:t>. Basic and Applied Psychology (e-journal), 27(3), 277-284. Available at: https://www-tandfonline-com.ezproxy.uwtsd.ac.uk/doi/epdf/10.1207/s15324834basp2703_9?needAccess=true (Accessed: 23 November 2023)</w:t>
      </w:r>
    </w:p>
    <w:p w14:paraId="3EBB5E06" w14:textId="77777777" w:rsidR="00386CA3" w:rsidRPr="00386CA3" w:rsidRDefault="00386CA3" w:rsidP="00386CA3">
      <w:pPr>
        <w:rPr>
          <w:rFonts w:asciiTheme="minorHAnsi" w:hAnsiTheme="minorHAnsi" w:cstheme="minorHAnsi"/>
          <w:sz w:val="22"/>
          <w:szCs w:val="22"/>
        </w:rPr>
      </w:pPr>
    </w:p>
    <w:p w14:paraId="5D20ECAB" w14:textId="77777777" w:rsidR="00386CA3" w:rsidRPr="00386CA3" w:rsidRDefault="00386CA3" w:rsidP="00386CA3">
      <w:pPr>
        <w:rPr>
          <w:rFonts w:asciiTheme="minorHAnsi" w:hAnsiTheme="minorHAnsi" w:cstheme="minorHAnsi"/>
          <w:sz w:val="22"/>
          <w:szCs w:val="22"/>
        </w:rPr>
      </w:pPr>
    </w:p>
    <w:p w14:paraId="53243284"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Surrey Police (no date), </w:t>
      </w:r>
      <w:r w:rsidRPr="00386CA3">
        <w:rPr>
          <w:rFonts w:asciiTheme="minorHAnsi" w:hAnsiTheme="minorHAnsi" w:cstheme="minorHAnsi"/>
          <w:i/>
          <w:iCs/>
          <w:sz w:val="22"/>
          <w:szCs w:val="22"/>
        </w:rPr>
        <w:t>Repeat victim policy</w:t>
      </w:r>
      <w:r w:rsidRPr="00386CA3">
        <w:rPr>
          <w:rFonts w:asciiTheme="minorHAnsi" w:hAnsiTheme="minorHAnsi" w:cstheme="minorHAnsi"/>
          <w:sz w:val="22"/>
          <w:szCs w:val="22"/>
        </w:rPr>
        <w:t>. Available at: https://www.surrey.police.uk/SysSiteAssets/foi-media/surrey/policies/repeat-victim-v4-08.2022.pdf (Accessed: 2 January 2024)</w:t>
      </w:r>
    </w:p>
    <w:p w14:paraId="2F547368" w14:textId="77777777" w:rsidR="00386CA3" w:rsidRPr="00386CA3" w:rsidRDefault="00386CA3" w:rsidP="00386CA3">
      <w:pPr>
        <w:rPr>
          <w:rFonts w:asciiTheme="minorHAnsi" w:hAnsiTheme="minorHAnsi" w:cstheme="minorHAnsi"/>
          <w:sz w:val="22"/>
          <w:szCs w:val="22"/>
        </w:rPr>
      </w:pPr>
    </w:p>
    <w:p w14:paraId="2EB2C174" w14:textId="77777777" w:rsidR="00386CA3" w:rsidRPr="00386CA3" w:rsidRDefault="00386CA3" w:rsidP="00386CA3">
      <w:pPr>
        <w:rPr>
          <w:rFonts w:asciiTheme="minorHAnsi" w:hAnsiTheme="minorHAnsi" w:cstheme="minorHAnsi"/>
          <w:sz w:val="22"/>
          <w:szCs w:val="22"/>
        </w:rPr>
      </w:pPr>
    </w:p>
    <w:p w14:paraId="1AB44E44"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Symonds, M. (2010), </w:t>
      </w:r>
      <w:r w:rsidRPr="00386CA3">
        <w:rPr>
          <w:rFonts w:asciiTheme="minorHAnsi" w:hAnsiTheme="minorHAnsi" w:cstheme="minorHAnsi"/>
          <w:i/>
          <w:iCs/>
          <w:sz w:val="22"/>
          <w:szCs w:val="22"/>
        </w:rPr>
        <w:t xml:space="preserve">The “Second Injury” to Victims of Violent Acts. </w:t>
      </w:r>
      <w:r w:rsidRPr="00386CA3">
        <w:rPr>
          <w:rFonts w:asciiTheme="minorHAnsi" w:hAnsiTheme="minorHAnsi" w:cstheme="minorHAnsi"/>
          <w:sz w:val="22"/>
          <w:szCs w:val="22"/>
        </w:rPr>
        <w:t xml:space="preserve">The American Journal of Psychoanalysis, (e-journal), 70, 34-41. Available at: </w:t>
      </w:r>
      <w:hyperlink r:id="rId28" w:history="1">
        <w:r w:rsidRPr="00386CA3">
          <w:rPr>
            <w:rStyle w:val="Hyperlink"/>
            <w:rFonts w:asciiTheme="minorHAnsi" w:hAnsiTheme="minorHAnsi" w:cstheme="minorHAnsi"/>
            <w:color w:val="000000" w:themeColor="text1"/>
            <w:sz w:val="22"/>
            <w:szCs w:val="22"/>
            <w:u w:val="none"/>
          </w:rPr>
          <w:t>https://doi.org/10.1057/ajp.2009.38</w:t>
        </w:r>
      </w:hyperlink>
      <w:r w:rsidRPr="00386CA3">
        <w:rPr>
          <w:rFonts w:asciiTheme="minorHAnsi" w:hAnsiTheme="minorHAnsi" w:cstheme="minorHAnsi"/>
          <w:color w:val="000000" w:themeColor="text1"/>
          <w:sz w:val="22"/>
          <w:szCs w:val="22"/>
        </w:rPr>
        <w:t xml:space="preserve"> (</w:t>
      </w:r>
      <w:r w:rsidRPr="00386CA3">
        <w:rPr>
          <w:rFonts w:asciiTheme="minorHAnsi" w:hAnsiTheme="minorHAnsi" w:cstheme="minorHAnsi"/>
          <w:sz w:val="22"/>
          <w:szCs w:val="22"/>
        </w:rPr>
        <w:t>Accessed: 5 February 2024)</w:t>
      </w:r>
    </w:p>
    <w:p w14:paraId="79766278" w14:textId="77777777" w:rsidR="00386CA3" w:rsidRPr="00386CA3" w:rsidRDefault="00386CA3" w:rsidP="00386CA3">
      <w:pPr>
        <w:rPr>
          <w:rFonts w:asciiTheme="minorHAnsi" w:hAnsiTheme="minorHAnsi" w:cstheme="minorHAnsi"/>
          <w:sz w:val="22"/>
          <w:szCs w:val="22"/>
        </w:rPr>
      </w:pPr>
    </w:p>
    <w:p w14:paraId="122B595A" w14:textId="77777777" w:rsidR="00386CA3" w:rsidRPr="00386CA3" w:rsidRDefault="00386CA3" w:rsidP="00386CA3">
      <w:pPr>
        <w:rPr>
          <w:rFonts w:asciiTheme="minorHAnsi" w:hAnsiTheme="minorHAnsi" w:cstheme="minorHAnsi"/>
          <w:sz w:val="22"/>
          <w:szCs w:val="22"/>
        </w:rPr>
      </w:pPr>
    </w:p>
    <w:p w14:paraId="240F9296"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 xml:space="preserve">Taylor, B. et al. (2011), </w:t>
      </w:r>
      <w:r w:rsidRPr="00386CA3">
        <w:rPr>
          <w:rFonts w:asciiTheme="minorHAnsi" w:hAnsiTheme="minorHAnsi" w:cstheme="minorHAnsi"/>
          <w:i/>
          <w:iCs/>
          <w:sz w:val="22"/>
          <w:szCs w:val="22"/>
        </w:rPr>
        <w:t xml:space="preserve">A randomised controlled trial of different policing strategies at hot spots of violent crime. </w:t>
      </w:r>
      <w:r w:rsidRPr="00386CA3">
        <w:rPr>
          <w:rFonts w:asciiTheme="minorHAnsi" w:hAnsiTheme="minorHAnsi" w:cstheme="minorHAnsi"/>
          <w:sz w:val="22"/>
          <w:szCs w:val="22"/>
        </w:rPr>
        <w:t xml:space="preserve">Journal of Experimental Criminology (e-journal), 7, 149-181. Available at: </w:t>
      </w:r>
      <w:hyperlink r:id="rId29" w:history="1">
        <w:r w:rsidRPr="00386CA3">
          <w:rPr>
            <w:rStyle w:val="Hyperlink"/>
            <w:rFonts w:asciiTheme="minorHAnsi" w:hAnsiTheme="minorHAnsi" w:cstheme="minorHAnsi"/>
            <w:color w:val="000000" w:themeColor="text1"/>
            <w:sz w:val="22"/>
            <w:szCs w:val="22"/>
            <w:u w:val="none"/>
          </w:rPr>
          <w:t>https://doi.org/10.1007/s11292-010-9120-6</w:t>
        </w:r>
      </w:hyperlink>
      <w:r w:rsidRPr="00386CA3">
        <w:rPr>
          <w:rFonts w:asciiTheme="minorHAnsi" w:hAnsiTheme="minorHAnsi" w:cstheme="minorHAnsi"/>
          <w:color w:val="000000" w:themeColor="text1"/>
          <w:sz w:val="22"/>
          <w:szCs w:val="22"/>
        </w:rPr>
        <w:t xml:space="preserve"> </w:t>
      </w:r>
      <w:r w:rsidRPr="00386CA3">
        <w:rPr>
          <w:rFonts w:asciiTheme="minorHAnsi" w:hAnsiTheme="minorHAnsi" w:cstheme="minorHAnsi"/>
          <w:sz w:val="22"/>
          <w:szCs w:val="22"/>
        </w:rPr>
        <w:t>(Accessed: 4 February 2024)</w:t>
      </w:r>
    </w:p>
    <w:p w14:paraId="04774383" w14:textId="77777777" w:rsidR="00386CA3" w:rsidRDefault="00386CA3" w:rsidP="00386CA3">
      <w:pPr>
        <w:rPr>
          <w:rFonts w:asciiTheme="minorHAnsi" w:hAnsiTheme="minorHAnsi" w:cstheme="minorHAnsi"/>
          <w:sz w:val="22"/>
          <w:szCs w:val="22"/>
        </w:rPr>
      </w:pPr>
    </w:p>
    <w:p w14:paraId="06682752" w14:textId="77777777" w:rsidR="00386CA3" w:rsidRPr="00386CA3" w:rsidRDefault="00386CA3" w:rsidP="00386CA3">
      <w:pPr>
        <w:rPr>
          <w:rFonts w:asciiTheme="minorHAnsi" w:hAnsiTheme="minorHAnsi" w:cstheme="minorHAnsi"/>
          <w:sz w:val="22"/>
          <w:szCs w:val="22"/>
        </w:rPr>
      </w:pPr>
    </w:p>
    <w:p w14:paraId="6E65A2D9" w14:textId="77777777" w:rsidR="00386CA3" w:rsidRPr="00386CA3" w:rsidRDefault="00386CA3" w:rsidP="00386CA3">
      <w:pPr>
        <w:rPr>
          <w:rFonts w:asciiTheme="minorHAnsi" w:hAnsiTheme="minorHAnsi" w:cstheme="minorHAnsi"/>
          <w:sz w:val="22"/>
          <w:szCs w:val="22"/>
        </w:rPr>
      </w:pPr>
      <w:r w:rsidRPr="00386CA3">
        <w:rPr>
          <w:rFonts w:asciiTheme="minorHAnsi" w:hAnsiTheme="minorHAnsi" w:cstheme="minorHAnsi"/>
          <w:sz w:val="22"/>
          <w:szCs w:val="22"/>
        </w:rPr>
        <w:t>The Human Rights Act 1998, c.42, schedule 1. Available at: https://www.legislation.gov.uk/ukpga/1998/42/schedule/1 (Accessed: 25 November 2023)</w:t>
      </w:r>
    </w:p>
    <w:p w14:paraId="6FA8541D" w14:textId="77777777" w:rsidR="00386CA3" w:rsidRPr="00386CA3" w:rsidRDefault="00386CA3" w:rsidP="00386CA3">
      <w:pPr>
        <w:rPr>
          <w:rFonts w:asciiTheme="minorHAnsi" w:hAnsiTheme="minorHAnsi" w:cstheme="minorHAnsi"/>
          <w:sz w:val="22"/>
          <w:szCs w:val="22"/>
        </w:rPr>
      </w:pPr>
    </w:p>
    <w:p w14:paraId="4C2549C1" w14:textId="77777777" w:rsidR="00386CA3" w:rsidRPr="00386CA3" w:rsidRDefault="00386CA3" w:rsidP="00386CA3">
      <w:pPr>
        <w:rPr>
          <w:rFonts w:asciiTheme="minorHAnsi" w:hAnsiTheme="minorHAnsi" w:cstheme="minorHAnsi"/>
          <w:sz w:val="22"/>
          <w:szCs w:val="22"/>
        </w:rPr>
      </w:pPr>
    </w:p>
    <w:p w14:paraId="2E729E33" w14:textId="419290DC" w:rsidR="00386CA3" w:rsidRPr="00114C20" w:rsidRDefault="00386CA3" w:rsidP="00114C20">
      <w:pPr>
        <w:rPr>
          <w:rFonts w:asciiTheme="minorHAnsi" w:hAnsiTheme="minorHAnsi" w:cstheme="minorHAnsi"/>
          <w:i/>
          <w:iCs/>
          <w:sz w:val="22"/>
          <w:szCs w:val="22"/>
        </w:rPr>
      </w:pPr>
      <w:proofErr w:type="spellStart"/>
      <w:r w:rsidRPr="00386CA3">
        <w:rPr>
          <w:rFonts w:asciiTheme="minorHAnsi" w:hAnsiTheme="minorHAnsi" w:cstheme="minorHAnsi"/>
          <w:sz w:val="22"/>
          <w:szCs w:val="22"/>
        </w:rPr>
        <w:t>Wemmers</w:t>
      </w:r>
      <w:proofErr w:type="spellEnd"/>
      <w:r w:rsidRPr="00386CA3">
        <w:rPr>
          <w:rFonts w:asciiTheme="minorHAnsi" w:hAnsiTheme="minorHAnsi" w:cstheme="minorHAnsi"/>
          <w:sz w:val="22"/>
          <w:szCs w:val="22"/>
        </w:rPr>
        <w:t xml:space="preserve">, J. (2013), </w:t>
      </w:r>
      <w:r w:rsidRPr="00386CA3">
        <w:rPr>
          <w:rFonts w:asciiTheme="minorHAnsi" w:hAnsiTheme="minorHAnsi" w:cstheme="minorHAnsi"/>
          <w:i/>
          <w:iCs/>
          <w:sz w:val="22"/>
          <w:szCs w:val="22"/>
        </w:rPr>
        <w:t xml:space="preserve">Victims’ experiences in the criminal justice system and their recovery from crime. </w:t>
      </w:r>
      <w:r w:rsidRPr="00386CA3">
        <w:rPr>
          <w:rFonts w:asciiTheme="minorHAnsi" w:hAnsiTheme="minorHAnsi" w:cstheme="minorHAnsi"/>
          <w:sz w:val="22"/>
          <w:szCs w:val="22"/>
        </w:rPr>
        <w:t xml:space="preserve">International Review of Victimology, (e-journal) 19(3), 221-233. Available at: </w:t>
      </w:r>
      <w:hyperlink r:id="rId30" w:history="1">
        <w:r w:rsidRPr="00386CA3">
          <w:rPr>
            <w:rStyle w:val="Hyperlink"/>
            <w:rFonts w:asciiTheme="minorHAnsi" w:hAnsiTheme="minorHAnsi" w:cstheme="minorHAnsi"/>
            <w:color w:val="000000" w:themeColor="text1"/>
            <w:sz w:val="22"/>
            <w:szCs w:val="22"/>
            <w:u w:val="none"/>
            <w:shd w:val="clear" w:color="auto" w:fill="FFFFFF"/>
          </w:rPr>
          <w:t>https://doi.org/10.1177/0269758013492755</w:t>
        </w:r>
      </w:hyperlink>
      <w:r w:rsidRPr="00386CA3">
        <w:rPr>
          <w:rFonts w:asciiTheme="minorHAnsi" w:hAnsiTheme="minorHAnsi" w:cstheme="minorHAnsi"/>
          <w:sz w:val="22"/>
          <w:szCs w:val="22"/>
        </w:rPr>
        <w:t xml:space="preserve"> (Accessed: 3 February 2024)</w:t>
      </w:r>
    </w:p>
    <w:sectPr w:rsidR="00386CA3" w:rsidRPr="00114C2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BA27D4A"/>
    <w:lvl w:ilvl="0" w:tplc="203041F4">
      <w:start w:val="1"/>
      <w:numFmt w:val="decimal"/>
      <w:lvlText w:val="%1."/>
      <w:lvlJc w:val="left"/>
      <w:pPr>
        <w:ind w:left="720" w:hanging="360"/>
      </w:pPr>
    </w:lvl>
    <w:lvl w:ilvl="1" w:tplc="B98A6914">
      <w:start w:val="1"/>
      <w:numFmt w:val="lowerLetter"/>
      <w:lvlText w:val="%2."/>
      <w:lvlJc w:val="left"/>
      <w:pPr>
        <w:ind w:left="1440" w:hanging="360"/>
      </w:pPr>
    </w:lvl>
    <w:lvl w:ilvl="2" w:tplc="8F007FEA">
      <w:start w:val="1"/>
      <w:numFmt w:val="lowerRoman"/>
      <w:lvlText w:val="%3."/>
      <w:lvlJc w:val="right"/>
      <w:pPr>
        <w:ind w:left="2160" w:hanging="180"/>
      </w:pPr>
    </w:lvl>
    <w:lvl w:ilvl="3" w:tplc="C0C03122">
      <w:start w:val="1"/>
      <w:numFmt w:val="decimal"/>
      <w:lvlText w:val="%4."/>
      <w:lvlJc w:val="left"/>
      <w:pPr>
        <w:ind w:left="2880" w:hanging="360"/>
      </w:pPr>
    </w:lvl>
    <w:lvl w:ilvl="4" w:tplc="634AA25A">
      <w:start w:val="1"/>
      <w:numFmt w:val="lowerLetter"/>
      <w:lvlText w:val="%5."/>
      <w:lvlJc w:val="left"/>
      <w:pPr>
        <w:ind w:left="3600" w:hanging="360"/>
      </w:pPr>
    </w:lvl>
    <w:lvl w:ilvl="5" w:tplc="D6AC1CAC">
      <w:start w:val="1"/>
      <w:numFmt w:val="lowerRoman"/>
      <w:lvlText w:val="%6."/>
      <w:lvlJc w:val="right"/>
      <w:pPr>
        <w:ind w:left="4320" w:hanging="180"/>
      </w:pPr>
    </w:lvl>
    <w:lvl w:ilvl="6" w:tplc="33AE12D4">
      <w:start w:val="1"/>
      <w:numFmt w:val="decimal"/>
      <w:lvlText w:val="%7."/>
      <w:lvlJc w:val="left"/>
      <w:pPr>
        <w:ind w:left="5040" w:hanging="360"/>
      </w:pPr>
    </w:lvl>
    <w:lvl w:ilvl="7" w:tplc="BB0EA99C">
      <w:start w:val="1"/>
      <w:numFmt w:val="lowerLetter"/>
      <w:lvlText w:val="%8."/>
      <w:lvlJc w:val="left"/>
      <w:pPr>
        <w:ind w:left="5760" w:hanging="360"/>
      </w:pPr>
    </w:lvl>
    <w:lvl w:ilvl="8" w:tplc="55E243D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EE2468FE"/>
    <w:lvl w:ilvl="0" w:tplc="73BC648A">
      <w:start w:val="1"/>
      <w:numFmt w:val="decimal"/>
      <w:lvlText w:val="%1."/>
      <w:lvlJc w:val="left"/>
      <w:pPr>
        <w:ind w:left="720" w:hanging="360"/>
      </w:pPr>
    </w:lvl>
    <w:lvl w:ilvl="1" w:tplc="6F685584">
      <w:start w:val="1"/>
      <w:numFmt w:val="decimal"/>
      <w:lvlText w:val="%2."/>
      <w:lvlJc w:val="left"/>
      <w:pPr>
        <w:ind w:left="1440" w:hanging="360"/>
      </w:pPr>
    </w:lvl>
    <w:lvl w:ilvl="2" w:tplc="114CEAF2">
      <w:start w:val="1"/>
      <w:numFmt w:val="lowerRoman"/>
      <w:lvlText w:val="%3."/>
      <w:lvlJc w:val="right"/>
      <w:pPr>
        <w:ind w:left="2160" w:hanging="180"/>
      </w:pPr>
    </w:lvl>
    <w:lvl w:ilvl="3" w:tplc="C2BA0146">
      <w:start w:val="1"/>
      <w:numFmt w:val="decimal"/>
      <w:lvlText w:val="%4."/>
      <w:lvlJc w:val="left"/>
      <w:pPr>
        <w:ind w:left="2880" w:hanging="360"/>
      </w:pPr>
    </w:lvl>
    <w:lvl w:ilvl="4" w:tplc="4FBE9B1E">
      <w:start w:val="1"/>
      <w:numFmt w:val="lowerLetter"/>
      <w:lvlText w:val="%5."/>
      <w:lvlJc w:val="left"/>
      <w:pPr>
        <w:ind w:left="3600" w:hanging="360"/>
      </w:pPr>
    </w:lvl>
    <w:lvl w:ilvl="5" w:tplc="5E58B1A0">
      <w:start w:val="1"/>
      <w:numFmt w:val="lowerRoman"/>
      <w:lvlText w:val="%6."/>
      <w:lvlJc w:val="right"/>
      <w:pPr>
        <w:ind w:left="4320" w:hanging="180"/>
      </w:pPr>
    </w:lvl>
    <w:lvl w:ilvl="6" w:tplc="E09C3B40">
      <w:start w:val="1"/>
      <w:numFmt w:val="decimal"/>
      <w:lvlText w:val="%7."/>
      <w:lvlJc w:val="left"/>
      <w:pPr>
        <w:ind w:left="5040" w:hanging="360"/>
      </w:pPr>
    </w:lvl>
    <w:lvl w:ilvl="7" w:tplc="97540EA4">
      <w:start w:val="1"/>
      <w:numFmt w:val="lowerLetter"/>
      <w:lvlText w:val="%8."/>
      <w:lvlJc w:val="left"/>
      <w:pPr>
        <w:ind w:left="5760" w:hanging="360"/>
      </w:pPr>
    </w:lvl>
    <w:lvl w:ilvl="8" w:tplc="E5CC649C">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9257809">
    <w:abstractNumId w:val="47"/>
  </w:num>
  <w:num w:numId="2" w16cid:durableId="42561959">
    <w:abstractNumId w:val="10"/>
  </w:num>
  <w:num w:numId="3" w16cid:durableId="577910421">
    <w:abstractNumId w:val="1"/>
    <w:lvlOverride w:ilvl="0">
      <w:lvl w:ilvl="0">
        <w:start w:val="1"/>
        <w:numFmt w:val="bullet"/>
        <w:lvlText w:val=""/>
        <w:lvlJc w:val="left"/>
        <w:pPr>
          <w:ind w:left="720" w:hanging="360"/>
        </w:pPr>
        <w:rPr>
          <w:rFonts w:ascii="Symbol" w:hAnsi="Symbol" w:hint="default"/>
        </w:rPr>
      </w:lvl>
    </w:lvlOverride>
  </w:num>
  <w:num w:numId="4" w16cid:durableId="1649626928">
    <w:abstractNumId w:val="22"/>
  </w:num>
  <w:num w:numId="5" w16cid:durableId="1771925377">
    <w:abstractNumId w:val="44"/>
  </w:num>
  <w:num w:numId="6" w16cid:durableId="1313830888">
    <w:abstractNumId w:val="46"/>
  </w:num>
  <w:num w:numId="7" w16cid:durableId="1088309865">
    <w:abstractNumId w:val="34"/>
  </w:num>
  <w:num w:numId="8" w16cid:durableId="1623224519">
    <w:abstractNumId w:val="32"/>
  </w:num>
  <w:num w:numId="9" w16cid:durableId="871263837">
    <w:abstractNumId w:val="29"/>
  </w:num>
  <w:num w:numId="10" w16cid:durableId="1117483590">
    <w:abstractNumId w:val="30"/>
  </w:num>
  <w:num w:numId="11" w16cid:durableId="56246882">
    <w:abstractNumId w:val="9"/>
  </w:num>
  <w:num w:numId="12" w16cid:durableId="2058578302">
    <w:abstractNumId w:val="33"/>
  </w:num>
  <w:num w:numId="13" w16cid:durableId="1973172627">
    <w:abstractNumId w:val="17"/>
  </w:num>
  <w:num w:numId="14" w16cid:durableId="166674410">
    <w:abstractNumId w:val="16"/>
  </w:num>
  <w:num w:numId="15" w16cid:durableId="621300600">
    <w:abstractNumId w:val="26"/>
  </w:num>
  <w:num w:numId="16" w16cid:durableId="1600219067">
    <w:abstractNumId w:val="7"/>
  </w:num>
  <w:num w:numId="17" w16cid:durableId="1367415030">
    <w:abstractNumId w:val="25"/>
  </w:num>
  <w:num w:numId="18" w16cid:durableId="1070539613">
    <w:abstractNumId w:val="15"/>
  </w:num>
  <w:num w:numId="19" w16cid:durableId="411781387">
    <w:abstractNumId w:val="13"/>
  </w:num>
  <w:num w:numId="20" w16cid:durableId="28947865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86914774">
    <w:abstractNumId w:val="23"/>
  </w:num>
  <w:num w:numId="22" w16cid:durableId="1246108872">
    <w:abstractNumId w:val="18"/>
  </w:num>
  <w:num w:numId="23" w16cid:durableId="931399007">
    <w:abstractNumId w:val="14"/>
  </w:num>
  <w:num w:numId="24" w16cid:durableId="1073359801">
    <w:abstractNumId w:val="11"/>
  </w:num>
  <w:num w:numId="25" w16cid:durableId="680661835">
    <w:abstractNumId w:val="27"/>
  </w:num>
  <w:num w:numId="26" w16cid:durableId="791368107">
    <w:abstractNumId w:val="19"/>
  </w:num>
  <w:num w:numId="27" w16cid:durableId="1220365814">
    <w:abstractNumId w:val="40"/>
  </w:num>
  <w:num w:numId="28" w16cid:durableId="379400329">
    <w:abstractNumId w:val="35"/>
  </w:num>
  <w:num w:numId="29" w16cid:durableId="1889487819">
    <w:abstractNumId w:val="39"/>
  </w:num>
  <w:num w:numId="30" w16cid:durableId="1893493881">
    <w:abstractNumId w:val="20"/>
  </w:num>
  <w:num w:numId="31" w16cid:durableId="106511610">
    <w:abstractNumId w:val="42"/>
  </w:num>
  <w:num w:numId="32" w16cid:durableId="874390305">
    <w:abstractNumId w:val="31"/>
  </w:num>
  <w:num w:numId="33" w16cid:durableId="1819347716">
    <w:abstractNumId w:val="12"/>
  </w:num>
  <w:num w:numId="34" w16cid:durableId="1916620927">
    <w:abstractNumId w:val="43"/>
  </w:num>
  <w:num w:numId="35" w16cid:durableId="28535012">
    <w:abstractNumId w:val="38"/>
  </w:num>
  <w:num w:numId="36" w16cid:durableId="922032274">
    <w:abstractNumId w:val="4"/>
  </w:num>
  <w:num w:numId="37" w16cid:durableId="1146161081">
    <w:abstractNumId w:val="45"/>
  </w:num>
  <w:num w:numId="38" w16cid:durableId="887227201">
    <w:abstractNumId w:val="41"/>
  </w:num>
  <w:num w:numId="39" w16cid:durableId="486634121">
    <w:abstractNumId w:val="36"/>
  </w:num>
  <w:num w:numId="40" w16cid:durableId="255942935">
    <w:abstractNumId w:val="37"/>
  </w:num>
  <w:num w:numId="41" w16cid:durableId="2040692556">
    <w:abstractNumId w:val="3"/>
  </w:num>
  <w:num w:numId="42" w16cid:durableId="799029556">
    <w:abstractNumId w:val="5"/>
  </w:num>
  <w:num w:numId="43" w16cid:durableId="1505171711">
    <w:abstractNumId w:val="24"/>
  </w:num>
  <w:num w:numId="44" w16cid:durableId="364601744">
    <w:abstractNumId w:val="6"/>
  </w:num>
  <w:num w:numId="45" w16cid:durableId="74985184">
    <w:abstractNumId w:val="2"/>
  </w:num>
  <w:num w:numId="46" w16cid:durableId="288703787">
    <w:abstractNumId w:val="0"/>
  </w:num>
  <w:num w:numId="47" w16cid:durableId="1054617826">
    <w:abstractNumId w:val="21"/>
  </w:num>
  <w:num w:numId="48" w16cid:durableId="533542004">
    <w:abstractNumId w:val="28"/>
  </w:num>
  <w:num w:numId="49" w16cid:durableId="1338920205">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216"/>
    <w:rsid w:val="000B1E96"/>
    <w:rsid w:val="000C378F"/>
    <w:rsid w:val="000C6892"/>
    <w:rsid w:val="000C6FFE"/>
    <w:rsid w:val="000D0BB6"/>
    <w:rsid w:val="000E26B0"/>
    <w:rsid w:val="000F1599"/>
    <w:rsid w:val="000F1769"/>
    <w:rsid w:val="000F6196"/>
    <w:rsid w:val="000F7ECD"/>
    <w:rsid w:val="00102E64"/>
    <w:rsid w:val="0010312C"/>
    <w:rsid w:val="00103A0B"/>
    <w:rsid w:val="00106DC7"/>
    <w:rsid w:val="00112391"/>
    <w:rsid w:val="00114C20"/>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2C6B"/>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86CA3"/>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F518F"/>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66102"/>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16F8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946"/>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journals.sagepub.com/stoken/default+domain/32BpDARe9FRQNTNzFpEd/full" TargetMode="External"/><Relationship Id="rId26" Type="http://schemas.openxmlformats.org/officeDocument/2006/relationships/hyperlink" Target="https://doi.org/10.1177/026975802210818" TargetMode="External"/><Relationship Id="rId3" Type="http://schemas.openxmlformats.org/officeDocument/2006/relationships/customXml" Target="../customXml/item3.xml"/><Relationship Id="rId21" Type="http://schemas.openxmlformats.org/officeDocument/2006/relationships/hyperlink" Target="https://assets-hmicfrs.justiceinspectorates.gov.uk/uploads/research-into-victim-suspect-experiences-changes-policing-crime-act-2017.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77/026975800301000202" TargetMode="External"/><Relationship Id="rId25" Type="http://schemas.openxmlformats.org/officeDocument/2006/relationships/hyperlink" Target="https://doi-org.ezproxy.uwtsd.ac.uk/10.1177/0022427817707240"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apa.org/pubs/journals/releases/psp-pspa0000270.pdf" TargetMode="External"/><Relationship Id="rId20" Type="http://schemas.openxmlformats.org/officeDocument/2006/relationships/hyperlink" Target="https://thoughtsmostlyaboutlearning.files.wordpress.com/2015/12/learning-by-doing-graham-gibbs.pdf" TargetMode="External"/><Relationship Id="rId29" Type="http://schemas.openxmlformats.org/officeDocument/2006/relationships/hyperlink" Target="https://doi.org/10.1007/s11292-010-9120-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86/670398"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assets.publishing.service.gov.uk/media/5a7c6e9ded915d6969f44d12/evidence-practice-review-support-for-victims-outcome-measurement.pdf" TargetMode="External"/><Relationship Id="rId28" Type="http://schemas.openxmlformats.org/officeDocument/2006/relationships/hyperlink" Target="https://doi.org/10.1057/ajp.2009.38" TargetMode="External"/><Relationship Id="rId10" Type="http://schemas.openxmlformats.org/officeDocument/2006/relationships/endnotes" Target="endnotes.xml"/><Relationship Id="rId19" Type="http://schemas.openxmlformats.org/officeDocument/2006/relationships/hyperlink" Target="https://doi.org/10.1007/s11292-007-9024-2"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report-it.org.uk/files/ipcc_report-fiona-pilkington-leicestershire.pdf" TargetMode="External"/><Relationship Id="rId27" Type="http://schemas.openxmlformats.org/officeDocument/2006/relationships/hyperlink" Target="https://www.gov.scot/publications/foi-202200283333/" TargetMode="External"/><Relationship Id="rId30" Type="http://schemas.openxmlformats.org/officeDocument/2006/relationships/hyperlink" Target="https://doi.org/10.1177/0269758013492755"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6985</Words>
  <Characters>43018</Characters>
  <Application>Microsoft Office Word</Application>
  <DocSecurity>0</DocSecurity>
  <Lines>358</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Parratt,Samuel swp8374</cp:lastModifiedBy>
  <cp:revision>2</cp:revision>
  <cp:lastPrinted>2014-08-26T08:55:00Z</cp:lastPrinted>
  <dcterms:created xsi:type="dcterms:W3CDTF">2024-02-05T22:00:00Z</dcterms:created>
  <dcterms:modified xsi:type="dcterms:W3CDTF">2024-02-05T22:00:00Z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2024-02-05T19:08:50Z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edb2f2c7-2daa-4260-a04e-718bb5c037f9</vt:lpwstr>
  </property>
  <property fmtid="{D5CDD505-2E9C-101B-9397-08002B2CF9AE}" pid="9" name="MSIP_Label_66cf8fe5-b7b7-4df7-b38d-1c61ac2f6639_ContentBits">
    <vt:lpwstr>0</vt:lpwstr>
  </property>
</Properties>
</file>