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AE5E0" w14:textId="77777777" w:rsidR="006C0C39" w:rsidRDefault="006C0C39" w:rsidP="006C0C39">
      <w:pPr>
        <w:pStyle w:val="Nornal"/>
        <w:ind w:left="360"/>
        <w:rPr>
          <w:rStyle w:val="ui-provider"/>
          <w:rFonts w:ascii="Trebuchet MS" w:hAnsi="Trebuchet MS"/>
        </w:rPr>
      </w:pPr>
    </w:p>
    <w:p w14:paraId="316A36FF" w14:textId="77777777" w:rsidR="006C0C39" w:rsidRDefault="006C0C39" w:rsidP="006C0C39">
      <w:pPr>
        <w:pStyle w:val="Nornal"/>
        <w:ind w:left="360"/>
        <w:rPr>
          <w:rStyle w:val="ui-provider"/>
          <w:rFonts w:ascii="Trebuchet MS" w:hAnsi="Trebuchet MS"/>
        </w:rPr>
      </w:pPr>
    </w:p>
    <w:p w14:paraId="120087FA" w14:textId="77777777" w:rsidR="006C0C39" w:rsidRDefault="006C0C39" w:rsidP="006C0C39">
      <w:pPr>
        <w:pStyle w:val="Nornal"/>
        <w:ind w:left="360"/>
        <w:rPr>
          <w:rStyle w:val="ui-provider"/>
          <w:rFonts w:ascii="Trebuchet MS" w:hAnsi="Trebuchet MS"/>
        </w:rPr>
      </w:pPr>
    </w:p>
    <w:p w14:paraId="2F85608E" w14:textId="77777777" w:rsidR="006C0C39" w:rsidRDefault="006C0C39" w:rsidP="006C0C39">
      <w:pPr>
        <w:pStyle w:val="Nornal"/>
        <w:ind w:left="360"/>
        <w:rPr>
          <w:rStyle w:val="ui-provider"/>
          <w:rFonts w:ascii="Trebuchet MS" w:hAnsi="Trebuchet MS"/>
        </w:rPr>
      </w:pPr>
    </w:p>
    <w:p w14:paraId="6EAB4826" w14:textId="77777777" w:rsidR="006C0C39" w:rsidRDefault="006C0C39" w:rsidP="006C0C39">
      <w:pPr>
        <w:pStyle w:val="Nornal"/>
        <w:ind w:left="360"/>
        <w:rPr>
          <w:rStyle w:val="ui-provider"/>
          <w:rFonts w:ascii="Trebuchet MS" w:hAnsi="Trebuchet MS"/>
        </w:rPr>
      </w:pPr>
    </w:p>
    <w:p w14:paraId="435E04B9" w14:textId="77777777" w:rsidR="006C0C39" w:rsidRDefault="006C0C39" w:rsidP="006C0C39">
      <w:pPr>
        <w:pStyle w:val="Nornal"/>
        <w:ind w:left="360"/>
        <w:rPr>
          <w:rStyle w:val="ui-provider"/>
          <w:rFonts w:ascii="Trebuchet MS" w:hAnsi="Trebuchet MS"/>
        </w:rPr>
      </w:pPr>
    </w:p>
    <w:p w14:paraId="45E7E59D" w14:textId="77777777" w:rsidR="006C0C39" w:rsidRDefault="006C0C39" w:rsidP="006C0C39">
      <w:pPr>
        <w:pStyle w:val="Nornal"/>
        <w:ind w:left="360"/>
        <w:rPr>
          <w:rStyle w:val="ui-provider"/>
          <w:rFonts w:ascii="Trebuchet MS" w:hAnsi="Trebuchet MS"/>
        </w:rPr>
      </w:pPr>
    </w:p>
    <w:p w14:paraId="4E398206" w14:textId="77777777" w:rsidR="006C0C39" w:rsidRDefault="006C0C39" w:rsidP="006C0C39">
      <w:pPr>
        <w:pStyle w:val="Nornal"/>
        <w:ind w:left="360"/>
        <w:rPr>
          <w:rStyle w:val="ui-provider"/>
          <w:rFonts w:ascii="Trebuchet MS" w:hAnsi="Trebuchet MS"/>
        </w:rPr>
      </w:pPr>
    </w:p>
    <w:p w14:paraId="573A68A9" w14:textId="77777777" w:rsidR="006C0C39" w:rsidRDefault="006C0C39" w:rsidP="006C0C39">
      <w:pPr>
        <w:pStyle w:val="Nornal"/>
        <w:ind w:left="360"/>
        <w:rPr>
          <w:rStyle w:val="ui-provider"/>
          <w:rFonts w:ascii="Trebuchet MS" w:hAnsi="Trebuchet MS"/>
        </w:rPr>
      </w:pPr>
    </w:p>
    <w:p w14:paraId="3F71957C" w14:textId="263026BC" w:rsidR="006C0C39" w:rsidRPr="001E0EA0" w:rsidRDefault="006C0C39" w:rsidP="001E0EA0">
      <w:pPr>
        <w:jc w:val="center"/>
        <w:rPr>
          <w:sz w:val="52"/>
          <w:szCs w:val="52"/>
        </w:rPr>
      </w:pPr>
      <w:r w:rsidRPr="001E0EA0">
        <w:rPr>
          <w:sz w:val="52"/>
          <w:szCs w:val="52"/>
        </w:rPr>
        <w:t>5HR02</w:t>
      </w:r>
    </w:p>
    <w:p w14:paraId="30736E1A" w14:textId="07EDA7A8" w:rsidR="006C0C39" w:rsidRDefault="007134BE" w:rsidP="001E0EA0">
      <w:pPr>
        <w:spacing w:after="100" w:afterAutospacing="1" w:line="240" w:lineRule="auto"/>
        <w:jc w:val="center"/>
        <w:outlineLvl w:val="0"/>
        <w:rPr>
          <w:sz w:val="52"/>
          <w:szCs w:val="52"/>
        </w:rPr>
      </w:pPr>
      <w:r w:rsidRPr="007134BE">
        <w:rPr>
          <w:rFonts w:ascii="Segoe UI" w:eastAsia="Times New Roman" w:hAnsi="Segoe UI" w:cs="Segoe UI"/>
          <w:b/>
          <w:bCs/>
          <w:color w:val="FFFFFF"/>
          <w:kern w:val="36"/>
          <w:sz w:val="52"/>
          <w:szCs w:val="52"/>
          <w:lang w:eastAsia="en-GB"/>
          <w14:ligatures w14:val="none"/>
        </w:rPr>
        <w:t>(BMPD50</w:t>
      </w:r>
      <w:r w:rsidR="006C0C39" w:rsidRPr="001E0EA0">
        <w:rPr>
          <w:sz w:val="52"/>
          <w:szCs w:val="52"/>
        </w:rPr>
        <w:br/>
        <w:t>Talent management and workforce planning</w:t>
      </w:r>
    </w:p>
    <w:p w14:paraId="6CAE6E74" w14:textId="77777777" w:rsidR="001E0EA0" w:rsidRPr="001E0EA0" w:rsidRDefault="001E0EA0" w:rsidP="001E0EA0">
      <w:pPr>
        <w:spacing w:after="100" w:afterAutospacing="1" w:line="240" w:lineRule="auto"/>
        <w:jc w:val="center"/>
        <w:outlineLvl w:val="0"/>
        <w:rPr>
          <w:rFonts w:ascii="Segoe UI" w:eastAsia="Times New Roman" w:hAnsi="Segoe UI" w:cs="Segoe UI"/>
          <w:b/>
          <w:bCs/>
          <w:color w:val="FFFFFF"/>
          <w:kern w:val="36"/>
          <w:sz w:val="52"/>
          <w:szCs w:val="52"/>
          <w:lang w:eastAsia="en-GB"/>
          <w14:ligatures w14:val="none"/>
        </w:rPr>
      </w:pPr>
    </w:p>
    <w:p w14:paraId="767BA4DE" w14:textId="3828036B" w:rsidR="006C0C39" w:rsidRDefault="0036792C" w:rsidP="001E0EA0">
      <w:pPr>
        <w:jc w:val="center"/>
        <w:rPr>
          <w:sz w:val="52"/>
          <w:szCs w:val="52"/>
        </w:rPr>
      </w:pPr>
      <w:r w:rsidRPr="001E0EA0">
        <w:rPr>
          <w:sz w:val="52"/>
          <w:szCs w:val="52"/>
        </w:rPr>
        <w:t>BMPD5020</w:t>
      </w:r>
    </w:p>
    <w:p w14:paraId="215F0D3E" w14:textId="77777777" w:rsidR="001E0EA0" w:rsidRPr="001E0EA0" w:rsidRDefault="001E0EA0" w:rsidP="001E0EA0">
      <w:pPr>
        <w:jc w:val="center"/>
        <w:rPr>
          <w:sz w:val="52"/>
          <w:szCs w:val="52"/>
        </w:rPr>
      </w:pPr>
    </w:p>
    <w:p w14:paraId="5880A3B3" w14:textId="23D728BC" w:rsidR="006C0C39" w:rsidRPr="001E0EA0" w:rsidRDefault="006C0C39" w:rsidP="001E0EA0">
      <w:pPr>
        <w:jc w:val="center"/>
        <w:rPr>
          <w:sz w:val="52"/>
          <w:szCs w:val="52"/>
        </w:rPr>
      </w:pPr>
      <w:r w:rsidRPr="001E0EA0">
        <w:rPr>
          <w:sz w:val="52"/>
          <w:szCs w:val="52"/>
        </w:rPr>
        <w:t>Word count</w:t>
      </w:r>
      <w:r w:rsidR="00AF5C41" w:rsidRPr="001E0EA0">
        <w:rPr>
          <w:sz w:val="52"/>
          <w:szCs w:val="52"/>
        </w:rPr>
        <w:t xml:space="preserve">: </w:t>
      </w:r>
      <w:r w:rsidR="00140D23" w:rsidRPr="001E0EA0">
        <w:rPr>
          <w:b/>
          <w:bCs/>
          <w:sz w:val="52"/>
          <w:szCs w:val="52"/>
        </w:rPr>
        <w:t>4,273</w:t>
      </w:r>
    </w:p>
    <w:p w14:paraId="63A44E46" w14:textId="77777777" w:rsidR="00140D23" w:rsidRPr="006C0C39" w:rsidRDefault="00140D23" w:rsidP="006C0C39">
      <w:pPr>
        <w:jc w:val="center"/>
        <w:rPr>
          <w:sz w:val="32"/>
          <w:szCs w:val="32"/>
        </w:rPr>
      </w:pPr>
    </w:p>
    <w:p w14:paraId="40395062" w14:textId="77777777" w:rsidR="006C0C39" w:rsidRDefault="006C0C39" w:rsidP="006C0C39">
      <w:pPr>
        <w:pStyle w:val="Nornal"/>
        <w:ind w:left="360"/>
        <w:rPr>
          <w:rStyle w:val="ui-provider"/>
          <w:rFonts w:ascii="Trebuchet MS" w:hAnsi="Trebuchet MS"/>
        </w:rPr>
      </w:pPr>
    </w:p>
    <w:p w14:paraId="7733D957" w14:textId="77777777" w:rsidR="006C0C39" w:rsidRDefault="006C0C39" w:rsidP="006C0C39">
      <w:pPr>
        <w:pStyle w:val="Nornal"/>
        <w:ind w:left="360"/>
        <w:rPr>
          <w:rStyle w:val="ui-provider"/>
          <w:rFonts w:ascii="Trebuchet MS" w:hAnsi="Trebuchet MS"/>
        </w:rPr>
      </w:pPr>
    </w:p>
    <w:p w14:paraId="16E17CF3" w14:textId="77777777" w:rsidR="006C0C39" w:rsidRDefault="006C0C39" w:rsidP="006C0C39">
      <w:pPr>
        <w:pStyle w:val="Nornal"/>
        <w:ind w:left="360"/>
        <w:rPr>
          <w:rStyle w:val="ui-provider"/>
          <w:rFonts w:ascii="Trebuchet MS" w:hAnsi="Trebuchet MS"/>
        </w:rPr>
      </w:pPr>
    </w:p>
    <w:p w14:paraId="3ADFB789" w14:textId="77777777" w:rsidR="006C0C39" w:rsidRDefault="006C0C39" w:rsidP="006C0C39">
      <w:pPr>
        <w:pStyle w:val="Nornal"/>
        <w:ind w:left="360"/>
        <w:rPr>
          <w:rStyle w:val="ui-provider"/>
          <w:rFonts w:ascii="Trebuchet MS" w:hAnsi="Trebuchet MS"/>
        </w:rPr>
      </w:pPr>
    </w:p>
    <w:p w14:paraId="555E1602" w14:textId="77777777" w:rsidR="006C0C39" w:rsidRDefault="006C0C39" w:rsidP="006C0C39">
      <w:pPr>
        <w:pStyle w:val="Nornal"/>
        <w:ind w:left="360"/>
        <w:rPr>
          <w:rStyle w:val="ui-provider"/>
          <w:rFonts w:ascii="Trebuchet MS" w:hAnsi="Trebuchet MS"/>
        </w:rPr>
      </w:pPr>
    </w:p>
    <w:p w14:paraId="4D62158A" w14:textId="77777777" w:rsidR="006C0C39" w:rsidRDefault="006C0C39" w:rsidP="006C0C39">
      <w:pPr>
        <w:pStyle w:val="Nornal"/>
        <w:ind w:left="360"/>
        <w:rPr>
          <w:rStyle w:val="ui-provider"/>
          <w:rFonts w:ascii="Trebuchet MS" w:hAnsi="Trebuchet MS"/>
        </w:rPr>
      </w:pPr>
    </w:p>
    <w:p w14:paraId="4968ED8C" w14:textId="77777777" w:rsidR="006C0C39" w:rsidRDefault="006C0C39" w:rsidP="006C0C39">
      <w:pPr>
        <w:pStyle w:val="Nornal"/>
        <w:ind w:left="360"/>
        <w:rPr>
          <w:rStyle w:val="ui-provider"/>
          <w:rFonts w:ascii="Trebuchet MS" w:hAnsi="Trebuchet MS"/>
        </w:rPr>
      </w:pPr>
    </w:p>
    <w:p w14:paraId="6AB1CD46" w14:textId="77777777" w:rsidR="006C0C39" w:rsidRDefault="006C0C39" w:rsidP="006C0C39">
      <w:pPr>
        <w:pStyle w:val="Nornal"/>
        <w:ind w:left="360"/>
        <w:rPr>
          <w:rStyle w:val="ui-provider"/>
          <w:rFonts w:ascii="Trebuchet MS" w:hAnsi="Trebuchet MS"/>
        </w:rPr>
      </w:pPr>
    </w:p>
    <w:p w14:paraId="686B81D8" w14:textId="77777777" w:rsidR="006C0C39" w:rsidRDefault="006C0C39" w:rsidP="006C0C39">
      <w:pPr>
        <w:pStyle w:val="Nornal"/>
        <w:ind w:left="360"/>
        <w:rPr>
          <w:rStyle w:val="ui-provider"/>
          <w:rFonts w:ascii="Trebuchet MS" w:hAnsi="Trebuchet MS"/>
        </w:rPr>
      </w:pPr>
    </w:p>
    <w:p w14:paraId="5015A8D6" w14:textId="77777777" w:rsidR="006C0C39" w:rsidRDefault="006C0C39" w:rsidP="006C0C39">
      <w:pPr>
        <w:pStyle w:val="Nornal"/>
        <w:ind w:left="360"/>
        <w:rPr>
          <w:rStyle w:val="ui-provider"/>
          <w:rFonts w:ascii="Trebuchet MS" w:hAnsi="Trebuchet MS"/>
        </w:rPr>
      </w:pPr>
    </w:p>
    <w:p w14:paraId="5D989331" w14:textId="77777777" w:rsidR="006C0C39" w:rsidRDefault="006C0C39" w:rsidP="006C0C39">
      <w:pPr>
        <w:pStyle w:val="Nornal"/>
        <w:ind w:left="360"/>
        <w:rPr>
          <w:rStyle w:val="ui-provider"/>
          <w:rFonts w:ascii="Trebuchet MS" w:hAnsi="Trebuchet MS"/>
        </w:rPr>
      </w:pPr>
    </w:p>
    <w:p w14:paraId="03E4C60F" w14:textId="77777777" w:rsidR="00C82C46" w:rsidRDefault="00C82C46" w:rsidP="006C0C39">
      <w:pPr>
        <w:pStyle w:val="Nornal"/>
        <w:ind w:left="360"/>
        <w:rPr>
          <w:rStyle w:val="ui-provider"/>
          <w:rFonts w:ascii="Trebuchet MS" w:hAnsi="Trebuchet MS"/>
        </w:rPr>
      </w:pPr>
    </w:p>
    <w:p w14:paraId="542CEEBA" w14:textId="77777777" w:rsidR="00C82C46" w:rsidRDefault="00C82C46" w:rsidP="006C0C39">
      <w:pPr>
        <w:pStyle w:val="Nornal"/>
        <w:ind w:left="360"/>
        <w:rPr>
          <w:rStyle w:val="ui-provider"/>
          <w:rFonts w:ascii="Trebuchet MS" w:hAnsi="Trebuchet MS"/>
        </w:rPr>
      </w:pPr>
    </w:p>
    <w:p w14:paraId="5D8230F7" w14:textId="77777777" w:rsidR="00C82C46" w:rsidRDefault="00C82C46" w:rsidP="006C0C39">
      <w:pPr>
        <w:pStyle w:val="Nornal"/>
        <w:ind w:left="360"/>
        <w:rPr>
          <w:rStyle w:val="ui-provider"/>
          <w:rFonts w:ascii="Trebuchet MS" w:hAnsi="Trebuchet MS"/>
        </w:rPr>
      </w:pPr>
    </w:p>
    <w:p w14:paraId="3D1A1BAD" w14:textId="77777777" w:rsidR="00C82C46" w:rsidRDefault="00C82C46" w:rsidP="006C0C39">
      <w:pPr>
        <w:pStyle w:val="Nornal"/>
        <w:ind w:left="360"/>
        <w:rPr>
          <w:rStyle w:val="ui-provider"/>
          <w:rFonts w:ascii="Trebuchet MS" w:hAnsi="Trebuchet MS"/>
        </w:rPr>
      </w:pPr>
    </w:p>
    <w:p w14:paraId="43356DA8" w14:textId="77777777" w:rsidR="006C0C39" w:rsidRDefault="006C0C39" w:rsidP="006C0C39">
      <w:pPr>
        <w:pStyle w:val="Nornal"/>
        <w:ind w:left="360"/>
        <w:rPr>
          <w:rStyle w:val="ui-provider"/>
          <w:rFonts w:ascii="Trebuchet MS" w:hAnsi="Trebuchet MS"/>
        </w:rPr>
      </w:pPr>
    </w:p>
    <w:p w14:paraId="381EB3D3" w14:textId="31C99E0D"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r w:rsidR="00876163">
        <w:rPr>
          <w:rStyle w:val="ui-provider"/>
          <w:rFonts w:ascii="Trebuchet MS" w:hAnsi="Trebuchet MS"/>
        </w:rPr>
        <w:t xml:space="preserve"> </w:t>
      </w:r>
    </w:p>
    <w:p w14:paraId="6938F060" w14:textId="17EBC991" w:rsidR="004511A6" w:rsidRDefault="004511A6" w:rsidP="004511A6">
      <w:pPr>
        <w:pStyle w:val="Nornal"/>
        <w:ind w:left="720"/>
        <w:rPr>
          <w:rStyle w:val="ui-provider"/>
          <w:rFonts w:ascii="Trebuchet MS" w:hAnsi="Trebuchet MS"/>
          <w:sz w:val="24"/>
          <w:szCs w:val="24"/>
        </w:rPr>
      </w:pPr>
    </w:p>
    <w:p w14:paraId="20315AD0" w14:textId="77777777" w:rsidR="006D1A00" w:rsidRDefault="006D1A00" w:rsidP="004511A6">
      <w:pPr>
        <w:pStyle w:val="Nornal"/>
        <w:ind w:left="720"/>
        <w:rPr>
          <w:rStyle w:val="ui-provider"/>
          <w:rFonts w:ascii="Trebuchet MS" w:hAnsi="Trebuchet MS"/>
          <w:sz w:val="24"/>
          <w:szCs w:val="24"/>
        </w:rPr>
      </w:pPr>
    </w:p>
    <w:p w14:paraId="5A3E5350" w14:textId="0EF70512" w:rsidR="006D1A00" w:rsidRPr="00600017" w:rsidRDefault="006D1A00" w:rsidP="00600017">
      <w:pPr>
        <w:rPr>
          <w:sz w:val="24"/>
          <w:szCs w:val="24"/>
        </w:rPr>
      </w:pPr>
      <w:r w:rsidRPr="00600017">
        <w:rPr>
          <w:sz w:val="24"/>
          <w:szCs w:val="24"/>
        </w:rPr>
        <w:t xml:space="preserve">The CIPD (2024f) highlights that understanding labour market trends, demographics, and employment patterns is essential for effective people strategies. A key step in strategic positioning is competitor analysis, focusing on areas such as employee experience, rewards, and culture (CIPD, 2025a). </w:t>
      </w:r>
      <w:r w:rsidR="00BE1702" w:rsidRPr="00600017">
        <w:rPr>
          <w:sz w:val="24"/>
          <w:szCs w:val="24"/>
        </w:rPr>
        <w:t xml:space="preserve">This involves evaluating the strengths and weaknesses of other employers in the market, particularly in terms of their employee experience, reward strategies, and workplace culture (CIPD, 2025a). </w:t>
      </w:r>
      <w:r w:rsidR="00600017" w:rsidRPr="00600017">
        <w:rPr>
          <w:sz w:val="24"/>
          <w:szCs w:val="24"/>
        </w:rPr>
        <w:t>For instance, if competitors excel in flexible working but lack robust career development pathways, an organisation might position itself by prioritising learning and progression as a distinctive advantage (Peters, 2023).</w:t>
      </w:r>
    </w:p>
    <w:p w14:paraId="0E2F0243" w14:textId="77777777" w:rsidR="005102D9" w:rsidRPr="00837EA0" w:rsidRDefault="005102D9" w:rsidP="004511A6">
      <w:pPr>
        <w:rPr>
          <w:sz w:val="24"/>
          <w:szCs w:val="24"/>
        </w:rPr>
      </w:pPr>
    </w:p>
    <w:p w14:paraId="0AA3B6F0" w14:textId="47B60F86" w:rsidR="00696239" w:rsidRPr="003B1102" w:rsidRDefault="002E4A44" w:rsidP="003B1102">
      <w:pPr>
        <w:rPr>
          <w:sz w:val="24"/>
          <w:szCs w:val="24"/>
        </w:rPr>
      </w:pPr>
      <w:r w:rsidRPr="003B1102">
        <w:rPr>
          <w:sz w:val="24"/>
          <w:szCs w:val="24"/>
        </w:rPr>
        <w:t xml:space="preserve">To achieve strategic positioning, </w:t>
      </w:r>
      <w:proofErr w:type="spellStart"/>
      <w:r w:rsidRPr="003B1102">
        <w:rPr>
          <w:sz w:val="24"/>
          <w:szCs w:val="24"/>
        </w:rPr>
        <w:t>ParcelCare</w:t>
      </w:r>
      <w:proofErr w:type="spellEnd"/>
      <w:r w:rsidRPr="003B1102">
        <w:rPr>
          <w:sz w:val="24"/>
          <w:szCs w:val="24"/>
        </w:rPr>
        <w:t xml:space="preserve"> must ensure that its human resource management (HRM) practices are closely aligned with its overarching business objectives (Marchington et al., 2020). As Taylor and Woodhams (2022, pp. 53–56) emphasi</w:t>
      </w:r>
      <w:r w:rsidR="00CA0F3C" w:rsidRPr="003B1102">
        <w:rPr>
          <w:sz w:val="24"/>
          <w:szCs w:val="24"/>
        </w:rPr>
        <w:t>s</w:t>
      </w:r>
      <w:r w:rsidRPr="003B1102">
        <w:rPr>
          <w:sz w:val="24"/>
          <w:szCs w:val="24"/>
        </w:rPr>
        <w:t>e, strategic HRM entails the integration of workforce planning, organi</w:t>
      </w:r>
      <w:r w:rsidR="00CA0F3C" w:rsidRPr="003B1102">
        <w:rPr>
          <w:sz w:val="24"/>
          <w:szCs w:val="24"/>
        </w:rPr>
        <w:t>s</w:t>
      </w:r>
      <w:r w:rsidRPr="003B1102">
        <w:rPr>
          <w:sz w:val="24"/>
          <w:szCs w:val="24"/>
        </w:rPr>
        <w:t>ational design, and an informed understanding of external labour market dynamics to effectively support the organisation’s long-term goals.</w:t>
      </w:r>
      <w:r w:rsidR="00CA0F3C" w:rsidRPr="003B1102">
        <w:rPr>
          <w:sz w:val="24"/>
          <w:szCs w:val="24"/>
        </w:rPr>
        <w:t xml:space="preserve"> </w:t>
      </w:r>
      <w:r w:rsidR="00C4746F" w:rsidRPr="003B1102">
        <w:rPr>
          <w:sz w:val="24"/>
          <w:szCs w:val="24"/>
        </w:rPr>
        <w:t>This alignment is essential for developing employee value proposition which is central to effective employer branding</w:t>
      </w:r>
      <w:r w:rsidR="00F13173" w:rsidRPr="003B1102">
        <w:rPr>
          <w:sz w:val="24"/>
          <w:szCs w:val="24"/>
        </w:rPr>
        <w:t xml:space="preserve"> (</w:t>
      </w:r>
      <w:r w:rsidR="00F13173" w:rsidRPr="003B1102">
        <w:rPr>
          <w:sz w:val="24"/>
          <w:szCs w:val="24"/>
        </w:rPr>
        <w:t>Marchington et al. 2020)</w:t>
      </w:r>
      <w:r w:rsidR="005102D9" w:rsidRPr="003B1102">
        <w:rPr>
          <w:sz w:val="24"/>
          <w:szCs w:val="24"/>
        </w:rPr>
        <w:t xml:space="preserve"> </w:t>
      </w:r>
      <w:proofErr w:type="spellStart"/>
      <w:r w:rsidR="005102D9" w:rsidRPr="003B1102">
        <w:rPr>
          <w:sz w:val="24"/>
          <w:szCs w:val="24"/>
        </w:rPr>
        <w:t>ParcelCare</w:t>
      </w:r>
      <w:proofErr w:type="spellEnd"/>
      <w:r w:rsidR="005102D9" w:rsidRPr="003B1102">
        <w:rPr>
          <w:sz w:val="24"/>
          <w:szCs w:val="24"/>
        </w:rPr>
        <w:t xml:space="preserve"> should aim to become an employer of choice</w:t>
      </w:r>
      <w:r w:rsidR="00944906" w:rsidRPr="003B1102">
        <w:rPr>
          <w:sz w:val="24"/>
          <w:szCs w:val="24"/>
        </w:rPr>
        <w:t>,</w:t>
      </w:r>
      <w:r w:rsidR="005102D9" w:rsidRPr="003B1102">
        <w:rPr>
          <w:sz w:val="24"/>
          <w:szCs w:val="24"/>
        </w:rPr>
        <w:t xml:space="preserve"> </w:t>
      </w:r>
      <w:r w:rsidR="005102D9" w:rsidRPr="003B1102">
        <w:rPr>
          <w:sz w:val="24"/>
          <w:szCs w:val="24"/>
        </w:rPr>
        <w:t>one that attracts and retains talent through a consistent and compelling employee experience (</w:t>
      </w:r>
      <w:r w:rsidR="00841B96">
        <w:rPr>
          <w:sz w:val="24"/>
          <w:szCs w:val="24"/>
        </w:rPr>
        <w:t>Baker, 2014</w:t>
      </w:r>
      <w:r w:rsidR="005102D9" w:rsidRPr="003B1102">
        <w:rPr>
          <w:sz w:val="24"/>
          <w:szCs w:val="24"/>
        </w:rPr>
        <w:t>). This involves offering meaningful work, supportive leadership, growth opportunities, and a positive, inclusive culture</w:t>
      </w:r>
      <w:r w:rsidR="008A5773" w:rsidRPr="003B1102">
        <w:rPr>
          <w:sz w:val="24"/>
          <w:szCs w:val="24"/>
        </w:rPr>
        <w:t xml:space="preserve"> (</w:t>
      </w:r>
      <w:r w:rsidR="00557814">
        <w:rPr>
          <w:sz w:val="24"/>
          <w:szCs w:val="24"/>
        </w:rPr>
        <w:t>Baker, 2014)</w:t>
      </w:r>
      <w:r w:rsidR="005102D9" w:rsidRPr="003B1102">
        <w:rPr>
          <w:sz w:val="24"/>
          <w:szCs w:val="24"/>
        </w:rPr>
        <w:t>. A clear and authentic brand helps attract candidates who align with the organisation’s values, which is especially important in competitive labour markets</w:t>
      </w:r>
      <w:r w:rsidR="005102D9" w:rsidRPr="003B1102">
        <w:rPr>
          <w:sz w:val="24"/>
          <w:szCs w:val="24"/>
        </w:rPr>
        <w:t xml:space="preserve"> (CIPD, 2025a). </w:t>
      </w:r>
    </w:p>
    <w:p w14:paraId="664A4CC7" w14:textId="77777777" w:rsidR="0079497B" w:rsidRPr="0079497B" w:rsidRDefault="0079497B" w:rsidP="00696239">
      <w:pPr>
        <w:rPr>
          <w:rFonts w:ascii="Segoe UI" w:hAnsi="Segoe UI" w:cs="Segoe UI"/>
          <w:color w:val="424242"/>
          <w:shd w:val="clear" w:color="auto" w:fill="FAFAFA"/>
        </w:rPr>
      </w:pPr>
    </w:p>
    <w:p w14:paraId="4D891C13" w14:textId="3C64A445" w:rsidR="00B316B2" w:rsidRPr="00837EA0" w:rsidRDefault="00B316B2" w:rsidP="00696239">
      <w:pPr>
        <w:rPr>
          <w:sz w:val="24"/>
          <w:szCs w:val="24"/>
        </w:rPr>
      </w:pPr>
      <w:r w:rsidRPr="00706430">
        <w:rPr>
          <w:sz w:val="24"/>
          <w:szCs w:val="24"/>
        </w:rPr>
        <w:t>Strategic positioning involves aligning reward strategies and organisational culture with employee expectations</w:t>
      </w:r>
      <w:r w:rsidR="00DD1C4B" w:rsidRPr="00706430">
        <w:rPr>
          <w:sz w:val="24"/>
          <w:szCs w:val="24"/>
        </w:rPr>
        <w:t xml:space="preserve"> (CIPD, 20</w:t>
      </w:r>
      <w:r w:rsidR="00AD41A0" w:rsidRPr="00706430">
        <w:rPr>
          <w:sz w:val="24"/>
          <w:szCs w:val="24"/>
        </w:rPr>
        <w:t>25a</w:t>
      </w:r>
      <w:r w:rsidR="00DD1C4B" w:rsidRPr="00706430">
        <w:rPr>
          <w:sz w:val="24"/>
          <w:szCs w:val="24"/>
        </w:rPr>
        <w:t>).</w:t>
      </w:r>
      <w:r w:rsidR="00600DFD" w:rsidRPr="00706430">
        <w:rPr>
          <w:sz w:val="24"/>
          <w:szCs w:val="24"/>
        </w:rPr>
        <w:t xml:space="preserve"> </w:t>
      </w:r>
      <w:r w:rsidR="00600DFD" w:rsidRPr="00706430">
        <w:rPr>
          <w:sz w:val="24"/>
          <w:szCs w:val="24"/>
        </w:rPr>
        <w:t>While competitive pay remains a key component of attracting and retaining talent, non-financial rewards such as recognition, autonomy, and work-life balance are equally important (</w:t>
      </w:r>
      <w:proofErr w:type="spellStart"/>
      <w:r w:rsidR="00600DFD" w:rsidRPr="00706430">
        <w:rPr>
          <w:sz w:val="24"/>
          <w:szCs w:val="24"/>
        </w:rPr>
        <w:t>Maharvi</w:t>
      </w:r>
      <w:proofErr w:type="spellEnd"/>
      <w:r w:rsidR="00600DFD" w:rsidRPr="00706430">
        <w:rPr>
          <w:sz w:val="24"/>
          <w:szCs w:val="24"/>
        </w:rPr>
        <w:t xml:space="preserve"> and Ahmad, 2022).</w:t>
      </w:r>
      <w:r w:rsidR="00D30D5E" w:rsidRPr="00706430">
        <w:rPr>
          <w:sz w:val="24"/>
          <w:szCs w:val="24"/>
        </w:rPr>
        <w:t xml:space="preserve"> </w:t>
      </w:r>
      <w:r w:rsidR="003B5EC9" w:rsidRPr="00706430">
        <w:rPr>
          <w:sz w:val="24"/>
          <w:szCs w:val="24"/>
        </w:rPr>
        <w:t xml:space="preserve">The </w:t>
      </w:r>
      <w:r w:rsidR="00D30D5E" w:rsidRPr="00706430">
        <w:rPr>
          <w:sz w:val="24"/>
          <w:szCs w:val="24"/>
        </w:rPr>
        <w:t>CIPD</w:t>
      </w:r>
      <w:r w:rsidR="003B5EC9" w:rsidRPr="00706430">
        <w:rPr>
          <w:sz w:val="24"/>
          <w:szCs w:val="24"/>
        </w:rPr>
        <w:t xml:space="preserve"> (2025a)</w:t>
      </w:r>
      <w:r w:rsidR="00D30D5E" w:rsidRPr="00706430">
        <w:rPr>
          <w:sz w:val="24"/>
          <w:szCs w:val="24"/>
        </w:rPr>
        <w:t xml:space="preserve"> </w:t>
      </w:r>
      <w:r w:rsidR="00D30D5E" w:rsidRPr="00706430">
        <w:rPr>
          <w:sz w:val="24"/>
          <w:szCs w:val="24"/>
        </w:rPr>
        <w:t xml:space="preserve">highlights that a </w:t>
      </w:r>
      <w:r w:rsidR="00D30D5E" w:rsidRPr="00706430">
        <w:rPr>
          <w:sz w:val="24"/>
          <w:szCs w:val="24"/>
        </w:rPr>
        <w:t>total reward approac</w:t>
      </w:r>
      <w:r w:rsidR="00D30D5E" w:rsidRPr="00706430">
        <w:rPr>
          <w:sz w:val="24"/>
          <w:szCs w:val="24"/>
        </w:rPr>
        <w:t xml:space="preserve">h, </w:t>
      </w:r>
      <w:r w:rsidR="00D30D5E" w:rsidRPr="00706430">
        <w:rPr>
          <w:sz w:val="24"/>
          <w:szCs w:val="24"/>
        </w:rPr>
        <w:t>encompassing both tangible benefits and intangible elements like meaningful work, supportive culture, and personal development</w:t>
      </w:r>
      <w:r w:rsidR="00D30D5E" w:rsidRPr="00706430">
        <w:rPr>
          <w:sz w:val="24"/>
          <w:szCs w:val="24"/>
        </w:rPr>
        <w:t xml:space="preserve"> </w:t>
      </w:r>
      <w:r w:rsidR="00D30D5E" w:rsidRPr="00706430">
        <w:rPr>
          <w:sz w:val="24"/>
          <w:szCs w:val="24"/>
        </w:rPr>
        <w:t>can significantly enhance employee engagement and organisational performance</w:t>
      </w:r>
      <w:r w:rsidR="00D80DFB" w:rsidRPr="00706430">
        <w:rPr>
          <w:sz w:val="24"/>
          <w:szCs w:val="24"/>
        </w:rPr>
        <w:t xml:space="preserve">. </w:t>
      </w:r>
      <w:r w:rsidR="00B9455B" w:rsidRPr="00706430">
        <w:rPr>
          <w:sz w:val="24"/>
          <w:szCs w:val="24"/>
        </w:rPr>
        <w:t>Furthermore, evidence shows that non-financial rewards</w:t>
      </w:r>
      <w:r w:rsidR="00B9455B" w:rsidRPr="00706430">
        <w:rPr>
          <w:sz w:val="24"/>
          <w:szCs w:val="24"/>
        </w:rPr>
        <w:t xml:space="preserve"> such as</w:t>
      </w:r>
      <w:r w:rsidR="00B9455B" w:rsidRPr="00706430">
        <w:rPr>
          <w:sz w:val="24"/>
          <w:szCs w:val="24"/>
        </w:rPr>
        <w:t xml:space="preserve"> recognition, have a measurable impact on motivation and performance, reinforcing the strategic value in reward design</w:t>
      </w:r>
      <w:r w:rsidR="008D4917" w:rsidRPr="00706430">
        <w:rPr>
          <w:sz w:val="24"/>
          <w:szCs w:val="24"/>
        </w:rPr>
        <w:t xml:space="preserve"> (CIPD, 2025a). </w:t>
      </w:r>
      <w:r w:rsidR="00BF094F" w:rsidRPr="00706430">
        <w:rPr>
          <w:sz w:val="24"/>
          <w:szCs w:val="24"/>
        </w:rPr>
        <w:t>To summarise by analysing competitors, building a strong employer brand, and aligning reward and culture with employee expectations, organisations can differentiate themselves</w:t>
      </w:r>
      <w:r w:rsidR="00BF094F" w:rsidRPr="00837EA0">
        <w:rPr>
          <w:sz w:val="24"/>
          <w:szCs w:val="24"/>
        </w:rPr>
        <w:t xml:space="preserve"> and attract the talent they need to thrive</w:t>
      </w:r>
      <w:r w:rsidR="00AD41A0">
        <w:rPr>
          <w:sz w:val="24"/>
          <w:szCs w:val="24"/>
        </w:rPr>
        <w:t xml:space="preserve"> (CIPD, 2024g).</w:t>
      </w:r>
      <w:r w:rsidR="00BF094F" w:rsidRPr="00837EA0">
        <w:rPr>
          <w:sz w:val="24"/>
          <w:szCs w:val="24"/>
        </w:rPr>
        <w:t xml:space="preserve"> </w:t>
      </w:r>
      <w:r w:rsidR="00B461E5">
        <w:rPr>
          <w:sz w:val="24"/>
          <w:szCs w:val="24"/>
        </w:rPr>
        <w:t>The CIPD</w:t>
      </w:r>
      <w:r w:rsidR="00376150">
        <w:rPr>
          <w:sz w:val="24"/>
          <w:szCs w:val="24"/>
        </w:rPr>
        <w:t xml:space="preserve"> (2025a)</w:t>
      </w:r>
      <w:r w:rsidR="00B461E5">
        <w:rPr>
          <w:sz w:val="24"/>
          <w:szCs w:val="24"/>
        </w:rPr>
        <w:t xml:space="preserve"> </w:t>
      </w:r>
      <w:r w:rsidR="00BF094F" w:rsidRPr="00837EA0">
        <w:rPr>
          <w:sz w:val="24"/>
          <w:szCs w:val="24"/>
        </w:rPr>
        <w:t>emphasises, success in recruitment and retention increasingly depends on how well organisations understand and respond to the evolving needs of the workforce</w:t>
      </w:r>
      <w:r w:rsidR="00376150">
        <w:rPr>
          <w:sz w:val="24"/>
          <w:szCs w:val="24"/>
        </w:rPr>
        <w:t>.</w:t>
      </w:r>
    </w:p>
    <w:p w14:paraId="13CE2E5F" w14:textId="77777777" w:rsidR="006C0C39" w:rsidRDefault="006C0C39" w:rsidP="00837EA0">
      <w:pPr>
        <w:pStyle w:val="Nornal"/>
        <w:rPr>
          <w:rFonts w:ascii="Trebuchet MS" w:hAnsi="Trebuchet MS"/>
        </w:rPr>
      </w:pPr>
    </w:p>
    <w:p w14:paraId="65E9CE54" w14:textId="77777777" w:rsidR="00F558F6" w:rsidRDefault="00F558F6" w:rsidP="00837EA0">
      <w:pPr>
        <w:pStyle w:val="Nornal"/>
        <w:rPr>
          <w:rFonts w:ascii="Trebuchet MS" w:hAnsi="Trebuchet MS"/>
        </w:rPr>
      </w:pPr>
    </w:p>
    <w:p w14:paraId="4D314E09" w14:textId="77777777" w:rsidR="00AD306C" w:rsidRDefault="00AD306C" w:rsidP="00837EA0">
      <w:pPr>
        <w:pStyle w:val="Nornal"/>
        <w:rPr>
          <w:rFonts w:ascii="Trebuchet MS" w:hAnsi="Trebuchet MS"/>
        </w:rPr>
      </w:pPr>
    </w:p>
    <w:p w14:paraId="40345C0A" w14:textId="77777777" w:rsidR="00AD306C" w:rsidRDefault="00AD306C" w:rsidP="00837EA0">
      <w:pPr>
        <w:pStyle w:val="Nornal"/>
        <w:rPr>
          <w:rFonts w:ascii="Trebuchet MS" w:hAnsi="Trebuchet MS"/>
        </w:rPr>
      </w:pPr>
    </w:p>
    <w:p w14:paraId="79B28A64" w14:textId="77777777" w:rsidR="003C1E31" w:rsidRDefault="006C0C39" w:rsidP="002F6224">
      <w:pPr>
        <w:pStyle w:val="Nornal"/>
        <w:numPr>
          <w:ilvl w:val="0"/>
          <w:numId w:val="3"/>
        </w:numPr>
        <w:rPr>
          <w:rStyle w:val="ui-provider"/>
          <w:rFonts w:ascii="Trebuchet MS" w:hAnsi="Trebuchet MS"/>
        </w:rPr>
      </w:pPr>
      <w:r w:rsidRPr="003C1E31">
        <w:rPr>
          <w:rStyle w:val="ui-provider"/>
          <w:rFonts w:ascii="Trebuchet MS" w:hAnsi="Trebuchet MS"/>
        </w:rPr>
        <w:t xml:space="preserve">Explain the impact of changing </w:t>
      </w:r>
      <w:proofErr w:type="spellStart"/>
      <w:r w:rsidRPr="003C1E31">
        <w:rPr>
          <w:rStyle w:val="ui-provider"/>
          <w:rFonts w:ascii="Trebuchet MS" w:hAnsi="Trebuchet MS"/>
        </w:rPr>
        <w:t>labour</w:t>
      </w:r>
      <w:proofErr w:type="spellEnd"/>
      <w:r w:rsidRPr="003C1E31">
        <w:rPr>
          <w:rStyle w:val="ui-provider"/>
          <w:rFonts w:ascii="Trebuchet MS" w:hAnsi="Trebuchet MS"/>
        </w:rPr>
        <w:t xml:space="preserve"> market conditions on resourcing decisions at </w:t>
      </w:r>
      <w:proofErr w:type="spellStart"/>
      <w:r w:rsidRPr="003C1E31">
        <w:rPr>
          <w:rStyle w:val="ui-provider"/>
          <w:rFonts w:ascii="Trebuchet MS" w:hAnsi="Trebuchet MS"/>
        </w:rPr>
        <w:t>ParcelCare</w:t>
      </w:r>
      <w:proofErr w:type="spellEnd"/>
      <w:r w:rsidRPr="003C1E31">
        <w:rPr>
          <w:rStyle w:val="ui-provider"/>
          <w:rFonts w:ascii="Trebuchet MS" w:hAnsi="Trebuchet MS"/>
        </w:rPr>
        <w:t>. (AC 1.2)</w:t>
      </w:r>
      <w:r w:rsidR="00876163" w:rsidRPr="003C1E31">
        <w:rPr>
          <w:rStyle w:val="ui-provider"/>
          <w:rFonts w:ascii="Trebuchet MS" w:hAnsi="Trebuchet MS"/>
        </w:rPr>
        <w:t xml:space="preserve"> </w:t>
      </w:r>
    </w:p>
    <w:p w14:paraId="0A4D03A3" w14:textId="77777777" w:rsidR="00A856EA" w:rsidRDefault="00A856EA" w:rsidP="00D66396">
      <w:pPr>
        <w:rPr>
          <w:sz w:val="24"/>
          <w:szCs w:val="24"/>
        </w:rPr>
      </w:pPr>
    </w:p>
    <w:p w14:paraId="55786AD4" w14:textId="35B0F0EC" w:rsidR="00487074" w:rsidRPr="00D66396" w:rsidRDefault="00E86DE0" w:rsidP="00D66396">
      <w:pPr>
        <w:rPr>
          <w:sz w:val="24"/>
          <w:szCs w:val="24"/>
        </w:rPr>
      </w:pPr>
      <w:r w:rsidRPr="00D66396">
        <w:rPr>
          <w:sz w:val="24"/>
          <w:szCs w:val="24"/>
        </w:rPr>
        <w:t xml:space="preserve">The UK labour market has experienced significant shifts, influencing how organisations like </w:t>
      </w:r>
      <w:proofErr w:type="spellStart"/>
      <w:r w:rsidRPr="00D66396">
        <w:rPr>
          <w:sz w:val="24"/>
          <w:szCs w:val="24"/>
        </w:rPr>
        <w:t>ParcelCare</w:t>
      </w:r>
      <w:proofErr w:type="spellEnd"/>
      <w:r w:rsidRPr="00D66396">
        <w:rPr>
          <w:sz w:val="24"/>
          <w:szCs w:val="24"/>
        </w:rPr>
        <w:t xml:space="preserve"> approach resourcing (VQ Solutions, n</w:t>
      </w:r>
      <w:r w:rsidR="00663CC2">
        <w:rPr>
          <w:sz w:val="24"/>
          <w:szCs w:val="24"/>
        </w:rPr>
        <w:t>o date</w:t>
      </w:r>
      <w:r w:rsidRPr="00D66396">
        <w:rPr>
          <w:sz w:val="24"/>
          <w:szCs w:val="24"/>
        </w:rPr>
        <w:t>.). Employers now operate in a complex environment shaped by persistent skills shortages, evolving employee expectations, and economic uncertainty (CIPD, 2024a; Wilton, 2022).</w:t>
      </w:r>
      <w:r w:rsidR="00D66396" w:rsidRPr="00D66396">
        <w:rPr>
          <w:sz w:val="24"/>
          <w:szCs w:val="24"/>
        </w:rPr>
        <w:t xml:space="preserve"> </w:t>
      </w:r>
      <w:r w:rsidR="00D66396" w:rsidRPr="00487074">
        <w:rPr>
          <w:sz w:val="24"/>
          <w:szCs w:val="24"/>
        </w:rPr>
        <w:t>These factors are influencing recruitment, retention, and workforce planning strategies across various sectors, including logistics and delivery services</w:t>
      </w:r>
      <w:r w:rsidR="00D66396">
        <w:rPr>
          <w:sz w:val="24"/>
          <w:szCs w:val="24"/>
        </w:rPr>
        <w:t xml:space="preserve"> (Wilton, 2022). </w:t>
      </w:r>
      <w:r w:rsidRPr="00D66396">
        <w:rPr>
          <w:sz w:val="24"/>
          <w:szCs w:val="24"/>
        </w:rPr>
        <w:t xml:space="preserve"> According to the CIPD (2025g), a tight labour market</w:t>
      </w:r>
      <w:r w:rsidR="0015165D" w:rsidRPr="00D66396">
        <w:rPr>
          <w:sz w:val="24"/>
          <w:szCs w:val="24"/>
        </w:rPr>
        <w:t xml:space="preserve"> </w:t>
      </w:r>
      <w:r w:rsidRPr="00D66396">
        <w:rPr>
          <w:sz w:val="24"/>
          <w:szCs w:val="24"/>
        </w:rPr>
        <w:t>where demand exceeds supply</w:t>
      </w:r>
      <w:r w:rsidR="0015165D" w:rsidRPr="00D66396">
        <w:rPr>
          <w:sz w:val="24"/>
          <w:szCs w:val="24"/>
        </w:rPr>
        <w:t xml:space="preserve"> </w:t>
      </w:r>
      <w:r w:rsidRPr="00D66396">
        <w:rPr>
          <w:sz w:val="24"/>
          <w:szCs w:val="24"/>
        </w:rPr>
        <w:t xml:space="preserve">leads to low unemployment and high vacancies, </w:t>
      </w:r>
      <w:r w:rsidR="007A3406" w:rsidRPr="00D66396">
        <w:rPr>
          <w:sz w:val="24"/>
          <w:szCs w:val="24"/>
        </w:rPr>
        <w:t>i</w:t>
      </w:r>
      <w:r w:rsidR="007A3406" w:rsidRPr="00D66396">
        <w:rPr>
          <w:sz w:val="24"/>
          <w:szCs w:val="24"/>
        </w:rPr>
        <w:t>n contrast, a loose labour market is characterised by an oversupply of labour, leading to higher unemployment and fewer job opportunities</w:t>
      </w:r>
      <w:r w:rsidR="00D66396" w:rsidRPr="00D66396">
        <w:rPr>
          <w:sz w:val="24"/>
          <w:szCs w:val="24"/>
        </w:rPr>
        <w:t xml:space="preserve">. </w:t>
      </w:r>
      <w:r w:rsidRPr="00D66396">
        <w:rPr>
          <w:sz w:val="24"/>
          <w:szCs w:val="24"/>
        </w:rPr>
        <w:t>To navigate these dynamics, organisations can use PESTLE analysis to assess external factors</w:t>
      </w:r>
      <w:r w:rsidR="00D66396" w:rsidRPr="00D66396">
        <w:rPr>
          <w:sz w:val="24"/>
          <w:szCs w:val="24"/>
        </w:rPr>
        <w:t xml:space="preserve"> </w:t>
      </w:r>
      <w:r w:rsidRPr="00D66396">
        <w:rPr>
          <w:sz w:val="24"/>
          <w:szCs w:val="24"/>
        </w:rPr>
        <w:t>Political, Economic, Social, Technological, Legal, and Environmental</w:t>
      </w:r>
      <w:r w:rsidR="00D66396" w:rsidRPr="00D66396">
        <w:rPr>
          <w:sz w:val="24"/>
          <w:szCs w:val="24"/>
        </w:rPr>
        <w:t xml:space="preserve"> a</w:t>
      </w:r>
      <w:r w:rsidRPr="00D66396">
        <w:rPr>
          <w:sz w:val="24"/>
          <w:szCs w:val="24"/>
        </w:rPr>
        <w:t>nd inform strategic HR planning (CIPD, 2025i).</w:t>
      </w:r>
    </w:p>
    <w:p w14:paraId="346460FD" w14:textId="77777777" w:rsidR="002917F7" w:rsidRPr="00162E4D" w:rsidRDefault="002917F7" w:rsidP="00D8199A">
      <w:pPr>
        <w:rPr>
          <w:sz w:val="24"/>
          <w:szCs w:val="24"/>
        </w:rPr>
      </w:pPr>
    </w:p>
    <w:p w14:paraId="33956727" w14:textId="2A20D1FE" w:rsidR="00244176" w:rsidRDefault="006C0C39" w:rsidP="00585226">
      <w:pPr>
        <w:rPr>
          <w:sz w:val="24"/>
          <w:szCs w:val="24"/>
        </w:rPr>
      </w:pPr>
      <w:r w:rsidRPr="00162E4D">
        <w:rPr>
          <w:sz w:val="24"/>
          <w:szCs w:val="24"/>
        </w:rPr>
        <w:t>One of the most pressing challenges highlighted</w:t>
      </w:r>
      <w:r w:rsidR="00B0420C">
        <w:rPr>
          <w:sz w:val="24"/>
          <w:szCs w:val="24"/>
        </w:rPr>
        <w:t xml:space="preserve"> by the CIPD (2024a)</w:t>
      </w:r>
      <w:r w:rsidRPr="00162E4D">
        <w:rPr>
          <w:sz w:val="24"/>
          <w:szCs w:val="24"/>
        </w:rPr>
        <w:t xml:space="preserve"> i</w:t>
      </w:r>
      <w:r w:rsidR="00B0420C">
        <w:rPr>
          <w:sz w:val="24"/>
          <w:szCs w:val="24"/>
        </w:rPr>
        <w:t xml:space="preserve">s </w:t>
      </w:r>
      <w:r w:rsidRPr="00162E4D">
        <w:rPr>
          <w:sz w:val="24"/>
          <w:szCs w:val="24"/>
        </w:rPr>
        <w:t>the tightness of the labour market, with many employers continuing to report difficulties in filling vac</w:t>
      </w:r>
      <w:r w:rsidR="00EF4263">
        <w:rPr>
          <w:sz w:val="24"/>
          <w:szCs w:val="24"/>
        </w:rPr>
        <w:t xml:space="preserve">ancies. </w:t>
      </w:r>
      <w:r w:rsidRPr="00162E4D">
        <w:rPr>
          <w:sz w:val="24"/>
          <w:szCs w:val="24"/>
        </w:rPr>
        <w:t xml:space="preserve">For </w:t>
      </w:r>
      <w:proofErr w:type="spellStart"/>
      <w:r w:rsidRPr="00162E4D">
        <w:rPr>
          <w:sz w:val="24"/>
          <w:szCs w:val="24"/>
        </w:rPr>
        <w:t>ParcelCare</w:t>
      </w:r>
      <w:proofErr w:type="spellEnd"/>
      <w:r w:rsidRPr="00162E4D">
        <w:rPr>
          <w:sz w:val="24"/>
          <w:szCs w:val="24"/>
        </w:rPr>
        <w:t>, which relies heavily on operational staff such as drivers and warehouse operatives, this means that traditional recruitment methods may no longer be sufficient. The company may need to broaden its talent pool by offering</w:t>
      </w:r>
      <w:r w:rsidR="00401169">
        <w:rPr>
          <w:sz w:val="24"/>
          <w:szCs w:val="24"/>
        </w:rPr>
        <w:t xml:space="preserve"> </w:t>
      </w:r>
      <w:r w:rsidRPr="00162E4D">
        <w:rPr>
          <w:sz w:val="24"/>
          <w:szCs w:val="24"/>
        </w:rPr>
        <w:t xml:space="preserve">flexible working arrangements, </w:t>
      </w:r>
      <w:r w:rsidRPr="00162E4D">
        <w:rPr>
          <w:sz w:val="24"/>
          <w:szCs w:val="24"/>
        </w:rPr>
        <w:lastRenderedPageBreak/>
        <w:t>investing in training for underqualified applicants, or targeting previously untapped labour segments, such as older workers or career returners (</w:t>
      </w:r>
      <w:r w:rsidR="00DB335F">
        <w:rPr>
          <w:sz w:val="24"/>
          <w:szCs w:val="24"/>
        </w:rPr>
        <w:t>Rose, 2022</w:t>
      </w:r>
      <w:r w:rsidRPr="00162E4D">
        <w:rPr>
          <w:sz w:val="24"/>
          <w:szCs w:val="24"/>
        </w:rPr>
        <w:t>).</w:t>
      </w:r>
      <w:r w:rsidR="009F2125">
        <w:rPr>
          <w:sz w:val="24"/>
          <w:szCs w:val="24"/>
        </w:rPr>
        <w:t xml:space="preserve"> </w:t>
      </w:r>
      <w:r w:rsidR="00585226" w:rsidRPr="00585226">
        <w:rPr>
          <w:sz w:val="24"/>
          <w:szCs w:val="24"/>
        </w:rPr>
        <w:t xml:space="preserve">The CIPD (2024a) highlights wage growth as a defining feature of the current labour market, driven by inflation and heightened competition for talent. For </w:t>
      </w:r>
      <w:proofErr w:type="spellStart"/>
      <w:r w:rsidR="00585226" w:rsidRPr="00585226">
        <w:rPr>
          <w:sz w:val="24"/>
          <w:szCs w:val="24"/>
        </w:rPr>
        <w:t>ParcelCare</w:t>
      </w:r>
      <w:proofErr w:type="spellEnd"/>
      <w:r w:rsidR="00585226" w:rsidRPr="00585226">
        <w:rPr>
          <w:sz w:val="24"/>
          <w:szCs w:val="24"/>
        </w:rPr>
        <w:t>, this creates upward pressure on pay, particularly for frontline roles. To remain competitive, the company may need to reassess its compensation strategy, incorporating non-financial benefits such as career development, wellbeing support, and job security</w:t>
      </w:r>
      <w:r w:rsidR="00585226">
        <w:rPr>
          <w:sz w:val="24"/>
          <w:szCs w:val="24"/>
        </w:rPr>
        <w:t xml:space="preserve"> </w:t>
      </w:r>
      <w:r w:rsidR="00585226" w:rsidRPr="00585226">
        <w:rPr>
          <w:sz w:val="24"/>
          <w:szCs w:val="24"/>
        </w:rPr>
        <w:t>factors increasingly valued by job seekers (Perkins &amp; Jones, 2020). Rose (2022) emphasises that effective reward strategies should align with organisational objectives, support workforce diversity, and remain responsive to evolving labour market conditions.</w:t>
      </w:r>
    </w:p>
    <w:p w14:paraId="1534A041" w14:textId="77777777" w:rsidR="00585226" w:rsidRPr="00585226" w:rsidRDefault="00585226" w:rsidP="00585226">
      <w:pPr>
        <w:rPr>
          <w:sz w:val="24"/>
          <w:szCs w:val="24"/>
        </w:rPr>
      </w:pPr>
    </w:p>
    <w:p w14:paraId="7090DA1F" w14:textId="48FB9A23" w:rsidR="006C0C39" w:rsidRDefault="006C0C39" w:rsidP="00162E4D">
      <w:pPr>
        <w:rPr>
          <w:sz w:val="24"/>
          <w:szCs w:val="24"/>
        </w:rPr>
      </w:pPr>
      <w:r w:rsidRPr="00162E4D">
        <w:rPr>
          <w:sz w:val="24"/>
          <w:szCs w:val="24"/>
        </w:rPr>
        <w:t>Another critical factor is the shift in employee expectations post-pandemic</w:t>
      </w:r>
      <w:r w:rsidR="00893FD6">
        <w:rPr>
          <w:sz w:val="24"/>
          <w:szCs w:val="24"/>
        </w:rPr>
        <w:t xml:space="preserve"> (CIPD, 2025b).</w:t>
      </w:r>
      <w:r w:rsidRPr="00162E4D">
        <w:rPr>
          <w:sz w:val="24"/>
          <w:szCs w:val="24"/>
        </w:rPr>
        <w:t xml:space="preserve"> Workers are placing greater emphasis on work-life balance, job purpose, and employer values</w:t>
      </w:r>
      <w:r w:rsidR="002C41EE">
        <w:rPr>
          <w:sz w:val="24"/>
          <w:szCs w:val="24"/>
        </w:rPr>
        <w:t xml:space="preserve"> (CIPD, 2025b).</w:t>
      </w:r>
      <w:r w:rsidRPr="00162E4D">
        <w:rPr>
          <w:sz w:val="24"/>
          <w:szCs w:val="24"/>
        </w:rPr>
        <w:t xml:space="preserve"> </w:t>
      </w:r>
      <w:proofErr w:type="spellStart"/>
      <w:r w:rsidRPr="00162E4D">
        <w:rPr>
          <w:sz w:val="24"/>
          <w:szCs w:val="24"/>
        </w:rPr>
        <w:t>ParcelCare</w:t>
      </w:r>
      <w:proofErr w:type="spellEnd"/>
      <w:r w:rsidRPr="00162E4D">
        <w:rPr>
          <w:sz w:val="24"/>
          <w:szCs w:val="24"/>
        </w:rPr>
        <w:t xml:space="preserve"> must therefore align its employer brand with these expectations to attract and retain talent</w:t>
      </w:r>
      <w:r w:rsidR="00971A15">
        <w:rPr>
          <w:sz w:val="24"/>
          <w:szCs w:val="24"/>
        </w:rPr>
        <w:t>, t</w:t>
      </w:r>
      <w:r w:rsidRPr="00162E4D">
        <w:rPr>
          <w:sz w:val="24"/>
          <w:szCs w:val="24"/>
        </w:rPr>
        <w:t>his could involve enhancing its onboarding experience, promoting internal mobility, and fostering an inclusive workplace culture (</w:t>
      </w:r>
      <w:r w:rsidR="00971A15">
        <w:rPr>
          <w:sz w:val="24"/>
          <w:szCs w:val="24"/>
        </w:rPr>
        <w:t>Armstrong and Brown, 2019</w:t>
      </w:r>
      <w:r w:rsidRPr="00162E4D">
        <w:rPr>
          <w:sz w:val="24"/>
          <w:szCs w:val="24"/>
        </w:rPr>
        <w:t>)</w:t>
      </w:r>
      <w:r w:rsidR="00162E4D">
        <w:rPr>
          <w:sz w:val="24"/>
          <w:szCs w:val="24"/>
        </w:rPr>
        <w:t xml:space="preserve">. </w:t>
      </w:r>
      <w:r w:rsidRPr="00162E4D">
        <w:rPr>
          <w:sz w:val="24"/>
          <w:szCs w:val="24"/>
        </w:rPr>
        <w:t>Finally, the ongoing economic uncertainty</w:t>
      </w:r>
      <w:r w:rsidR="00E852B6">
        <w:rPr>
          <w:sz w:val="24"/>
          <w:szCs w:val="24"/>
        </w:rPr>
        <w:t xml:space="preserve"> </w:t>
      </w:r>
      <w:r w:rsidRPr="00162E4D">
        <w:rPr>
          <w:sz w:val="24"/>
          <w:szCs w:val="24"/>
        </w:rPr>
        <w:t>including concerns about productivity, inflation, and geopolitical instability</w:t>
      </w:r>
      <w:r w:rsidR="00E852B6">
        <w:rPr>
          <w:sz w:val="24"/>
          <w:szCs w:val="24"/>
        </w:rPr>
        <w:t xml:space="preserve"> </w:t>
      </w:r>
      <w:r w:rsidRPr="00162E4D">
        <w:rPr>
          <w:sz w:val="24"/>
          <w:szCs w:val="24"/>
        </w:rPr>
        <w:t xml:space="preserve">requires </w:t>
      </w:r>
      <w:proofErr w:type="spellStart"/>
      <w:r w:rsidRPr="00162E4D">
        <w:rPr>
          <w:sz w:val="24"/>
          <w:szCs w:val="24"/>
        </w:rPr>
        <w:t>ParcelCare</w:t>
      </w:r>
      <w:proofErr w:type="spellEnd"/>
      <w:r w:rsidRPr="00162E4D">
        <w:rPr>
          <w:sz w:val="24"/>
          <w:szCs w:val="24"/>
        </w:rPr>
        <w:t xml:space="preserve"> to adopt a more agile approach to workforce planning. Scenario planning, skills audits, and data-driven decision-making will be essential to ensure the business can respond quickly to changes in demand and labour availability (</w:t>
      </w:r>
      <w:r w:rsidR="00934AC7">
        <w:rPr>
          <w:sz w:val="24"/>
          <w:szCs w:val="24"/>
        </w:rPr>
        <w:t>Wilton, 2022</w:t>
      </w:r>
      <w:r w:rsidRPr="00162E4D">
        <w:rPr>
          <w:sz w:val="24"/>
          <w:szCs w:val="24"/>
        </w:rPr>
        <w:t>).</w:t>
      </w:r>
    </w:p>
    <w:p w14:paraId="72C13702" w14:textId="77777777" w:rsidR="00B461E5" w:rsidRDefault="00B461E5" w:rsidP="00162E4D">
      <w:pPr>
        <w:rPr>
          <w:sz w:val="24"/>
          <w:szCs w:val="24"/>
        </w:rPr>
      </w:pPr>
    </w:p>
    <w:p w14:paraId="479EAD17" w14:textId="77777777" w:rsidR="00AD306C" w:rsidRDefault="00AD306C" w:rsidP="00162E4D">
      <w:pPr>
        <w:rPr>
          <w:sz w:val="24"/>
          <w:szCs w:val="24"/>
        </w:rPr>
      </w:pPr>
    </w:p>
    <w:p w14:paraId="521AA3DE" w14:textId="77777777" w:rsidR="00AD306C" w:rsidRPr="00162E4D" w:rsidRDefault="00AD306C" w:rsidP="00162E4D">
      <w:pPr>
        <w:rPr>
          <w:sz w:val="24"/>
          <w:szCs w:val="24"/>
        </w:rPr>
      </w:pPr>
    </w:p>
    <w:p w14:paraId="000CCA95" w14:textId="77777777" w:rsidR="006C0C39" w:rsidRPr="00162E4D" w:rsidRDefault="006C0C39" w:rsidP="006C0C39">
      <w:pPr>
        <w:pStyle w:val="Nornal"/>
        <w:ind w:left="360"/>
        <w:rPr>
          <w:rFonts w:ascii="Trebuchet MS" w:hAnsi="Trebuchet MS"/>
          <w:color w:val="FF0000"/>
          <w:sz w:val="24"/>
          <w:szCs w:val="24"/>
        </w:rPr>
      </w:pPr>
    </w:p>
    <w:p w14:paraId="05C4583A" w14:textId="2A9A1B7A"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r w:rsidR="00876163">
        <w:rPr>
          <w:rStyle w:val="ui-provider"/>
          <w:rFonts w:ascii="Trebuchet MS" w:hAnsi="Trebuchet MS"/>
        </w:rPr>
        <w:t xml:space="preserve"> </w:t>
      </w:r>
    </w:p>
    <w:p w14:paraId="0A29E26E" w14:textId="647436FC" w:rsidR="00C13E7C" w:rsidRDefault="00C13E7C" w:rsidP="00C13E7C">
      <w:pPr>
        <w:pStyle w:val="Nornal"/>
        <w:ind w:left="720"/>
        <w:rPr>
          <w:rStyle w:val="ui-provider"/>
          <w:rFonts w:ascii="Trebuchet MS" w:hAnsi="Trebuchet MS"/>
        </w:rPr>
      </w:pPr>
    </w:p>
    <w:p w14:paraId="7CF84166" w14:textId="049206FB" w:rsidR="00450D2D" w:rsidRDefault="006C0C39" w:rsidP="007952DE">
      <w:pPr>
        <w:rPr>
          <w:sz w:val="24"/>
          <w:szCs w:val="24"/>
        </w:rPr>
      </w:pPr>
      <w:r w:rsidRPr="00C13E7C">
        <w:rPr>
          <w:sz w:val="24"/>
          <w:szCs w:val="24"/>
        </w:rPr>
        <w:t>Effective workforce planning is a strategic process that helps organisations align their people strategy with current and future business needs</w:t>
      </w:r>
      <w:r w:rsidR="00261D2E" w:rsidRPr="00261D2E">
        <w:rPr>
          <w:rFonts w:ascii="Segoe UI" w:hAnsi="Segoe UI" w:cs="Segoe UI"/>
          <w:color w:val="424242"/>
          <w:shd w:val="clear" w:color="auto" w:fill="FAFAFA"/>
        </w:rPr>
        <w:t xml:space="preserve"> </w:t>
      </w:r>
      <w:r w:rsidR="00261D2E" w:rsidRPr="001F53ED">
        <w:rPr>
          <w:sz w:val="24"/>
          <w:szCs w:val="24"/>
        </w:rPr>
        <w:t>(</w:t>
      </w:r>
      <w:r w:rsidR="00261D2E" w:rsidRPr="001F53ED">
        <w:rPr>
          <w:sz w:val="24"/>
          <w:szCs w:val="24"/>
        </w:rPr>
        <w:t>Taylor and Woodhams</w:t>
      </w:r>
      <w:r w:rsidR="00261D2E" w:rsidRPr="001F53ED">
        <w:rPr>
          <w:sz w:val="24"/>
          <w:szCs w:val="24"/>
        </w:rPr>
        <w:t xml:space="preserve">, </w:t>
      </w:r>
      <w:r w:rsidR="00261D2E" w:rsidRPr="001F53ED">
        <w:rPr>
          <w:sz w:val="24"/>
          <w:szCs w:val="24"/>
        </w:rPr>
        <w:t>2022, pp. 53–56)</w:t>
      </w:r>
      <w:r w:rsidR="00261D2E" w:rsidRPr="001F53ED">
        <w:rPr>
          <w:sz w:val="24"/>
          <w:szCs w:val="24"/>
        </w:rPr>
        <w:t>.</w:t>
      </w:r>
      <w:r w:rsidR="00261D2E">
        <w:rPr>
          <w:rFonts w:ascii="Segoe UI" w:hAnsi="Segoe UI" w:cs="Segoe UI"/>
          <w:color w:val="424242"/>
          <w:shd w:val="clear" w:color="auto" w:fill="FAFAFA"/>
        </w:rPr>
        <w:t xml:space="preserve"> </w:t>
      </w:r>
      <w:r w:rsidR="00346996" w:rsidRPr="00C13E7C">
        <w:rPr>
          <w:sz w:val="24"/>
          <w:szCs w:val="24"/>
        </w:rPr>
        <w:t xml:space="preserve">For a logistics company like </w:t>
      </w:r>
      <w:proofErr w:type="spellStart"/>
      <w:r w:rsidR="00346996" w:rsidRPr="00C13E7C">
        <w:rPr>
          <w:sz w:val="24"/>
          <w:szCs w:val="24"/>
        </w:rPr>
        <w:t>ParcelCare</w:t>
      </w:r>
      <w:proofErr w:type="spellEnd"/>
      <w:r w:rsidR="00346996" w:rsidRPr="00C13E7C">
        <w:rPr>
          <w:sz w:val="24"/>
          <w:szCs w:val="24"/>
        </w:rPr>
        <w:t>, operating in a fast-paced and demand-driven environment, effective workforce planning can be a critical driver of operational efficiency, cost management, and long-term sustainability (CIPD, 2024b).</w:t>
      </w:r>
      <w:r w:rsidR="007952DE">
        <w:rPr>
          <w:sz w:val="24"/>
          <w:szCs w:val="24"/>
        </w:rPr>
        <w:t xml:space="preserve"> </w:t>
      </w:r>
      <w:r w:rsidRPr="007952DE">
        <w:rPr>
          <w:sz w:val="24"/>
          <w:szCs w:val="24"/>
        </w:rPr>
        <w:t xml:space="preserve">According to the CIPD </w:t>
      </w:r>
      <w:r w:rsidR="00FE74EA" w:rsidRPr="007952DE">
        <w:rPr>
          <w:sz w:val="24"/>
          <w:szCs w:val="24"/>
        </w:rPr>
        <w:t xml:space="preserve">(2024b) </w:t>
      </w:r>
      <w:r w:rsidRPr="007952DE">
        <w:rPr>
          <w:sz w:val="24"/>
          <w:szCs w:val="24"/>
        </w:rPr>
        <w:t xml:space="preserve">workforce planning involves analysing the current workforce, forecasting future needs, identifying gaps, and implementing strategies to bridge those gaps. </w:t>
      </w:r>
    </w:p>
    <w:p w14:paraId="688B75B7" w14:textId="77777777" w:rsidR="0085246E" w:rsidRDefault="0085246E" w:rsidP="007952DE">
      <w:pPr>
        <w:rPr>
          <w:sz w:val="24"/>
          <w:szCs w:val="24"/>
        </w:rPr>
      </w:pPr>
    </w:p>
    <w:p w14:paraId="7427F8F0" w14:textId="7B366EB2" w:rsidR="00961365" w:rsidRDefault="0085246E" w:rsidP="00961365">
      <w:pPr>
        <w:rPr>
          <w:sz w:val="24"/>
          <w:szCs w:val="24"/>
        </w:rPr>
      </w:pPr>
      <w:r w:rsidRPr="0085246E">
        <w:rPr>
          <w:sz w:val="24"/>
          <w:szCs w:val="24"/>
        </w:rPr>
        <w:lastRenderedPageBreak/>
        <w:t xml:space="preserve">For </w:t>
      </w:r>
      <w:proofErr w:type="spellStart"/>
      <w:r w:rsidRPr="0085246E">
        <w:rPr>
          <w:sz w:val="24"/>
          <w:szCs w:val="24"/>
        </w:rPr>
        <w:t>ParcelCare</w:t>
      </w:r>
      <w:proofErr w:type="spellEnd"/>
      <w:r w:rsidRPr="0085246E">
        <w:rPr>
          <w:sz w:val="24"/>
          <w:szCs w:val="24"/>
        </w:rPr>
        <w:t xml:space="preserve">, adopting a proactive approach to workforce planning </w:t>
      </w:r>
      <w:r w:rsidR="008E6DEA">
        <w:rPr>
          <w:sz w:val="24"/>
          <w:szCs w:val="24"/>
        </w:rPr>
        <w:t xml:space="preserve">can positively impact </w:t>
      </w:r>
      <w:r w:rsidRPr="0085246E">
        <w:rPr>
          <w:sz w:val="24"/>
          <w:szCs w:val="24"/>
        </w:rPr>
        <w:t>strategic and operational advantages</w:t>
      </w:r>
      <w:r w:rsidR="00121895">
        <w:rPr>
          <w:sz w:val="24"/>
          <w:szCs w:val="24"/>
        </w:rPr>
        <w:t xml:space="preserve"> (Wilton, 2022).</w:t>
      </w:r>
      <w:r w:rsidRPr="0085246E">
        <w:rPr>
          <w:sz w:val="24"/>
          <w:szCs w:val="24"/>
        </w:rPr>
        <w:t xml:space="preserve"> </w:t>
      </w:r>
      <w:r w:rsidR="007B2837">
        <w:rPr>
          <w:sz w:val="24"/>
          <w:szCs w:val="24"/>
        </w:rPr>
        <w:t>For example, a</w:t>
      </w:r>
      <w:r w:rsidRPr="0085246E">
        <w:rPr>
          <w:sz w:val="24"/>
          <w:szCs w:val="24"/>
        </w:rPr>
        <w:t>nticipating peaks in delivery demand and preparing for seasonal fluctuations enables the organisation to align its workforce with business needs effectively (CIPD, 2023a). This foresight enhances operational efficiency by ensuring the optimal number of drivers and warehouse staff are available at critical times, thereby reducing the need for costly last-minute recruitment. Moreover, it supports cost control, promotes a consistent and reliable customer experience, mitigates employee burnout, and enhances the organisation’s agility in responding to market changes (CIPD, 2024b).</w:t>
      </w:r>
      <w:r w:rsidR="007B2837">
        <w:rPr>
          <w:sz w:val="24"/>
          <w:szCs w:val="24"/>
        </w:rPr>
        <w:t xml:space="preserve"> </w:t>
      </w:r>
      <w:r w:rsidR="00C30BAF">
        <w:rPr>
          <w:sz w:val="24"/>
          <w:szCs w:val="24"/>
        </w:rPr>
        <w:t>The CIPD (2024b) states o</w:t>
      </w:r>
      <w:r w:rsidR="006C0C39" w:rsidRPr="000442A3">
        <w:rPr>
          <w:sz w:val="24"/>
          <w:szCs w:val="24"/>
        </w:rPr>
        <w:t xml:space="preserve">ne of the key benefits of workforce planning is cost efficiency. By understanding future staffing needs, </w:t>
      </w:r>
      <w:proofErr w:type="spellStart"/>
      <w:r w:rsidR="006C0C39" w:rsidRPr="000442A3">
        <w:rPr>
          <w:sz w:val="24"/>
          <w:szCs w:val="24"/>
        </w:rPr>
        <w:t>ParcelCare</w:t>
      </w:r>
      <w:proofErr w:type="spellEnd"/>
      <w:r w:rsidR="006C0C39" w:rsidRPr="000442A3">
        <w:rPr>
          <w:sz w:val="24"/>
          <w:szCs w:val="24"/>
        </w:rPr>
        <w:t xml:space="preserve"> can reduce over-reliance on expensive agency staff or last-minute recruitment, which often leads to higher turnover and inconsistent service quality</w:t>
      </w:r>
      <w:r w:rsidR="005B44B4" w:rsidRPr="000442A3">
        <w:rPr>
          <w:sz w:val="24"/>
          <w:szCs w:val="24"/>
        </w:rPr>
        <w:t xml:space="preserve"> (CIPD, 2025c).</w:t>
      </w:r>
      <w:r w:rsidR="006C0C39" w:rsidRPr="000442A3">
        <w:rPr>
          <w:sz w:val="24"/>
          <w:szCs w:val="24"/>
        </w:rPr>
        <w:t xml:space="preserve"> It also allows the business to invest in targeted training and development, ensuring employees are equipped with the right skills to meet evolving customer expectations and technological changes in logistics</w:t>
      </w:r>
      <w:r w:rsidR="000442A3" w:rsidRPr="000442A3">
        <w:rPr>
          <w:sz w:val="24"/>
          <w:szCs w:val="24"/>
        </w:rPr>
        <w:t xml:space="preserve"> (CIPD, 2024h).</w:t>
      </w:r>
      <w:r w:rsidR="00961365">
        <w:rPr>
          <w:sz w:val="24"/>
          <w:szCs w:val="24"/>
        </w:rPr>
        <w:t xml:space="preserve"> </w:t>
      </w:r>
    </w:p>
    <w:p w14:paraId="7C0F57D5" w14:textId="77777777" w:rsidR="00961365" w:rsidRDefault="00961365" w:rsidP="00961365">
      <w:pPr>
        <w:rPr>
          <w:sz w:val="24"/>
          <w:szCs w:val="24"/>
        </w:rPr>
      </w:pPr>
    </w:p>
    <w:p w14:paraId="40D7FD98" w14:textId="5605E914" w:rsidR="006C0C39" w:rsidRPr="00961365" w:rsidRDefault="006C0C39" w:rsidP="00961365">
      <w:pPr>
        <w:rPr>
          <w:sz w:val="24"/>
          <w:szCs w:val="24"/>
          <w:lang w:eastAsia="en-GB"/>
        </w:rPr>
      </w:pPr>
      <w:r w:rsidRPr="00961365">
        <w:rPr>
          <w:sz w:val="24"/>
          <w:szCs w:val="24"/>
          <w:lang w:eastAsia="en-GB"/>
        </w:rPr>
        <w:t>Moreover, workforce planning supports talent retention and succession planning</w:t>
      </w:r>
      <w:r w:rsidR="002534EB">
        <w:rPr>
          <w:sz w:val="24"/>
          <w:szCs w:val="24"/>
          <w:lang w:eastAsia="en-GB"/>
        </w:rPr>
        <w:t xml:space="preserve"> (</w:t>
      </w:r>
      <w:r w:rsidR="001365E5">
        <w:rPr>
          <w:sz w:val="24"/>
          <w:szCs w:val="24"/>
          <w:lang w:eastAsia="en-GB"/>
        </w:rPr>
        <w:t>Wilton, 2022</w:t>
      </w:r>
      <w:r w:rsidR="002534EB">
        <w:rPr>
          <w:sz w:val="24"/>
          <w:szCs w:val="24"/>
          <w:lang w:eastAsia="en-GB"/>
        </w:rPr>
        <w:t>).</w:t>
      </w:r>
      <w:r w:rsidR="00A80662" w:rsidRPr="00A80662">
        <w:rPr>
          <w:sz w:val="24"/>
          <w:szCs w:val="24"/>
        </w:rPr>
        <w:t xml:space="preserve"> </w:t>
      </w:r>
      <w:r w:rsidR="00A80662">
        <w:rPr>
          <w:sz w:val="24"/>
          <w:szCs w:val="24"/>
        </w:rPr>
        <w:t>According t</w:t>
      </w:r>
      <w:r w:rsidR="00812BBD">
        <w:rPr>
          <w:sz w:val="24"/>
          <w:szCs w:val="24"/>
        </w:rPr>
        <w:t xml:space="preserve">o </w:t>
      </w:r>
      <w:proofErr w:type="spellStart"/>
      <w:r w:rsidR="00812BBD">
        <w:rPr>
          <w:sz w:val="24"/>
          <w:szCs w:val="24"/>
        </w:rPr>
        <w:t>Adams</w:t>
      </w:r>
      <w:r w:rsidR="004C5D5C">
        <w:rPr>
          <w:sz w:val="24"/>
          <w:szCs w:val="24"/>
        </w:rPr>
        <w:t>e</w:t>
      </w:r>
      <w:r w:rsidR="00812BBD">
        <w:rPr>
          <w:sz w:val="24"/>
          <w:szCs w:val="24"/>
        </w:rPr>
        <w:t>n</w:t>
      </w:r>
      <w:proofErr w:type="spellEnd"/>
      <w:r w:rsidR="00812BBD">
        <w:rPr>
          <w:sz w:val="24"/>
          <w:szCs w:val="24"/>
        </w:rPr>
        <w:t xml:space="preserve"> (2018)</w:t>
      </w:r>
      <w:r w:rsidR="00A80662">
        <w:rPr>
          <w:sz w:val="24"/>
          <w:szCs w:val="24"/>
        </w:rPr>
        <w:t xml:space="preserve"> when planning for future trends organisations should understand internal and external supply of talent.</w:t>
      </w:r>
      <w:r w:rsidR="00A80662">
        <w:rPr>
          <w:sz w:val="24"/>
          <w:szCs w:val="24"/>
        </w:rPr>
        <w:t xml:space="preserve"> </w:t>
      </w:r>
      <w:r w:rsidR="00DD4E84">
        <w:rPr>
          <w:sz w:val="24"/>
          <w:szCs w:val="24"/>
        </w:rPr>
        <w:t xml:space="preserve">This can help </w:t>
      </w:r>
      <w:r w:rsidR="00C85EE7">
        <w:rPr>
          <w:sz w:val="24"/>
          <w:szCs w:val="24"/>
        </w:rPr>
        <w:t xml:space="preserve">identify current skills within the workforce </w:t>
      </w:r>
      <w:r w:rsidR="009A2455">
        <w:rPr>
          <w:sz w:val="24"/>
          <w:szCs w:val="24"/>
        </w:rPr>
        <w:t xml:space="preserve">to help </w:t>
      </w:r>
      <w:r w:rsidR="00513B48">
        <w:rPr>
          <w:sz w:val="24"/>
          <w:szCs w:val="24"/>
        </w:rPr>
        <w:t xml:space="preserve">shape future planning strategies </w:t>
      </w:r>
      <w:r w:rsidR="009069E6">
        <w:rPr>
          <w:sz w:val="24"/>
          <w:szCs w:val="24"/>
        </w:rPr>
        <w:t xml:space="preserve">but also identify skills gap </w:t>
      </w:r>
      <w:r w:rsidR="009054F9">
        <w:rPr>
          <w:sz w:val="24"/>
          <w:szCs w:val="24"/>
        </w:rPr>
        <w:t xml:space="preserve">where there may be a need to </w:t>
      </w:r>
      <w:r w:rsidR="003A7634">
        <w:rPr>
          <w:sz w:val="24"/>
          <w:szCs w:val="24"/>
        </w:rPr>
        <w:t xml:space="preserve">acquire external </w:t>
      </w:r>
      <w:r w:rsidR="00C133B7">
        <w:rPr>
          <w:sz w:val="24"/>
          <w:szCs w:val="24"/>
        </w:rPr>
        <w:t>demand</w:t>
      </w:r>
      <w:r w:rsidR="00761062">
        <w:rPr>
          <w:sz w:val="24"/>
          <w:szCs w:val="24"/>
        </w:rPr>
        <w:t xml:space="preserve"> (</w:t>
      </w:r>
      <w:proofErr w:type="spellStart"/>
      <w:r w:rsidR="00761062">
        <w:rPr>
          <w:sz w:val="24"/>
          <w:szCs w:val="24"/>
        </w:rPr>
        <w:t>Adams</w:t>
      </w:r>
      <w:r w:rsidR="004C5D5C">
        <w:rPr>
          <w:sz w:val="24"/>
          <w:szCs w:val="24"/>
        </w:rPr>
        <w:t>e</w:t>
      </w:r>
      <w:r w:rsidR="00761062">
        <w:rPr>
          <w:sz w:val="24"/>
          <w:szCs w:val="24"/>
        </w:rPr>
        <w:t>n</w:t>
      </w:r>
      <w:proofErr w:type="spellEnd"/>
      <w:r w:rsidR="00761062">
        <w:rPr>
          <w:sz w:val="24"/>
          <w:szCs w:val="24"/>
        </w:rPr>
        <w:t>, 2018).</w:t>
      </w:r>
      <w:r w:rsidR="00C133B7">
        <w:rPr>
          <w:sz w:val="24"/>
          <w:szCs w:val="24"/>
        </w:rPr>
        <w:t xml:space="preserve"> </w:t>
      </w:r>
      <w:proofErr w:type="spellStart"/>
      <w:r w:rsidRPr="00961365">
        <w:rPr>
          <w:sz w:val="24"/>
          <w:szCs w:val="24"/>
          <w:lang w:eastAsia="en-GB"/>
        </w:rPr>
        <w:t>ParcelCare</w:t>
      </w:r>
      <w:proofErr w:type="spellEnd"/>
      <w:r w:rsidRPr="00961365">
        <w:rPr>
          <w:sz w:val="24"/>
          <w:szCs w:val="24"/>
          <w:lang w:eastAsia="en-GB"/>
        </w:rPr>
        <w:t xml:space="preserve"> can identify critical roles and potential skill shortages early, allowing for internal development and career progression opportunities</w:t>
      </w:r>
      <w:r w:rsidR="00B11C95" w:rsidRPr="00961365">
        <w:rPr>
          <w:sz w:val="24"/>
          <w:szCs w:val="24"/>
        </w:rPr>
        <w:t xml:space="preserve"> </w:t>
      </w:r>
      <w:r w:rsidR="00587966">
        <w:rPr>
          <w:sz w:val="24"/>
          <w:szCs w:val="24"/>
          <w:lang w:eastAsia="en-GB"/>
        </w:rPr>
        <w:t>t</w:t>
      </w:r>
      <w:r w:rsidRPr="00961365">
        <w:rPr>
          <w:sz w:val="24"/>
          <w:szCs w:val="24"/>
          <w:lang w:eastAsia="en-GB"/>
        </w:rPr>
        <w:t>his not only improves employee engagement but also reduces recruitment costs and the risk of operational disruption</w:t>
      </w:r>
      <w:r w:rsidR="00B11C95" w:rsidRPr="00961365">
        <w:rPr>
          <w:sz w:val="24"/>
          <w:szCs w:val="24"/>
        </w:rPr>
        <w:t xml:space="preserve"> </w:t>
      </w:r>
      <w:r w:rsidR="00DC7E1B">
        <w:rPr>
          <w:sz w:val="24"/>
          <w:szCs w:val="24"/>
        </w:rPr>
        <w:t>(Wilton, 2022)</w:t>
      </w:r>
      <w:r w:rsidR="00B11C95" w:rsidRPr="00961365">
        <w:rPr>
          <w:sz w:val="24"/>
          <w:szCs w:val="24"/>
        </w:rPr>
        <w:t>.</w:t>
      </w:r>
      <w:r w:rsidR="00961365" w:rsidRPr="00961365">
        <w:rPr>
          <w:sz w:val="24"/>
          <w:szCs w:val="24"/>
        </w:rPr>
        <w:t xml:space="preserve"> </w:t>
      </w:r>
      <w:r w:rsidRPr="00961365">
        <w:rPr>
          <w:sz w:val="24"/>
          <w:szCs w:val="24"/>
          <w:lang w:eastAsia="en-GB"/>
        </w:rPr>
        <w:t xml:space="preserve">For </w:t>
      </w:r>
      <w:proofErr w:type="spellStart"/>
      <w:r w:rsidRPr="00961365">
        <w:rPr>
          <w:sz w:val="24"/>
          <w:szCs w:val="24"/>
          <w:lang w:eastAsia="en-GB"/>
        </w:rPr>
        <w:t>ParcelCare</w:t>
      </w:r>
      <w:proofErr w:type="spellEnd"/>
      <w:r w:rsidRPr="00961365">
        <w:rPr>
          <w:sz w:val="24"/>
          <w:szCs w:val="24"/>
          <w:lang w:eastAsia="en-GB"/>
        </w:rPr>
        <w:t>, this could mean integrating workforce data with delivery forecasts, customer trends, and regional expansion plans. By doing so, the company can make informed decisions about where to recruit, which roles to automate, and how to structure teams for maximum impact</w:t>
      </w:r>
      <w:r w:rsidR="00961365" w:rsidRPr="00961365">
        <w:rPr>
          <w:sz w:val="24"/>
          <w:szCs w:val="24"/>
        </w:rPr>
        <w:t xml:space="preserve"> (CIPD, 2023a).</w:t>
      </w:r>
    </w:p>
    <w:p w14:paraId="392894FF" w14:textId="77777777" w:rsidR="006C0C39" w:rsidRDefault="006C0C39" w:rsidP="006C0C39">
      <w:pPr>
        <w:pStyle w:val="Nornal"/>
        <w:rPr>
          <w:rStyle w:val="ui-provider"/>
          <w:rFonts w:ascii="Trebuchet MS" w:hAnsi="Trebuchet MS"/>
        </w:rPr>
      </w:pPr>
    </w:p>
    <w:p w14:paraId="1F8EDCA5" w14:textId="75A9FC79" w:rsidR="006C0C39" w:rsidRPr="00472086" w:rsidRDefault="006C0C39" w:rsidP="00FC3902">
      <w:pPr>
        <w:pStyle w:val="Nornal"/>
        <w:rPr>
          <w:rFonts w:ascii="Trebuchet MS" w:hAnsi="Trebuchet MS"/>
          <w:color w:val="FF0000"/>
        </w:rPr>
      </w:pPr>
    </w:p>
    <w:p w14:paraId="46B36A93" w14:textId="6A21B7EE"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r w:rsidR="00876163">
        <w:rPr>
          <w:rStyle w:val="ui-provider"/>
          <w:rFonts w:ascii="Trebuchet MS" w:hAnsi="Trebuchet MS"/>
        </w:rPr>
        <w:t xml:space="preserve"> </w:t>
      </w:r>
    </w:p>
    <w:p w14:paraId="3BD23559" w14:textId="71D369C4" w:rsidR="00EB6B45" w:rsidRDefault="00EB6B45" w:rsidP="00EB6B45">
      <w:pPr>
        <w:pStyle w:val="Nornal"/>
        <w:ind w:left="720"/>
        <w:rPr>
          <w:rStyle w:val="ui-provider"/>
          <w:rFonts w:ascii="Trebuchet MS" w:hAnsi="Trebuchet MS"/>
        </w:rPr>
      </w:pPr>
    </w:p>
    <w:p w14:paraId="62F7D151" w14:textId="171D4DD0" w:rsidR="00890FFD" w:rsidRDefault="00ED7907" w:rsidP="00890FFD">
      <w:pPr>
        <w:rPr>
          <w:sz w:val="24"/>
          <w:szCs w:val="24"/>
        </w:rPr>
      </w:pPr>
      <w:r w:rsidRPr="00ED7907">
        <w:rPr>
          <w:sz w:val="24"/>
          <w:szCs w:val="24"/>
        </w:rPr>
        <w:t>In today’s volatile and rapidly evolving labour market, workforce planning is a strategic necessity for organisations aiming to remain agile and competitive (CIPD, 2023a).</w:t>
      </w:r>
      <w:r w:rsidR="00130B0E" w:rsidRPr="00BE18E3">
        <w:rPr>
          <w:sz w:val="24"/>
          <w:szCs w:val="24"/>
        </w:rPr>
        <w:t xml:space="preserve"> </w:t>
      </w:r>
      <w:r w:rsidR="00AA1EE8">
        <w:rPr>
          <w:sz w:val="24"/>
          <w:szCs w:val="24"/>
        </w:rPr>
        <w:t>I</w:t>
      </w:r>
      <w:r w:rsidR="00130B0E" w:rsidRPr="00BE18E3">
        <w:rPr>
          <w:sz w:val="24"/>
          <w:szCs w:val="24"/>
        </w:rPr>
        <w:t>ntroducing workforce planning is not merely a tactical HR initiative it is a strategic enabler of organisational resilience and growth</w:t>
      </w:r>
      <w:r w:rsidR="00B70FEC">
        <w:rPr>
          <w:sz w:val="24"/>
          <w:szCs w:val="24"/>
        </w:rPr>
        <w:t xml:space="preserve"> (Sparkman, 2018). </w:t>
      </w:r>
      <w:r w:rsidR="00890FFD" w:rsidRPr="00BE18E3">
        <w:rPr>
          <w:sz w:val="24"/>
          <w:szCs w:val="24"/>
        </w:rPr>
        <w:t>Techniques such as data collection, scenario planning, skills forecasting, and strategic alignment provide a robust framework for anticipating future workforce needs and responding proactively</w:t>
      </w:r>
      <w:r w:rsidR="00B70FEC">
        <w:rPr>
          <w:sz w:val="24"/>
          <w:szCs w:val="24"/>
        </w:rPr>
        <w:t xml:space="preserve"> (Sparkman, 2018).</w:t>
      </w:r>
      <w:r w:rsidR="00890FFD" w:rsidRPr="00BE18E3">
        <w:rPr>
          <w:sz w:val="24"/>
          <w:szCs w:val="24"/>
        </w:rPr>
        <w:t xml:space="preserve"> </w:t>
      </w:r>
    </w:p>
    <w:p w14:paraId="6B00FCCF" w14:textId="77777777" w:rsidR="00890FFD" w:rsidRPr="00BE18E3" w:rsidRDefault="00890FFD" w:rsidP="00890FFD">
      <w:pPr>
        <w:rPr>
          <w:sz w:val="24"/>
          <w:szCs w:val="24"/>
        </w:rPr>
      </w:pPr>
    </w:p>
    <w:p w14:paraId="5C164666" w14:textId="1FEF7010" w:rsidR="00ED7907" w:rsidRDefault="00ED7907" w:rsidP="00ED7907">
      <w:pPr>
        <w:rPr>
          <w:sz w:val="24"/>
          <w:szCs w:val="24"/>
        </w:rPr>
      </w:pPr>
      <w:r w:rsidRPr="00ED7907">
        <w:rPr>
          <w:sz w:val="24"/>
          <w:szCs w:val="24"/>
        </w:rPr>
        <w:lastRenderedPageBreak/>
        <w:t xml:space="preserve">For </w:t>
      </w:r>
      <w:proofErr w:type="spellStart"/>
      <w:r w:rsidRPr="00ED7907">
        <w:rPr>
          <w:sz w:val="24"/>
          <w:szCs w:val="24"/>
        </w:rPr>
        <w:t>ParcelCare</w:t>
      </w:r>
      <w:proofErr w:type="spellEnd"/>
      <w:r w:rsidRPr="00ED7907">
        <w:rPr>
          <w:sz w:val="24"/>
          <w:szCs w:val="24"/>
        </w:rPr>
        <w:t>, operating in dynamic sectors like logistics, it supports proactive decisions on staffing, skills development, and organisational design. A core technique in this process is the structured collection and analysis of workforce data (</w:t>
      </w:r>
      <w:proofErr w:type="spellStart"/>
      <w:r w:rsidRPr="00ED7907">
        <w:rPr>
          <w:sz w:val="24"/>
          <w:szCs w:val="24"/>
        </w:rPr>
        <w:t>Billot</w:t>
      </w:r>
      <w:proofErr w:type="spellEnd"/>
      <w:r w:rsidRPr="00ED7907">
        <w:rPr>
          <w:sz w:val="24"/>
          <w:szCs w:val="24"/>
        </w:rPr>
        <w:t>, 2025), encompassing both quantitative metrics</w:t>
      </w:r>
      <w:r w:rsidR="00B520CB">
        <w:rPr>
          <w:sz w:val="24"/>
          <w:szCs w:val="24"/>
        </w:rPr>
        <w:t xml:space="preserve"> </w:t>
      </w:r>
      <w:r w:rsidRPr="00ED7907">
        <w:rPr>
          <w:sz w:val="24"/>
          <w:szCs w:val="24"/>
        </w:rPr>
        <w:t>such as headcount, turnover, and skills inventories</w:t>
      </w:r>
      <w:r w:rsidR="00B520CB">
        <w:rPr>
          <w:sz w:val="24"/>
          <w:szCs w:val="24"/>
        </w:rPr>
        <w:t xml:space="preserve"> </w:t>
      </w:r>
      <w:r w:rsidRPr="00ED7907">
        <w:rPr>
          <w:sz w:val="24"/>
          <w:szCs w:val="24"/>
        </w:rPr>
        <w:t>and qualitative insights from employee feedback and performance reviews. According to the CIPD (2024b), effective planning begins with a clear understanding of the current workforce and identifying gaps between existing capabilities and future needs. This evidence-based approach informs recruitment, training, and succession strategies. However, without structured data, organisations often fail to identify skills shortages; only 46% of employers use data to assess current gaps, and just 31% forecast future needs (CIPD, 2024b</w:t>
      </w:r>
      <w:r w:rsidR="00BD2011">
        <w:rPr>
          <w:sz w:val="24"/>
          <w:szCs w:val="24"/>
        </w:rPr>
        <w:t xml:space="preserve">), thus this could lead to less productivity </w:t>
      </w:r>
      <w:r w:rsidR="00954742">
        <w:rPr>
          <w:sz w:val="24"/>
          <w:szCs w:val="24"/>
        </w:rPr>
        <w:t xml:space="preserve">and innovation in the future. </w:t>
      </w:r>
      <w:r w:rsidR="00B01DC5">
        <w:rPr>
          <w:sz w:val="24"/>
          <w:szCs w:val="24"/>
        </w:rPr>
        <w:t xml:space="preserve"> </w:t>
      </w:r>
    </w:p>
    <w:p w14:paraId="7D2218D6" w14:textId="77777777" w:rsidR="00ED7907" w:rsidRPr="00ED7907" w:rsidRDefault="00ED7907" w:rsidP="00ED7907">
      <w:pPr>
        <w:rPr>
          <w:sz w:val="24"/>
          <w:szCs w:val="24"/>
        </w:rPr>
      </w:pPr>
    </w:p>
    <w:p w14:paraId="796FED10" w14:textId="769A2C04" w:rsidR="003149E2" w:rsidRPr="00A95A58" w:rsidRDefault="003149E2" w:rsidP="00A95A58">
      <w:pPr>
        <w:rPr>
          <w:sz w:val="24"/>
          <w:szCs w:val="24"/>
        </w:rPr>
      </w:pPr>
      <w:r w:rsidRPr="00A95A58">
        <w:rPr>
          <w:sz w:val="24"/>
          <w:szCs w:val="24"/>
        </w:rPr>
        <w:t xml:space="preserve">Scenario planning is another essential technique in strategic workforce planning. According to Sparkman (2018), it involves anticipating various future contexts—such as economic shifts, technological change, or regulatory developments—and evaluating their potential impact on workforce needs. </w:t>
      </w:r>
      <w:r w:rsidR="00176248">
        <w:rPr>
          <w:sz w:val="24"/>
          <w:szCs w:val="24"/>
        </w:rPr>
        <w:t xml:space="preserve">The CIPD </w:t>
      </w:r>
      <w:r w:rsidRPr="00A95A58">
        <w:rPr>
          <w:sz w:val="24"/>
          <w:szCs w:val="24"/>
        </w:rPr>
        <w:t>(2019a)</w:t>
      </w:r>
      <w:r w:rsidR="00176248">
        <w:rPr>
          <w:sz w:val="24"/>
          <w:szCs w:val="24"/>
        </w:rPr>
        <w:t xml:space="preserve"> state </w:t>
      </w:r>
      <w:r w:rsidRPr="00A95A58">
        <w:rPr>
          <w:sz w:val="24"/>
          <w:szCs w:val="24"/>
        </w:rPr>
        <w:t xml:space="preserve">scenario planning enables organisations to align workforce strategies with long-term business goals and prepare for uncertainty. For instance, </w:t>
      </w:r>
      <w:proofErr w:type="spellStart"/>
      <w:r w:rsidRPr="00A95A58">
        <w:rPr>
          <w:sz w:val="24"/>
          <w:szCs w:val="24"/>
        </w:rPr>
        <w:t>ParcelCare</w:t>
      </w:r>
      <w:proofErr w:type="spellEnd"/>
      <w:r w:rsidRPr="00A95A58">
        <w:rPr>
          <w:sz w:val="24"/>
          <w:szCs w:val="24"/>
        </w:rPr>
        <w:t xml:space="preserve"> might explore scenarios involving increased automation or regional expansion, and plan for the corresponding skills and roles required.</w:t>
      </w:r>
      <w:r w:rsidR="005B195A" w:rsidRPr="005B195A">
        <w:rPr>
          <w:rFonts w:ascii="Segoe UI" w:hAnsi="Segoe UI" w:cs="Segoe UI"/>
          <w:color w:val="424242"/>
          <w:shd w:val="clear" w:color="auto" w:fill="FAFAFA"/>
        </w:rPr>
        <w:t xml:space="preserve"> </w:t>
      </w:r>
      <w:r w:rsidR="0042255E" w:rsidRPr="00780B9C">
        <w:rPr>
          <w:sz w:val="24"/>
          <w:szCs w:val="24"/>
        </w:rPr>
        <w:t xml:space="preserve">However, the </w:t>
      </w:r>
      <w:r w:rsidR="0042255E" w:rsidRPr="00780B9C">
        <w:rPr>
          <w:sz w:val="24"/>
          <w:szCs w:val="24"/>
        </w:rPr>
        <w:t>absence of scenario planning poses a critical risk, leaving organisations unprepared for future challenges and opportunities</w:t>
      </w:r>
      <w:r w:rsidR="00780B9C" w:rsidRPr="00780B9C">
        <w:rPr>
          <w:sz w:val="24"/>
          <w:szCs w:val="24"/>
        </w:rPr>
        <w:t xml:space="preserve"> (Hirsh et al. 2017).</w:t>
      </w:r>
      <w:r w:rsidR="0042255E" w:rsidRPr="00780B9C">
        <w:rPr>
          <w:sz w:val="24"/>
          <w:szCs w:val="24"/>
        </w:rPr>
        <w:t xml:space="preserve"> This can lead to misaligned workforce capabilities, skills shortages, inefficient recruitment, and reduced agility</w:t>
      </w:r>
      <w:r w:rsidR="0042255E" w:rsidRPr="00780B9C">
        <w:rPr>
          <w:sz w:val="24"/>
          <w:szCs w:val="24"/>
        </w:rPr>
        <w:t xml:space="preserve"> </w:t>
      </w:r>
      <w:r w:rsidR="0042255E" w:rsidRPr="00780B9C">
        <w:rPr>
          <w:sz w:val="24"/>
          <w:szCs w:val="24"/>
        </w:rPr>
        <w:t>ultimately compromising competitiveness and resilience in a rapidly changing environment</w:t>
      </w:r>
      <w:r w:rsidR="00780B9C" w:rsidRPr="00780B9C">
        <w:rPr>
          <w:sz w:val="24"/>
          <w:szCs w:val="24"/>
        </w:rPr>
        <w:t xml:space="preserve"> (Hirsh et al. 2017).</w:t>
      </w:r>
      <w:r w:rsidR="00780B9C">
        <w:rPr>
          <w:rFonts w:ascii="Segoe UI" w:hAnsi="Segoe UI" w:cs="Segoe UI"/>
          <w:color w:val="424242"/>
          <w:shd w:val="clear" w:color="auto" w:fill="FAFAFA"/>
        </w:rPr>
        <w:t xml:space="preserve"> </w:t>
      </w:r>
    </w:p>
    <w:p w14:paraId="122376CD" w14:textId="77777777" w:rsidR="003E30E8" w:rsidRPr="00A95A58" w:rsidRDefault="003E30E8" w:rsidP="00A95A58">
      <w:pPr>
        <w:rPr>
          <w:sz w:val="24"/>
          <w:szCs w:val="24"/>
        </w:rPr>
      </w:pPr>
    </w:p>
    <w:p w14:paraId="55E66683" w14:textId="77777777" w:rsidR="003149E2" w:rsidRPr="00A95A58" w:rsidRDefault="003149E2" w:rsidP="00A95A58">
      <w:pPr>
        <w:rPr>
          <w:sz w:val="24"/>
          <w:szCs w:val="24"/>
        </w:rPr>
      </w:pPr>
      <w:r w:rsidRPr="00A95A58">
        <w:rPr>
          <w:sz w:val="24"/>
          <w:szCs w:val="24"/>
        </w:rPr>
        <w:t xml:space="preserve">Workforce planning must also address the implications of these scenarios for skills development. The CIPD (2019a) highlights a growing “double skills gap”: shortages in both technical and essential soft skills like communication, problem-solving, and adaptability. This challenge is particularly acute in the post-Brexit context, where access to skilled labour has been disrupted. As </w:t>
      </w:r>
      <w:proofErr w:type="spellStart"/>
      <w:r w:rsidRPr="00A95A58">
        <w:rPr>
          <w:sz w:val="24"/>
          <w:szCs w:val="24"/>
        </w:rPr>
        <w:t>Billot</w:t>
      </w:r>
      <w:proofErr w:type="spellEnd"/>
      <w:r w:rsidRPr="00A95A58">
        <w:rPr>
          <w:sz w:val="24"/>
          <w:szCs w:val="24"/>
        </w:rPr>
        <w:t xml:space="preserve"> (2025) notes, organisations must invest in upskilling and reskilling to build internal capability and reduce reliance on external hiring. Overlooking future skills needs can lead to poor recruitment decisions. Therefore, it is vital to prioritise these skills in job specifications, ensure interviewers assess them effectively, and support new hires with tailored development plans (</w:t>
      </w:r>
      <w:proofErr w:type="spellStart"/>
      <w:r w:rsidRPr="00A95A58">
        <w:rPr>
          <w:sz w:val="24"/>
          <w:szCs w:val="24"/>
        </w:rPr>
        <w:t>Billot</w:t>
      </w:r>
      <w:proofErr w:type="spellEnd"/>
      <w:r w:rsidRPr="00A95A58">
        <w:rPr>
          <w:sz w:val="24"/>
          <w:szCs w:val="24"/>
        </w:rPr>
        <w:t>, 2025).</w:t>
      </w:r>
    </w:p>
    <w:p w14:paraId="34F58C71" w14:textId="77777777" w:rsidR="00170968" w:rsidRDefault="00170968" w:rsidP="00EB302F">
      <w:pPr>
        <w:pStyle w:val="Nornal"/>
        <w:rPr>
          <w:rStyle w:val="ui-provider"/>
          <w:rFonts w:ascii="Trebuchet MS" w:hAnsi="Trebuchet MS"/>
          <w:color w:val="FF0000"/>
        </w:rPr>
      </w:pPr>
    </w:p>
    <w:p w14:paraId="7A879DB5" w14:textId="77777777" w:rsidR="00170968" w:rsidRDefault="00170968" w:rsidP="006C0C39">
      <w:pPr>
        <w:pStyle w:val="Nornal"/>
        <w:ind w:left="720"/>
        <w:rPr>
          <w:rStyle w:val="ui-provider"/>
          <w:rFonts w:ascii="Trebuchet MS" w:hAnsi="Trebuchet MS"/>
          <w:color w:val="FF0000"/>
        </w:rPr>
      </w:pPr>
    </w:p>
    <w:p w14:paraId="14DDFFF7" w14:textId="77777777" w:rsidR="00170968" w:rsidRPr="005E4F4B" w:rsidRDefault="00170968" w:rsidP="00A856EA">
      <w:pPr>
        <w:pStyle w:val="Nornal"/>
        <w:rPr>
          <w:rFonts w:ascii="Trebuchet MS" w:hAnsi="Trebuchet MS"/>
          <w:color w:val="FF0000"/>
        </w:rPr>
      </w:pPr>
    </w:p>
    <w:p w14:paraId="18D0FE92" w14:textId="63D67DAE" w:rsidR="006C0C39" w:rsidRPr="00170968" w:rsidRDefault="006C0C39" w:rsidP="00170968">
      <w:pPr>
        <w:pStyle w:val="Nornal"/>
        <w:numPr>
          <w:ilvl w:val="0"/>
          <w:numId w:val="3"/>
        </w:numPr>
        <w:rPr>
          <w:rStyle w:val="ui-provider"/>
          <w:rFonts w:ascii="Trebuchet MS" w:hAnsi="Trebuchet MS"/>
        </w:rPr>
      </w:pPr>
      <w:r w:rsidRPr="00170968">
        <w:rPr>
          <w:rStyle w:val="ui-provider"/>
          <w:rFonts w:ascii="Trebuchet MS" w:hAnsi="Trebuchet MS"/>
        </w:rPr>
        <w:t xml:space="preserve">Currently, vacancies are advertised on </w:t>
      </w:r>
      <w:proofErr w:type="spellStart"/>
      <w:r w:rsidRPr="00170968">
        <w:rPr>
          <w:rStyle w:val="ui-provider"/>
          <w:rFonts w:ascii="Trebuchet MS" w:hAnsi="Trebuchet MS"/>
        </w:rPr>
        <w:t>ParcelCare’s</w:t>
      </w:r>
      <w:proofErr w:type="spellEnd"/>
      <w:r w:rsidRPr="00170968">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sidRPr="00170968">
        <w:rPr>
          <w:rFonts w:ascii="Trebuchet MS" w:hAnsi="Trebuchet MS"/>
          <w:b/>
          <w:bCs/>
        </w:rPr>
        <w:t xml:space="preserve"> two</w:t>
      </w:r>
      <w:r w:rsidRPr="00170968">
        <w:rPr>
          <w:rStyle w:val="ui-provider"/>
          <w:rFonts w:ascii="Trebuchet MS" w:hAnsi="Trebuchet MS"/>
        </w:rPr>
        <w:t xml:space="preserve"> different recruitment methods and </w:t>
      </w:r>
      <w:r w:rsidRPr="00170968">
        <w:rPr>
          <w:rFonts w:ascii="Trebuchet MS" w:hAnsi="Trebuchet MS"/>
          <w:b/>
          <w:bCs/>
        </w:rPr>
        <w:t>two</w:t>
      </w:r>
      <w:r w:rsidRPr="00170968">
        <w:rPr>
          <w:rStyle w:val="ui-provider"/>
          <w:rFonts w:ascii="Trebuchet MS" w:hAnsi="Trebuchet MS"/>
        </w:rPr>
        <w:t xml:space="preserve"> different selection methods. (AC 2.3)</w:t>
      </w:r>
    </w:p>
    <w:p w14:paraId="2B4714D7" w14:textId="410765A2" w:rsidR="00170968" w:rsidRPr="00BE18E3" w:rsidRDefault="00170968" w:rsidP="00170968">
      <w:pPr>
        <w:rPr>
          <w:sz w:val="24"/>
          <w:szCs w:val="24"/>
        </w:rPr>
      </w:pPr>
    </w:p>
    <w:p w14:paraId="409CEA6C" w14:textId="77777777" w:rsidR="00BD00C0" w:rsidRPr="004A49FE" w:rsidRDefault="00BD00C0" w:rsidP="004A49FE">
      <w:pPr>
        <w:rPr>
          <w:sz w:val="24"/>
          <w:szCs w:val="24"/>
        </w:rPr>
      </w:pPr>
      <w:r w:rsidRPr="004A49FE">
        <w:rPr>
          <w:sz w:val="24"/>
          <w:szCs w:val="24"/>
        </w:rPr>
        <w:t>Skills-based selection methods are increasingly recognised for their potential to improve fairness and accuracy in recruitment processes (</w:t>
      </w:r>
      <w:proofErr w:type="spellStart"/>
      <w:r w:rsidRPr="004A49FE">
        <w:rPr>
          <w:sz w:val="24"/>
          <w:szCs w:val="24"/>
        </w:rPr>
        <w:t>Ekdahl</w:t>
      </w:r>
      <w:proofErr w:type="spellEnd"/>
      <w:r w:rsidRPr="004A49FE">
        <w:rPr>
          <w:sz w:val="24"/>
          <w:szCs w:val="24"/>
        </w:rPr>
        <w:t>, 2025). These approaches assess candidates’ ability to perform job-relevant tasks through practical tools such as work samples, simulations, and situational judgement tests (</w:t>
      </w:r>
      <w:proofErr w:type="spellStart"/>
      <w:r w:rsidRPr="004A49FE">
        <w:rPr>
          <w:sz w:val="24"/>
          <w:szCs w:val="24"/>
        </w:rPr>
        <w:t>Ekdahl</w:t>
      </w:r>
      <w:proofErr w:type="spellEnd"/>
      <w:r w:rsidRPr="004A49FE">
        <w:rPr>
          <w:sz w:val="24"/>
          <w:szCs w:val="24"/>
        </w:rPr>
        <w:t xml:space="preserve">, 2025). According to the CIPD (2024e), such assessments offer a more objective and realistic evaluation of candidate potential by replicating actual job tasks, rather than relying solely on interviews or academic qualifications. By focusing on demonstrable skills, these methods help mitigate unconscious bias and promote more equitable hiring decisions (CIPD, 2024c). Furthermore, </w:t>
      </w:r>
      <w:proofErr w:type="gramStart"/>
      <w:r w:rsidRPr="004A49FE">
        <w:rPr>
          <w:sz w:val="24"/>
          <w:szCs w:val="24"/>
        </w:rPr>
        <w:t>structured</w:t>
      </w:r>
      <w:proofErr w:type="gramEnd"/>
      <w:r w:rsidRPr="004A49FE">
        <w:rPr>
          <w:sz w:val="24"/>
          <w:szCs w:val="24"/>
        </w:rPr>
        <w:t xml:space="preserve"> and objective assessments are associated with attracting a more diverse applicant pool (CIPD, 2024c). However, the development and implementation of effective skills-based assessments can be resource-intensive, requiring careful planning to ensure validity, reliability, and alignment with role-specific competencies (CIPD, 2024e).</w:t>
      </w:r>
    </w:p>
    <w:p w14:paraId="36A59E3F" w14:textId="77777777" w:rsidR="006064F9" w:rsidRPr="004A49FE" w:rsidRDefault="006064F9" w:rsidP="004A49FE">
      <w:pPr>
        <w:rPr>
          <w:sz w:val="24"/>
          <w:szCs w:val="24"/>
        </w:rPr>
      </w:pPr>
    </w:p>
    <w:p w14:paraId="667606C9" w14:textId="2381AB7F" w:rsidR="006C0C39" w:rsidRPr="004A49FE" w:rsidRDefault="006C0C39" w:rsidP="004A49FE">
      <w:pPr>
        <w:rPr>
          <w:sz w:val="24"/>
          <w:szCs w:val="24"/>
        </w:rPr>
      </w:pPr>
      <w:r w:rsidRPr="004A49FE">
        <w:rPr>
          <w:sz w:val="24"/>
          <w:szCs w:val="24"/>
        </w:rPr>
        <w:t>Personality testing, often delivered through psychometric assessments, is a common selection method used to evaluate behavioural traits and workplace preferences (CIPD, 2024e). This can lead to improved performance and job satisfaction (CIPD, 2024e). Unlike interviews, which can be influenced by unconscious bias, personality tests offer a structured and consistent way to assess candidates, supporting fairer and more inclusive hiring decisions (CIPD, 2024e).</w:t>
      </w:r>
      <w:r w:rsidR="001803C0" w:rsidRPr="004A49FE">
        <w:rPr>
          <w:sz w:val="24"/>
          <w:szCs w:val="24"/>
        </w:rPr>
        <w:t xml:space="preserve"> However</w:t>
      </w:r>
      <w:r w:rsidR="00CA36E8" w:rsidRPr="004A49FE">
        <w:rPr>
          <w:sz w:val="24"/>
          <w:szCs w:val="24"/>
        </w:rPr>
        <w:t>,</w:t>
      </w:r>
      <w:r w:rsidR="001803C0" w:rsidRPr="004A49FE">
        <w:rPr>
          <w:sz w:val="24"/>
          <w:szCs w:val="24"/>
        </w:rPr>
        <w:t xml:space="preserve"> the CIPD (2021a) states personality tests may be culturally biased or not validated across diverse populations, which can disadvantage certain groups and undermine fairness in recruitment</w:t>
      </w:r>
      <w:r w:rsidR="00DD63A3" w:rsidRPr="004A49FE">
        <w:rPr>
          <w:sz w:val="24"/>
          <w:szCs w:val="24"/>
        </w:rPr>
        <w:t xml:space="preserve">. The CIPD (2021a) further states </w:t>
      </w:r>
      <w:r w:rsidR="008C211C" w:rsidRPr="004A49FE">
        <w:rPr>
          <w:sz w:val="24"/>
          <w:szCs w:val="24"/>
        </w:rPr>
        <w:t>psychometric tests should be used ethically and as part of a broader assessment strategy to ensure fairness and validity</w:t>
      </w:r>
      <w:r w:rsidR="00CA36E8" w:rsidRPr="004A49FE">
        <w:rPr>
          <w:sz w:val="24"/>
          <w:szCs w:val="24"/>
        </w:rPr>
        <w:t>,</w:t>
      </w:r>
      <w:r w:rsidR="00C97F3F" w:rsidRPr="004A49FE">
        <w:rPr>
          <w:sz w:val="24"/>
          <w:szCs w:val="24"/>
        </w:rPr>
        <w:t xml:space="preserve"> </w:t>
      </w:r>
      <w:r w:rsidR="00CA36E8" w:rsidRPr="004A49FE">
        <w:rPr>
          <w:sz w:val="24"/>
          <w:szCs w:val="24"/>
        </w:rPr>
        <w:t>t</w:t>
      </w:r>
      <w:r w:rsidR="00C07EA8" w:rsidRPr="004A49FE">
        <w:rPr>
          <w:sz w:val="24"/>
          <w:szCs w:val="24"/>
        </w:rPr>
        <w:t>his means relying on them too heavily could lead to poor hiring decisions.</w:t>
      </w:r>
    </w:p>
    <w:p w14:paraId="6E5B735C" w14:textId="77777777" w:rsidR="008C211C" w:rsidRPr="004A49FE" w:rsidRDefault="008C211C" w:rsidP="004A49FE">
      <w:pPr>
        <w:rPr>
          <w:sz w:val="24"/>
          <w:szCs w:val="24"/>
        </w:rPr>
      </w:pPr>
    </w:p>
    <w:p w14:paraId="2733663F" w14:textId="7684DA74" w:rsidR="00EB3E13" w:rsidRDefault="00EB3E13" w:rsidP="00EB3E13">
      <w:pPr>
        <w:rPr>
          <w:sz w:val="24"/>
          <w:szCs w:val="24"/>
        </w:rPr>
      </w:pPr>
      <w:r w:rsidRPr="00EB3E13">
        <w:rPr>
          <w:sz w:val="24"/>
          <w:szCs w:val="24"/>
        </w:rPr>
        <w:t xml:space="preserve">Employee referral schemes offer significant efficiency gains by reducing advertising and screening costs, thereby accelerating </w:t>
      </w:r>
      <w:r w:rsidRPr="00EB3E13">
        <w:rPr>
          <w:sz w:val="24"/>
          <w:szCs w:val="24"/>
        </w:rPr>
        <w:t>recruitment,</w:t>
      </w:r>
      <w:r w:rsidRPr="00EB3E13">
        <w:rPr>
          <w:sz w:val="24"/>
          <w:szCs w:val="24"/>
        </w:rPr>
        <w:t xml:space="preserve"> and improving retention (Gautier &amp; </w:t>
      </w:r>
      <w:proofErr w:type="spellStart"/>
      <w:r w:rsidRPr="00EB3E13">
        <w:rPr>
          <w:sz w:val="24"/>
          <w:szCs w:val="24"/>
        </w:rPr>
        <w:t>Munasinghe</w:t>
      </w:r>
      <w:proofErr w:type="spellEnd"/>
      <w:r w:rsidRPr="00EB3E13">
        <w:rPr>
          <w:sz w:val="24"/>
          <w:szCs w:val="24"/>
        </w:rPr>
        <w:t>, 2020; Hogarth &amp; McCartney, 2024). Referred candidates often demonstrate stronger cultural fit, enhancing team cohesion and lowering turnover. Additionally, involving employees in recruitment can boost engagement and reinforce their value within the organisation (CIPD, 2025c). However, the CIPD (2024d) cautions that such schemes may unintentionally limit workforce diversity, as referrals often reflect existing employee demographics.</w:t>
      </w:r>
    </w:p>
    <w:p w14:paraId="4038CDFE" w14:textId="77777777" w:rsidR="00EB3E13" w:rsidRPr="00EB3E13" w:rsidRDefault="00EB3E13" w:rsidP="00EB3E13">
      <w:pPr>
        <w:rPr>
          <w:sz w:val="24"/>
          <w:szCs w:val="24"/>
        </w:rPr>
      </w:pPr>
    </w:p>
    <w:p w14:paraId="640BBCEE" w14:textId="3C2B1A5C" w:rsidR="000F13E1" w:rsidRPr="004A49FE" w:rsidRDefault="000F13E1" w:rsidP="004A49FE">
      <w:pPr>
        <w:rPr>
          <w:sz w:val="24"/>
          <w:szCs w:val="24"/>
        </w:rPr>
      </w:pPr>
      <w:r w:rsidRPr="004A49FE">
        <w:rPr>
          <w:sz w:val="24"/>
          <w:szCs w:val="24"/>
        </w:rPr>
        <w:t>Recruitment agencies offer key advantages, including specialised expertise and operational efficiency (Levine, 2024). With access to broad candidate networks and industry insight, they can quickly fill specialist roles and reduce the administrative load on HR teams by handling early recruitment stages (CIPD, 2024).</w:t>
      </w:r>
      <w:r w:rsidR="006E27B8" w:rsidRPr="004A49FE">
        <w:rPr>
          <w:sz w:val="24"/>
          <w:szCs w:val="24"/>
        </w:rPr>
        <w:t xml:space="preserve"> </w:t>
      </w:r>
      <w:r w:rsidR="006E27B8" w:rsidRPr="004A49FE">
        <w:rPr>
          <w:sz w:val="24"/>
          <w:szCs w:val="24"/>
        </w:rPr>
        <w:t xml:space="preserve">Levine (2024) notes, agencies reduce the administrative burden on HR departments by managing early recruitment stages, including job advertising, CV screening, and initial interviews. This allows internal teams to focus on </w:t>
      </w:r>
      <w:r w:rsidR="006E27B8" w:rsidRPr="004A49FE">
        <w:rPr>
          <w:sz w:val="24"/>
          <w:szCs w:val="24"/>
        </w:rPr>
        <w:lastRenderedPageBreak/>
        <w:t xml:space="preserve">strategic decision-making and final selection. </w:t>
      </w:r>
      <w:r w:rsidRPr="004A49FE">
        <w:rPr>
          <w:sz w:val="24"/>
          <w:szCs w:val="24"/>
        </w:rPr>
        <w:t xml:space="preserve"> Agencies also engage passive candidates, expanding the talent pool (Hogarth &amp; McCartney, 2024). However, these benefits must be weighed against high costs, reduced control, and potential impacts on diversity. As the CIPD (2024) advises, agencies should complement</w:t>
      </w:r>
      <w:r w:rsidR="00837889" w:rsidRPr="004A49FE">
        <w:rPr>
          <w:sz w:val="24"/>
          <w:szCs w:val="24"/>
        </w:rPr>
        <w:t xml:space="preserve"> </w:t>
      </w:r>
      <w:r w:rsidRPr="004A49FE">
        <w:rPr>
          <w:sz w:val="24"/>
          <w:szCs w:val="24"/>
        </w:rPr>
        <w:t>not replace</w:t>
      </w:r>
      <w:r w:rsidR="00837889" w:rsidRPr="004A49FE">
        <w:rPr>
          <w:sz w:val="24"/>
          <w:szCs w:val="24"/>
        </w:rPr>
        <w:t xml:space="preserve"> </w:t>
      </w:r>
      <w:r w:rsidRPr="004A49FE">
        <w:rPr>
          <w:sz w:val="24"/>
          <w:szCs w:val="24"/>
        </w:rPr>
        <w:t>robust internal recruitment practices.</w:t>
      </w:r>
    </w:p>
    <w:p w14:paraId="3CBCCB86" w14:textId="77777777" w:rsidR="000F13E1" w:rsidRPr="00BE18E3" w:rsidRDefault="000F13E1" w:rsidP="000960C3">
      <w:pPr>
        <w:rPr>
          <w:sz w:val="24"/>
          <w:szCs w:val="24"/>
          <w:lang w:eastAsia="en-GB"/>
        </w:rPr>
      </w:pPr>
    </w:p>
    <w:p w14:paraId="0AAEE1D7" w14:textId="77777777" w:rsidR="00170968" w:rsidRDefault="00170968" w:rsidP="00170968"/>
    <w:p w14:paraId="1C5B98D1" w14:textId="77777777" w:rsidR="005B6FE5" w:rsidRPr="00170968" w:rsidRDefault="005B6FE5" w:rsidP="00170968"/>
    <w:p w14:paraId="210A3ADA" w14:textId="77777777" w:rsidR="00174443" w:rsidRDefault="00174443" w:rsidP="00174443">
      <w:pPr>
        <w:pStyle w:val="Nornal"/>
        <w:rPr>
          <w:rStyle w:val="ui-provider"/>
          <w:rFonts w:ascii="Trebuchet MS" w:hAnsi="Trebuchet MS"/>
        </w:rPr>
      </w:pPr>
    </w:p>
    <w:p w14:paraId="68B339A0"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268E00FD" w14:textId="77777777" w:rsidR="00FD009C" w:rsidRDefault="00FD009C" w:rsidP="00FD009C">
      <w:pPr>
        <w:pStyle w:val="Nornal"/>
        <w:ind w:left="720"/>
        <w:rPr>
          <w:rStyle w:val="ui-provider"/>
          <w:rFonts w:ascii="Trebuchet MS" w:hAnsi="Trebuchet MS"/>
        </w:rPr>
      </w:pPr>
    </w:p>
    <w:p w14:paraId="17CCA1BD" w14:textId="4F1C8666" w:rsidR="00971A8C" w:rsidRDefault="00971A8C" w:rsidP="00971A8C">
      <w:pPr>
        <w:rPr>
          <w:sz w:val="24"/>
          <w:szCs w:val="24"/>
          <w:lang w:eastAsia="en-GB"/>
        </w:rPr>
      </w:pPr>
      <w:r w:rsidRPr="00515B7D">
        <w:rPr>
          <w:sz w:val="24"/>
          <w:szCs w:val="24"/>
          <w:lang w:eastAsia="en-GB"/>
        </w:rPr>
        <w:t>Avoidable turnover refers to employee departures that could reasonably be prevented through organisational improvements</w:t>
      </w:r>
      <w:r w:rsidR="00547C59" w:rsidRPr="00515B7D">
        <w:rPr>
          <w:sz w:val="24"/>
          <w:szCs w:val="24"/>
          <w:lang w:eastAsia="en-GB"/>
        </w:rPr>
        <w:t xml:space="preserve"> (Adams, 2023).</w:t>
      </w:r>
      <w:r w:rsidRPr="00515B7D">
        <w:rPr>
          <w:sz w:val="24"/>
          <w:szCs w:val="24"/>
          <w:lang w:eastAsia="en-GB"/>
        </w:rPr>
        <w:t xml:space="preserve"> Such turnover is often driven by internal issues including inadequate compensation, limited opportunities for career progression, ineffective management, or a lack of recognition and reward</w:t>
      </w:r>
      <w:r w:rsidR="006261C7" w:rsidRPr="006261C7">
        <w:rPr>
          <w:rFonts w:ascii="Segoe UI" w:hAnsi="Segoe UI" w:cs="Segoe UI"/>
          <w:color w:val="424242"/>
          <w:shd w:val="clear" w:color="auto" w:fill="FAFAFA"/>
        </w:rPr>
        <w:t xml:space="preserve"> </w:t>
      </w:r>
      <w:r w:rsidR="006261C7" w:rsidRPr="00E54F60">
        <w:rPr>
          <w:sz w:val="24"/>
          <w:szCs w:val="24"/>
        </w:rPr>
        <w:t>(Marchington et al., 2020</w:t>
      </w:r>
      <w:r w:rsidR="00547C59" w:rsidRPr="00E54F60">
        <w:rPr>
          <w:sz w:val="24"/>
          <w:szCs w:val="24"/>
        </w:rPr>
        <w:t xml:space="preserve">). </w:t>
      </w:r>
      <w:r w:rsidR="00EA4931" w:rsidRPr="00515B7D">
        <w:rPr>
          <w:sz w:val="24"/>
          <w:szCs w:val="24"/>
        </w:rPr>
        <w:t>When employees feel undervalued or perceive limited opportunities for growth and development, their engagement may decline, prompting them to consider alternative employment options (Allen, 2008). These scenarios exemplify push factors such as internal organisational shortcomings which can lead to voluntary turnover.</w:t>
      </w:r>
      <w:r w:rsidR="00EA4931" w:rsidRPr="00515B7D">
        <w:rPr>
          <w:rStyle w:val="Strong"/>
          <w:rFonts w:ascii="Segoe UI" w:hAnsi="Segoe UI" w:cs="Segoe UI"/>
          <w:color w:val="424242"/>
          <w:sz w:val="24"/>
          <w:szCs w:val="24"/>
          <w:shd w:val="clear" w:color="auto" w:fill="FAFAFA"/>
        </w:rPr>
        <w:t xml:space="preserve"> </w:t>
      </w:r>
      <w:r w:rsidR="004E1030" w:rsidRPr="001262C8">
        <w:rPr>
          <w:sz w:val="24"/>
          <w:szCs w:val="24"/>
          <w:lang w:eastAsia="en-GB"/>
        </w:rPr>
        <w:t>The CIPD (2025c) state</w:t>
      </w:r>
      <w:r w:rsidRPr="001262C8">
        <w:rPr>
          <w:sz w:val="24"/>
          <w:szCs w:val="24"/>
          <w:lang w:eastAsia="en-GB"/>
        </w:rPr>
        <w:t xml:space="preserve"> a lack of career development and poor management practices are among the most frequently cited reasons for voluntary turnover</w:t>
      </w:r>
      <w:r w:rsidR="00DA606D" w:rsidRPr="001262C8">
        <w:rPr>
          <w:sz w:val="24"/>
          <w:szCs w:val="24"/>
          <w:lang w:eastAsia="en-GB"/>
        </w:rPr>
        <w:t>.</w:t>
      </w:r>
      <w:r w:rsidRPr="001262C8">
        <w:rPr>
          <w:sz w:val="24"/>
          <w:szCs w:val="24"/>
          <w:lang w:eastAsia="en-GB"/>
        </w:rPr>
        <w:t> </w:t>
      </w:r>
      <w:r w:rsidR="00DA606D" w:rsidRPr="001262C8">
        <w:rPr>
          <w:sz w:val="24"/>
          <w:szCs w:val="24"/>
          <w:lang w:eastAsia="en-GB"/>
        </w:rPr>
        <w:t>B</w:t>
      </w:r>
      <w:r w:rsidRPr="001262C8">
        <w:rPr>
          <w:sz w:val="24"/>
          <w:szCs w:val="24"/>
          <w:lang w:eastAsia="en-GB"/>
        </w:rPr>
        <w:t>ecause these factors are within the employer’s control, they represent key areas for targeted intervention. Enhancing reward systems, investing in staff development, and fostering a supportive and inclusive workplace culture are all strategies that can help mitigate avoidable turnover and improve retention outcomes</w:t>
      </w:r>
      <w:r w:rsidR="00B145F2" w:rsidRPr="001262C8">
        <w:rPr>
          <w:sz w:val="24"/>
          <w:szCs w:val="24"/>
          <w:lang w:eastAsia="en-GB"/>
        </w:rPr>
        <w:t xml:space="preserve"> (CIPD, 2025d).</w:t>
      </w:r>
    </w:p>
    <w:p w14:paraId="76507BA4" w14:textId="77777777" w:rsidR="00394A34" w:rsidRDefault="00394A34" w:rsidP="00971A8C">
      <w:pPr>
        <w:rPr>
          <w:sz w:val="24"/>
          <w:szCs w:val="24"/>
          <w:lang w:eastAsia="en-GB"/>
        </w:rPr>
      </w:pPr>
    </w:p>
    <w:p w14:paraId="1DE2842A" w14:textId="5CD9F3DA" w:rsidR="00394A34" w:rsidRDefault="008C25D5" w:rsidP="008C25D5">
      <w:pPr>
        <w:rPr>
          <w:sz w:val="24"/>
          <w:szCs w:val="24"/>
        </w:rPr>
      </w:pPr>
      <w:r w:rsidRPr="008C25D5">
        <w:rPr>
          <w:sz w:val="24"/>
          <w:szCs w:val="24"/>
        </w:rPr>
        <w:t>Unavoidable turnover refers to employee departures driven by circumstances largely beyond the organisation’s control, such as relocation, health issues, or caregiving responsibilities (</w:t>
      </w:r>
      <w:r w:rsidR="00E54F60" w:rsidRPr="00E54F60">
        <w:rPr>
          <w:sz w:val="24"/>
          <w:szCs w:val="24"/>
        </w:rPr>
        <w:t>Marchington et al. 2020</w:t>
      </w:r>
      <w:r w:rsidRPr="008C25D5">
        <w:rPr>
          <w:sz w:val="24"/>
          <w:szCs w:val="24"/>
        </w:rPr>
        <w:t>). While flexible working arrangements may help retain some employees in these situations, they are not always sufficient (CIPD, 2024j). For instance, an employee relocating abroad for family reasons may still need to resign despite remote work options. Such cases are often influenced by external pull factors</w:t>
      </w:r>
      <w:r w:rsidR="00E54F60">
        <w:rPr>
          <w:sz w:val="24"/>
          <w:szCs w:val="24"/>
        </w:rPr>
        <w:t xml:space="preserve"> </w:t>
      </w:r>
      <w:r w:rsidRPr="008C25D5">
        <w:rPr>
          <w:sz w:val="24"/>
          <w:szCs w:val="24"/>
        </w:rPr>
        <w:t>compelling personal or professional opportunities, like a partner’s job move or further education—that draw employees away. As the CIPD (2025c) notes, while some turnover stems from internal dissatisfaction, others result from life events and external commitments that employers cannot always mitigate, even with supportive policies.</w:t>
      </w:r>
    </w:p>
    <w:p w14:paraId="74396AFD" w14:textId="77777777" w:rsidR="008C25D5" w:rsidRPr="008C25D5" w:rsidRDefault="008C25D5" w:rsidP="008C25D5">
      <w:pPr>
        <w:rPr>
          <w:sz w:val="24"/>
          <w:szCs w:val="24"/>
        </w:rPr>
      </w:pPr>
    </w:p>
    <w:p w14:paraId="1198A803" w14:textId="6D96CC0F" w:rsidR="00172531" w:rsidRPr="00A133CA" w:rsidRDefault="00172531" w:rsidP="00A133CA">
      <w:pPr>
        <w:rPr>
          <w:sz w:val="24"/>
          <w:szCs w:val="24"/>
        </w:rPr>
      </w:pPr>
      <w:r w:rsidRPr="00A133CA">
        <w:rPr>
          <w:sz w:val="24"/>
          <w:szCs w:val="24"/>
        </w:rPr>
        <w:t>Understanding the distinction between push and pull factors is essential for diagnosing the underlying causes of employee turnover. Push factors are internal to the organi</w:t>
      </w:r>
      <w:r w:rsidR="00D201A0" w:rsidRPr="00A133CA">
        <w:rPr>
          <w:sz w:val="24"/>
          <w:szCs w:val="24"/>
        </w:rPr>
        <w:t>s</w:t>
      </w:r>
      <w:r w:rsidRPr="00A133CA">
        <w:rPr>
          <w:sz w:val="24"/>
          <w:szCs w:val="24"/>
        </w:rPr>
        <w:t>ation and typically negative, encompassing issues such as poor leadership, lack of engagement, and toxic workplace culture. These factors often erode employee satisfaction and organi</w:t>
      </w:r>
      <w:r w:rsidR="00D201A0" w:rsidRPr="00A133CA">
        <w:rPr>
          <w:sz w:val="24"/>
          <w:szCs w:val="24"/>
        </w:rPr>
        <w:t>s</w:t>
      </w:r>
      <w:r w:rsidRPr="00A133CA">
        <w:rPr>
          <w:sz w:val="24"/>
          <w:szCs w:val="24"/>
        </w:rPr>
        <w:t>ational commitment, prompting individuals to seek alternatives (Mano-Negrin and Kirschenbaum, 1999). In contrast, pull factors are external and generally positive, including opportunities such as higher-paying jobs, geographic relocation, or significant life changes that attract employees away from their current roles (</w:t>
      </w:r>
      <w:proofErr w:type="spellStart"/>
      <w:r w:rsidRPr="00A133CA">
        <w:rPr>
          <w:sz w:val="24"/>
          <w:szCs w:val="24"/>
        </w:rPr>
        <w:t>Peoplexcd</w:t>
      </w:r>
      <w:proofErr w:type="spellEnd"/>
      <w:r w:rsidRPr="00A133CA">
        <w:rPr>
          <w:sz w:val="24"/>
          <w:szCs w:val="24"/>
        </w:rPr>
        <w:t>, 2024).</w:t>
      </w:r>
      <w:r w:rsidR="00CC7D13">
        <w:rPr>
          <w:sz w:val="24"/>
          <w:szCs w:val="24"/>
        </w:rPr>
        <w:t xml:space="preserve"> </w:t>
      </w:r>
      <w:r w:rsidRPr="00A133CA">
        <w:rPr>
          <w:sz w:val="24"/>
          <w:szCs w:val="24"/>
        </w:rPr>
        <w:t>Effective retention strategies prioriti</w:t>
      </w:r>
      <w:r w:rsidR="00A133CA" w:rsidRPr="00A133CA">
        <w:rPr>
          <w:sz w:val="24"/>
          <w:szCs w:val="24"/>
        </w:rPr>
        <w:t>s</w:t>
      </w:r>
      <w:r w:rsidRPr="00A133CA">
        <w:rPr>
          <w:sz w:val="24"/>
          <w:szCs w:val="24"/>
        </w:rPr>
        <w:t>e minimi</w:t>
      </w:r>
      <w:r w:rsidR="00A133CA" w:rsidRPr="00A133CA">
        <w:rPr>
          <w:sz w:val="24"/>
          <w:szCs w:val="24"/>
        </w:rPr>
        <w:t>s</w:t>
      </w:r>
      <w:r w:rsidRPr="00A133CA">
        <w:rPr>
          <w:sz w:val="24"/>
          <w:szCs w:val="24"/>
        </w:rPr>
        <w:t>ing push factors by enhancing the internal employee experience</w:t>
      </w:r>
      <w:r w:rsidR="00A133CA" w:rsidRPr="00A133CA">
        <w:rPr>
          <w:sz w:val="24"/>
          <w:szCs w:val="24"/>
        </w:rPr>
        <w:t xml:space="preserve"> </w:t>
      </w:r>
      <w:r w:rsidRPr="00A133CA">
        <w:rPr>
          <w:sz w:val="24"/>
          <w:szCs w:val="24"/>
        </w:rPr>
        <w:t>through leadership development, fostering inclusive cultures, and promoting engagement</w:t>
      </w:r>
      <w:r w:rsidR="00A133CA" w:rsidRPr="00A133CA">
        <w:rPr>
          <w:sz w:val="24"/>
          <w:szCs w:val="24"/>
        </w:rPr>
        <w:t xml:space="preserve"> </w:t>
      </w:r>
      <w:r w:rsidRPr="00A133CA">
        <w:rPr>
          <w:sz w:val="24"/>
          <w:szCs w:val="24"/>
        </w:rPr>
        <w:t>while also acknowledging that some pull factors are inevitable</w:t>
      </w:r>
      <w:r w:rsidR="008178A8">
        <w:rPr>
          <w:sz w:val="24"/>
          <w:szCs w:val="24"/>
        </w:rPr>
        <w:t xml:space="preserve"> (</w:t>
      </w:r>
      <w:r w:rsidR="00E54F60" w:rsidRPr="00E54F60">
        <w:rPr>
          <w:sz w:val="24"/>
          <w:szCs w:val="24"/>
        </w:rPr>
        <w:t>Marchington et al. 2020)</w:t>
      </w:r>
      <w:r w:rsidR="00E54F60" w:rsidRPr="00E54F60">
        <w:rPr>
          <w:sz w:val="24"/>
          <w:szCs w:val="24"/>
        </w:rPr>
        <w:t>.</w:t>
      </w:r>
      <w:r w:rsidRPr="00A133CA">
        <w:rPr>
          <w:sz w:val="24"/>
          <w:szCs w:val="24"/>
        </w:rPr>
        <w:t xml:space="preserve"> Organi</w:t>
      </w:r>
      <w:r w:rsidR="00A133CA" w:rsidRPr="00A133CA">
        <w:rPr>
          <w:sz w:val="24"/>
          <w:szCs w:val="24"/>
        </w:rPr>
        <w:t>s</w:t>
      </w:r>
      <w:r w:rsidRPr="00A133CA">
        <w:rPr>
          <w:sz w:val="24"/>
          <w:szCs w:val="24"/>
        </w:rPr>
        <w:t>ations should therefore approach these external influences with empathy and support, recogni</w:t>
      </w:r>
      <w:r w:rsidR="00A133CA" w:rsidRPr="00A133CA">
        <w:rPr>
          <w:sz w:val="24"/>
          <w:szCs w:val="24"/>
        </w:rPr>
        <w:t>s</w:t>
      </w:r>
      <w:r w:rsidRPr="00A133CA">
        <w:rPr>
          <w:sz w:val="24"/>
          <w:szCs w:val="24"/>
        </w:rPr>
        <w:t xml:space="preserve">ing that not all turnover is preventable but much of it can be mitigated through proactive internal improvements (Mano-Negrin and Kirschenbaum, 1999; </w:t>
      </w:r>
      <w:proofErr w:type="spellStart"/>
      <w:r w:rsidRPr="00A133CA">
        <w:rPr>
          <w:sz w:val="24"/>
          <w:szCs w:val="24"/>
        </w:rPr>
        <w:t>Peoplexcd</w:t>
      </w:r>
      <w:proofErr w:type="spellEnd"/>
      <w:r w:rsidRPr="00A133CA">
        <w:rPr>
          <w:sz w:val="24"/>
          <w:szCs w:val="24"/>
        </w:rPr>
        <w:t>, 2024).</w:t>
      </w:r>
    </w:p>
    <w:p w14:paraId="326FA3AD" w14:textId="77777777" w:rsidR="00515B7D" w:rsidRPr="00515B7D" w:rsidRDefault="00515B7D" w:rsidP="00971A8C">
      <w:pPr>
        <w:rPr>
          <w:sz w:val="24"/>
          <w:szCs w:val="24"/>
        </w:rPr>
      </w:pPr>
    </w:p>
    <w:p w14:paraId="14A1BBE8" w14:textId="77777777" w:rsidR="00971A8C" w:rsidRPr="00971A8C" w:rsidRDefault="00971A8C" w:rsidP="00971A8C">
      <w:pPr>
        <w:pStyle w:val="ListParagraph"/>
        <w:spacing w:line="240" w:lineRule="auto"/>
        <w:rPr>
          <w:rStyle w:val="ui-provider"/>
          <w:rFonts w:ascii="Segoe UI" w:eastAsia="Times New Roman" w:hAnsi="Segoe UI" w:cs="Segoe UI"/>
          <w:b/>
          <w:bCs/>
          <w:color w:val="424242"/>
          <w:sz w:val="24"/>
          <w:szCs w:val="24"/>
          <w:shd w:val="clear" w:color="auto" w:fill="FAFAFA"/>
          <w:lang w:eastAsia="en-GB"/>
        </w:rPr>
      </w:pPr>
    </w:p>
    <w:p w14:paraId="78F49BAE"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3F60893A" w14:textId="41B0D7C8" w:rsidR="008178A8" w:rsidRDefault="008178A8" w:rsidP="008178A8">
      <w:pPr>
        <w:pStyle w:val="Nornal"/>
        <w:rPr>
          <w:rStyle w:val="ui-provider"/>
          <w:rFonts w:ascii="Trebuchet MS" w:hAnsi="Trebuchet MS"/>
        </w:rPr>
      </w:pPr>
    </w:p>
    <w:p w14:paraId="783B7436" w14:textId="5B45E04F" w:rsidR="00613988" w:rsidRPr="008C4B0B" w:rsidRDefault="008C4B0B" w:rsidP="008C4B0B">
      <w:pPr>
        <w:rPr>
          <w:sz w:val="24"/>
          <w:szCs w:val="24"/>
        </w:rPr>
      </w:pPr>
      <w:r w:rsidRPr="008C4B0B">
        <w:rPr>
          <w:sz w:val="24"/>
          <w:szCs w:val="24"/>
        </w:rPr>
        <w:t>Realistic job previews (RJPs) provide candidates with a balanced view of both the positive and challenging aspects of a role (The HR Observer, 2024). By aligning expectations with actual job conditions, RJPs enhance job satisfaction and reduce early turnover (Bilal &amp; Bashir, 2016). In warehouse settings, where tasks can be physically demanding and repetitive, RJPs help ensure that only well-informed candidates proceed, improving retention through self-selection (Landis, Earnest &amp; Allen, 2013).</w:t>
      </w:r>
      <w:r w:rsidRPr="008C4B0B">
        <w:rPr>
          <w:sz w:val="24"/>
          <w:szCs w:val="24"/>
        </w:rPr>
        <w:t xml:space="preserve"> </w:t>
      </w:r>
      <w:r w:rsidR="008535E2" w:rsidRPr="008C4B0B">
        <w:rPr>
          <w:sz w:val="24"/>
          <w:szCs w:val="24"/>
        </w:rPr>
        <w:t>A structured induction process is essential for integrating new employees into the organisational culture and operational routines (Ejaz &amp; Akbar, 2019). Armstrong and Taylor (2023) emphasise that effective onboarding enhances early retention and performance. For warehouse staff, induction should address not only safety protocols but also team dynamics, expectations, and support systems. According to the CIPD (2025d), well-designed induction fosters engagement and belonging, while early socialisation reduces anxiety and helps new hires feel competent and valued.</w:t>
      </w:r>
    </w:p>
    <w:p w14:paraId="391F1A23" w14:textId="048833E4" w:rsidR="00613988" w:rsidRDefault="00FF0B36" w:rsidP="00613988">
      <w:pPr>
        <w:rPr>
          <w:sz w:val="24"/>
          <w:szCs w:val="24"/>
        </w:rPr>
      </w:pPr>
      <w:r w:rsidRPr="00613988">
        <w:rPr>
          <w:sz w:val="24"/>
          <w:szCs w:val="24"/>
        </w:rPr>
        <w:t>Job enrichment involves redesigning roles to include more meaningful tasks, increased autonomy, and opportunities for development. Armstrong and Taylor (2023) associate job enrichment with enhanced employee engagement and reduced turnover. While warehouse roles are often standardised, enrichment is still possible through cross-training, involvement in problem-solving, and participation in continuous improvement initiatives. These practices can make routine tasks more engaging and foster a sense of ownership. The CIPD (2025d) highlights that job enrichment positively influences motivation and satisfaction</w:t>
      </w:r>
      <w:r w:rsidRPr="00613988">
        <w:rPr>
          <w:sz w:val="24"/>
          <w:szCs w:val="24"/>
        </w:rPr>
        <w:t xml:space="preserve"> </w:t>
      </w:r>
      <w:r w:rsidRPr="00613988">
        <w:rPr>
          <w:sz w:val="24"/>
          <w:szCs w:val="24"/>
        </w:rPr>
        <w:t xml:space="preserve">key predictors of retention. For example, rotating tasks or involving staff in workflow decisions </w:t>
      </w:r>
      <w:r w:rsidRPr="00613988">
        <w:rPr>
          <w:sz w:val="24"/>
          <w:szCs w:val="24"/>
        </w:rPr>
        <w:lastRenderedPageBreak/>
        <w:t>can reduce monotony and improve morale. Empirical studies by Bilal and Bashir (2016) and Ejaz and Akbar (2019) further support the link between enriched roles and lower turnover, particularly in operational settings where repetitive work can diminish motivation</w:t>
      </w:r>
      <w:r w:rsidR="0001731C" w:rsidRPr="00613988">
        <w:rPr>
          <w:sz w:val="24"/>
          <w:szCs w:val="24"/>
        </w:rPr>
        <w:t xml:space="preserve"> thus developing </w:t>
      </w:r>
      <w:r w:rsidR="00EB1A3F" w:rsidRPr="00613988">
        <w:rPr>
          <w:sz w:val="24"/>
          <w:szCs w:val="24"/>
        </w:rPr>
        <w:t>HR practices, including job enrichment, are essential for retaining employees in operational environments</w:t>
      </w:r>
      <w:r w:rsidR="00EB1A3F" w:rsidRPr="00613988">
        <w:rPr>
          <w:sz w:val="24"/>
          <w:szCs w:val="24"/>
        </w:rPr>
        <w:t xml:space="preserve"> (Armstrong </w:t>
      </w:r>
      <w:r w:rsidR="00613988" w:rsidRPr="00613988">
        <w:rPr>
          <w:sz w:val="24"/>
          <w:szCs w:val="24"/>
        </w:rPr>
        <w:t>&amp; Taylor, 2023).</w:t>
      </w:r>
    </w:p>
    <w:p w14:paraId="46EB09FF" w14:textId="77777777" w:rsidR="008C4B0B" w:rsidRPr="00613988" w:rsidRDefault="008C4B0B" w:rsidP="00613988">
      <w:pPr>
        <w:rPr>
          <w:sz w:val="24"/>
          <w:szCs w:val="24"/>
          <w:lang w:eastAsia="en-GB"/>
        </w:rPr>
      </w:pPr>
    </w:p>
    <w:p w14:paraId="6604BD95" w14:textId="04C6D283" w:rsidR="000B68C6" w:rsidRPr="00613988" w:rsidRDefault="000B68C6" w:rsidP="00613988">
      <w:pPr>
        <w:rPr>
          <w:sz w:val="24"/>
          <w:szCs w:val="24"/>
        </w:rPr>
      </w:pPr>
      <w:r w:rsidRPr="00613988">
        <w:rPr>
          <w:sz w:val="24"/>
          <w:szCs w:val="24"/>
        </w:rPr>
        <w:t>In contrast, reward strategies primarily target extrinsic motivation</w:t>
      </w:r>
      <w:r w:rsidR="00A5770B" w:rsidRPr="00613988">
        <w:rPr>
          <w:sz w:val="24"/>
          <w:szCs w:val="24"/>
        </w:rPr>
        <w:t xml:space="preserve"> (Taylor and </w:t>
      </w:r>
      <w:proofErr w:type="spellStart"/>
      <w:r w:rsidR="00A5770B" w:rsidRPr="00613988">
        <w:rPr>
          <w:sz w:val="24"/>
          <w:szCs w:val="24"/>
        </w:rPr>
        <w:t>Alla</w:t>
      </w:r>
      <w:proofErr w:type="spellEnd"/>
      <w:r w:rsidR="00A5770B" w:rsidRPr="00613988">
        <w:rPr>
          <w:sz w:val="24"/>
          <w:szCs w:val="24"/>
        </w:rPr>
        <w:t xml:space="preserve"> 2018). </w:t>
      </w:r>
      <w:r w:rsidRPr="00613988">
        <w:rPr>
          <w:sz w:val="24"/>
          <w:szCs w:val="24"/>
        </w:rPr>
        <w:t>These include both monetary rewards</w:t>
      </w:r>
      <w:r w:rsidR="00A5770B" w:rsidRPr="00613988">
        <w:rPr>
          <w:sz w:val="24"/>
          <w:szCs w:val="24"/>
        </w:rPr>
        <w:t xml:space="preserve"> </w:t>
      </w:r>
      <w:r w:rsidRPr="00613988">
        <w:rPr>
          <w:sz w:val="24"/>
          <w:szCs w:val="24"/>
        </w:rPr>
        <w:t>such as competitive pay, bonuses, and benefits</w:t>
      </w:r>
      <w:r w:rsidR="00D776FB" w:rsidRPr="00613988">
        <w:rPr>
          <w:sz w:val="24"/>
          <w:szCs w:val="24"/>
        </w:rPr>
        <w:t xml:space="preserve"> </w:t>
      </w:r>
      <w:r w:rsidRPr="00613988">
        <w:rPr>
          <w:sz w:val="24"/>
          <w:szCs w:val="24"/>
        </w:rPr>
        <w:t>and non-monetary rewards, like recognition, career development, and supportive supervision</w:t>
      </w:r>
      <w:r w:rsidR="00A5770B" w:rsidRPr="00613988">
        <w:rPr>
          <w:sz w:val="24"/>
          <w:szCs w:val="24"/>
        </w:rPr>
        <w:t xml:space="preserve"> (Taylor and </w:t>
      </w:r>
      <w:proofErr w:type="spellStart"/>
      <w:r w:rsidR="00A5770B" w:rsidRPr="00613988">
        <w:rPr>
          <w:sz w:val="24"/>
          <w:szCs w:val="24"/>
        </w:rPr>
        <w:t>Alla</w:t>
      </w:r>
      <w:proofErr w:type="spellEnd"/>
      <w:r w:rsidR="00A5770B" w:rsidRPr="00613988">
        <w:rPr>
          <w:sz w:val="24"/>
          <w:szCs w:val="24"/>
        </w:rPr>
        <w:t xml:space="preserve"> 2018). </w:t>
      </w:r>
      <w:r w:rsidRPr="00613988">
        <w:rPr>
          <w:sz w:val="24"/>
          <w:szCs w:val="24"/>
        </w:rPr>
        <w:t xml:space="preserve"> In a competitive labour market, especially for warehouse roles that may not offer long-term career appeal, financial incentives are crucial for attracting and retaining talent</w:t>
      </w:r>
      <w:r w:rsidR="00243000" w:rsidRPr="00613988">
        <w:rPr>
          <w:sz w:val="24"/>
          <w:szCs w:val="24"/>
        </w:rPr>
        <w:t xml:space="preserve"> (CIPD, 2025e).</w:t>
      </w:r>
      <w:r w:rsidRPr="00613988">
        <w:rPr>
          <w:sz w:val="24"/>
          <w:szCs w:val="24"/>
        </w:rPr>
        <w:t xml:space="preserve"> However, as the CIPD (202</w:t>
      </w:r>
      <w:r w:rsidR="00405C36" w:rsidRPr="00613988">
        <w:rPr>
          <w:sz w:val="24"/>
          <w:szCs w:val="24"/>
        </w:rPr>
        <w:t>5f</w:t>
      </w:r>
      <w:r w:rsidRPr="00613988">
        <w:rPr>
          <w:sz w:val="24"/>
          <w:szCs w:val="24"/>
        </w:rPr>
        <w:t xml:space="preserve">) notes, non-financial rewards also play a vital role in fostering loyalty and engagement. </w:t>
      </w:r>
      <w:r w:rsidR="00DD1F81" w:rsidRPr="00613988">
        <w:rPr>
          <w:sz w:val="24"/>
          <w:szCs w:val="24"/>
        </w:rPr>
        <w:t xml:space="preserve">According to the </w:t>
      </w:r>
      <w:proofErr w:type="spellStart"/>
      <w:r w:rsidR="00DD1F81" w:rsidRPr="00613988">
        <w:rPr>
          <w:sz w:val="24"/>
          <w:szCs w:val="24"/>
        </w:rPr>
        <w:t>iHire</w:t>
      </w:r>
      <w:proofErr w:type="spellEnd"/>
      <w:r w:rsidR="00DD1F81" w:rsidRPr="00613988">
        <w:rPr>
          <w:sz w:val="24"/>
          <w:szCs w:val="24"/>
        </w:rPr>
        <w:t xml:space="preserve"> 2024 Talent Retention Report, 68.1% of employees identified job security and access to benefits such as health insurance and retirement plans as key factors influencing their decision to remain with an employer. </w:t>
      </w:r>
      <w:r w:rsidRPr="00613988">
        <w:rPr>
          <w:sz w:val="24"/>
          <w:szCs w:val="24"/>
        </w:rPr>
        <w:t>A well-balanced reward system that combines extrinsic incentives with intrinsic motivators like training and job enrichment can significantly enhance employee retention</w:t>
      </w:r>
      <w:r w:rsidR="00163A71" w:rsidRPr="00613988">
        <w:rPr>
          <w:sz w:val="24"/>
          <w:szCs w:val="24"/>
        </w:rPr>
        <w:t xml:space="preserve"> (Taylor and </w:t>
      </w:r>
      <w:proofErr w:type="spellStart"/>
      <w:r w:rsidR="00163A71" w:rsidRPr="00613988">
        <w:rPr>
          <w:sz w:val="24"/>
          <w:szCs w:val="24"/>
        </w:rPr>
        <w:t>Alla</w:t>
      </w:r>
      <w:proofErr w:type="spellEnd"/>
      <w:r w:rsidR="00163A71" w:rsidRPr="00613988">
        <w:rPr>
          <w:sz w:val="24"/>
          <w:szCs w:val="24"/>
        </w:rPr>
        <w:t xml:space="preserve"> 2018).  </w:t>
      </w:r>
    </w:p>
    <w:p w14:paraId="1106C6B3" w14:textId="77777777" w:rsidR="00916B65" w:rsidRDefault="00916B65" w:rsidP="008178A8">
      <w:pPr>
        <w:pStyle w:val="Nornal"/>
        <w:rPr>
          <w:rStyle w:val="ui-provider"/>
          <w:rFonts w:ascii="Trebuchet MS" w:hAnsi="Trebuchet MS"/>
        </w:rPr>
      </w:pPr>
    </w:p>
    <w:p w14:paraId="576D2DAF" w14:textId="77777777" w:rsidR="008178A8" w:rsidRDefault="008178A8" w:rsidP="008178A8">
      <w:pPr>
        <w:pStyle w:val="Nornal"/>
        <w:rPr>
          <w:rFonts w:ascii="Trebuchet MS" w:hAnsi="Trebuchet MS"/>
        </w:rPr>
      </w:pPr>
    </w:p>
    <w:p w14:paraId="5B056BDA"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04ECA757" w14:textId="77777777" w:rsidR="00AD306C" w:rsidRDefault="00AD306C" w:rsidP="0011269E">
      <w:pPr>
        <w:rPr>
          <w:sz w:val="24"/>
          <w:szCs w:val="24"/>
        </w:rPr>
      </w:pPr>
    </w:p>
    <w:p w14:paraId="2E2C4039" w14:textId="0E0054DB" w:rsidR="00C54EF1" w:rsidRPr="00694EF8" w:rsidRDefault="00694EF8" w:rsidP="00694EF8">
      <w:pPr>
        <w:rPr>
          <w:sz w:val="24"/>
          <w:szCs w:val="24"/>
        </w:rPr>
      </w:pPr>
      <w:r w:rsidRPr="00694EF8">
        <w:rPr>
          <w:sz w:val="24"/>
          <w:szCs w:val="24"/>
        </w:rPr>
        <w:t>Employee turnover is a natural component of organisational life; however, it becomes dysfunctional when high-performing or strategically essential employees leave unexpectedly</w:t>
      </w:r>
      <w:r w:rsidR="00C0337A">
        <w:rPr>
          <w:sz w:val="24"/>
          <w:szCs w:val="24"/>
        </w:rPr>
        <w:t xml:space="preserve"> </w:t>
      </w:r>
      <w:r w:rsidR="00C0337A" w:rsidRPr="00C0337A">
        <w:rPr>
          <w:sz w:val="24"/>
          <w:szCs w:val="24"/>
        </w:rPr>
        <w:t>(</w:t>
      </w:r>
      <w:proofErr w:type="spellStart"/>
      <w:r w:rsidR="00C0337A" w:rsidRPr="00C0337A">
        <w:rPr>
          <w:sz w:val="24"/>
          <w:szCs w:val="24"/>
        </w:rPr>
        <w:t>Pilbeam</w:t>
      </w:r>
      <w:proofErr w:type="spellEnd"/>
      <w:r w:rsidR="00C0337A" w:rsidRPr="00C0337A">
        <w:rPr>
          <w:sz w:val="24"/>
          <w:szCs w:val="24"/>
        </w:rPr>
        <w:t xml:space="preserve"> and Corbridge 2010)</w:t>
      </w:r>
      <w:r w:rsidR="00C0337A">
        <w:rPr>
          <w:sz w:val="24"/>
          <w:szCs w:val="24"/>
        </w:rPr>
        <w:t>.</w:t>
      </w:r>
      <w:r w:rsidRPr="00C0337A">
        <w:rPr>
          <w:sz w:val="24"/>
          <w:szCs w:val="24"/>
        </w:rPr>
        <w:t xml:space="preserve"> Such</w:t>
      </w:r>
      <w:r w:rsidRPr="00694EF8">
        <w:rPr>
          <w:sz w:val="24"/>
          <w:szCs w:val="24"/>
        </w:rPr>
        <w:t xml:space="preserve"> departures can significantly impair organisational performance, disrupt operational continuity, and diminish workplace culture (The Health Foundation, n</w:t>
      </w:r>
      <w:r w:rsidRPr="00694EF8">
        <w:rPr>
          <w:sz w:val="24"/>
          <w:szCs w:val="24"/>
        </w:rPr>
        <w:t>o date</w:t>
      </w:r>
      <w:r w:rsidRPr="00694EF8">
        <w:rPr>
          <w:sz w:val="24"/>
          <w:szCs w:val="24"/>
        </w:rPr>
        <w:t>). Dysfunctional turnover refers specifically to the loss of key talent whose exit adversely affects morale and overall effectiveness (Armstrong &amp; Taylor, 2023).</w:t>
      </w:r>
      <w:r w:rsidRPr="00694EF8">
        <w:rPr>
          <w:sz w:val="24"/>
          <w:szCs w:val="24"/>
        </w:rPr>
        <w:t xml:space="preserve"> </w:t>
      </w:r>
      <w:r w:rsidR="00BD5C8D" w:rsidRPr="00694EF8">
        <w:rPr>
          <w:sz w:val="24"/>
          <w:szCs w:val="24"/>
        </w:rPr>
        <w:t>For senior leadership, acknowledging and proactively addressing the root causes and implications of dysfunctional turnover is not an operational concern but a critical strategic priority</w:t>
      </w:r>
      <w:r w:rsidR="00961C83" w:rsidRPr="00694EF8">
        <w:rPr>
          <w:sz w:val="24"/>
          <w:szCs w:val="24"/>
        </w:rPr>
        <w:t xml:space="preserve"> (Van Linden et al. 2021).</w:t>
      </w:r>
    </w:p>
    <w:p w14:paraId="6B5C5C1E" w14:textId="77777777" w:rsidR="00036991" w:rsidRDefault="00036991" w:rsidP="00C54EF1">
      <w:pPr>
        <w:pStyle w:val="Nornal"/>
        <w:ind w:left="720"/>
        <w:rPr>
          <w:rFonts w:ascii="Segoe UI" w:hAnsi="Segoe UI" w:cs="Segoe UI"/>
          <w:color w:val="424242"/>
          <w:shd w:val="clear" w:color="auto" w:fill="FAFAFA"/>
        </w:rPr>
      </w:pPr>
    </w:p>
    <w:p w14:paraId="2DC7B577" w14:textId="64018EBE" w:rsidR="00BD5C8D" w:rsidRDefault="00F74C1B" w:rsidP="0011269E">
      <w:pPr>
        <w:rPr>
          <w:sz w:val="24"/>
          <w:szCs w:val="24"/>
        </w:rPr>
      </w:pPr>
      <w:r w:rsidRPr="0011269E">
        <w:rPr>
          <w:sz w:val="24"/>
          <w:szCs w:val="24"/>
        </w:rPr>
        <w:t xml:space="preserve">One of the most immediate and measurable impacts of dysfunctional turnover is the financial burden it places on the organisation. According to the CIPD (2023b) high turnover rates can lead to substantial costs related to recruitment, onboarding, and training. These costs are compounded when experienced or high-performing employees leave, as their replacements often require time to reach full productivity. </w:t>
      </w:r>
      <w:r w:rsidR="00936D76" w:rsidRPr="0011269E">
        <w:rPr>
          <w:sz w:val="24"/>
          <w:szCs w:val="24"/>
        </w:rPr>
        <w:t xml:space="preserve">SHRM </w:t>
      </w:r>
      <w:r w:rsidR="00734DD6" w:rsidRPr="0011269E">
        <w:rPr>
          <w:sz w:val="24"/>
          <w:szCs w:val="24"/>
        </w:rPr>
        <w:t xml:space="preserve">(2024) </w:t>
      </w:r>
      <w:r w:rsidRPr="0011269E">
        <w:rPr>
          <w:sz w:val="24"/>
          <w:szCs w:val="24"/>
        </w:rPr>
        <w:t>estimates that the cost of replacing an employee can range from 50% to 250% of their annual salary, depending on the role and level of expertise.</w:t>
      </w:r>
      <w:r w:rsidR="000E673F">
        <w:rPr>
          <w:sz w:val="24"/>
          <w:szCs w:val="24"/>
        </w:rPr>
        <w:t xml:space="preserve"> </w:t>
      </w:r>
      <w:r w:rsidR="00036991" w:rsidRPr="00036991">
        <w:rPr>
          <w:sz w:val="24"/>
          <w:szCs w:val="24"/>
          <w:lang w:eastAsia="en-GB"/>
        </w:rPr>
        <w:t xml:space="preserve">Dysfunctional turnover leads to the erosion of </w:t>
      </w:r>
      <w:r w:rsidR="00036991" w:rsidRPr="00036991">
        <w:rPr>
          <w:sz w:val="24"/>
          <w:szCs w:val="24"/>
          <w:lang w:eastAsia="en-GB"/>
        </w:rPr>
        <w:lastRenderedPageBreak/>
        <w:t>institutional knowledge</w:t>
      </w:r>
      <w:r w:rsidR="00D61455" w:rsidRPr="0011269E">
        <w:rPr>
          <w:sz w:val="24"/>
          <w:szCs w:val="24"/>
        </w:rPr>
        <w:t>, t</w:t>
      </w:r>
      <w:r w:rsidR="00036991" w:rsidRPr="00036991">
        <w:rPr>
          <w:sz w:val="24"/>
          <w:szCs w:val="24"/>
          <w:lang w:eastAsia="en-GB"/>
        </w:rPr>
        <w:t>his loss can disrupt workflows, delay projects, and reduce service quality</w:t>
      </w:r>
      <w:r w:rsidR="001C55C1">
        <w:rPr>
          <w:sz w:val="24"/>
          <w:szCs w:val="24"/>
          <w:lang w:eastAsia="en-GB"/>
        </w:rPr>
        <w:t xml:space="preserve"> (</w:t>
      </w:r>
      <w:proofErr w:type="spellStart"/>
      <w:r w:rsidR="001C55C1" w:rsidRPr="001C55C1">
        <w:rPr>
          <w:sz w:val="24"/>
          <w:szCs w:val="24"/>
        </w:rPr>
        <w:t>Pilbeam</w:t>
      </w:r>
      <w:proofErr w:type="spellEnd"/>
      <w:r w:rsidR="001C55C1" w:rsidRPr="001C55C1">
        <w:rPr>
          <w:sz w:val="24"/>
          <w:szCs w:val="24"/>
        </w:rPr>
        <w:t xml:space="preserve"> and Corbridge 2010)</w:t>
      </w:r>
      <w:r w:rsidR="001C55C1" w:rsidRPr="001C55C1">
        <w:rPr>
          <w:sz w:val="24"/>
          <w:szCs w:val="24"/>
        </w:rPr>
        <w:t>.</w:t>
      </w:r>
      <w:r w:rsidR="00036991" w:rsidRPr="00036991">
        <w:rPr>
          <w:sz w:val="24"/>
          <w:szCs w:val="24"/>
          <w:lang w:eastAsia="en-GB"/>
        </w:rPr>
        <w:t xml:space="preserve"> </w:t>
      </w:r>
      <w:r w:rsidR="00E93BF1">
        <w:rPr>
          <w:sz w:val="24"/>
          <w:szCs w:val="24"/>
          <w:lang w:eastAsia="en-GB"/>
        </w:rPr>
        <w:t xml:space="preserve">The </w:t>
      </w:r>
      <w:r w:rsidR="00036991" w:rsidRPr="00036991">
        <w:rPr>
          <w:sz w:val="24"/>
          <w:szCs w:val="24"/>
          <w:lang w:eastAsia="en-GB"/>
        </w:rPr>
        <w:t xml:space="preserve">SHRM </w:t>
      </w:r>
      <w:r w:rsidR="00470B64" w:rsidRPr="0011269E">
        <w:rPr>
          <w:sz w:val="24"/>
          <w:szCs w:val="24"/>
        </w:rPr>
        <w:t>(2024)</w:t>
      </w:r>
      <w:r w:rsidR="00E93BF1">
        <w:rPr>
          <w:sz w:val="24"/>
          <w:szCs w:val="24"/>
        </w:rPr>
        <w:t xml:space="preserve"> state</w:t>
      </w:r>
      <w:r w:rsidR="00470B64" w:rsidRPr="0011269E">
        <w:rPr>
          <w:sz w:val="24"/>
          <w:szCs w:val="24"/>
        </w:rPr>
        <w:t xml:space="preserve"> t</w:t>
      </w:r>
      <w:r w:rsidR="00036991" w:rsidRPr="00036991">
        <w:rPr>
          <w:sz w:val="24"/>
          <w:szCs w:val="24"/>
          <w:lang w:eastAsia="en-GB"/>
        </w:rPr>
        <w:t>he departure of employees with hard-to-replace skills can significantly hinder organisational performance</w:t>
      </w:r>
      <w:r w:rsidR="00D24AED" w:rsidRPr="0011269E">
        <w:rPr>
          <w:sz w:val="24"/>
          <w:szCs w:val="24"/>
        </w:rPr>
        <w:t xml:space="preserve">. </w:t>
      </w:r>
      <w:r w:rsidR="001C551A" w:rsidRPr="0011269E">
        <w:rPr>
          <w:sz w:val="24"/>
          <w:szCs w:val="24"/>
        </w:rPr>
        <w:t xml:space="preserve">Sucher and </w:t>
      </w:r>
      <w:proofErr w:type="spellStart"/>
      <w:r w:rsidR="001C551A" w:rsidRPr="0011269E">
        <w:rPr>
          <w:sz w:val="24"/>
          <w:szCs w:val="24"/>
        </w:rPr>
        <w:t>Westner</w:t>
      </w:r>
      <w:proofErr w:type="spellEnd"/>
      <w:r w:rsidR="001C551A" w:rsidRPr="0011269E">
        <w:rPr>
          <w:sz w:val="24"/>
          <w:szCs w:val="24"/>
        </w:rPr>
        <w:t xml:space="preserve"> (2022) </w:t>
      </w:r>
      <w:r w:rsidR="00FD37FC">
        <w:rPr>
          <w:sz w:val="24"/>
          <w:szCs w:val="24"/>
        </w:rPr>
        <w:t xml:space="preserve">state </w:t>
      </w:r>
      <w:r w:rsidR="00036991" w:rsidRPr="00036991">
        <w:rPr>
          <w:sz w:val="24"/>
          <w:szCs w:val="24"/>
          <w:lang w:eastAsia="en-GB"/>
        </w:rPr>
        <w:t>layoffs and turnover often result in weakened engagement and lower innovation due to the loss of critical knowledge</w:t>
      </w:r>
      <w:r w:rsidR="001C551A" w:rsidRPr="0011269E">
        <w:rPr>
          <w:sz w:val="24"/>
          <w:szCs w:val="24"/>
        </w:rPr>
        <w:t xml:space="preserve">. </w:t>
      </w:r>
      <w:r w:rsidR="00036991" w:rsidRPr="0011269E">
        <w:rPr>
          <w:sz w:val="24"/>
          <w:szCs w:val="24"/>
          <w:lang w:eastAsia="en-GB"/>
        </w:rPr>
        <w:t>Furthermore, poor knowledge management can</w:t>
      </w:r>
      <w:r w:rsidR="00213EFA">
        <w:rPr>
          <w:sz w:val="24"/>
          <w:szCs w:val="24"/>
          <w:lang w:eastAsia="en-GB"/>
        </w:rPr>
        <w:t xml:space="preserve"> pose a financial burden for organisations </w:t>
      </w:r>
      <w:r w:rsidR="00036991" w:rsidRPr="0011269E">
        <w:rPr>
          <w:sz w:val="24"/>
          <w:szCs w:val="24"/>
          <w:lang w:eastAsia="en-GB"/>
        </w:rPr>
        <w:t>with employees spending significant time searching for or recreating lost information</w:t>
      </w:r>
      <w:r w:rsidR="00085641" w:rsidRPr="0011269E">
        <w:rPr>
          <w:sz w:val="24"/>
          <w:szCs w:val="24"/>
        </w:rPr>
        <w:t xml:space="preserve"> (Elzinga and Lavoie, </w:t>
      </w:r>
      <w:r w:rsidR="0011269E" w:rsidRPr="0011269E">
        <w:rPr>
          <w:sz w:val="24"/>
          <w:szCs w:val="24"/>
        </w:rPr>
        <w:t xml:space="preserve">2024). </w:t>
      </w:r>
    </w:p>
    <w:p w14:paraId="651D01AB" w14:textId="77777777" w:rsidR="00041CD7" w:rsidRDefault="00041CD7" w:rsidP="0011269E">
      <w:pPr>
        <w:rPr>
          <w:sz w:val="24"/>
          <w:szCs w:val="24"/>
        </w:rPr>
      </w:pPr>
    </w:p>
    <w:p w14:paraId="4F87E9AA" w14:textId="1DBA6267" w:rsidR="007B4C17" w:rsidRPr="00D67B52" w:rsidRDefault="00041CD7" w:rsidP="00D67B52">
      <w:pPr>
        <w:rPr>
          <w:sz w:val="24"/>
          <w:szCs w:val="24"/>
        </w:rPr>
      </w:pPr>
      <w:r w:rsidRPr="00D67B52">
        <w:rPr>
          <w:sz w:val="24"/>
          <w:szCs w:val="24"/>
        </w:rPr>
        <w:t xml:space="preserve">High turnover, particularly among respected or long-serving employees, can significantly demoralise teams, increase workloads, and contribute to burnout, ultimately diminishing organisational capacity (SHRM, 2024). </w:t>
      </w:r>
      <w:r w:rsidR="00DA5251">
        <w:rPr>
          <w:sz w:val="24"/>
          <w:szCs w:val="24"/>
        </w:rPr>
        <w:t xml:space="preserve">This process can </w:t>
      </w:r>
      <w:r w:rsidRPr="00D67B52">
        <w:rPr>
          <w:sz w:val="24"/>
          <w:szCs w:val="24"/>
        </w:rPr>
        <w:t>undermine trust in leadership and disrupt long-term strategic initiatives, leading to strategic drift and reduced innovation (</w:t>
      </w:r>
      <w:proofErr w:type="spellStart"/>
      <w:r w:rsidRPr="00D67B52">
        <w:rPr>
          <w:sz w:val="24"/>
          <w:szCs w:val="24"/>
        </w:rPr>
        <w:t>Elzinga</w:t>
      </w:r>
      <w:proofErr w:type="spellEnd"/>
      <w:r w:rsidRPr="00D67B52">
        <w:rPr>
          <w:sz w:val="24"/>
          <w:szCs w:val="24"/>
        </w:rPr>
        <w:t xml:space="preserve"> &amp; Lavoie, 2024; Sucher &amp; </w:t>
      </w:r>
      <w:proofErr w:type="spellStart"/>
      <w:r w:rsidRPr="00D67B52">
        <w:rPr>
          <w:sz w:val="24"/>
          <w:szCs w:val="24"/>
        </w:rPr>
        <w:t>Westner</w:t>
      </w:r>
      <w:proofErr w:type="spellEnd"/>
      <w:r w:rsidRPr="00D67B52">
        <w:rPr>
          <w:sz w:val="24"/>
          <w:szCs w:val="24"/>
        </w:rPr>
        <w:t>, 2022). The departure of high-potential or strategically critical employees further exacerbates these challenges, weakening employee engagement and organisational focus.</w:t>
      </w:r>
      <w:r w:rsidR="007F2977" w:rsidRPr="00D67B52">
        <w:rPr>
          <w:sz w:val="24"/>
          <w:szCs w:val="24"/>
        </w:rPr>
        <w:t xml:space="preserve"> </w:t>
      </w:r>
      <w:r w:rsidR="00994C1E" w:rsidRPr="00D67B52">
        <w:rPr>
          <w:sz w:val="24"/>
          <w:szCs w:val="24"/>
        </w:rPr>
        <w:t>Un</w:t>
      </w:r>
      <w:r w:rsidR="00D67B52" w:rsidRPr="00D67B52">
        <w:rPr>
          <w:sz w:val="24"/>
          <w:szCs w:val="24"/>
        </w:rPr>
        <w:t>-</w:t>
      </w:r>
      <w:r w:rsidR="00994C1E" w:rsidRPr="00D67B52">
        <w:rPr>
          <w:sz w:val="24"/>
          <w:szCs w:val="24"/>
        </w:rPr>
        <w:t xml:space="preserve">checked turnover also inflates costs and damages employer reputation (CIPD, 2023c). </w:t>
      </w:r>
      <w:r w:rsidR="000E6030" w:rsidRPr="00D67B52">
        <w:rPr>
          <w:sz w:val="24"/>
          <w:szCs w:val="24"/>
        </w:rPr>
        <w:t>By proactively managing retention through effective engagement, development opportunities, and succession planning, organisations can safeguard their institutional knowledge, maintain strategic alignment, and strengthen their employer brand (Armstrong &amp; Taylor, 2022).</w:t>
      </w:r>
    </w:p>
    <w:p w14:paraId="5F17553E" w14:textId="77777777" w:rsidR="00614D06" w:rsidRPr="009A16A8" w:rsidRDefault="00614D06" w:rsidP="009A16A8">
      <w:pPr>
        <w:rPr>
          <w:sz w:val="24"/>
          <w:szCs w:val="24"/>
          <w:lang w:eastAsia="en-GB"/>
        </w:rPr>
      </w:pPr>
    </w:p>
    <w:p w14:paraId="273CC519" w14:textId="77777777" w:rsidR="00310449" w:rsidRDefault="00310449" w:rsidP="0052056A">
      <w:pPr>
        <w:spacing w:after="0" w:line="240" w:lineRule="auto"/>
        <w:rPr>
          <w:sz w:val="24"/>
          <w:szCs w:val="24"/>
        </w:rPr>
      </w:pPr>
    </w:p>
    <w:p w14:paraId="0CE6A04F" w14:textId="77777777" w:rsidR="00310449" w:rsidRPr="00310449" w:rsidRDefault="00310449" w:rsidP="0052056A">
      <w:pPr>
        <w:spacing w:after="0" w:line="240" w:lineRule="auto"/>
        <w:rPr>
          <w:rFonts w:ascii="Segoe UI" w:hAnsi="Segoe UI" w:cs="Segoe UI"/>
          <w:color w:val="424242"/>
          <w:shd w:val="clear" w:color="auto" w:fill="FAFAFA"/>
        </w:rPr>
      </w:pPr>
    </w:p>
    <w:p w14:paraId="2FF17D7A" w14:textId="77777777" w:rsidR="0011269E" w:rsidRPr="0011269E" w:rsidRDefault="0011269E" w:rsidP="0011269E">
      <w:pPr>
        <w:rPr>
          <w:sz w:val="24"/>
          <w:szCs w:val="24"/>
          <w:lang w:eastAsia="en-GB"/>
        </w:rPr>
      </w:pPr>
    </w:p>
    <w:p w14:paraId="47D7C1E6" w14:textId="77777777" w:rsidR="00C54EF1" w:rsidRDefault="00C54EF1" w:rsidP="00C54EF1">
      <w:pPr>
        <w:pStyle w:val="Nornal"/>
        <w:ind w:left="720"/>
        <w:rPr>
          <w:rFonts w:ascii="Trebuchet MS" w:hAnsi="Trebuchet MS"/>
        </w:rPr>
      </w:pPr>
    </w:p>
    <w:p w14:paraId="16373B9B" w14:textId="77777777" w:rsidR="00346DE7" w:rsidRDefault="00346DE7" w:rsidP="00C54EF1">
      <w:pPr>
        <w:pStyle w:val="Nornal"/>
        <w:ind w:left="720"/>
        <w:rPr>
          <w:rFonts w:ascii="Trebuchet MS" w:hAnsi="Trebuchet MS"/>
        </w:rPr>
      </w:pPr>
    </w:p>
    <w:p w14:paraId="08B723AE" w14:textId="77777777" w:rsidR="00346DE7" w:rsidRDefault="00346DE7" w:rsidP="00C54EF1">
      <w:pPr>
        <w:pStyle w:val="Nornal"/>
        <w:ind w:left="720"/>
        <w:rPr>
          <w:rFonts w:ascii="Trebuchet MS" w:hAnsi="Trebuchet MS"/>
        </w:rPr>
      </w:pPr>
    </w:p>
    <w:p w14:paraId="620C2893" w14:textId="77777777" w:rsidR="00346DE7" w:rsidRDefault="00346DE7" w:rsidP="00C54EF1">
      <w:pPr>
        <w:pStyle w:val="Nornal"/>
        <w:ind w:left="720"/>
        <w:rPr>
          <w:rFonts w:ascii="Trebuchet MS" w:hAnsi="Trebuchet MS"/>
        </w:rPr>
      </w:pPr>
    </w:p>
    <w:p w14:paraId="74A519E1" w14:textId="77777777" w:rsidR="00346DE7" w:rsidRDefault="00346DE7" w:rsidP="00C54EF1">
      <w:pPr>
        <w:pStyle w:val="Nornal"/>
        <w:ind w:left="720"/>
        <w:rPr>
          <w:rFonts w:ascii="Trebuchet MS" w:hAnsi="Trebuchet MS"/>
        </w:rPr>
      </w:pPr>
    </w:p>
    <w:p w14:paraId="0691F788" w14:textId="77777777" w:rsidR="00346DE7" w:rsidRDefault="00346DE7" w:rsidP="00C54EF1">
      <w:pPr>
        <w:pStyle w:val="Nornal"/>
        <w:ind w:left="720"/>
        <w:rPr>
          <w:rFonts w:ascii="Trebuchet MS" w:hAnsi="Trebuchet MS"/>
        </w:rPr>
      </w:pPr>
    </w:p>
    <w:p w14:paraId="139CA8BA" w14:textId="77777777" w:rsidR="00346DE7" w:rsidRDefault="00346DE7" w:rsidP="00C54EF1">
      <w:pPr>
        <w:pStyle w:val="Nornal"/>
        <w:ind w:left="720"/>
        <w:rPr>
          <w:rFonts w:ascii="Trebuchet MS" w:hAnsi="Trebuchet MS"/>
        </w:rPr>
      </w:pPr>
    </w:p>
    <w:p w14:paraId="643E71AF" w14:textId="77777777" w:rsidR="00346DE7" w:rsidRDefault="00346DE7" w:rsidP="00C54EF1">
      <w:pPr>
        <w:pStyle w:val="Nornal"/>
        <w:ind w:left="720"/>
        <w:rPr>
          <w:rFonts w:ascii="Trebuchet MS" w:hAnsi="Trebuchet MS"/>
        </w:rPr>
      </w:pPr>
    </w:p>
    <w:p w14:paraId="67851B46" w14:textId="77777777" w:rsidR="00346DE7" w:rsidRDefault="00346DE7" w:rsidP="00C54EF1">
      <w:pPr>
        <w:pStyle w:val="Nornal"/>
        <w:ind w:left="720"/>
        <w:rPr>
          <w:rFonts w:ascii="Trebuchet MS" w:hAnsi="Trebuchet MS"/>
        </w:rPr>
      </w:pPr>
    </w:p>
    <w:p w14:paraId="7A077DF5" w14:textId="4689B5D6" w:rsidR="006C0C39" w:rsidRDefault="006C0C39" w:rsidP="006C0C39">
      <w:pPr>
        <w:pStyle w:val="ListParagraph"/>
        <w:numPr>
          <w:ilvl w:val="0"/>
          <w:numId w:val="3"/>
        </w:numPr>
        <w:rPr>
          <w:rStyle w:val="ui-provide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r w:rsidR="00876163">
        <w:rPr>
          <w:rStyle w:val="ui-provider"/>
          <w:rFonts w:ascii="Trebuchet MS" w:hAnsi="Trebuchet MS"/>
        </w:rPr>
        <w:t xml:space="preserve"> </w:t>
      </w:r>
    </w:p>
    <w:p w14:paraId="448A6639" w14:textId="77777777" w:rsidR="00DD3AC3" w:rsidRDefault="00DD3AC3" w:rsidP="00DD3AC3">
      <w:pPr>
        <w:pStyle w:val="ListParagraph"/>
        <w:rPr>
          <w:rStyle w:val="ui-provider"/>
          <w:rFonts w:ascii="Trebuchet MS" w:hAnsi="Trebuchet MS"/>
        </w:rPr>
      </w:pPr>
    </w:p>
    <w:p w14:paraId="37834D5A" w14:textId="5BE2DD8F" w:rsidR="00DD3AC3" w:rsidRDefault="00DD3AC3" w:rsidP="00DD3AC3">
      <w:pPr>
        <w:pStyle w:val="ListParagraph"/>
        <w:rPr>
          <w:rStyle w:val="ui-provider"/>
          <w:rFonts w:ascii="Trebuchet MS" w:hAnsi="Trebuchet MS"/>
        </w:rPr>
      </w:pPr>
    </w:p>
    <w:p w14:paraId="501F2C93" w14:textId="77777777" w:rsidR="00E55B83" w:rsidRPr="00DA4A33" w:rsidRDefault="00E55B83" w:rsidP="00E55B83">
      <w:pPr>
        <w:rPr>
          <w:rStyle w:val="ui-provider"/>
          <w:rFonts w:ascii="Trebuchet MS" w:hAnsi="Trebuchet MS"/>
          <w:sz w:val="24"/>
          <w:szCs w:val="24"/>
        </w:rPr>
      </w:pPr>
    </w:p>
    <w:p w14:paraId="309B8B63" w14:textId="1D834CC3" w:rsidR="00F844B5" w:rsidRDefault="00CD200E" w:rsidP="00CD200E">
      <w:pPr>
        <w:rPr>
          <w:sz w:val="24"/>
          <w:szCs w:val="24"/>
        </w:rPr>
      </w:pPr>
      <w:r w:rsidRPr="00CD200E">
        <w:rPr>
          <w:sz w:val="24"/>
          <w:szCs w:val="24"/>
        </w:rPr>
        <w:t>Choosing the right employment contract is key to balancing efficiency, legal compliance, and employee satisfaction (GOV.UK, n</w:t>
      </w:r>
      <w:r w:rsidR="00DB3571">
        <w:rPr>
          <w:sz w:val="24"/>
          <w:szCs w:val="24"/>
        </w:rPr>
        <w:t>o date</w:t>
      </w:r>
      <w:r w:rsidRPr="00CD200E">
        <w:rPr>
          <w:sz w:val="24"/>
          <w:szCs w:val="24"/>
        </w:rPr>
        <w:t xml:space="preserve">). Full-time contracts offer job security, fixed hours, and full employment rights, making them ideal for organisations like </w:t>
      </w:r>
      <w:proofErr w:type="spellStart"/>
      <w:r w:rsidRPr="00CD200E">
        <w:rPr>
          <w:sz w:val="24"/>
          <w:szCs w:val="24"/>
        </w:rPr>
        <w:t>ParcelCare</w:t>
      </w:r>
      <w:proofErr w:type="spellEnd"/>
      <w:r w:rsidRPr="00CD200E">
        <w:rPr>
          <w:sz w:val="24"/>
          <w:szCs w:val="24"/>
        </w:rPr>
        <w:t xml:space="preserve"> with consistent delivery demands. They support workforce stability, route planning, and customer service, while also fostering loyalty and reducing turnover (Daniels, 2022). However, their rigidity can strain smaller firms during quieter periods, as wages must still be paid despite reduced workload (Daniels, 2022).</w:t>
      </w:r>
    </w:p>
    <w:p w14:paraId="4D6994AC" w14:textId="77777777" w:rsidR="004D4E1F" w:rsidRDefault="004D4E1F" w:rsidP="00CD200E">
      <w:pPr>
        <w:rPr>
          <w:sz w:val="24"/>
          <w:szCs w:val="24"/>
        </w:rPr>
      </w:pPr>
    </w:p>
    <w:p w14:paraId="65AB8963" w14:textId="45C37114" w:rsidR="00CD200E" w:rsidRPr="004D4E1F" w:rsidRDefault="009F7AF4" w:rsidP="004D4E1F">
      <w:pPr>
        <w:rPr>
          <w:sz w:val="24"/>
          <w:szCs w:val="24"/>
        </w:rPr>
      </w:pPr>
      <w:r w:rsidRPr="004D4E1F">
        <w:rPr>
          <w:sz w:val="24"/>
          <w:szCs w:val="24"/>
        </w:rPr>
        <w:t>Permanent contracts, grounded in UK employment law, offer the highest job security, including benefits such as sick pay, holiday entitlement, and protection from unfair dismissal (HM Government, n</w:t>
      </w:r>
      <w:r w:rsidRPr="004D4E1F">
        <w:rPr>
          <w:sz w:val="24"/>
          <w:szCs w:val="24"/>
        </w:rPr>
        <w:t>o date</w:t>
      </w:r>
      <w:r w:rsidRPr="004D4E1F">
        <w:rPr>
          <w:sz w:val="24"/>
          <w:szCs w:val="24"/>
        </w:rPr>
        <w:t xml:space="preserve">.). Unlike fixed-term contracts, they provide ongoing employment, enhancing retention and morale (SHRM, 2024). </w:t>
      </w:r>
      <w:r w:rsidR="0089390E" w:rsidRPr="004D4E1F">
        <w:rPr>
          <w:sz w:val="24"/>
          <w:szCs w:val="24"/>
        </w:rPr>
        <w:t xml:space="preserve">They offer more stability than full-time contracts (FTC) as they provide continuous employment without a specified end date, offer a range of strategic advantages for organisations which can lead to better employee retention (SHRM, 2024). </w:t>
      </w:r>
      <w:r w:rsidRPr="004D4E1F">
        <w:rPr>
          <w:sz w:val="24"/>
          <w:szCs w:val="24"/>
        </w:rPr>
        <w:t>Job security fosters motivation and commitment, particularly among drivers (</w:t>
      </w:r>
      <w:proofErr w:type="spellStart"/>
      <w:r w:rsidRPr="004D4E1F">
        <w:rPr>
          <w:sz w:val="24"/>
          <w:szCs w:val="24"/>
        </w:rPr>
        <w:t>Castellacci</w:t>
      </w:r>
      <w:proofErr w:type="spellEnd"/>
      <w:r w:rsidRPr="004D4E1F">
        <w:rPr>
          <w:sz w:val="24"/>
          <w:szCs w:val="24"/>
        </w:rPr>
        <w:t xml:space="preserve"> &amp; Vinas-</w:t>
      </w:r>
      <w:proofErr w:type="spellStart"/>
      <w:r w:rsidRPr="004D4E1F">
        <w:rPr>
          <w:sz w:val="24"/>
          <w:szCs w:val="24"/>
        </w:rPr>
        <w:t>Bardolet</w:t>
      </w:r>
      <w:proofErr w:type="spellEnd"/>
      <w:r w:rsidRPr="004D4E1F">
        <w:rPr>
          <w:sz w:val="24"/>
          <w:szCs w:val="24"/>
        </w:rPr>
        <w:t>, 2021). While advantageous for delivery firms, their suitability depends on the organisation’s size, model, and operational needs (SHRM, 2024).</w:t>
      </w:r>
    </w:p>
    <w:p w14:paraId="5767147E" w14:textId="77777777" w:rsidR="00A379EF" w:rsidRPr="00DA4A33" w:rsidRDefault="00A379EF" w:rsidP="0006036E">
      <w:pPr>
        <w:spacing w:after="0" w:line="240" w:lineRule="auto"/>
        <w:rPr>
          <w:rFonts w:ascii="Segoe UI" w:eastAsia="Times New Roman" w:hAnsi="Segoe UI" w:cs="Segoe UI"/>
          <w:color w:val="424242"/>
          <w:kern w:val="0"/>
          <w:sz w:val="24"/>
          <w:szCs w:val="24"/>
          <w:shd w:val="clear" w:color="auto" w:fill="FAFAFA"/>
          <w:lang w:eastAsia="en-GB"/>
          <w14:ligatures w14:val="none"/>
        </w:rPr>
      </w:pPr>
    </w:p>
    <w:p w14:paraId="50D25F33" w14:textId="77777777" w:rsidR="00A379EF" w:rsidRPr="00DA4A33" w:rsidRDefault="00A379EF" w:rsidP="0006036E">
      <w:pPr>
        <w:spacing w:after="0" w:line="240" w:lineRule="auto"/>
        <w:rPr>
          <w:rFonts w:ascii="Times New Roman" w:eastAsia="Times New Roman" w:hAnsi="Times New Roman" w:cs="Times New Roman"/>
          <w:kern w:val="0"/>
          <w:sz w:val="24"/>
          <w:szCs w:val="24"/>
          <w:lang w:eastAsia="en-GB"/>
          <w14:ligatures w14:val="none"/>
        </w:rPr>
      </w:pPr>
    </w:p>
    <w:p w14:paraId="645D838C" w14:textId="0B8084EA" w:rsidR="00DA54D4" w:rsidRPr="00DF2F1F" w:rsidRDefault="00671904" w:rsidP="00DF2F1F">
      <w:pPr>
        <w:rPr>
          <w:sz w:val="24"/>
          <w:szCs w:val="24"/>
        </w:rPr>
      </w:pPr>
      <w:r w:rsidRPr="00DF2F1F">
        <w:rPr>
          <w:sz w:val="24"/>
          <w:szCs w:val="24"/>
        </w:rPr>
        <w:t>Fixed-term contracts (FTCs) are time-bound agreements used to cover specific tasks or periods, such as seasonal peaks or temporary absences (GOV.UK, n</w:t>
      </w:r>
      <w:r w:rsidR="00C0601F">
        <w:rPr>
          <w:sz w:val="24"/>
          <w:szCs w:val="24"/>
        </w:rPr>
        <w:t>o date</w:t>
      </w:r>
      <w:r w:rsidRPr="00DF2F1F">
        <w:rPr>
          <w:sz w:val="24"/>
          <w:szCs w:val="24"/>
        </w:rPr>
        <w:t>.; CIPD, 2021). Under the Fixed-term Employees Regulations 2002, employers must treat FTC workers no less favourably than permanent staff. Daniels (2022) notes that FTC</w:t>
      </w:r>
      <w:r w:rsidR="00F8697F">
        <w:rPr>
          <w:sz w:val="24"/>
          <w:szCs w:val="24"/>
        </w:rPr>
        <w:t>’</w:t>
      </w:r>
      <w:r w:rsidRPr="00DF2F1F">
        <w:rPr>
          <w:sz w:val="24"/>
          <w:szCs w:val="24"/>
        </w:rPr>
        <w:t>s offer clarity on job duration and expectations, reducing disputes while ensuring legal protections like holiday pay and anti-discrimination rights for contracts over one month. These contracts balance operational flexibility with legal safeguards, making them well-suited to project-based roles in sectors like delivery. However, overreliance on FTC</w:t>
      </w:r>
      <w:r w:rsidR="00F8697F">
        <w:rPr>
          <w:sz w:val="24"/>
          <w:szCs w:val="24"/>
        </w:rPr>
        <w:t>’</w:t>
      </w:r>
      <w:r w:rsidRPr="00DF2F1F">
        <w:rPr>
          <w:sz w:val="24"/>
          <w:szCs w:val="24"/>
        </w:rPr>
        <w:t>s can lead to job insecurity and low morale, especially when prospects for permanent roles are limited. This insecurity may discourage absenteeism, as workers seek to secure future employment. Employers must also be mindful of legal provisions, such as the right to permanent status after four years of continuous service (</w:t>
      </w:r>
      <w:proofErr w:type="spellStart"/>
      <w:r w:rsidRPr="00DF2F1F">
        <w:rPr>
          <w:sz w:val="24"/>
          <w:szCs w:val="24"/>
        </w:rPr>
        <w:t>Acas</w:t>
      </w:r>
      <w:proofErr w:type="spellEnd"/>
      <w:r w:rsidRPr="00DF2F1F">
        <w:rPr>
          <w:sz w:val="24"/>
          <w:szCs w:val="24"/>
        </w:rPr>
        <w:t>, no date).</w:t>
      </w:r>
    </w:p>
    <w:p w14:paraId="68EF4C31" w14:textId="77777777" w:rsidR="00DF2F1F" w:rsidRPr="00DA4A33" w:rsidRDefault="00DF2F1F" w:rsidP="00DA4A33">
      <w:pPr>
        <w:rPr>
          <w:sz w:val="24"/>
          <w:szCs w:val="24"/>
        </w:rPr>
      </w:pPr>
    </w:p>
    <w:p w14:paraId="65AEDCC4" w14:textId="711B510C" w:rsidR="00C41DD8" w:rsidRPr="008107F2" w:rsidRDefault="00617B02" w:rsidP="008107F2">
      <w:pPr>
        <w:rPr>
          <w:sz w:val="24"/>
          <w:szCs w:val="24"/>
        </w:rPr>
      </w:pPr>
      <w:r w:rsidRPr="008107F2">
        <w:rPr>
          <w:sz w:val="24"/>
          <w:szCs w:val="24"/>
        </w:rPr>
        <w:t>Zero-hours contracts offer employers flexibility, making them common in start-ups, gig platforms, and sectors with fluctuating demand, such as delivery services (</w:t>
      </w:r>
      <w:proofErr w:type="spellStart"/>
      <w:r w:rsidRPr="008107F2">
        <w:rPr>
          <w:sz w:val="24"/>
          <w:szCs w:val="24"/>
        </w:rPr>
        <w:t>Acas</w:t>
      </w:r>
      <w:proofErr w:type="spellEnd"/>
      <w:r w:rsidRPr="008107F2">
        <w:rPr>
          <w:sz w:val="24"/>
          <w:szCs w:val="24"/>
        </w:rPr>
        <w:t>, no date). For workers, they can provide adaptable schedules, but also raise concerns about income insecurity and limited employment rights. While such workers are entitled to minimum wage, holiday pay, and protection from discrimination, they may lack access to redundancy pay or unfair dismissal protection unless classified as employees (GOV.UK, n</w:t>
      </w:r>
      <w:r w:rsidR="00461ADE">
        <w:rPr>
          <w:sz w:val="24"/>
          <w:szCs w:val="24"/>
        </w:rPr>
        <w:t>o date</w:t>
      </w:r>
      <w:r w:rsidRPr="008107F2">
        <w:rPr>
          <w:sz w:val="24"/>
          <w:szCs w:val="24"/>
        </w:rPr>
        <w:t xml:space="preserve">.; </w:t>
      </w:r>
      <w:proofErr w:type="spellStart"/>
      <w:r w:rsidRPr="008107F2">
        <w:rPr>
          <w:sz w:val="24"/>
          <w:szCs w:val="24"/>
        </w:rPr>
        <w:t>Acas</w:t>
      </w:r>
      <w:proofErr w:type="spellEnd"/>
      <w:r w:rsidRPr="008107F2">
        <w:rPr>
          <w:sz w:val="24"/>
          <w:szCs w:val="24"/>
        </w:rPr>
        <w:t xml:space="preserve">, no date). Daniels (2022) warns that without ethical management, these arrangements risk </w:t>
      </w:r>
      <w:r w:rsidRPr="008107F2">
        <w:rPr>
          <w:sz w:val="24"/>
          <w:szCs w:val="24"/>
        </w:rPr>
        <w:lastRenderedPageBreak/>
        <w:t>exploitation. Legal reforms, including the ban on exclusivity clauses under the Employment Rights Act 1996 and proposed measures in the Employment Rights Bill (2024), aim to improve protections by requiring fairer contracts and notice periods. Given the lack of detailed written terms in many cases, implied terms</w:t>
      </w:r>
      <w:r w:rsidR="008107F2" w:rsidRPr="008107F2">
        <w:rPr>
          <w:sz w:val="24"/>
          <w:szCs w:val="24"/>
        </w:rPr>
        <w:t xml:space="preserve"> </w:t>
      </w:r>
      <w:r w:rsidRPr="008107F2">
        <w:rPr>
          <w:sz w:val="24"/>
          <w:szCs w:val="24"/>
        </w:rPr>
        <w:t>such as the right to a safe workplace and fair pay</w:t>
      </w:r>
      <w:r w:rsidR="008107F2" w:rsidRPr="008107F2">
        <w:rPr>
          <w:sz w:val="24"/>
          <w:szCs w:val="24"/>
        </w:rPr>
        <w:t xml:space="preserve"> </w:t>
      </w:r>
      <w:r w:rsidRPr="008107F2">
        <w:rPr>
          <w:sz w:val="24"/>
          <w:szCs w:val="24"/>
        </w:rPr>
        <w:t>remain crucial (HM Government, no date).</w:t>
      </w:r>
    </w:p>
    <w:p w14:paraId="1B08DD44" w14:textId="77777777" w:rsidR="009E65B4" w:rsidRDefault="009E65B4" w:rsidP="005A2F28">
      <w:pPr>
        <w:rPr>
          <w:rFonts w:ascii="Segoe UI" w:hAnsi="Segoe UI" w:cs="Segoe UI"/>
          <w:color w:val="424242"/>
          <w:shd w:val="clear" w:color="auto" w:fill="FAFAFA"/>
        </w:rPr>
      </w:pPr>
    </w:p>
    <w:p w14:paraId="738B76A5" w14:textId="77777777" w:rsidR="006C0C39" w:rsidRDefault="006C0C39" w:rsidP="006C0C39">
      <w:pPr>
        <w:pStyle w:val="Body"/>
        <w:rPr>
          <w:rFonts w:ascii="Trebuchet MS" w:eastAsia="Trebuchet MS" w:hAnsi="Trebuchet MS" w:cs="Trebuchet MS"/>
        </w:rPr>
      </w:pPr>
    </w:p>
    <w:p w14:paraId="48538470"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34D6219" w14:textId="71879598" w:rsidR="009A5C93" w:rsidRDefault="009A5C93" w:rsidP="009A5C93">
      <w:pPr>
        <w:pStyle w:val="Nornal"/>
        <w:ind w:left="720"/>
        <w:rPr>
          <w:rStyle w:val="ui-provider"/>
          <w:rFonts w:ascii="Trebuchet MS" w:hAnsi="Trebuchet MS"/>
        </w:rPr>
      </w:pPr>
    </w:p>
    <w:p w14:paraId="032C7E2A" w14:textId="77777777" w:rsidR="00094551" w:rsidRDefault="00094551" w:rsidP="009A5C93">
      <w:pPr>
        <w:pStyle w:val="Nornal"/>
        <w:ind w:left="720"/>
        <w:rPr>
          <w:rStyle w:val="ui-provider"/>
          <w:rFonts w:ascii="Trebuchet MS" w:hAnsi="Trebuchet MS"/>
        </w:rPr>
      </w:pPr>
    </w:p>
    <w:p w14:paraId="3A0496BC" w14:textId="693C5645" w:rsidR="00094551" w:rsidRPr="00461ADE" w:rsidRDefault="00094551" w:rsidP="00461ADE">
      <w:pPr>
        <w:rPr>
          <w:sz w:val="24"/>
          <w:szCs w:val="24"/>
        </w:rPr>
      </w:pPr>
      <w:r w:rsidRPr="00461ADE">
        <w:rPr>
          <w:sz w:val="24"/>
          <w:szCs w:val="24"/>
        </w:rPr>
        <w:t>Armstrong and Taylor (202</w:t>
      </w:r>
      <w:r w:rsidR="00C12262">
        <w:rPr>
          <w:sz w:val="24"/>
          <w:szCs w:val="24"/>
        </w:rPr>
        <w:t>3</w:t>
      </w:r>
      <w:r w:rsidRPr="00461ADE">
        <w:rPr>
          <w:sz w:val="24"/>
          <w:szCs w:val="24"/>
        </w:rPr>
        <w:t xml:space="preserve">) emphasise that onboarding plays a critical role in helping new employees understand their roles, assimilate into the organisational culture, and recognise how their contributions align with broader business objectives. </w:t>
      </w:r>
      <w:r w:rsidR="00C76747" w:rsidRPr="00461ADE">
        <w:rPr>
          <w:sz w:val="24"/>
          <w:szCs w:val="24"/>
        </w:rPr>
        <w:t>According to the CIPD (2025g), effective onboarding expedites the integration process by equipping new hires with essential tools and clearly defined expectations, enabling them to achieve productivity more rapidly</w:t>
      </w:r>
      <w:r w:rsidR="00A44BA6" w:rsidRPr="00461ADE">
        <w:rPr>
          <w:sz w:val="24"/>
          <w:szCs w:val="24"/>
        </w:rPr>
        <w:t xml:space="preserve">. </w:t>
      </w:r>
    </w:p>
    <w:p w14:paraId="02394737" w14:textId="77777777" w:rsidR="00765AA6" w:rsidRPr="00461ADE" w:rsidRDefault="00765AA6" w:rsidP="00461ADE">
      <w:pPr>
        <w:rPr>
          <w:sz w:val="24"/>
          <w:szCs w:val="24"/>
        </w:rPr>
      </w:pPr>
    </w:p>
    <w:p w14:paraId="5D177945" w14:textId="0AFAA3EB" w:rsidR="00094551" w:rsidRPr="00461ADE" w:rsidRDefault="00094551" w:rsidP="00461ADE">
      <w:pPr>
        <w:rPr>
          <w:sz w:val="24"/>
          <w:szCs w:val="24"/>
        </w:rPr>
      </w:pPr>
      <w:r w:rsidRPr="00461ADE">
        <w:rPr>
          <w:sz w:val="24"/>
          <w:szCs w:val="24"/>
        </w:rPr>
        <w:t xml:space="preserve">A well-structured onboarding process is particularly valuable for improving employee retention. Sibisi and </w:t>
      </w:r>
      <w:proofErr w:type="spellStart"/>
      <w:r w:rsidRPr="00461ADE">
        <w:rPr>
          <w:sz w:val="24"/>
          <w:szCs w:val="24"/>
        </w:rPr>
        <w:t>Kappers</w:t>
      </w:r>
      <w:proofErr w:type="spellEnd"/>
      <w:r w:rsidRPr="00461ADE">
        <w:rPr>
          <w:sz w:val="24"/>
          <w:szCs w:val="24"/>
        </w:rPr>
        <w:t xml:space="preserve"> (2022) report that organisations with robust onboarding practices experience 50% higher new hire retention and 62% greater productivity. Conversely, ineffective onboarding can lead to early attrition, with People Management (2024) noting that 43% of new hires leave within the first 100 days. The CIPD (2023b) highlights that when new employees feel welcomed, supported, and aligned with organisational goals, they are less likely to resign prematurely</w:t>
      </w:r>
      <w:r w:rsidR="001E2FDD">
        <w:rPr>
          <w:sz w:val="24"/>
          <w:szCs w:val="24"/>
        </w:rPr>
        <w:t xml:space="preserve"> </w:t>
      </w:r>
      <w:r w:rsidRPr="00461ADE">
        <w:rPr>
          <w:sz w:val="24"/>
          <w:szCs w:val="24"/>
        </w:rPr>
        <w:t>an important consideration given the high costs associated with recruitment and training.</w:t>
      </w:r>
      <w:r w:rsidR="00914E3E" w:rsidRPr="00461ADE">
        <w:rPr>
          <w:sz w:val="24"/>
          <w:szCs w:val="24"/>
        </w:rPr>
        <w:t xml:space="preserve"> This is further supported by Armstrong &amp; Taylor (2022) which state </w:t>
      </w:r>
      <w:r w:rsidR="00765AA6" w:rsidRPr="00461ADE">
        <w:rPr>
          <w:sz w:val="24"/>
          <w:szCs w:val="24"/>
        </w:rPr>
        <w:t>effective onboarding</w:t>
      </w:r>
      <w:r w:rsidR="00914E3E" w:rsidRPr="00461ADE">
        <w:rPr>
          <w:sz w:val="24"/>
          <w:szCs w:val="24"/>
        </w:rPr>
        <w:t xml:space="preserve"> enhances engagement, boosts performance, and significantly reduces early turnover.</w:t>
      </w:r>
    </w:p>
    <w:p w14:paraId="101A1837" w14:textId="77777777" w:rsidR="00765AA6" w:rsidRPr="00461ADE" w:rsidRDefault="00765AA6" w:rsidP="00461ADE">
      <w:pPr>
        <w:rPr>
          <w:sz w:val="24"/>
          <w:szCs w:val="24"/>
        </w:rPr>
      </w:pPr>
    </w:p>
    <w:p w14:paraId="19142936" w14:textId="5E895278" w:rsidR="00094551" w:rsidRPr="00461ADE" w:rsidRDefault="00094551" w:rsidP="00461ADE">
      <w:pPr>
        <w:rPr>
          <w:sz w:val="24"/>
          <w:szCs w:val="24"/>
        </w:rPr>
      </w:pPr>
      <w:r w:rsidRPr="00461ADE">
        <w:rPr>
          <w:sz w:val="24"/>
          <w:szCs w:val="24"/>
        </w:rPr>
        <w:t xml:space="preserve">However, Howlett (2020) warns that during the pre-onboarding phase, organisations may overwhelm new hires with excessive information, meetings, and event invitations </w:t>
      </w:r>
      <w:r w:rsidR="001E2FDD" w:rsidRPr="00461ADE">
        <w:rPr>
          <w:sz w:val="24"/>
          <w:szCs w:val="24"/>
        </w:rPr>
        <w:t>to</w:t>
      </w:r>
      <w:r w:rsidRPr="00461ADE">
        <w:rPr>
          <w:sz w:val="24"/>
          <w:szCs w:val="24"/>
        </w:rPr>
        <w:t xml:space="preserve"> accelerate productivity. This can lead to stress and disengagement before the employee has officially started, undermining the intended benefits of onboarding.</w:t>
      </w:r>
      <w:r w:rsidR="00BF64AA" w:rsidRPr="00461ADE">
        <w:rPr>
          <w:sz w:val="24"/>
          <w:szCs w:val="24"/>
        </w:rPr>
        <w:t xml:space="preserve"> </w:t>
      </w:r>
      <w:proofErr w:type="spellStart"/>
      <w:r w:rsidRPr="00461ADE">
        <w:rPr>
          <w:sz w:val="24"/>
          <w:szCs w:val="24"/>
        </w:rPr>
        <w:t>HRZone</w:t>
      </w:r>
      <w:proofErr w:type="spellEnd"/>
      <w:r w:rsidRPr="00461ADE">
        <w:rPr>
          <w:sz w:val="24"/>
          <w:szCs w:val="24"/>
        </w:rPr>
        <w:t xml:space="preserve"> (n</w:t>
      </w:r>
      <w:r w:rsidR="00BF64AA" w:rsidRPr="00461ADE">
        <w:rPr>
          <w:sz w:val="24"/>
          <w:szCs w:val="24"/>
        </w:rPr>
        <w:t>o date</w:t>
      </w:r>
      <w:r w:rsidRPr="00461ADE">
        <w:rPr>
          <w:sz w:val="24"/>
          <w:szCs w:val="24"/>
        </w:rPr>
        <w:t xml:space="preserve">) argues that onboarding should extend beyond administrative tasks to include cultural integration, personal connection, and meaningful engagement. People Management (2024) supports this view, noting the growing use of pre-start check-in calls, especially in virtual or hybrid </w:t>
      </w:r>
      <w:r w:rsidRPr="00461ADE">
        <w:rPr>
          <w:sz w:val="24"/>
          <w:szCs w:val="24"/>
        </w:rPr>
        <w:lastRenderedPageBreak/>
        <w:t>onboarding contexts. Nevertheless, Howlett (2020) reiterates that overloading new hires during this phase can be counterproductive.</w:t>
      </w:r>
    </w:p>
    <w:p w14:paraId="044D391E" w14:textId="77777777" w:rsidR="00BF64AA" w:rsidRPr="00461ADE" w:rsidRDefault="00BF64AA" w:rsidP="00461ADE">
      <w:pPr>
        <w:rPr>
          <w:sz w:val="24"/>
          <w:szCs w:val="24"/>
        </w:rPr>
      </w:pPr>
    </w:p>
    <w:p w14:paraId="357DBAE2" w14:textId="3CEC65AC" w:rsidR="00094551" w:rsidRPr="00461ADE" w:rsidRDefault="00094551" w:rsidP="00461ADE">
      <w:pPr>
        <w:rPr>
          <w:sz w:val="24"/>
          <w:szCs w:val="24"/>
        </w:rPr>
      </w:pPr>
      <w:r w:rsidRPr="00461ADE">
        <w:rPr>
          <w:sz w:val="24"/>
          <w:szCs w:val="24"/>
        </w:rPr>
        <w:t>Onboarding also plays a pivotal role in shaping organisational culture. Armstrong and Taylor (202</w:t>
      </w:r>
      <w:r w:rsidR="00C12262">
        <w:rPr>
          <w:sz w:val="24"/>
          <w:szCs w:val="24"/>
        </w:rPr>
        <w:t>3</w:t>
      </w:r>
      <w:r w:rsidRPr="00461ADE">
        <w:rPr>
          <w:sz w:val="24"/>
          <w:szCs w:val="24"/>
        </w:rPr>
        <w:t>) assert that it provides an early opportunity to communicate core values, expected behaviours, and performance standards, fostering a sense of belonging and alignment with the organisation’s mission. People Management (2024) adds that effective onboarding helps new employees feel part of the team from the outset, boosting morale and commitment. The CIPD (2025g) further notes that well-executed onboarding can significantly reduce attrition within the first year. It also accelerates time to productivity by equipping employees with the knowledge, tools, and relationships needed to perform effectively</w:t>
      </w:r>
      <w:r w:rsidR="00461ADE" w:rsidRPr="00461ADE">
        <w:rPr>
          <w:sz w:val="24"/>
          <w:szCs w:val="24"/>
        </w:rPr>
        <w:t xml:space="preserve"> </w:t>
      </w:r>
      <w:r w:rsidRPr="00461ADE">
        <w:rPr>
          <w:sz w:val="24"/>
          <w:szCs w:val="24"/>
        </w:rPr>
        <w:t>an approach aligned with the CIPD Profession Map’s emphasis on enabling people to add value quickly and confidently. Additionally, the CIPD (n</w:t>
      </w:r>
      <w:r w:rsidR="00461ADE" w:rsidRPr="00461ADE">
        <w:rPr>
          <w:sz w:val="24"/>
          <w:szCs w:val="24"/>
        </w:rPr>
        <w:t>o date</w:t>
      </w:r>
      <w:r w:rsidRPr="00461ADE">
        <w:rPr>
          <w:sz w:val="24"/>
          <w:szCs w:val="24"/>
        </w:rPr>
        <w:t>) highlights onboarding’s role in supporting compliance and managing risk by ensuring employees understand organisational policies, health and safety procedures, and legal responsibilities.</w:t>
      </w:r>
    </w:p>
    <w:p w14:paraId="4021444C" w14:textId="77777777" w:rsidR="00AE18EE" w:rsidRDefault="00AE18EE" w:rsidP="00032B12">
      <w:pPr>
        <w:rPr>
          <w:sz w:val="24"/>
          <w:szCs w:val="24"/>
        </w:rPr>
      </w:pPr>
    </w:p>
    <w:p w14:paraId="7279A7DE" w14:textId="29762564" w:rsidR="00641B86" w:rsidRPr="00032B12" w:rsidRDefault="00641B86" w:rsidP="00032B12">
      <w:pPr>
        <w:rPr>
          <w:sz w:val="24"/>
          <w:szCs w:val="24"/>
        </w:rPr>
      </w:pPr>
      <w:r>
        <w:rPr>
          <w:sz w:val="24"/>
          <w:szCs w:val="24"/>
        </w:rPr>
        <w:t xml:space="preserve">Image </w:t>
      </w:r>
      <w:r w:rsidR="00AE18EE">
        <w:rPr>
          <w:sz w:val="24"/>
          <w:szCs w:val="24"/>
        </w:rPr>
        <w:t>1: CIPD profession Map</w:t>
      </w:r>
    </w:p>
    <w:p w14:paraId="0656D3C7" w14:textId="17C01D6C" w:rsidR="00793754" w:rsidRDefault="00641B86" w:rsidP="00793754">
      <w:pPr>
        <w:spacing w:line="240" w:lineRule="auto"/>
        <w:rPr>
          <w:rFonts w:ascii="Segoe UI" w:eastAsia="Times New Roman" w:hAnsi="Segoe UI" w:cs="Segoe UI"/>
          <w:color w:val="424242"/>
          <w:sz w:val="24"/>
          <w:szCs w:val="24"/>
          <w:shd w:val="clear" w:color="auto" w:fill="FAFAFA"/>
          <w:lang w:eastAsia="en-GB"/>
        </w:rPr>
      </w:pPr>
      <w:r>
        <w:rPr>
          <w:noProof/>
        </w:rPr>
        <w:drawing>
          <wp:inline distT="0" distB="0" distL="0" distR="0" wp14:anchorId="40356DF5" wp14:editId="5CC832E8">
            <wp:extent cx="3105150" cy="2914650"/>
            <wp:effectExtent l="0" t="0" r="0" b="0"/>
            <wp:docPr id="14260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4643" name=""/>
                    <pic:cNvPicPr/>
                  </pic:nvPicPr>
                  <pic:blipFill>
                    <a:blip r:embed="rId8"/>
                    <a:stretch>
                      <a:fillRect/>
                    </a:stretch>
                  </pic:blipFill>
                  <pic:spPr>
                    <a:xfrm>
                      <a:off x="0" y="0"/>
                      <a:ext cx="3105150" cy="2914650"/>
                    </a:xfrm>
                    <a:prstGeom prst="rect">
                      <a:avLst/>
                    </a:prstGeom>
                  </pic:spPr>
                </pic:pic>
              </a:graphicData>
            </a:graphic>
          </wp:inline>
        </w:drawing>
      </w:r>
    </w:p>
    <w:p w14:paraId="4C66DB0E" w14:textId="77777777" w:rsidR="00793754" w:rsidRDefault="00793754" w:rsidP="00793754">
      <w:pPr>
        <w:spacing w:line="240" w:lineRule="auto"/>
        <w:rPr>
          <w:rFonts w:ascii="Segoe UI" w:eastAsia="Times New Roman" w:hAnsi="Segoe UI" w:cs="Segoe UI"/>
          <w:color w:val="424242"/>
          <w:sz w:val="24"/>
          <w:szCs w:val="24"/>
          <w:shd w:val="clear" w:color="auto" w:fill="FAFAFA"/>
          <w:lang w:eastAsia="en-GB"/>
        </w:rPr>
      </w:pPr>
    </w:p>
    <w:p w14:paraId="4A56B026" w14:textId="77777777" w:rsidR="00D25B15" w:rsidRDefault="00D25B15" w:rsidP="00AD306C">
      <w:pPr>
        <w:rPr>
          <w:sz w:val="24"/>
          <w:szCs w:val="24"/>
          <w:u w:val="single"/>
        </w:rPr>
      </w:pPr>
    </w:p>
    <w:p w14:paraId="5F677BE8" w14:textId="77777777" w:rsidR="00D25B15" w:rsidRDefault="00D25B15" w:rsidP="00AD306C">
      <w:pPr>
        <w:rPr>
          <w:sz w:val="24"/>
          <w:szCs w:val="24"/>
          <w:u w:val="single"/>
        </w:rPr>
      </w:pPr>
    </w:p>
    <w:p w14:paraId="203C6BCC" w14:textId="77777777" w:rsidR="00D25B15" w:rsidRDefault="00D25B15" w:rsidP="00AD306C">
      <w:pPr>
        <w:rPr>
          <w:sz w:val="24"/>
          <w:szCs w:val="24"/>
          <w:u w:val="single"/>
        </w:rPr>
      </w:pPr>
    </w:p>
    <w:p w14:paraId="28B2FBB2" w14:textId="77777777" w:rsidR="00D25B15" w:rsidRDefault="00D25B15" w:rsidP="00AD306C">
      <w:pPr>
        <w:rPr>
          <w:sz w:val="24"/>
          <w:szCs w:val="24"/>
          <w:u w:val="single"/>
        </w:rPr>
      </w:pPr>
    </w:p>
    <w:p w14:paraId="31757BB6" w14:textId="77777777" w:rsidR="00D25B15" w:rsidRDefault="00D25B15" w:rsidP="00AD306C">
      <w:pPr>
        <w:rPr>
          <w:sz w:val="24"/>
          <w:szCs w:val="24"/>
          <w:u w:val="single"/>
        </w:rPr>
      </w:pPr>
    </w:p>
    <w:p w14:paraId="41FB6F3B" w14:textId="77777777" w:rsidR="00D25B15" w:rsidRDefault="00D25B15" w:rsidP="00AD306C">
      <w:pPr>
        <w:rPr>
          <w:sz w:val="24"/>
          <w:szCs w:val="24"/>
          <w:u w:val="single"/>
        </w:rPr>
      </w:pPr>
    </w:p>
    <w:p w14:paraId="691AAB6F" w14:textId="77777777" w:rsidR="00D25B15" w:rsidRDefault="00D25B15" w:rsidP="00AD306C">
      <w:pPr>
        <w:rPr>
          <w:sz w:val="24"/>
          <w:szCs w:val="24"/>
          <w:u w:val="single"/>
        </w:rPr>
      </w:pPr>
    </w:p>
    <w:p w14:paraId="2138023B" w14:textId="77777777" w:rsidR="00D25B15" w:rsidRDefault="00D25B15" w:rsidP="00AD306C">
      <w:pPr>
        <w:rPr>
          <w:sz w:val="24"/>
          <w:szCs w:val="24"/>
          <w:u w:val="single"/>
        </w:rPr>
      </w:pPr>
    </w:p>
    <w:p w14:paraId="164D92A1" w14:textId="77777777" w:rsidR="00D25B15" w:rsidRDefault="00D25B15" w:rsidP="00AD306C">
      <w:pPr>
        <w:rPr>
          <w:sz w:val="24"/>
          <w:szCs w:val="24"/>
          <w:u w:val="single"/>
        </w:rPr>
      </w:pPr>
    </w:p>
    <w:p w14:paraId="28E5ECBE" w14:textId="77777777" w:rsidR="00D25B15" w:rsidRDefault="00D25B15" w:rsidP="00AD306C">
      <w:pPr>
        <w:rPr>
          <w:sz w:val="24"/>
          <w:szCs w:val="24"/>
          <w:u w:val="single"/>
        </w:rPr>
      </w:pPr>
    </w:p>
    <w:p w14:paraId="099DD74A" w14:textId="77777777" w:rsidR="00D25B15" w:rsidRDefault="00D25B15" w:rsidP="00AD306C">
      <w:pPr>
        <w:rPr>
          <w:sz w:val="24"/>
          <w:szCs w:val="24"/>
          <w:u w:val="single"/>
        </w:rPr>
      </w:pPr>
    </w:p>
    <w:p w14:paraId="7A9732BE" w14:textId="77777777" w:rsidR="00D25B15" w:rsidRDefault="00D25B15" w:rsidP="00AD306C">
      <w:pPr>
        <w:rPr>
          <w:sz w:val="24"/>
          <w:szCs w:val="24"/>
          <w:u w:val="single"/>
        </w:rPr>
      </w:pPr>
    </w:p>
    <w:p w14:paraId="4F5AFE37" w14:textId="77777777" w:rsidR="00D25B15" w:rsidRDefault="00D25B15" w:rsidP="00AD306C">
      <w:pPr>
        <w:rPr>
          <w:sz w:val="24"/>
          <w:szCs w:val="24"/>
          <w:u w:val="single"/>
        </w:rPr>
      </w:pPr>
    </w:p>
    <w:p w14:paraId="15A2D6E9" w14:textId="1582A0AE" w:rsidR="00AD306C" w:rsidRDefault="00AD306C" w:rsidP="00AD306C">
      <w:pPr>
        <w:rPr>
          <w:sz w:val="24"/>
          <w:szCs w:val="24"/>
          <w:u w:val="single"/>
        </w:rPr>
      </w:pPr>
      <w:r w:rsidRPr="00AD306C">
        <w:rPr>
          <w:sz w:val="24"/>
          <w:szCs w:val="24"/>
          <w:u w:val="single"/>
        </w:rPr>
        <w:t>References</w:t>
      </w:r>
    </w:p>
    <w:p w14:paraId="10317EBC" w14:textId="77777777" w:rsidR="00D25B15" w:rsidRPr="00AD306C" w:rsidRDefault="00D25B15" w:rsidP="00AD306C">
      <w:pPr>
        <w:rPr>
          <w:sz w:val="24"/>
          <w:szCs w:val="24"/>
          <w:u w:val="single"/>
        </w:rPr>
      </w:pPr>
    </w:p>
    <w:p w14:paraId="7443F748" w14:textId="4122C698" w:rsidR="00AD306C" w:rsidRDefault="004C5D5C" w:rsidP="00AD306C">
      <w:proofErr w:type="spellStart"/>
      <w:r>
        <w:t>Adamsen</w:t>
      </w:r>
      <w:proofErr w:type="spellEnd"/>
      <w:r>
        <w:t xml:space="preserve">, A. (2018). </w:t>
      </w:r>
      <w:r w:rsidR="000046A3">
        <w:t xml:space="preserve">What are the steps in a workforce planning process? Available at: </w:t>
      </w:r>
      <w:hyperlink r:id="rId9" w:history="1">
        <w:r w:rsidR="000046A3">
          <w:rPr>
            <w:rStyle w:val="Hyperlink"/>
          </w:rPr>
          <w:t>What are the steps in a Workforce Planning process? - YouTube</w:t>
        </w:r>
      </w:hyperlink>
      <w:r w:rsidR="000046A3">
        <w:t xml:space="preserve"> (Accessed</w:t>
      </w:r>
      <w:r w:rsidR="00D25B15">
        <w:t>:</w:t>
      </w:r>
      <w:r w:rsidR="000046A3">
        <w:t xml:space="preserve"> 27 June 2025). </w:t>
      </w:r>
    </w:p>
    <w:p w14:paraId="54AC36D2" w14:textId="77777777" w:rsidR="000046A3" w:rsidRPr="00AD306C" w:rsidRDefault="000046A3" w:rsidP="00AD306C"/>
    <w:p w14:paraId="231B6D0E" w14:textId="3B9E40A5" w:rsidR="00AD306C" w:rsidRPr="00AD306C" w:rsidRDefault="00AD306C" w:rsidP="00AD306C">
      <w:r w:rsidRPr="00AD306C">
        <w:t>Adams, B. (2023). </w:t>
      </w:r>
      <w:r w:rsidRPr="00AD306C">
        <w:rPr>
          <w:i/>
          <w:iCs/>
        </w:rPr>
        <w:t>Companies need to normalize healthy turnover. Harvard Business Review.</w:t>
      </w:r>
      <w:r w:rsidRPr="00AD306C">
        <w:t xml:space="preserve"> Available at: </w:t>
      </w:r>
      <w:hyperlink r:id="rId10" w:history="1">
        <w:r w:rsidRPr="00AD306C">
          <w:rPr>
            <w:color w:val="0000FF"/>
            <w:u w:val="single"/>
          </w:rPr>
          <w:t>https://hbr.org/2023/04/companies-need-to-normalize-healthy-turnover</w:t>
        </w:r>
      </w:hyperlink>
      <w:r w:rsidRPr="00AD306C">
        <w:t xml:space="preserve">  </w:t>
      </w:r>
      <w:r w:rsidR="00D25B15">
        <w:t>(</w:t>
      </w:r>
      <w:r w:rsidRPr="00AD306C">
        <w:t>Accessed</w:t>
      </w:r>
      <w:r w:rsidR="00D25B15">
        <w:t>:</w:t>
      </w:r>
      <w:r w:rsidRPr="00AD306C">
        <w:t xml:space="preserve"> 2 Jun. 2025</w:t>
      </w:r>
      <w:r w:rsidR="00D25B15">
        <w:t>)</w:t>
      </w:r>
    </w:p>
    <w:p w14:paraId="6E3385B4" w14:textId="77777777" w:rsidR="00AD306C" w:rsidRPr="00AD306C" w:rsidRDefault="00AD306C" w:rsidP="00AD306C"/>
    <w:p w14:paraId="499D3F81" w14:textId="7BD20E61" w:rsidR="00AD306C" w:rsidRPr="00AD306C" w:rsidRDefault="00AD306C" w:rsidP="00AD306C">
      <w:proofErr w:type="spellStart"/>
      <w:r w:rsidRPr="00AD306C">
        <w:t>Acas</w:t>
      </w:r>
      <w:proofErr w:type="spellEnd"/>
      <w:r w:rsidRPr="00AD306C">
        <w:t xml:space="preserve"> (n</w:t>
      </w:r>
      <w:r w:rsidR="00663CC2">
        <w:t>o date</w:t>
      </w:r>
      <w:r w:rsidRPr="00AD306C">
        <w:t>.) </w:t>
      </w:r>
      <w:r w:rsidRPr="00AD306C">
        <w:rPr>
          <w:i/>
          <w:iCs/>
        </w:rPr>
        <w:t>Zero-hours contracts</w:t>
      </w:r>
      <w:r w:rsidRPr="00AD306C">
        <w:t>. [online] Available at: </w:t>
      </w:r>
      <w:hyperlink r:id="rId11" w:history="1">
        <w:r w:rsidRPr="00AD306C">
          <w:rPr>
            <w:color w:val="0000FF"/>
            <w:u w:val="single"/>
          </w:rPr>
          <w:t>https://www.acas.org.uk/zero-hours-contracts</w:t>
        </w:r>
      </w:hyperlink>
      <w:r w:rsidRPr="00AD306C">
        <w:t xml:space="preserve">  </w:t>
      </w:r>
      <w:r w:rsidR="00D25B15">
        <w:t>(</w:t>
      </w:r>
      <w:r w:rsidRPr="00AD306C">
        <w:t>Accessed</w:t>
      </w:r>
      <w:r w:rsidR="00D25B15">
        <w:t>:</w:t>
      </w:r>
      <w:r w:rsidRPr="00AD306C">
        <w:t xml:space="preserve"> 3 Jun. 2025</w:t>
      </w:r>
      <w:r w:rsidR="00D25B15">
        <w:t>)</w:t>
      </w:r>
    </w:p>
    <w:p w14:paraId="309A0E1B" w14:textId="77777777" w:rsidR="00AD306C" w:rsidRPr="00AD306C" w:rsidRDefault="00AD306C" w:rsidP="00AD306C"/>
    <w:p w14:paraId="211BFE46" w14:textId="7B4B0AF5" w:rsidR="00AD306C" w:rsidRPr="00AD306C" w:rsidRDefault="00AD306C" w:rsidP="00AD306C">
      <w:proofErr w:type="spellStart"/>
      <w:r w:rsidRPr="00AD306C">
        <w:t>Acas</w:t>
      </w:r>
      <w:proofErr w:type="spellEnd"/>
      <w:r w:rsidRPr="00AD306C">
        <w:t xml:space="preserve"> (n</w:t>
      </w:r>
      <w:r w:rsidR="00D25B15">
        <w:t>o date</w:t>
      </w:r>
      <w:r w:rsidRPr="00AD306C">
        <w:t>) </w:t>
      </w:r>
      <w:r w:rsidRPr="00AD306C">
        <w:rPr>
          <w:u w:val="single"/>
        </w:rPr>
        <w:t>Your employment rights after 12 weeks – Agency workers</w:t>
      </w:r>
      <w:r w:rsidRPr="00AD306C">
        <w:t>. [online] Available at: </w:t>
      </w:r>
      <w:hyperlink r:id="rId12" w:history="1">
        <w:r w:rsidRPr="00AD306C">
          <w:rPr>
            <w:color w:val="0000FF"/>
            <w:u w:val="single"/>
          </w:rPr>
          <w:t>https://www.acas.org.uk/agency-workers/understanding-your-employment-rights-after-12-weeks</w:t>
        </w:r>
      </w:hyperlink>
      <w:r w:rsidRPr="00AD306C">
        <w:t xml:space="preserve">  </w:t>
      </w:r>
      <w:r w:rsidR="00D25B15">
        <w:t>(</w:t>
      </w:r>
      <w:r w:rsidRPr="00AD306C">
        <w:t>Accessed</w:t>
      </w:r>
      <w:r w:rsidR="00D25B15">
        <w:t>:</w:t>
      </w:r>
      <w:r w:rsidRPr="00AD306C">
        <w:t xml:space="preserve"> 3 Jun. 2025</w:t>
      </w:r>
      <w:r w:rsidR="00D25B15">
        <w:t>)</w:t>
      </w:r>
    </w:p>
    <w:p w14:paraId="49F67C73" w14:textId="77777777" w:rsidR="00AD306C" w:rsidRPr="00AD306C" w:rsidRDefault="00AD306C" w:rsidP="00AD306C"/>
    <w:p w14:paraId="10112A63" w14:textId="2450D662" w:rsidR="00AD306C" w:rsidRDefault="00AD306C" w:rsidP="00AD306C">
      <w:r w:rsidRPr="00AD306C">
        <w:t>Allen, D.G. (2008). </w:t>
      </w:r>
      <w:r w:rsidRPr="00AD306C">
        <w:rPr>
          <w:i/>
          <w:iCs/>
        </w:rPr>
        <w:t xml:space="preserve">Retaining talent: A guide to </w:t>
      </w:r>
      <w:proofErr w:type="spellStart"/>
      <w:r w:rsidRPr="00AD306C">
        <w:rPr>
          <w:i/>
          <w:iCs/>
        </w:rPr>
        <w:t>analyzing</w:t>
      </w:r>
      <w:proofErr w:type="spellEnd"/>
      <w:r w:rsidRPr="00AD306C">
        <w:rPr>
          <w:i/>
          <w:iCs/>
        </w:rPr>
        <w:t xml:space="preserve"> and managing employee turnover. SHRM Foundation. </w:t>
      </w:r>
      <w:r w:rsidRPr="00AD306C">
        <w:t>Available at: </w:t>
      </w:r>
      <w:hyperlink r:id="rId13" w:history="1">
        <w:r w:rsidRPr="00AD306C">
          <w:rPr>
            <w:color w:val="0000FF"/>
            <w:u w:val="single"/>
          </w:rPr>
          <w:t>https://www.shrm.org/content/dam/en/shrm/topics-tools/news/Retaining-Talent.pdf</w:t>
        </w:r>
      </w:hyperlink>
      <w:r w:rsidRPr="00AD306C">
        <w:t xml:space="preserve">  </w:t>
      </w:r>
      <w:r w:rsidR="00D25B15">
        <w:t>(</w:t>
      </w:r>
      <w:r w:rsidRPr="00AD306C">
        <w:t>Accessed</w:t>
      </w:r>
      <w:r w:rsidR="00D25B15">
        <w:t>:</w:t>
      </w:r>
      <w:r w:rsidRPr="00AD306C">
        <w:t xml:space="preserve"> 2 Jun. 2025</w:t>
      </w:r>
      <w:r w:rsidR="00D25B15">
        <w:t>)</w:t>
      </w:r>
    </w:p>
    <w:p w14:paraId="64F842B8" w14:textId="77777777" w:rsidR="00C12262" w:rsidRPr="00AD306C" w:rsidRDefault="00C12262" w:rsidP="00AD306C"/>
    <w:p w14:paraId="7D93CCF0" w14:textId="174ECE04" w:rsidR="00AD306C" w:rsidRDefault="00C12262" w:rsidP="00AD306C">
      <w:r>
        <w:t>Armstrong, M. and Taylor, S. (2023) Armstrong’s handbook of human resource management practice. 16th ed. London: Kogan Page.</w:t>
      </w:r>
    </w:p>
    <w:p w14:paraId="485B8409" w14:textId="77777777" w:rsidR="00C12262" w:rsidRPr="00AD306C" w:rsidRDefault="00C12262" w:rsidP="00AD306C"/>
    <w:p w14:paraId="5E4061FD" w14:textId="5E2AD4AB" w:rsidR="00776ADF" w:rsidRDefault="00776ADF" w:rsidP="00AD306C">
      <w:r>
        <w:t xml:space="preserve">Baker, T. (2014) </w:t>
      </w:r>
      <w:r w:rsidRPr="00776ADF">
        <w:rPr>
          <w:i/>
          <w:iCs/>
        </w:rPr>
        <w:t>Attracting and retaining talent: becoming an employer of choice</w:t>
      </w:r>
      <w:r>
        <w:t>. Basingstoke: Palgrave Macmillan.</w:t>
      </w:r>
    </w:p>
    <w:p w14:paraId="6AEC7984" w14:textId="77777777" w:rsidR="00776ADF" w:rsidRDefault="00776ADF" w:rsidP="00AD306C"/>
    <w:p w14:paraId="2A29FD23" w14:textId="4CF3BA70" w:rsidR="00AD306C" w:rsidRPr="00876163" w:rsidRDefault="00AD306C" w:rsidP="00AD306C">
      <w:pPr>
        <w:rPr>
          <w:lang w:val="fr-FR"/>
        </w:rPr>
      </w:pPr>
      <w:proofErr w:type="spellStart"/>
      <w:r w:rsidRPr="00AD306C">
        <w:lastRenderedPageBreak/>
        <w:t>Billot</w:t>
      </w:r>
      <w:proofErr w:type="spellEnd"/>
      <w:r w:rsidRPr="00AD306C">
        <w:t xml:space="preserve">, H. People Management (2024) Workforce planning impacts productivity. </w:t>
      </w:r>
      <w:r w:rsidRPr="00876163">
        <w:rPr>
          <w:lang w:val="fr-FR"/>
        </w:rPr>
        <w:t xml:space="preserve">[Online] </w:t>
      </w:r>
      <w:proofErr w:type="spellStart"/>
      <w:r w:rsidRPr="00876163">
        <w:rPr>
          <w:lang w:val="fr-FR"/>
        </w:rPr>
        <w:t>Available</w:t>
      </w:r>
      <w:proofErr w:type="spellEnd"/>
      <w:r w:rsidRPr="00876163">
        <w:rPr>
          <w:lang w:val="fr-FR"/>
        </w:rPr>
        <w:t xml:space="preserve"> </w:t>
      </w:r>
      <w:proofErr w:type="gramStart"/>
      <w:r w:rsidRPr="00876163">
        <w:rPr>
          <w:lang w:val="fr-FR"/>
        </w:rPr>
        <w:t>at:</w:t>
      </w:r>
      <w:proofErr w:type="gramEnd"/>
      <w:r w:rsidRPr="00876163">
        <w:rPr>
          <w:lang w:val="fr-FR"/>
        </w:rPr>
        <w:t> </w:t>
      </w:r>
      <w:hyperlink r:id="rId14" w:history="1">
        <w:r w:rsidR="00031E7F" w:rsidRPr="002B6E89">
          <w:rPr>
            <w:rStyle w:val="Hyperlink"/>
            <w:lang w:val="fr-FR"/>
          </w:rPr>
          <w:t>https://www.peoplemanagement.co.uk/article/1903056/workforce-planning-impacts-productivity</w:t>
        </w:r>
      </w:hyperlink>
      <w:r w:rsidR="00031E7F">
        <w:rPr>
          <w:lang w:val="fr-FR"/>
        </w:rPr>
        <w:t xml:space="preserve"> </w:t>
      </w:r>
      <w:r w:rsidRPr="00876163">
        <w:rPr>
          <w:lang w:val="fr-FR"/>
        </w:rPr>
        <w:t> </w:t>
      </w:r>
      <w:r w:rsidR="00031E7F">
        <w:rPr>
          <w:lang w:val="fr-FR"/>
        </w:rPr>
        <w:t>(</w:t>
      </w:r>
      <w:proofErr w:type="spellStart"/>
      <w:r w:rsidRPr="00876163">
        <w:rPr>
          <w:lang w:val="fr-FR"/>
        </w:rPr>
        <w:t>Accessed</w:t>
      </w:r>
      <w:proofErr w:type="spellEnd"/>
      <w:r w:rsidR="00D25B15">
        <w:rPr>
          <w:lang w:val="fr-FR"/>
        </w:rPr>
        <w:t> :</w:t>
      </w:r>
      <w:r w:rsidRPr="00876163">
        <w:rPr>
          <w:lang w:val="fr-FR"/>
        </w:rPr>
        <w:t xml:space="preserve"> 2 June 2025</w:t>
      </w:r>
      <w:r w:rsidR="00D25B15">
        <w:rPr>
          <w:lang w:val="fr-FR"/>
        </w:rPr>
        <w:t>)</w:t>
      </w:r>
    </w:p>
    <w:p w14:paraId="27E0FB90" w14:textId="77777777" w:rsidR="00AD306C" w:rsidRPr="00876163" w:rsidRDefault="00AD306C" w:rsidP="00AD306C">
      <w:pPr>
        <w:rPr>
          <w:lang w:val="fr-FR"/>
        </w:rPr>
      </w:pPr>
    </w:p>
    <w:p w14:paraId="7D1F809A" w14:textId="5491201A" w:rsidR="00AD306C" w:rsidRPr="00AD306C" w:rsidRDefault="00AD306C" w:rsidP="00AD306C">
      <w:r w:rsidRPr="00AD306C">
        <w:t xml:space="preserve">Bilal, </w:t>
      </w:r>
      <w:proofErr w:type="gramStart"/>
      <w:r w:rsidRPr="00AD306C">
        <w:t>S.</w:t>
      </w:r>
      <w:proofErr w:type="gramEnd"/>
      <w:r w:rsidRPr="00AD306C">
        <w:t xml:space="preserve"> and Bashir, N.A., 2016. </w:t>
      </w:r>
      <w:r w:rsidRPr="00AD306C">
        <w:rPr>
          <w:i/>
          <w:iCs/>
        </w:rPr>
        <w:t>Effects of the realistic job previews on employees' job satisfaction and met expectations</w:t>
      </w:r>
      <w:r w:rsidRPr="00AD306C">
        <w:t>. International Journal of Business and Management, 11(4), pp.219–229. Available at: </w:t>
      </w:r>
      <w:hyperlink r:id="rId15" w:history="1">
        <w:r w:rsidRPr="00AD306C">
          <w:rPr>
            <w:color w:val="0000FF"/>
            <w:u w:val="single"/>
          </w:rPr>
          <w:t>https://www.researchgate.net/publication/298738149</w:t>
        </w:r>
      </w:hyperlink>
      <w:r w:rsidRPr="00AD306C">
        <w:t xml:space="preserve">  </w:t>
      </w:r>
      <w:r w:rsidR="00031E7F">
        <w:t>(</w:t>
      </w:r>
      <w:r w:rsidRPr="00AD306C">
        <w:t>Accessed</w:t>
      </w:r>
      <w:r w:rsidR="00031E7F">
        <w:t>:</w:t>
      </w:r>
      <w:r w:rsidRPr="00AD306C">
        <w:t xml:space="preserve"> 2 Jun 2025</w:t>
      </w:r>
      <w:r w:rsidR="00031E7F">
        <w:t>)</w:t>
      </w:r>
    </w:p>
    <w:p w14:paraId="3C95841D" w14:textId="77777777" w:rsidR="00AD306C" w:rsidRPr="00AD306C" w:rsidRDefault="00AD306C" w:rsidP="00AD306C"/>
    <w:p w14:paraId="4EFA233A" w14:textId="4E49109B" w:rsidR="00AD306C" w:rsidRPr="00AD306C" w:rsidRDefault="00AD306C" w:rsidP="00AD306C">
      <w:r w:rsidRPr="00AD306C">
        <w:t>CIPD (2025a) </w:t>
      </w:r>
      <w:r w:rsidRPr="00AD306C">
        <w:rPr>
          <w:i/>
          <w:iCs/>
        </w:rPr>
        <w:t>Strategic and total reward.</w:t>
      </w:r>
      <w:r w:rsidRPr="00AD306C">
        <w:t xml:space="preserve"> [Online] Available at: </w:t>
      </w:r>
      <w:hyperlink r:id="rId16" w:history="1">
        <w:r w:rsidRPr="00AD306C">
          <w:rPr>
            <w:color w:val="0000FF"/>
            <w:u w:val="single"/>
          </w:rPr>
          <w:t>https://www.cipd.org/uk/knowledge/factsheets/strategic-total-factsheet/</w:t>
        </w:r>
      </w:hyperlink>
      <w:r w:rsidRPr="00AD306C">
        <w:t xml:space="preserve">  </w:t>
      </w:r>
      <w:r w:rsidR="00031E7F">
        <w:t>(</w:t>
      </w:r>
      <w:r w:rsidRPr="00AD306C">
        <w:t>Accessed</w:t>
      </w:r>
      <w:r w:rsidR="00031E7F">
        <w:t>:</w:t>
      </w:r>
      <w:r w:rsidRPr="00AD306C">
        <w:t xml:space="preserve"> 2 June 2025</w:t>
      </w:r>
      <w:r w:rsidR="00031E7F">
        <w:t>)</w:t>
      </w:r>
    </w:p>
    <w:p w14:paraId="6D2647FA" w14:textId="77777777" w:rsidR="00AD306C" w:rsidRPr="00AD306C" w:rsidRDefault="00AD306C" w:rsidP="00AD306C"/>
    <w:p w14:paraId="70A42ED7" w14:textId="368F72C9" w:rsidR="00AD306C" w:rsidRPr="00AD306C" w:rsidRDefault="00AD306C" w:rsidP="00AD306C">
      <w:r w:rsidRPr="00AD306C">
        <w:t>CIPD (2025b) </w:t>
      </w:r>
      <w:r w:rsidRPr="00AD306C">
        <w:rPr>
          <w:i/>
          <w:iCs/>
        </w:rPr>
        <w:t xml:space="preserve">Evidence-based approach vital as people professionals lead post-pandemic workplace evolution. </w:t>
      </w:r>
      <w:r w:rsidRPr="00AD306C">
        <w:t>[Online] Available at: </w:t>
      </w:r>
      <w:hyperlink r:id="rId17" w:history="1">
        <w:r w:rsidRPr="00AD306C">
          <w:rPr>
            <w:color w:val="0000FF"/>
            <w:u w:val="single"/>
          </w:rPr>
          <w:t>https://www.cipd.org/uk/about/news/people-professionals-lead-post-covid-workplace-evolution/</w:t>
        </w:r>
      </w:hyperlink>
      <w:r w:rsidRPr="00AD306C">
        <w:t xml:space="preserve">  </w:t>
      </w:r>
      <w:r w:rsidR="00FF7260">
        <w:t>(</w:t>
      </w:r>
      <w:r w:rsidRPr="00AD306C">
        <w:t>Accesse</w:t>
      </w:r>
      <w:r w:rsidR="00031E7F">
        <w:t xml:space="preserve">d: </w:t>
      </w:r>
      <w:r w:rsidRPr="00AD306C">
        <w:t>2 June 2025</w:t>
      </w:r>
      <w:r w:rsidR="00031E7F">
        <w:t>)</w:t>
      </w:r>
    </w:p>
    <w:p w14:paraId="65A5D308" w14:textId="77777777" w:rsidR="00AD306C" w:rsidRPr="00AD306C" w:rsidRDefault="00AD306C" w:rsidP="00AD306C"/>
    <w:p w14:paraId="259DCD86" w14:textId="06FB5B3B" w:rsidR="00AD306C" w:rsidRPr="00AD306C" w:rsidRDefault="00AD306C" w:rsidP="00AD306C">
      <w:r w:rsidRPr="00AD306C">
        <w:t>CIPD (2025c) </w:t>
      </w:r>
      <w:r w:rsidRPr="00AD306C">
        <w:rPr>
          <w:i/>
          <w:iCs/>
        </w:rPr>
        <w:t>Employee turnover and retention.</w:t>
      </w:r>
      <w:r w:rsidRPr="00AD306C">
        <w:t xml:space="preserve"> [Online] Available at: </w:t>
      </w:r>
      <w:hyperlink r:id="rId18" w:history="1">
        <w:r w:rsidRPr="00AD306C">
          <w:rPr>
            <w:color w:val="0000FF"/>
            <w:u w:val="single"/>
          </w:rPr>
          <w:t>https://www.cipd.org/uk/knowledge/factsheets/turnover-retention-factsheet/</w:t>
        </w:r>
      </w:hyperlink>
      <w:r w:rsidRPr="00AD306C">
        <w:t xml:space="preserve">  </w:t>
      </w:r>
      <w:r w:rsidR="00FF7260">
        <w:t>(</w:t>
      </w:r>
      <w:r w:rsidRPr="00AD306C">
        <w:t>Accessed 2 June 2025</w:t>
      </w:r>
      <w:r w:rsidR="00FF7260">
        <w:t>)</w:t>
      </w:r>
    </w:p>
    <w:p w14:paraId="31E24B92" w14:textId="77777777" w:rsidR="00AD306C" w:rsidRPr="00AD306C" w:rsidRDefault="00AD306C" w:rsidP="00AD306C"/>
    <w:p w14:paraId="5179FB3A" w14:textId="7E68A768" w:rsidR="00AD306C" w:rsidRPr="00AD306C" w:rsidRDefault="00AD306C" w:rsidP="00AD306C">
      <w:r w:rsidRPr="00AD306C">
        <w:t>CIPD. (2025d). </w:t>
      </w:r>
      <w:r w:rsidRPr="00AD306C">
        <w:rPr>
          <w:i/>
          <w:iCs/>
        </w:rPr>
        <w:t>Retention: Guidance for people professionals. Chartered Institute of Personnel and Development</w:t>
      </w:r>
      <w:r w:rsidRPr="00AD306C">
        <w:t>. Available at: </w:t>
      </w:r>
      <w:hyperlink r:id="rId19" w:history="1">
        <w:r w:rsidRPr="00AD306C">
          <w:rPr>
            <w:color w:val="0000FF"/>
            <w:u w:val="single"/>
          </w:rPr>
          <w:t>https://www.cipd.org/en/knowledge/guides/employee-retention/</w:t>
        </w:r>
      </w:hyperlink>
      <w:r w:rsidRPr="00AD306C">
        <w:t xml:space="preserve">  </w:t>
      </w:r>
      <w:r w:rsidR="00FF7260">
        <w:t>(</w:t>
      </w:r>
      <w:r w:rsidRPr="00AD306C">
        <w:t>Accessed</w:t>
      </w:r>
      <w:r w:rsidR="00FF7260">
        <w:t>:</w:t>
      </w:r>
      <w:r w:rsidRPr="00AD306C">
        <w:t xml:space="preserve"> 2 Jun 2025</w:t>
      </w:r>
      <w:r w:rsidR="00FF7260">
        <w:t>)</w:t>
      </w:r>
    </w:p>
    <w:p w14:paraId="4FA7BC15" w14:textId="77777777" w:rsidR="00AD306C" w:rsidRPr="00AD306C" w:rsidRDefault="00AD306C" w:rsidP="00AD306C"/>
    <w:p w14:paraId="70E74D90" w14:textId="3C07F8A2" w:rsidR="00AD306C" w:rsidRPr="00AD306C" w:rsidRDefault="00AD306C" w:rsidP="00AD306C">
      <w:r w:rsidRPr="00AD306C">
        <w:t>CIPD. (2025e). </w:t>
      </w:r>
      <w:r w:rsidRPr="00AD306C">
        <w:rPr>
          <w:i/>
          <w:iCs/>
        </w:rPr>
        <w:t>Labour Market Outlook – Spring 2025</w:t>
      </w:r>
      <w:r w:rsidRPr="00AD306C">
        <w:t>. [online] CIPD. Available at: </w:t>
      </w:r>
      <w:hyperlink r:id="rId20" w:history="1">
        <w:r w:rsidRPr="00AD306C">
          <w:rPr>
            <w:color w:val="0000FF"/>
            <w:u w:val="single"/>
          </w:rPr>
          <w:t>https://www.cipd.org/uk/knowledge/reports/labour-market-outlook</w:t>
        </w:r>
      </w:hyperlink>
      <w:r w:rsidRPr="00AD306C">
        <w:t xml:space="preserve"> / </w:t>
      </w:r>
      <w:r w:rsidR="00FF7260">
        <w:t>(</w:t>
      </w:r>
      <w:r w:rsidRPr="00AD306C">
        <w:t>Accessed</w:t>
      </w:r>
      <w:r w:rsidR="00FF7260">
        <w:t>:</w:t>
      </w:r>
      <w:r w:rsidRPr="00AD306C">
        <w:t xml:space="preserve"> 2 Jun 2025</w:t>
      </w:r>
      <w:r w:rsidR="00FF7260">
        <w:t>)</w:t>
      </w:r>
    </w:p>
    <w:p w14:paraId="7461FB2E" w14:textId="77777777" w:rsidR="00AD306C" w:rsidRPr="00AD306C" w:rsidRDefault="00AD306C" w:rsidP="00AD306C"/>
    <w:p w14:paraId="6DEDFA6F" w14:textId="5AD268A7" w:rsidR="00AD306C" w:rsidRPr="00AD306C" w:rsidRDefault="00AD306C" w:rsidP="00AD306C">
      <w:r w:rsidRPr="00AD306C">
        <w:t>CIPD. (2025f). </w:t>
      </w:r>
      <w:r w:rsidRPr="00AD306C">
        <w:rPr>
          <w:i/>
          <w:iCs/>
        </w:rPr>
        <w:t>Reward: an introduction</w:t>
      </w:r>
      <w:r w:rsidRPr="00AD306C">
        <w:t>. [online] CIPD. Available at: </w:t>
      </w:r>
      <w:hyperlink r:id="rId21" w:history="1">
        <w:r w:rsidRPr="00AD306C">
          <w:rPr>
            <w:color w:val="0000FF"/>
            <w:u w:val="single"/>
          </w:rPr>
          <w:t>https://www.cipd.org/uk/knowledge/factsheets/reward-factsheet</w:t>
        </w:r>
      </w:hyperlink>
      <w:r w:rsidRPr="00AD306C">
        <w:t xml:space="preserve"> / </w:t>
      </w:r>
      <w:r w:rsidR="00FF7260">
        <w:t>(</w:t>
      </w:r>
      <w:r w:rsidRPr="00AD306C">
        <w:t>Accessed</w:t>
      </w:r>
      <w:r w:rsidR="00FF7260">
        <w:t>:</w:t>
      </w:r>
      <w:r w:rsidRPr="00AD306C">
        <w:t xml:space="preserve"> 2 Jun 2025</w:t>
      </w:r>
      <w:r w:rsidR="00FF7260">
        <w:t>)</w:t>
      </w:r>
    </w:p>
    <w:p w14:paraId="5DAD75B9" w14:textId="77777777" w:rsidR="00AD306C" w:rsidRPr="00AD306C" w:rsidRDefault="00AD306C" w:rsidP="00AD306C"/>
    <w:p w14:paraId="628A2EB8" w14:textId="58ACE9DC" w:rsidR="00AD306C" w:rsidRDefault="00AD306C" w:rsidP="00AD306C">
      <w:pPr>
        <w:rPr>
          <w:lang w:eastAsia="en-GB"/>
        </w:rPr>
      </w:pPr>
      <w:r w:rsidRPr="00AD306C">
        <w:rPr>
          <w:lang w:eastAsia="en-GB"/>
        </w:rPr>
        <w:t>CIPD (2025g) </w:t>
      </w:r>
      <w:r w:rsidRPr="00AD306C">
        <w:rPr>
          <w:i/>
          <w:iCs/>
          <w:lang w:eastAsia="en-GB"/>
        </w:rPr>
        <w:t>Employee induction</w:t>
      </w:r>
      <w:r w:rsidRPr="00AD306C">
        <w:rPr>
          <w:lang w:eastAsia="en-GB"/>
        </w:rPr>
        <w:t>. [online] Available at: </w:t>
      </w:r>
      <w:hyperlink r:id="rId22" w:history="1">
        <w:r w:rsidRPr="00AD306C">
          <w:rPr>
            <w:color w:val="0000FF"/>
            <w:u w:val="single"/>
            <w:lang w:eastAsia="en-GB"/>
          </w:rPr>
          <w:t>https://www.cipd.org/uk/knowledge/guides/employee-induction/</w:t>
        </w:r>
      </w:hyperlink>
      <w:r w:rsidRPr="00AD306C">
        <w:rPr>
          <w:lang w:eastAsia="en-GB"/>
        </w:rPr>
        <w:t xml:space="preserve">  </w:t>
      </w:r>
      <w:r w:rsidR="00FF7260">
        <w:rPr>
          <w:lang w:eastAsia="en-GB"/>
        </w:rPr>
        <w:t>(</w:t>
      </w:r>
      <w:r w:rsidRPr="00AD306C">
        <w:rPr>
          <w:lang w:eastAsia="en-GB"/>
        </w:rPr>
        <w:t>Accessed</w:t>
      </w:r>
      <w:r w:rsidR="00FF7260">
        <w:rPr>
          <w:lang w:eastAsia="en-GB"/>
        </w:rPr>
        <w:t>:</w:t>
      </w:r>
      <w:r w:rsidRPr="00AD306C">
        <w:rPr>
          <w:lang w:eastAsia="en-GB"/>
        </w:rPr>
        <w:t xml:space="preserve"> 3 Jun. 2025</w:t>
      </w:r>
      <w:r w:rsidR="00FF7260">
        <w:rPr>
          <w:lang w:eastAsia="en-GB"/>
        </w:rPr>
        <w:t>)</w:t>
      </w:r>
    </w:p>
    <w:p w14:paraId="313704BA" w14:textId="77777777" w:rsidR="00B82A3F" w:rsidRPr="00AD306C" w:rsidRDefault="00B82A3F" w:rsidP="00AD306C">
      <w:pPr>
        <w:rPr>
          <w:lang w:eastAsia="en-GB"/>
        </w:rPr>
      </w:pPr>
    </w:p>
    <w:p w14:paraId="6A2F33FD" w14:textId="3CE70737" w:rsidR="00AD306C" w:rsidRDefault="00B82A3F" w:rsidP="00B82A3F">
      <w:r w:rsidRPr="00B82A3F">
        <w:t>CIPD (2025</w:t>
      </w:r>
      <w:r w:rsidR="00286D5D">
        <w:t>h</w:t>
      </w:r>
      <w:r w:rsidRPr="00B82A3F">
        <w:t>) </w:t>
      </w:r>
      <w:r w:rsidRPr="00B82A3F">
        <w:rPr>
          <w:i/>
          <w:iCs/>
        </w:rPr>
        <w:t>Understanding the economy and labour market.</w:t>
      </w:r>
      <w:r w:rsidRPr="00B82A3F">
        <w:t xml:space="preserve"> [online] CIPD. Available at: </w:t>
      </w:r>
      <w:hyperlink r:id="rId23" w:history="1">
        <w:r w:rsidRPr="002B6E89">
          <w:rPr>
            <w:rStyle w:val="Hyperlink"/>
          </w:rPr>
          <w:t>https://www.cipd.org/uk/knowledge/factsheets/economy-labour-market-factsheet/</w:t>
        </w:r>
      </w:hyperlink>
      <w:r>
        <w:t xml:space="preserve"> </w:t>
      </w:r>
      <w:r w:rsidRPr="00B82A3F">
        <w:t> </w:t>
      </w:r>
      <w:r w:rsidR="00FF7260">
        <w:t>(</w:t>
      </w:r>
      <w:r w:rsidRPr="00B82A3F">
        <w:t>Accessed</w:t>
      </w:r>
      <w:r w:rsidR="00FF7260">
        <w:t>:</w:t>
      </w:r>
      <w:r w:rsidRPr="00B82A3F">
        <w:t xml:space="preserve"> 26 Jun 2025</w:t>
      </w:r>
      <w:r w:rsidR="00FF7260">
        <w:t>)</w:t>
      </w:r>
    </w:p>
    <w:p w14:paraId="4390F4CD" w14:textId="77777777" w:rsidR="00286D5D" w:rsidRPr="00286D5D" w:rsidRDefault="00286D5D" w:rsidP="00286D5D"/>
    <w:p w14:paraId="1B46F348" w14:textId="64D04898" w:rsidR="00286D5D" w:rsidRPr="00286D5D" w:rsidRDefault="00286D5D" w:rsidP="00286D5D">
      <w:r w:rsidRPr="00286D5D">
        <w:lastRenderedPageBreak/>
        <w:t>CIPD (2025</w:t>
      </w:r>
      <w:r>
        <w:t>i</w:t>
      </w:r>
      <w:r w:rsidRPr="00286D5D">
        <w:t>) </w:t>
      </w:r>
      <w:r w:rsidRPr="00286D5D">
        <w:rPr>
          <w:i/>
          <w:iCs/>
        </w:rPr>
        <w:t>PESTLE analysis</w:t>
      </w:r>
      <w:r w:rsidRPr="00286D5D">
        <w:t>. [online] CIPD. Available at: </w:t>
      </w:r>
      <w:hyperlink r:id="rId24" w:history="1">
        <w:r w:rsidRPr="002B6E89">
          <w:rPr>
            <w:rStyle w:val="Hyperlink"/>
          </w:rPr>
          <w:t>https://www.cipd.org/uk/knowledge/factsheets/pestle-analysis-factsheet/</w:t>
        </w:r>
      </w:hyperlink>
      <w:r>
        <w:t xml:space="preserve"> </w:t>
      </w:r>
      <w:r w:rsidRPr="00286D5D">
        <w:t> </w:t>
      </w:r>
      <w:r w:rsidR="00FF7260">
        <w:t>(</w:t>
      </w:r>
      <w:r w:rsidRPr="00286D5D">
        <w:t>Accessed</w:t>
      </w:r>
      <w:r w:rsidR="00FF7260">
        <w:t>:</w:t>
      </w:r>
      <w:r w:rsidRPr="00286D5D">
        <w:t xml:space="preserve"> 26 Jun 2025</w:t>
      </w:r>
      <w:r w:rsidR="00FF7260">
        <w:t>)</w:t>
      </w:r>
    </w:p>
    <w:p w14:paraId="3EDAD0FA" w14:textId="77777777" w:rsidR="00B82A3F" w:rsidRPr="00AD306C" w:rsidRDefault="00B82A3F" w:rsidP="00AD306C"/>
    <w:p w14:paraId="2FEA6760" w14:textId="2BE6ADF7" w:rsidR="00AD306C" w:rsidRPr="00AD306C" w:rsidRDefault="00AD306C" w:rsidP="00AD306C">
      <w:r w:rsidRPr="00AD306C">
        <w:t>CIPD (2024a) </w:t>
      </w:r>
      <w:r w:rsidRPr="00AD306C">
        <w:rPr>
          <w:i/>
          <w:iCs/>
        </w:rPr>
        <w:t>Labour Market Outlook: Winter 2023/24</w:t>
      </w:r>
      <w:r w:rsidRPr="00AD306C">
        <w:t>. [Online] Available at: </w:t>
      </w:r>
      <w:hyperlink r:id="rId25" w:history="1">
        <w:r w:rsidRPr="00AD306C">
          <w:rPr>
            <w:color w:val="0000FF"/>
            <w:u w:val="single"/>
          </w:rPr>
          <w:t>https://www.cipd.org/globalassets/media/knowledge/knowledge-hub/reports/2024-pdfs/2024-labour-market-outlook-winter-2024-8552.pdf</w:t>
        </w:r>
      </w:hyperlink>
      <w:r w:rsidRPr="00AD306C">
        <w:t xml:space="preserve">  </w:t>
      </w:r>
      <w:r w:rsidR="00FF7260">
        <w:t>(</w:t>
      </w:r>
      <w:r w:rsidRPr="00AD306C">
        <w:t>Accessed</w:t>
      </w:r>
      <w:r w:rsidR="00FF7260">
        <w:t>:</w:t>
      </w:r>
      <w:r w:rsidRPr="00AD306C">
        <w:t xml:space="preserve"> 12 May 2025</w:t>
      </w:r>
      <w:r w:rsidR="00FF7260">
        <w:t>)</w:t>
      </w:r>
    </w:p>
    <w:p w14:paraId="4E8C8805" w14:textId="77777777" w:rsidR="00AD306C" w:rsidRPr="00AD306C" w:rsidRDefault="00AD306C" w:rsidP="00AD306C"/>
    <w:p w14:paraId="004AFFDD" w14:textId="77777777" w:rsidR="00AD306C" w:rsidRPr="00AD306C" w:rsidRDefault="00AD306C" w:rsidP="00AD306C">
      <w:r w:rsidRPr="00AD306C">
        <w:t>CIPD. (2024b) </w:t>
      </w:r>
      <w:r w:rsidRPr="00AD306C">
        <w:rPr>
          <w:i/>
          <w:iCs/>
        </w:rPr>
        <w:t>Workforce planning: Factsheet.</w:t>
      </w:r>
      <w:r w:rsidRPr="00AD306C">
        <w:t xml:space="preserve"> Available at: </w:t>
      </w:r>
      <w:hyperlink r:id="rId26" w:history="1">
        <w:r w:rsidRPr="00AD306C">
          <w:rPr>
            <w:color w:val="0000FF"/>
            <w:u w:val="single"/>
          </w:rPr>
          <w:t>https://www.cipd.org/uk/knowledge/factsheets/workforce-planning-factsheet/</w:t>
        </w:r>
      </w:hyperlink>
      <w:r w:rsidRPr="00AD306C">
        <w:t xml:space="preserve">  (Accessed: 14 May 2025).</w:t>
      </w:r>
    </w:p>
    <w:p w14:paraId="58465ECE" w14:textId="77777777" w:rsidR="00AD306C" w:rsidRPr="00AD306C" w:rsidRDefault="00AD306C" w:rsidP="00AD306C"/>
    <w:p w14:paraId="1EAFF468" w14:textId="6BB14D90" w:rsidR="00AD306C" w:rsidRPr="00AD306C" w:rsidRDefault="00AD306C" w:rsidP="00AD306C">
      <w:r w:rsidRPr="00AD306C">
        <w:t>CIPD (2024c) </w:t>
      </w:r>
      <w:r w:rsidRPr="00AD306C">
        <w:rPr>
          <w:i/>
          <w:iCs/>
        </w:rPr>
        <w:t xml:space="preserve">Recruitment process overview. </w:t>
      </w:r>
      <w:r w:rsidRPr="00AD306C">
        <w:t>[Online] Available at: </w:t>
      </w:r>
      <w:hyperlink r:id="rId27" w:history="1">
        <w:r w:rsidRPr="00AD306C">
          <w:rPr>
            <w:color w:val="0000FF"/>
            <w:u w:val="single"/>
          </w:rPr>
          <w:t>https://www.cipd.org/uk/knowledge/factsheets/recruitment-factsheet/</w:t>
        </w:r>
      </w:hyperlink>
      <w:r w:rsidRPr="00AD306C">
        <w:t xml:space="preserve">  [Accessed</w:t>
      </w:r>
      <w:r w:rsidR="00FF7260">
        <w:t>:</w:t>
      </w:r>
      <w:r w:rsidRPr="00AD306C">
        <w:t xml:space="preserve"> 2 June 2025].</w:t>
      </w:r>
    </w:p>
    <w:p w14:paraId="5F400D66" w14:textId="77777777" w:rsidR="00AD306C" w:rsidRPr="00AD306C" w:rsidRDefault="00AD306C" w:rsidP="00AD306C"/>
    <w:p w14:paraId="374EF72B" w14:textId="77777777" w:rsidR="00AD306C" w:rsidRPr="00AD306C" w:rsidRDefault="00AD306C" w:rsidP="00AD306C">
      <w:r w:rsidRPr="00AD306C">
        <w:t>CIPD. (2024d) </w:t>
      </w:r>
      <w:r w:rsidRPr="00AD306C">
        <w:rPr>
          <w:i/>
          <w:iCs/>
        </w:rPr>
        <w:t>Inclusive recruitment: Guide for employers</w:t>
      </w:r>
      <w:r w:rsidRPr="00AD306C">
        <w:t>. Available at: </w:t>
      </w:r>
      <w:hyperlink r:id="rId28" w:history="1">
        <w:r w:rsidRPr="00AD306C">
          <w:rPr>
            <w:color w:val="0000FF"/>
            <w:u w:val="single"/>
          </w:rPr>
          <w:t>https://www.cipd.org/uk/knowledge/guides/inclusive-employers/</w:t>
        </w:r>
      </w:hyperlink>
      <w:r w:rsidRPr="00AD306C">
        <w:t xml:space="preserve">  (Accessed: 14 May 2025).</w:t>
      </w:r>
    </w:p>
    <w:p w14:paraId="6B6D02C9" w14:textId="77777777" w:rsidR="00AD306C" w:rsidRPr="00AD306C" w:rsidRDefault="00AD306C" w:rsidP="00AD306C"/>
    <w:p w14:paraId="5010D4E0" w14:textId="29DBAE0F" w:rsidR="00AD306C" w:rsidRPr="00AD306C" w:rsidRDefault="00AD306C" w:rsidP="00AD306C">
      <w:r w:rsidRPr="00AD306C">
        <w:t>CIPD (2024f) </w:t>
      </w:r>
      <w:r w:rsidRPr="00AD306C">
        <w:rPr>
          <w:i/>
          <w:iCs/>
        </w:rPr>
        <w:t xml:space="preserve">Understanding the economy and labour market. </w:t>
      </w:r>
      <w:r w:rsidRPr="00AD306C">
        <w:t>[Online] Available at: </w:t>
      </w:r>
      <w:hyperlink r:id="rId29" w:history="1">
        <w:r w:rsidRPr="00AD306C">
          <w:rPr>
            <w:color w:val="0000FF"/>
            <w:u w:val="single"/>
          </w:rPr>
          <w:t>https://www.cipd.org/uk/knowledge/factsheets/economy-labour-market-factsheet/</w:t>
        </w:r>
      </w:hyperlink>
      <w:r w:rsidRPr="00AD306C">
        <w:t xml:space="preserve">  [Accessed</w:t>
      </w:r>
      <w:r w:rsidR="00FF7260">
        <w:t>:</w:t>
      </w:r>
      <w:r w:rsidRPr="00AD306C">
        <w:t xml:space="preserve"> 14 May 2025].</w:t>
      </w:r>
    </w:p>
    <w:p w14:paraId="30C378F5" w14:textId="77777777" w:rsidR="00AD306C" w:rsidRPr="00AD306C" w:rsidRDefault="00AD306C" w:rsidP="00AD306C"/>
    <w:p w14:paraId="560411D7" w14:textId="367461E0" w:rsidR="00AD306C" w:rsidRPr="00AD306C" w:rsidRDefault="00AD306C" w:rsidP="00AD306C">
      <w:r w:rsidRPr="00AD306C">
        <w:t xml:space="preserve">CIPD (2024e) Selection Methods (online) Available at: </w:t>
      </w:r>
      <w:hyperlink r:id="rId30" w:history="1">
        <w:r w:rsidRPr="00AD306C">
          <w:rPr>
            <w:color w:val="0000FF"/>
            <w:u w:val="single"/>
          </w:rPr>
          <w:t>Selection Methods | CIPD</w:t>
        </w:r>
      </w:hyperlink>
      <w:r w:rsidRPr="00AD306C">
        <w:t xml:space="preserve"> (Accessed</w:t>
      </w:r>
      <w:r w:rsidR="00FF7260">
        <w:t>:</w:t>
      </w:r>
      <w:r w:rsidRPr="00AD306C">
        <w:t xml:space="preserve"> 14 </w:t>
      </w:r>
      <w:proofErr w:type="gramStart"/>
      <w:r w:rsidRPr="00AD306C">
        <w:t>may</w:t>
      </w:r>
      <w:proofErr w:type="gramEnd"/>
      <w:r w:rsidRPr="00AD306C">
        <w:t xml:space="preserve"> 2025)</w:t>
      </w:r>
    </w:p>
    <w:p w14:paraId="752D3FD7" w14:textId="77777777" w:rsidR="00AD306C" w:rsidRPr="00AD306C" w:rsidRDefault="00AD306C" w:rsidP="00AD306C"/>
    <w:p w14:paraId="63F71A08" w14:textId="4510F42E" w:rsidR="00AD306C" w:rsidRPr="00AD306C" w:rsidRDefault="00AD306C" w:rsidP="00AD306C">
      <w:r w:rsidRPr="00AD306C">
        <w:t>CIPD (2024g</w:t>
      </w:r>
      <w:r w:rsidRPr="00AD306C">
        <w:rPr>
          <w:i/>
          <w:iCs/>
        </w:rPr>
        <w:t>) Employer brand.</w:t>
      </w:r>
      <w:r w:rsidRPr="00AD306C">
        <w:t xml:space="preserve"> [Online] Available at: </w:t>
      </w:r>
      <w:hyperlink r:id="rId31" w:history="1">
        <w:r w:rsidRPr="00AD306C">
          <w:rPr>
            <w:color w:val="0000FF"/>
            <w:u w:val="single"/>
          </w:rPr>
          <w:t>https://www.cipd.org/uk/knowledge/factsheets/recruitment-brand-factsheet/</w:t>
        </w:r>
      </w:hyperlink>
      <w:r w:rsidRPr="00AD306C">
        <w:t xml:space="preserve">  </w:t>
      </w:r>
      <w:r w:rsidR="00FF7260">
        <w:t>(</w:t>
      </w:r>
      <w:r w:rsidRPr="00AD306C">
        <w:t>Accessed</w:t>
      </w:r>
      <w:r w:rsidR="00FF7260">
        <w:t>:</w:t>
      </w:r>
      <w:r w:rsidRPr="00AD306C">
        <w:t xml:space="preserve"> 14 May 2025</w:t>
      </w:r>
      <w:r w:rsidR="00FF7260">
        <w:t>)</w:t>
      </w:r>
    </w:p>
    <w:p w14:paraId="19AE99B9" w14:textId="77777777" w:rsidR="00AD306C" w:rsidRPr="00AD306C" w:rsidRDefault="00AD306C" w:rsidP="00AD306C"/>
    <w:p w14:paraId="0CB36F01" w14:textId="1A5AAA40" w:rsidR="00FF7260" w:rsidRPr="00AD306C" w:rsidRDefault="00AD306C" w:rsidP="00AD306C">
      <w:r w:rsidRPr="00AD306C">
        <w:t>CIPD (2024h) </w:t>
      </w:r>
      <w:r w:rsidRPr="00AD306C">
        <w:rPr>
          <w:i/>
          <w:iCs/>
        </w:rPr>
        <w:t>How L&amp;D can create value: Focusing on skills development.</w:t>
      </w:r>
      <w:r w:rsidRPr="00AD306C">
        <w:t xml:space="preserve"> [Online] Available at: </w:t>
      </w:r>
      <w:hyperlink r:id="rId32" w:history="1">
        <w:r w:rsidRPr="00AD306C">
          <w:rPr>
            <w:color w:val="0000FF"/>
            <w:u w:val="single"/>
          </w:rPr>
          <w:t>https://www.cipd.org/en/views-and-insights/thought-leadership/insight/learning-value-skills-development/</w:t>
        </w:r>
      </w:hyperlink>
      <w:r w:rsidRPr="00AD306C">
        <w:t xml:space="preserve">  </w:t>
      </w:r>
      <w:r w:rsidR="00FF7260">
        <w:t>(</w:t>
      </w:r>
      <w:r w:rsidRPr="00AD306C">
        <w:t>Accessed</w:t>
      </w:r>
      <w:r w:rsidR="00FF7260">
        <w:t>:</w:t>
      </w:r>
      <w:r w:rsidRPr="00AD306C">
        <w:t xml:space="preserve"> 2 June 2025</w:t>
      </w:r>
      <w:r w:rsidR="00FF7260">
        <w:t>)</w:t>
      </w:r>
    </w:p>
    <w:p w14:paraId="31EEFC7B" w14:textId="77777777" w:rsidR="00AD306C" w:rsidRPr="00AD306C" w:rsidRDefault="00AD306C" w:rsidP="00AD306C"/>
    <w:p w14:paraId="3858B654" w14:textId="762C628A" w:rsidR="00AD306C" w:rsidRPr="00AD306C" w:rsidRDefault="00AD306C" w:rsidP="00AD306C">
      <w:r w:rsidRPr="00AD306C">
        <w:t>CIPD (2024i) </w:t>
      </w:r>
      <w:r w:rsidRPr="00AD306C">
        <w:rPr>
          <w:i/>
          <w:iCs/>
        </w:rPr>
        <w:t>Succession planning</w:t>
      </w:r>
      <w:r w:rsidRPr="00AD306C">
        <w:t>. [Online] Available at: </w:t>
      </w:r>
      <w:hyperlink r:id="rId33" w:history="1">
        <w:r w:rsidRPr="00AD306C">
          <w:rPr>
            <w:color w:val="0000FF"/>
            <w:u w:val="single"/>
          </w:rPr>
          <w:t>https://www.cipd.org/uk/knowledge/factsheets/succession-planning-factsheet/</w:t>
        </w:r>
      </w:hyperlink>
      <w:r w:rsidRPr="00AD306C">
        <w:t xml:space="preserve">  </w:t>
      </w:r>
      <w:r w:rsidR="00FF7260">
        <w:t>(</w:t>
      </w:r>
      <w:r w:rsidRPr="00AD306C">
        <w:t>Accessed</w:t>
      </w:r>
      <w:r w:rsidR="00FF7260">
        <w:t>:</w:t>
      </w:r>
      <w:r w:rsidRPr="00AD306C">
        <w:t xml:space="preserve"> 2 June 2025</w:t>
      </w:r>
      <w:r w:rsidR="00FF7260">
        <w:t>)</w:t>
      </w:r>
    </w:p>
    <w:p w14:paraId="3E577E78" w14:textId="77777777" w:rsidR="00AD306C" w:rsidRPr="00AD306C" w:rsidRDefault="00AD306C" w:rsidP="00AD306C"/>
    <w:p w14:paraId="3D9BA626" w14:textId="76E846FC" w:rsidR="00AD306C" w:rsidRPr="00AD306C" w:rsidRDefault="00AD306C" w:rsidP="00AD306C">
      <w:r w:rsidRPr="00AD306C">
        <w:lastRenderedPageBreak/>
        <w:t>CIPD (2024j). </w:t>
      </w:r>
      <w:r w:rsidRPr="00AD306C">
        <w:rPr>
          <w:i/>
          <w:iCs/>
        </w:rPr>
        <w:t>Flexible working: Guidance for people professionals on planning and managing.</w:t>
      </w:r>
      <w:r w:rsidRPr="00AD306C">
        <w:t xml:space="preserve"> Available at: </w:t>
      </w:r>
      <w:hyperlink r:id="rId34" w:history="1">
        <w:r w:rsidRPr="00AD306C">
          <w:rPr>
            <w:color w:val="0000FF"/>
            <w:u w:val="single"/>
          </w:rPr>
          <w:t>https://www.cipd.org/uk/knowledge/guides/flexible-working/</w:t>
        </w:r>
      </w:hyperlink>
      <w:r w:rsidRPr="00AD306C">
        <w:t xml:space="preserve">  </w:t>
      </w:r>
      <w:r w:rsidR="00FF7260">
        <w:t>(</w:t>
      </w:r>
      <w:r w:rsidRPr="00AD306C">
        <w:t>Accessed</w:t>
      </w:r>
      <w:r w:rsidR="00FF7260">
        <w:t>:</w:t>
      </w:r>
      <w:r w:rsidRPr="00AD306C">
        <w:t xml:space="preserve"> 2 Jun. 2025</w:t>
      </w:r>
      <w:r w:rsidR="00FF7260">
        <w:t>)</w:t>
      </w:r>
    </w:p>
    <w:p w14:paraId="1741D081" w14:textId="77777777" w:rsidR="00AD306C" w:rsidRPr="00AD306C" w:rsidRDefault="00AD306C" w:rsidP="00AD306C"/>
    <w:p w14:paraId="52E8B064" w14:textId="77777777" w:rsidR="00AD306C" w:rsidRPr="00AD306C" w:rsidRDefault="00AD306C" w:rsidP="00AD306C">
      <w:r w:rsidRPr="00AD306C">
        <w:t>CIPD (2023a) </w:t>
      </w:r>
      <w:r w:rsidRPr="00AD306C">
        <w:rPr>
          <w:i/>
          <w:iCs/>
        </w:rPr>
        <w:t>Strategic workforce planning</w:t>
      </w:r>
      <w:r w:rsidRPr="00AD306C">
        <w:t>: Guide for people professionals. Available at: </w:t>
      </w:r>
      <w:hyperlink r:id="rId35" w:history="1">
        <w:r w:rsidRPr="00AD306C">
          <w:rPr>
            <w:color w:val="0000FF"/>
            <w:u w:val="single"/>
          </w:rPr>
          <w:t>https://www.cipd.org/uk/knowledge/guides/strategic-workforce-planning/</w:t>
        </w:r>
      </w:hyperlink>
      <w:r w:rsidRPr="00AD306C">
        <w:t xml:space="preserve">  (Accessed: 14 May 2025).</w:t>
      </w:r>
    </w:p>
    <w:p w14:paraId="43C3C9C4" w14:textId="77777777" w:rsidR="00AD306C" w:rsidRPr="00AD306C" w:rsidRDefault="00AD306C" w:rsidP="00AD306C"/>
    <w:p w14:paraId="49202B16" w14:textId="6A282EF5" w:rsidR="00AD306C" w:rsidRPr="00AD306C" w:rsidRDefault="00AD306C" w:rsidP="00AD306C">
      <w:r w:rsidRPr="00AD306C">
        <w:t>CIPD. (2023b) </w:t>
      </w:r>
      <w:r w:rsidRPr="00AD306C">
        <w:rPr>
          <w:i/>
          <w:iCs/>
        </w:rPr>
        <w:t>Employee retention</w:t>
      </w:r>
      <w:r w:rsidRPr="00AD306C">
        <w:t>. [online] Chartered Institute of Personnel and Development. Available at: </w:t>
      </w:r>
      <w:hyperlink r:id="rId36" w:history="1">
        <w:r w:rsidRPr="00AD306C">
          <w:rPr>
            <w:color w:val="0000FF"/>
            <w:u w:val="single"/>
          </w:rPr>
          <w:t>https://www.cipd.org/uk/knowledge/factsheets/employee-retention-factsheet/</w:t>
        </w:r>
      </w:hyperlink>
      <w:r w:rsidRPr="00AD306C">
        <w:t xml:space="preserve">  </w:t>
      </w:r>
      <w:r w:rsidR="00FF7260">
        <w:t>(</w:t>
      </w:r>
      <w:r w:rsidRPr="00AD306C">
        <w:t>Accessed</w:t>
      </w:r>
      <w:r w:rsidR="00FF7260">
        <w:t>:</w:t>
      </w:r>
      <w:r w:rsidRPr="00AD306C">
        <w:t xml:space="preserve"> 14 Jun. 2025</w:t>
      </w:r>
      <w:r w:rsidR="00FF7260">
        <w:t>)</w:t>
      </w:r>
    </w:p>
    <w:p w14:paraId="7221BE62" w14:textId="77777777" w:rsidR="00AD306C" w:rsidRPr="00AD306C" w:rsidRDefault="00AD306C" w:rsidP="00AD306C"/>
    <w:p w14:paraId="1391BC2D" w14:textId="6C6C4484" w:rsidR="00AD306C" w:rsidRPr="00AD306C" w:rsidRDefault="00AD306C" w:rsidP="00AD306C">
      <w:r w:rsidRPr="00AD306C">
        <w:t>CIPD (2023c) </w:t>
      </w:r>
      <w:r w:rsidRPr="00AD306C">
        <w:rPr>
          <w:i/>
          <w:iCs/>
        </w:rPr>
        <w:t>Resourcing and Talent Planning Survey Report</w:t>
      </w:r>
      <w:r w:rsidRPr="00AD306C">
        <w:t>. Chartered Institute of Personnel and Development. Available at: </w:t>
      </w:r>
      <w:hyperlink r:id="rId37" w:history="1">
        <w:r w:rsidRPr="00AD306C">
          <w:rPr>
            <w:color w:val="0000FF"/>
            <w:u w:val="single"/>
          </w:rPr>
          <w:t>https://www.cipd.org.uk</w:t>
        </w:r>
      </w:hyperlink>
      <w:r w:rsidRPr="00AD306C">
        <w:t xml:space="preserve">  </w:t>
      </w:r>
      <w:r w:rsidR="00FF7260">
        <w:t>(</w:t>
      </w:r>
      <w:r w:rsidRPr="00AD306C">
        <w:t>Accessed</w:t>
      </w:r>
      <w:r w:rsidR="00FF7260">
        <w:t>:</w:t>
      </w:r>
      <w:r w:rsidRPr="00AD306C">
        <w:t xml:space="preserve"> 14 Jun 2025</w:t>
      </w:r>
      <w:r w:rsidR="00FF7260">
        <w:t>)</w:t>
      </w:r>
    </w:p>
    <w:p w14:paraId="58ECC684" w14:textId="77777777" w:rsidR="00AD306C" w:rsidRPr="00AD306C" w:rsidRDefault="00AD306C" w:rsidP="00AD306C"/>
    <w:p w14:paraId="0E888A53" w14:textId="105047B4" w:rsidR="00AD306C" w:rsidRPr="00AD306C" w:rsidRDefault="00AD306C" w:rsidP="00AD306C">
      <w:r w:rsidRPr="00AD306C">
        <w:t>CIPD (2021a) </w:t>
      </w:r>
      <w:r w:rsidRPr="00AD306C">
        <w:rPr>
          <w:i/>
          <w:iCs/>
        </w:rPr>
        <w:t>Are personality tests over-rated?</w:t>
      </w:r>
      <w:r w:rsidRPr="00AD306C">
        <w:t> [Online] Available at: </w:t>
      </w:r>
      <w:hyperlink r:id="rId38" w:history="1">
        <w:r w:rsidRPr="00AD306C">
          <w:rPr>
            <w:color w:val="0000FF"/>
            <w:u w:val="single"/>
          </w:rPr>
          <w:t>https://www.cipd.org/uk/knowledge/bitesize-research/personality-tests/</w:t>
        </w:r>
      </w:hyperlink>
      <w:r w:rsidRPr="00AD306C">
        <w:t xml:space="preserve">  </w:t>
      </w:r>
      <w:r w:rsidR="00FF7260">
        <w:t>(</w:t>
      </w:r>
      <w:r w:rsidRPr="00AD306C">
        <w:t>Accessed</w:t>
      </w:r>
      <w:r w:rsidR="00FF7260">
        <w:t>:</w:t>
      </w:r>
      <w:r w:rsidRPr="00AD306C">
        <w:t xml:space="preserve"> 14 May 2025</w:t>
      </w:r>
      <w:r w:rsidR="00FF7260">
        <w:t>)</w:t>
      </w:r>
    </w:p>
    <w:p w14:paraId="272F59DC" w14:textId="77777777" w:rsidR="00AD306C" w:rsidRPr="00AD306C" w:rsidRDefault="00AD306C" w:rsidP="00AD306C"/>
    <w:p w14:paraId="5E97203E" w14:textId="06E92222" w:rsidR="00AD306C" w:rsidRPr="00AD306C" w:rsidRDefault="00AD306C" w:rsidP="00AD306C">
      <w:r w:rsidRPr="00AD306C">
        <w:t>CIPD (2021b) </w:t>
      </w:r>
      <w:r w:rsidRPr="00AD306C">
        <w:rPr>
          <w:i/>
          <w:iCs/>
        </w:rPr>
        <w:t xml:space="preserve">Fixed-term contracts. </w:t>
      </w:r>
      <w:r w:rsidRPr="00AD306C">
        <w:t>[online] Available at: </w:t>
      </w:r>
      <w:hyperlink r:id="rId39" w:history="1">
        <w:r w:rsidRPr="00AD306C">
          <w:rPr>
            <w:color w:val="0000FF"/>
            <w:u w:val="single"/>
          </w:rPr>
          <w:t>https://www.cipd.co.uk/knowledge/fundamentals/emp-law/contracts/fixed-term-factsheet</w:t>
        </w:r>
      </w:hyperlink>
      <w:r w:rsidRPr="00AD306C">
        <w:t xml:space="preserve">  </w:t>
      </w:r>
      <w:r w:rsidR="00FF7260">
        <w:t>(</w:t>
      </w:r>
      <w:r w:rsidRPr="00AD306C">
        <w:t>Accessed</w:t>
      </w:r>
      <w:r w:rsidR="00FF7260">
        <w:t>:</w:t>
      </w:r>
      <w:r w:rsidRPr="00AD306C">
        <w:t xml:space="preserve"> 3 Jun. 2025</w:t>
      </w:r>
      <w:r w:rsidR="00FF7260">
        <w:t>)</w:t>
      </w:r>
    </w:p>
    <w:p w14:paraId="66BCC3C3" w14:textId="77777777" w:rsidR="00AD306C" w:rsidRPr="00AD306C" w:rsidRDefault="00AD306C" w:rsidP="00AD306C"/>
    <w:p w14:paraId="72AEF67D" w14:textId="77777777" w:rsidR="00AD306C" w:rsidRPr="00AD306C" w:rsidRDefault="00AD306C" w:rsidP="00AD306C"/>
    <w:p w14:paraId="3D3313C5" w14:textId="08A5972D" w:rsidR="00AD306C" w:rsidRPr="00AD306C" w:rsidRDefault="00AD306C" w:rsidP="00AD306C">
      <w:r w:rsidRPr="00AD306C">
        <w:t>CIPD (2019a) </w:t>
      </w:r>
      <w:r w:rsidRPr="00AD306C">
        <w:rPr>
          <w:i/>
          <w:iCs/>
        </w:rPr>
        <w:t>The many merits of workforce planning</w:t>
      </w:r>
      <w:r w:rsidRPr="00AD306C">
        <w:t> [Podcast]. Featuring: Dr Wendy Hirsh, Ally Weeks, and Olly Britnell. Hosted by Philippa Lamb. CIPD. Available at: </w:t>
      </w:r>
      <w:hyperlink r:id="rId40" w:history="1">
        <w:r w:rsidRPr="00AD306C">
          <w:rPr>
            <w:color w:val="0000FF"/>
            <w:u w:val="single"/>
          </w:rPr>
          <w:t>https://www.cipd.org/uk/knowledge/podcasts/workforce-planning</w:t>
        </w:r>
      </w:hyperlink>
      <w:r w:rsidRPr="00AD306C">
        <w:t xml:space="preserve"> / </w:t>
      </w:r>
      <w:r w:rsidR="00FF7260">
        <w:t>(</w:t>
      </w:r>
      <w:r w:rsidRPr="00AD306C">
        <w:t>Accessed</w:t>
      </w:r>
      <w:r w:rsidR="00FF7260">
        <w:t>:</w:t>
      </w:r>
      <w:r w:rsidRPr="00AD306C">
        <w:t xml:space="preserve"> 2 June 2025</w:t>
      </w:r>
      <w:r w:rsidR="00FF7260">
        <w:t>)</w:t>
      </w:r>
    </w:p>
    <w:p w14:paraId="6B8A37DE" w14:textId="77777777" w:rsidR="00AD306C" w:rsidRPr="00AD306C" w:rsidRDefault="00AD306C" w:rsidP="00AD306C"/>
    <w:p w14:paraId="308E2E8B" w14:textId="4CDE3C45" w:rsidR="00AD306C" w:rsidRPr="00AD306C" w:rsidRDefault="00AD306C" w:rsidP="00AD306C">
      <w:r w:rsidRPr="00AD306C">
        <w:t>CIPD (n</w:t>
      </w:r>
      <w:r w:rsidR="00663CC2">
        <w:t>o date</w:t>
      </w:r>
      <w:r w:rsidRPr="00AD306C">
        <w:t>) </w:t>
      </w:r>
      <w:r w:rsidRPr="00AD306C">
        <w:rPr>
          <w:i/>
          <w:iCs/>
        </w:rPr>
        <w:t>Culture and behaviour – Core knowledge</w:t>
      </w:r>
      <w:r w:rsidRPr="00AD306C">
        <w:t>. Available at: </w:t>
      </w:r>
      <w:hyperlink r:id="rId41" w:history="1">
        <w:r w:rsidRPr="00AD306C">
          <w:rPr>
            <w:color w:val="0000FF"/>
            <w:u w:val="single"/>
          </w:rPr>
          <w:t>https://www.cipd.org/uk/the-people-profession/the-profession-map/explore-the-profession-map/core-knowledge/culture-behaviour</w:t>
        </w:r>
      </w:hyperlink>
      <w:r w:rsidRPr="00AD306C">
        <w:t xml:space="preserve"> / (Accessed: 3 June 2025).</w:t>
      </w:r>
    </w:p>
    <w:p w14:paraId="599C5DBD" w14:textId="77777777" w:rsidR="00AD306C" w:rsidRPr="00AD306C" w:rsidRDefault="00AD306C" w:rsidP="00AD306C"/>
    <w:p w14:paraId="5D44CF6F" w14:textId="283C19B7" w:rsidR="00AD306C" w:rsidRPr="00AD306C" w:rsidRDefault="00AD306C" w:rsidP="00AD306C">
      <w:r w:rsidRPr="00AD306C">
        <w:t>CIPD (n</w:t>
      </w:r>
      <w:r w:rsidR="00663CC2">
        <w:t>o date</w:t>
      </w:r>
      <w:r w:rsidRPr="00AD306C">
        <w:t>) </w:t>
      </w:r>
      <w:r w:rsidRPr="00AD306C">
        <w:rPr>
          <w:u w:val="single"/>
        </w:rPr>
        <w:t>Health and safety.</w:t>
      </w:r>
      <w:r w:rsidRPr="00AD306C">
        <w:t xml:space="preserve"> Available at: </w:t>
      </w:r>
      <w:hyperlink r:id="rId42" w:history="1">
        <w:r w:rsidRPr="00AD306C">
          <w:rPr>
            <w:color w:val="0000FF"/>
            <w:u w:val="single"/>
          </w:rPr>
          <w:t>https://www.cipd.org/uk/topics/health-and-safety/</w:t>
        </w:r>
      </w:hyperlink>
      <w:r w:rsidRPr="00AD306C">
        <w:t xml:space="preserve">  (Accessed: 3 June 2025).</w:t>
      </w:r>
    </w:p>
    <w:p w14:paraId="33D6CA70" w14:textId="77777777" w:rsidR="00AD306C" w:rsidRPr="00AD306C" w:rsidRDefault="00AD306C" w:rsidP="00AD306C">
      <w:pPr>
        <w:rPr>
          <w:lang w:eastAsia="en-GB"/>
        </w:rPr>
      </w:pPr>
    </w:p>
    <w:p w14:paraId="522100DB" w14:textId="77777777" w:rsidR="00AD306C" w:rsidRPr="00AD306C" w:rsidRDefault="00AD306C" w:rsidP="00AD306C">
      <w:pPr>
        <w:rPr>
          <w:lang w:eastAsia="en-GB"/>
        </w:rPr>
      </w:pPr>
      <w:r w:rsidRPr="00AD306C">
        <w:rPr>
          <w:lang w:eastAsia="en-GB"/>
        </w:rPr>
        <w:t>Daniels, K. (2022) </w:t>
      </w:r>
      <w:r w:rsidRPr="00AD306C">
        <w:rPr>
          <w:i/>
          <w:iCs/>
          <w:lang w:eastAsia="en-GB"/>
        </w:rPr>
        <w:t>Introduction to Employment Law: Fundamentals for HR and Business Students</w:t>
      </w:r>
      <w:r w:rsidRPr="00AD306C">
        <w:rPr>
          <w:lang w:eastAsia="en-GB"/>
        </w:rPr>
        <w:t>. 7th ed. London: Kogan Page.</w:t>
      </w:r>
    </w:p>
    <w:p w14:paraId="572AA70D" w14:textId="77777777" w:rsidR="00AD306C" w:rsidRPr="00AD306C" w:rsidRDefault="00AD306C" w:rsidP="00AD306C"/>
    <w:p w14:paraId="1A57813B" w14:textId="77777777" w:rsidR="00AD306C" w:rsidRPr="00AD306C" w:rsidRDefault="002D7F74" w:rsidP="00AD306C">
      <w:hyperlink r:id="rId43" w:history="1">
        <w:r w:rsidR="00AD306C" w:rsidRPr="00AD306C">
          <w:t>Ekdahl</w:t>
        </w:r>
      </w:hyperlink>
      <w:r w:rsidR="00AD306C" w:rsidRPr="00AD306C">
        <w:t>, M. (2025). </w:t>
      </w:r>
      <w:r w:rsidR="00AD306C" w:rsidRPr="00AD306C">
        <w:rPr>
          <w:i/>
          <w:iCs/>
        </w:rPr>
        <w:t>Skills-based hiring: Building stronger teams with blind evaluations</w:t>
      </w:r>
      <w:r w:rsidR="00AD306C" w:rsidRPr="00AD306C">
        <w:t>. [online] SHRM. Available at: </w:t>
      </w:r>
      <w:hyperlink r:id="rId44" w:history="1">
        <w:r w:rsidR="00AD306C" w:rsidRPr="00AD306C">
          <w:rPr>
            <w:color w:val="0000FF"/>
            <w:u w:val="single"/>
          </w:rPr>
          <w:t>https://www.shrm.org/enterprise-solutions/insights/skills-based-hiring-building-stronger-teams</w:t>
        </w:r>
      </w:hyperlink>
      <w:r w:rsidR="00AD306C" w:rsidRPr="00AD306C">
        <w:t xml:space="preserve">  [Accessed 2 Jun. 2025].</w:t>
      </w:r>
    </w:p>
    <w:p w14:paraId="2A05704E" w14:textId="77777777" w:rsidR="00AD306C" w:rsidRPr="00AD306C" w:rsidRDefault="00AD306C" w:rsidP="00AD306C"/>
    <w:p w14:paraId="2DB218D5" w14:textId="77777777" w:rsidR="00AD306C" w:rsidRPr="00AD306C" w:rsidRDefault="00AD306C" w:rsidP="00AD306C">
      <w:r w:rsidRPr="00AD306C">
        <w:t>Ejaz, S. and Akbar, W., 2019. </w:t>
      </w:r>
      <w:r w:rsidRPr="00AD306C">
        <w:rPr>
          <w:i/>
          <w:iCs/>
        </w:rPr>
        <w:t>An effectiveness of human resource management practices on employee retention: Findings from insurance companies of Karachi</w:t>
      </w:r>
      <w:r w:rsidRPr="00AD306C">
        <w:t>. International Institute for Science, Technology and Education (IISTE). Available at: </w:t>
      </w:r>
      <w:hyperlink r:id="rId45" w:history="1">
        <w:r w:rsidRPr="00AD306C">
          <w:rPr>
            <w:color w:val="0000FF"/>
            <w:u w:val="single"/>
          </w:rPr>
          <w:t>https://core.ac.uk/download/pdf/234672366.pdf</w:t>
        </w:r>
      </w:hyperlink>
      <w:r w:rsidRPr="00AD306C">
        <w:t xml:space="preserve">  [Accessed 2 Jun 2025].</w:t>
      </w:r>
    </w:p>
    <w:p w14:paraId="246F7B92" w14:textId="77777777" w:rsidR="00AD306C" w:rsidRPr="00AD306C" w:rsidRDefault="00AD306C" w:rsidP="00AD306C"/>
    <w:p w14:paraId="63E461DC" w14:textId="77777777" w:rsidR="00AD306C" w:rsidRPr="00AD306C" w:rsidRDefault="00AD306C" w:rsidP="00AD306C">
      <w:r w:rsidRPr="00AD306C">
        <w:t>Elzinga, D. and Lavoie, A., 2024. </w:t>
      </w:r>
      <w:r w:rsidRPr="00AD306C">
        <w:rPr>
          <w:i/>
          <w:iCs/>
        </w:rPr>
        <w:t>Research: The Long-Term Costs of Layoffs</w:t>
      </w:r>
      <w:r w:rsidRPr="00AD306C">
        <w:t>. Harvard Business Review. Available at: </w:t>
      </w:r>
      <w:hyperlink r:id="rId46" w:history="1">
        <w:r w:rsidRPr="00AD306C">
          <w:rPr>
            <w:color w:val="0000FF"/>
            <w:u w:val="single"/>
          </w:rPr>
          <w:t>https://hbr.org/2024/10/research-the-long-term-costs-of-layoffs</w:t>
        </w:r>
      </w:hyperlink>
      <w:r w:rsidRPr="00AD306C">
        <w:t xml:space="preserve">  [Accessed 14 Jun 2025].</w:t>
      </w:r>
    </w:p>
    <w:p w14:paraId="4B8B1C3F" w14:textId="77777777" w:rsidR="00AD306C" w:rsidRPr="00AD306C" w:rsidRDefault="00AD306C" w:rsidP="00AD306C"/>
    <w:p w14:paraId="32C7893C" w14:textId="77777777" w:rsidR="00AD306C" w:rsidRPr="00AD306C" w:rsidRDefault="00AD306C" w:rsidP="00AD306C">
      <w:r w:rsidRPr="00AD306C">
        <w:t>Gautier, K. and Munasinghe, L. (2020). Build a stronger employee referral program. Harvard Business Review. SHRM.</w:t>
      </w:r>
      <w:r w:rsidRPr="00AD306C">
        <w:rPr>
          <w:u w:val="single"/>
        </w:rPr>
        <w:t xml:space="preserve"> </w:t>
      </w:r>
      <w:r w:rsidRPr="00AD306C">
        <w:t>Available at: </w:t>
      </w:r>
      <w:hyperlink r:id="rId47" w:history="1">
        <w:r w:rsidRPr="00AD306C">
          <w:rPr>
            <w:color w:val="0000FF"/>
            <w:u w:val="single"/>
          </w:rPr>
          <w:t>https://hbr.org/2020/05/build-a-stronger-employee-referral-program</w:t>
        </w:r>
      </w:hyperlink>
      <w:r w:rsidRPr="00AD306C">
        <w:t xml:space="preserve">  [Accessed 2 Jun. 2025].</w:t>
      </w:r>
    </w:p>
    <w:p w14:paraId="2BE88F4D" w14:textId="77777777" w:rsidR="00AD306C" w:rsidRPr="00AD306C" w:rsidRDefault="00AD306C" w:rsidP="00AD306C"/>
    <w:p w14:paraId="13CE41E9" w14:textId="182F39CC" w:rsidR="00AD306C" w:rsidRPr="00AD306C" w:rsidRDefault="00AD306C" w:rsidP="00AD306C">
      <w:r w:rsidRPr="00AD306C">
        <w:t>GOV.UK (n</w:t>
      </w:r>
      <w:r w:rsidR="00663CC2">
        <w:t>o date</w:t>
      </w:r>
      <w:r w:rsidRPr="00AD306C">
        <w:t>) </w:t>
      </w:r>
      <w:r w:rsidRPr="00AD306C">
        <w:rPr>
          <w:i/>
          <w:iCs/>
        </w:rPr>
        <w:t>Contract types and employer responsibilities.</w:t>
      </w:r>
      <w:r w:rsidRPr="00AD306C">
        <w:t xml:space="preserve"> [online] Available at: </w:t>
      </w:r>
      <w:hyperlink r:id="rId48" w:history="1">
        <w:r w:rsidRPr="00AD306C">
          <w:rPr>
            <w:color w:val="0000FF"/>
            <w:u w:val="single"/>
          </w:rPr>
          <w:t>https://www.gov.uk/contract-types-and-employer-responsibilities</w:t>
        </w:r>
      </w:hyperlink>
      <w:r w:rsidRPr="00AD306C">
        <w:t xml:space="preserve">  [Accessed 3 Jun. 2025].</w:t>
      </w:r>
    </w:p>
    <w:p w14:paraId="6AC33F50" w14:textId="77777777" w:rsidR="00AD306C" w:rsidRPr="00AD306C" w:rsidRDefault="00AD306C" w:rsidP="00AD306C"/>
    <w:p w14:paraId="5F60DEB1" w14:textId="11BA84ED" w:rsidR="00AD306C" w:rsidRDefault="00AD306C" w:rsidP="00AD306C">
      <w:r w:rsidRPr="00AD306C">
        <w:t>GOV.UK (n</w:t>
      </w:r>
      <w:r w:rsidR="00663CC2">
        <w:t>o date</w:t>
      </w:r>
      <w:r w:rsidRPr="00AD306C">
        <w:t>) Agency workers: Your rights. [online] Available at: </w:t>
      </w:r>
      <w:hyperlink r:id="rId49" w:history="1">
        <w:r w:rsidRPr="00AD306C">
          <w:rPr>
            <w:color w:val="0000FF"/>
            <w:u w:val="single"/>
          </w:rPr>
          <w:t>https://www.gov.uk/agency-workers-your-rights</w:t>
        </w:r>
      </w:hyperlink>
      <w:r w:rsidRPr="00AD306C">
        <w:t xml:space="preserve">  [Accessed 3 Jun. 2025].</w:t>
      </w:r>
    </w:p>
    <w:p w14:paraId="2D14EA09" w14:textId="77777777" w:rsidR="00780B9C" w:rsidRPr="00780B9C" w:rsidRDefault="00780B9C" w:rsidP="00AD306C">
      <w:pPr>
        <w:rPr>
          <w:sz w:val="24"/>
          <w:szCs w:val="24"/>
        </w:rPr>
      </w:pPr>
    </w:p>
    <w:p w14:paraId="224C0518" w14:textId="5A55757D" w:rsidR="00AD306C" w:rsidRPr="00780B9C" w:rsidRDefault="00780B9C" w:rsidP="00780B9C">
      <w:pPr>
        <w:rPr>
          <w:sz w:val="24"/>
          <w:szCs w:val="24"/>
        </w:rPr>
      </w:pPr>
      <w:r w:rsidRPr="00780B9C">
        <w:rPr>
          <w:sz w:val="24"/>
          <w:szCs w:val="24"/>
        </w:rPr>
        <w:t>Hirsh, W., Reilly, P., Robinson, D. and Martin, A. (2017) Workforce planning in uncertain times. Brighton: Institute for Employment Studies.</w:t>
      </w:r>
    </w:p>
    <w:p w14:paraId="75E83120" w14:textId="77777777" w:rsidR="00780B9C" w:rsidRPr="00AD306C" w:rsidRDefault="00780B9C" w:rsidP="00AD306C"/>
    <w:p w14:paraId="596C268F" w14:textId="1C8430FE" w:rsidR="00AD306C" w:rsidRPr="00AD306C" w:rsidRDefault="00AD306C" w:rsidP="00AD306C">
      <w:r w:rsidRPr="00AD306C">
        <w:t>Hogarth, A. and McCartney, C. (2024) </w:t>
      </w:r>
      <w:r w:rsidRPr="00AD306C">
        <w:rPr>
          <w:i/>
          <w:iCs/>
        </w:rPr>
        <w:t>Resourcing and talent planning report 2024. London: Chartered Institute of Personnel and Development.</w:t>
      </w:r>
      <w:r w:rsidRPr="00AD306C">
        <w:t xml:space="preserve"> [Online] Available at: </w:t>
      </w:r>
      <w:hyperlink r:id="rId50" w:history="1">
        <w:r w:rsidRPr="00AD306C">
          <w:rPr>
            <w:color w:val="0000FF"/>
            <w:u w:val="single"/>
          </w:rPr>
          <w:t>https://www.cipd.org/globalassets/media/knowledge/knowledge-hub/reports/2024-pdfs/8662-resource-and-talent-planning-2024-report-web.pdf</w:t>
        </w:r>
      </w:hyperlink>
      <w:r w:rsidRPr="00AD306C">
        <w:t xml:space="preserve">  </w:t>
      </w:r>
      <w:r w:rsidR="00990DBF">
        <w:t>(</w:t>
      </w:r>
      <w:r w:rsidRPr="00AD306C">
        <w:t>Accessed</w:t>
      </w:r>
      <w:r w:rsidR="00990DBF">
        <w:t>:</w:t>
      </w:r>
      <w:r w:rsidRPr="00AD306C">
        <w:t xml:space="preserve"> 14 May 2025</w:t>
      </w:r>
      <w:r w:rsidR="00990DBF">
        <w:t>)</w:t>
      </w:r>
    </w:p>
    <w:p w14:paraId="251028AC" w14:textId="77777777" w:rsidR="00AD306C" w:rsidRPr="00AD306C" w:rsidRDefault="00AD306C" w:rsidP="00AD306C"/>
    <w:p w14:paraId="77F51776" w14:textId="0BA97E4F" w:rsidR="00AD306C" w:rsidRPr="00AD306C" w:rsidRDefault="00AD306C" w:rsidP="00AD306C">
      <w:proofErr w:type="spellStart"/>
      <w:r w:rsidRPr="00AD306C">
        <w:t>HRZone</w:t>
      </w:r>
      <w:proofErr w:type="spellEnd"/>
      <w:r w:rsidRPr="00AD306C">
        <w:t xml:space="preserve"> (n</w:t>
      </w:r>
      <w:r w:rsidR="00663CC2">
        <w:t>o date</w:t>
      </w:r>
      <w:r w:rsidRPr="00AD306C">
        <w:t>) ‘</w:t>
      </w:r>
      <w:r w:rsidRPr="00AD306C">
        <w:rPr>
          <w:i/>
          <w:iCs/>
        </w:rPr>
        <w:t>Induction crisis? What induction crisis?’ Beyond the checklist</w:t>
      </w:r>
      <w:r w:rsidRPr="00AD306C">
        <w:t>…. Available at: </w:t>
      </w:r>
      <w:hyperlink r:id="rId51" w:history="1">
        <w:r w:rsidRPr="00AD306C">
          <w:rPr>
            <w:color w:val="0000FF"/>
            <w:u w:val="single"/>
          </w:rPr>
          <w:t>https://hrzone.com/blog/induction-crisis-what-induction-crisis-beyond-the-checklist</w:t>
        </w:r>
      </w:hyperlink>
      <w:r w:rsidRPr="00AD306C">
        <w:t xml:space="preserve"> / (Accessed: 3 June 2025).</w:t>
      </w:r>
    </w:p>
    <w:p w14:paraId="109206ED" w14:textId="77777777" w:rsidR="00AD306C" w:rsidRPr="00AD306C" w:rsidRDefault="00AD306C" w:rsidP="00AD306C"/>
    <w:p w14:paraId="4D206BB8" w14:textId="0C6A57A5" w:rsidR="00AD306C" w:rsidRPr="00AD306C" w:rsidRDefault="00AD306C" w:rsidP="00AD306C">
      <w:r w:rsidRPr="00AD306C">
        <w:t>HM Government (n</w:t>
      </w:r>
      <w:r w:rsidR="00663CC2">
        <w:t>o date</w:t>
      </w:r>
      <w:r w:rsidRPr="00AD306C">
        <w:t>) </w:t>
      </w:r>
      <w:r w:rsidRPr="00AD306C">
        <w:rPr>
          <w:i/>
          <w:iCs/>
        </w:rPr>
        <w:t>Employment status: Employee.</w:t>
      </w:r>
      <w:r w:rsidRPr="00AD306C">
        <w:t xml:space="preserve"> Available at: </w:t>
      </w:r>
      <w:hyperlink r:id="rId52" w:history="1">
        <w:r w:rsidRPr="00AD306C">
          <w:rPr>
            <w:color w:val="0000FF"/>
            <w:u w:val="single"/>
          </w:rPr>
          <w:t>https://www.gov.uk/employment-status/employee</w:t>
        </w:r>
      </w:hyperlink>
      <w:r w:rsidRPr="00AD306C">
        <w:t xml:space="preserve">  </w:t>
      </w:r>
      <w:r w:rsidR="00990DBF">
        <w:t>(</w:t>
      </w:r>
      <w:r w:rsidRPr="00AD306C">
        <w:t>Accessed</w:t>
      </w:r>
      <w:r w:rsidR="00990DBF">
        <w:t>:</w:t>
      </w:r>
      <w:r w:rsidRPr="00AD306C">
        <w:t xml:space="preserve"> 14 June 2025</w:t>
      </w:r>
      <w:r w:rsidR="000435A0">
        <w:t>)</w:t>
      </w:r>
    </w:p>
    <w:p w14:paraId="6FD13F78" w14:textId="77777777" w:rsidR="00AD306C" w:rsidRPr="00AD306C" w:rsidRDefault="00AD306C" w:rsidP="00AD306C"/>
    <w:p w14:paraId="497CBF53" w14:textId="77777777" w:rsidR="00AD306C" w:rsidRPr="00AD306C" w:rsidRDefault="00AD306C" w:rsidP="00AD306C">
      <w:r w:rsidRPr="00AD306C">
        <w:t>Howlett, E. (2020) </w:t>
      </w:r>
      <w:r w:rsidRPr="00AD306C">
        <w:rPr>
          <w:i/>
          <w:iCs/>
        </w:rPr>
        <w:t>How to get onboarding right</w:t>
      </w:r>
      <w:r w:rsidRPr="00AD306C">
        <w:t>. People Management. Available at: </w:t>
      </w:r>
      <w:hyperlink r:id="rId53" w:history="1">
        <w:r w:rsidRPr="00AD306C">
          <w:rPr>
            <w:color w:val="0000FF"/>
            <w:u w:val="single"/>
          </w:rPr>
          <w:t>https://www.peoplemanagement.co.uk/article/1742140/how-get-onboarding-right</w:t>
        </w:r>
      </w:hyperlink>
      <w:r w:rsidRPr="00AD306C">
        <w:t xml:space="preserve">  (Accessed: 3 June 2025).</w:t>
      </w:r>
    </w:p>
    <w:p w14:paraId="51C4C02C" w14:textId="77777777" w:rsidR="00AD306C" w:rsidRPr="00AD306C" w:rsidRDefault="00AD306C" w:rsidP="00AD306C"/>
    <w:p w14:paraId="040D3CD8" w14:textId="4B144029" w:rsidR="00AD306C" w:rsidRDefault="00AD306C" w:rsidP="00AD306C">
      <w:proofErr w:type="spellStart"/>
      <w:r w:rsidRPr="00AD306C">
        <w:t>iHire</w:t>
      </w:r>
      <w:proofErr w:type="spellEnd"/>
      <w:r w:rsidRPr="00AD306C">
        <w:t>. (2024) </w:t>
      </w:r>
      <w:r w:rsidRPr="00AD306C">
        <w:rPr>
          <w:i/>
          <w:iCs/>
        </w:rPr>
        <w:t>Talent Retention Report 2024</w:t>
      </w:r>
      <w:r w:rsidRPr="00AD306C">
        <w:t xml:space="preserve">. [online] </w:t>
      </w:r>
      <w:proofErr w:type="spellStart"/>
      <w:r w:rsidRPr="00AD306C">
        <w:t>iHire</w:t>
      </w:r>
      <w:proofErr w:type="spellEnd"/>
      <w:r w:rsidRPr="00AD306C">
        <w:t>. Available at: </w:t>
      </w:r>
      <w:hyperlink r:id="rId54" w:history="1">
        <w:r w:rsidRPr="00AD306C">
          <w:rPr>
            <w:color w:val="0000FF"/>
            <w:u w:val="single"/>
          </w:rPr>
          <w:t>https://www.ihire.com/resourcecenter/employer/pages/talent-retention-report-2024</w:t>
        </w:r>
      </w:hyperlink>
      <w:r w:rsidRPr="00AD306C">
        <w:t xml:space="preserve">  </w:t>
      </w:r>
      <w:r w:rsidR="000435A0">
        <w:t>(</w:t>
      </w:r>
      <w:r w:rsidRPr="00AD306C">
        <w:t>Accessed 14 Jun 2025</w:t>
      </w:r>
      <w:r w:rsidR="000435A0">
        <w:t>)</w:t>
      </w:r>
    </w:p>
    <w:p w14:paraId="282ACFEF" w14:textId="77777777" w:rsidR="00DD17A4" w:rsidRPr="00AD306C" w:rsidRDefault="00DD17A4" w:rsidP="00AD306C"/>
    <w:p w14:paraId="5DA063E8" w14:textId="3F5DC1BE" w:rsidR="00DD17A4" w:rsidRPr="00AD306C" w:rsidRDefault="00DD17A4" w:rsidP="00DD17A4">
      <w:r w:rsidRPr="00AD306C">
        <w:t>Levine, B. (2024). </w:t>
      </w:r>
      <w:r w:rsidRPr="00AD306C">
        <w:rPr>
          <w:i/>
          <w:iCs/>
        </w:rPr>
        <w:t>Driving change: Essential steps for successful HR transformation. SHRM.</w:t>
      </w:r>
      <w:r w:rsidRPr="00AD306C">
        <w:t xml:space="preserve"> Available at: </w:t>
      </w:r>
      <w:hyperlink r:id="rId55" w:history="1">
        <w:r w:rsidRPr="00AD306C">
          <w:rPr>
            <w:color w:val="0000FF"/>
            <w:u w:val="single"/>
          </w:rPr>
          <w:t>https://www.shrm.org/topics-tools/flagships/all-things-work/driving-change--essential-steps-for-successful-hr-transformation</w:t>
        </w:r>
      </w:hyperlink>
      <w:r w:rsidRPr="00AD306C">
        <w:t xml:space="preserve">  </w:t>
      </w:r>
      <w:r w:rsidR="000435A0">
        <w:t>(</w:t>
      </w:r>
      <w:r w:rsidRPr="00AD306C">
        <w:t>Accessed</w:t>
      </w:r>
      <w:r w:rsidR="000435A0">
        <w:t>:</w:t>
      </w:r>
      <w:r w:rsidRPr="00AD306C">
        <w:t xml:space="preserve"> 2 Jun. 2025</w:t>
      </w:r>
      <w:r w:rsidR="000435A0">
        <w:t>)</w:t>
      </w:r>
    </w:p>
    <w:p w14:paraId="0AE3CA51" w14:textId="77777777" w:rsidR="00AD306C" w:rsidRPr="00AD306C" w:rsidRDefault="00AD306C" w:rsidP="00AD306C"/>
    <w:p w14:paraId="004F9B42" w14:textId="02BCAC7A" w:rsidR="0051430F" w:rsidRDefault="0065337D" w:rsidP="0065337D">
      <w:pPr>
        <w:rPr>
          <w:sz w:val="24"/>
          <w:szCs w:val="24"/>
        </w:rPr>
      </w:pPr>
      <w:r w:rsidRPr="0065337D">
        <w:rPr>
          <w:sz w:val="24"/>
          <w:szCs w:val="24"/>
        </w:rPr>
        <w:t>Mano-</w:t>
      </w:r>
      <w:proofErr w:type="spellStart"/>
      <w:r w:rsidRPr="0065337D">
        <w:rPr>
          <w:sz w:val="24"/>
          <w:szCs w:val="24"/>
        </w:rPr>
        <w:t>Negrin</w:t>
      </w:r>
      <w:proofErr w:type="spellEnd"/>
      <w:r w:rsidRPr="0065337D">
        <w:rPr>
          <w:sz w:val="24"/>
          <w:szCs w:val="24"/>
        </w:rPr>
        <w:t xml:space="preserve">, R. and Kirschenbaum, A. (1999) </w:t>
      </w:r>
      <w:r w:rsidRPr="00CE5317">
        <w:rPr>
          <w:i/>
          <w:iCs/>
          <w:sz w:val="24"/>
          <w:szCs w:val="24"/>
        </w:rPr>
        <w:t>‘Push and pull factors in medical employees’ turnover decisions: the effect of a careerist approach and organizational benefits on the decision to leave the job’</w:t>
      </w:r>
      <w:r w:rsidRPr="0065337D">
        <w:rPr>
          <w:sz w:val="24"/>
          <w:szCs w:val="24"/>
        </w:rPr>
        <w:t xml:space="preserve">, The International Journal of Human Resource Management, 10(4), pp. 689–702. </w:t>
      </w:r>
      <w:proofErr w:type="spellStart"/>
      <w:r w:rsidRPr="0065337D">
        <w:rPr>
          <w:sz w:val="24"/>
          <w:szCs w:val="24"/>
        </w:rPr>
        <w:t>doi</w:t>
      </w:r>
      <w:proofErr w:type="spellEnd"/>
      <w:r w:rsidRPr="0065337D">
        <w:rPr>
          <w:sz w:val="24"/>
          <w:szCs w:val="24"/>
        </w:rPr>
        <w:t>: 10.1080/095851999340341.</w:t>
      </w:r>
    </w:p>
    <w:p w14:paraId="178BCA95" w14:textId="77777777" w:rsidR="0065337D" w:rsidRPr="0065337D" w:rsidRDefault="0065337D" w:rsidP="0065337D">
      <w:pPr>
        <w:rPr>
          <w:sz w:val="24"/>
          <w:szCs w:val="24"/>
        </w:rPr>
      </w:pPr>
    </w:p>
    <w:p w14:paraId="13171A88" w14:textId="034C0542" w:rsidR="00AD306C" w:rsidRPr="0051430F" w:rsidRDefault="0051430F" w:rsidP="0051430F">
      <w:pPr>
        <w:rPr>
          <w:sz w:val="24"/>
          <w:szCs w:val="24"/>
        </w:rPr>
      </w:pPr>
      <w:r w:rsidRPr="0051430F">
        <w:rPr>
          <w:sz w:val="24"/>
          <w:szCs w:val="24"/>
        </w:rPr>
        <w:t xml:space="preserve">Marchington, M., Wilkinson, A., Donnelly, R. and </w:t>
      </w:r>
      <w:proofErr w:type="spellStart"/>
      <w:r w:rsidRPr="0051430F">
        <w:rPr>
          <w:sz w:val="24"/>
          <w:szCs w:val="24"/>
        </w:rPr>
        <w:t>Kynighou</w:t>
      </w:r>
      <w:proofErr w:type="spellEnd"/>
      <w:r w:rsidRPr="0051430F">
        <w:rPr>
          <w:sz w:val="24"/>
          <w:szCs w:val="24"/>
        </w:rPr>
        <w:t>, A. (2020) </w:t>
      </w:r>
      <w:r w:rsidRPr="0051430F">
        <w:rPr>
          <w:i/>
          <w:iCs/>
          <w:sz w:val="24"/>
          <w:szCs w:val="24"/>
        </w:rPr>
        <w:t>Human resource management at work: the definitive guide.</w:t>
      </w:r>
      <w:r w:rsidRPr="0051430F">
        <w:rPr>
          <w:sz w:val="24"/>
          <w:szCs w:val="24"/>
        </w:rPr>
        <w:t xml:space="preserve"> 7th ed. London: CIPD Kogan Page.</w:t>
      </w:r>
    </w:p>
    <w:p w14:paraId="514C7497" w14:textId="77777777" w:rsidR="00AD306C" w:rsidRPr="00AD306C" w:rsidRDefault="00AD306C" w:rsidP="00AD306C"/>
    <w:p w14:paraId="7D21ACA1" w14:textId="3355AAEF" w:rsidR="00AD306C" w:rsidRPr="00AD306C" w:rsidRDefault="00AD306C" w:rsidP="00AD306C">
      <w:proofErr w:type="spellStart"/>
      <w:r w:rsidRPr="00AD306C">
        <w:t>Maharvi</w:t>
      </w:r>
      <w:proofErr w:type="spellEnd"/>
      <w:r w:rsidRPr="00AD306C">
        <w:t xml:space="preserve">, M.W. and Ahmad, S., </w:t>
      </w:r>
      <w:r w:rsidR="00CE5317">
        <w:t>(</w:t>
      </w:r>
      <w:r w:rsidRPr="00AD306C">
        <w:t>2022</w:t>
      </w:r>
      <w:r w:rsidR="00CE5317">
        <w:t>)</w:t>
      </w:r>
      <w:r w:rsidRPr="00AD306C">
        <w:t>. </w:t>
      </w:r>
      <w:r w:rsidRPr="00AD306C">
        <w:rPr>
          <w:i/>
          <w:iCs/>
        </w:rPr>
        <w:t>Investigate the role of non-financial rewards on employee performance: Mediating role of motivation.</w:t>
      </w:r>
      <w:r w:rsidRPr="00AD306C">
        <w:t xml:space="preserve"> Journal of Development and Social Sciences, 3(III), pp.510–523. Available at: </w:t>
      </w:r>
      <w:hyperlink r:id="rId56" w:history="1">
        <w:r w:rsidRPr="00AD306C">
          <w:rPr>
            <w:color w:val="0000FF"/>
            <w:u w:val="single"/>
          </w:rPr>
          <w:t>https://www.researchgate.net/publication/366373169</w:t>
        </w:r>
      </w:hyperlink>
      <w:r w:rsidRPr="00AD306C">
        <w:t xml:space="preserve">  </w:t>
      </w:r>
      <w:r w:rsidR="00CE5317">
        <w:t>(</w:t>
      </w:r>
      <w:r w:rsidRPr="00AD306C">
        <w:t>Accessed</w:t>
      </w:r>
      <w:r w:rsidR="00CE5317">
        <w:t>:</w:t>
      </w:r>
      <w:r w:rsidRPr="00AD306C">
        <w:t xml:space="preserve"> 2 Jun 2025</w:t>
      </w:r>
      <w:r w:rsidR="00CE5317">
        <w:t>)</w:t>
      </w:r>
    </w:p>
    <w:p w14:paraId="0FE88C49" w14:textId="77777777" w:rsidR="00AD306C" w:rsidRPr="00AD306C" w:rsidRDefault="00AD306C" w:rsidP="00AD306C"/>
    <w:p w14:paraId="675A804B" w14:textId="18C44403" w:rsidR="00AD306C" w:rsidRPr="00AD306C" w:rsidRDefault="00AD306C" w:rsidP="00AD306C">
      <w:r w:rsidRPr="00AD306C">
        <w:t>Peters, R. (2023) </w:t>
      </w:r>
      <w:r w:rsidRPr="00AD306C">
        <w:rPr>
          <w:i/>
          <w:iCs/>
        </w:rPr>
        <w:t>People Profession 2023: International survey report</w:t>
      </w:r>
      <w:r w:rsidRPr="00AD306C">
        <w:t>. London: Chartered Institute of Personnel and Development. [Online] Available</w:t>
      </w:r>
      <w:r w:rsidRPr="00AD306C">
        <w:rPr>
          <w:rFonts w:ascii="Segoe UI" w:hAnsi="Segoe UI" w:cs="Segoe UI"/>
          <w:color w:val="424242"/>
          <w:shd w:val="clear" w:color="auto" w:fill="FAFAFA"/>
        </w:rPr>
        <w:t xml:space="preserve"> </w:t>
      </w:r>
      <w:r w:rsidRPr="00AD306C">
        <w:t>at: </w:t>
      </w:r>
      <w:hyperlink r:id="rId57" w:history="1">
        <w:r w:rsidRPr="00AD306C">
          <w:rPr>
            <w:color w:val="0000FF"/>
            <w:u w:val="single"/>
          </w:rPr>
          <w:t>https://www.cipd.org/uk/knowledge/reports/people-profession-survey-2023/</w:t>
        </w:r>
      </w:hyperlink>
      <w:r w:rsidRPr="00AD306C">
        <w:t xml:space="preserve">  </w:t>
      </w:r>
      <w:r w:rsidR="00CE5317">
        <w:t>(</w:t>
      </w:r>
      <w:r w:rsidRPr="00AD306C">
        <w:t>Accessed</w:t>
      </w:r>
      <w:r w:rsidR="00CE5317">
        <w:t>:</w:t>
      </w:r>
      <w:r w:rsidRPr="00AD306C">
        <w:t xml:space="preserve"> 14 May 2025</w:t>
      </w:r>
      <w:r w:rsidR="00CE5317">
        <w:t>)</w:t>
      </w:r>
    </w:p>
    <w:p w14:paraId="15F8AACB" w14:textId="77777777" w:rsidR="00AD306C" w:rsidRPr="00AD306C" w:rsidRDefault="00AD306C" w:rsidP="00AD306C"/>
    <w:p w14:paraId="7FBCF6A6" w14:textId="429900FC" w:rsidR="00AD306C" w:rsidRPr="00AD306C" w:rsidRDefault="00AD306C" w:rsidP="00AD306C">
      <w:proofErr w:type="spellStart"/>
      <w:r w:rsidRPr="00AD306C">
        <w:t>Peoplexcd</w:t>
      </w:r>
      <w:proofErr w:type="spellEnd"/>
      <w:r w:rsidRPr="00AD306C">
        <w:t>, (2024). </w:t>
      </w:r>
      <w:r w:rsidRPr="00AD306C">
        <w:rPr>
          <w:i/>
          <w:iCs/>
        </w:rPr>
        <w:t>Employee Turnover: Push vs Pull Factors</w:t>
      </w:r>
      <w:r w:rsidRPr="00AD306C">
        <w:t xml:space="preserve">. [online] </w:t>
      </w:r>
      <w:proofErr w:type="spellStart"/>
      <w:r w:rsidRPr="00AD306C">
        <w:t>Peoplexcd</w:t>
      </w:r>
      <w:proofErr w:type="spellEnd"/>
      <w:r w:rsidRPr="00AD306C">
        <w:t>. Available at: </w:t>
      </w:r>
      <w:hyperlink r:id="rId58" w:history="1">
        <w:r w:rsidRPr="00AD306C">
          <w:rPr>
            <w:color w:val="0000FF"/>
            <w:u w:val="single"/>
          </w:rPr>
          <w:t>https://www.peoplexcd.com/insights/employee-turnover-push-vs-pull-factors/</w:t>
        </w:r>
      </w:hyperlink>
      <w:r w:rsidRPr="00AD306C">
        <w:t xml:space="preserve">  </w:t>
      </w:r>
      <w:r w:rsidR="00CE5317">
        <w:t>(</w:t>
      </w:r>
      <w:r w:rsidRPr="00AD306C">
        <w:t>Accessed</w:t>
      </w:r>
      <w:r w:rsidR="00CE5317">
        <w:t>:</w:t>
      </w:r>
      <w:r w:rsidRPr="00AD306C">
        <w:t xml:space="preserve"> 2 Jun 2025</w:t>
      </w:r>
      <w:r w:rsidR="00CE5317">
        <w:t>)</w:t>
      </w:r>
    </w:p>
    <w:p w14:paraId="0F4F3465" w14:textId="77777777" w:rsidR="00AD306C" w:rsidRPr="00AD306C" w:rsidRDefault="00AD306C" w:rsidP="00AD306C"/>
    <w:p w14:paraId="6C99C45B" w14:textId="77777777" w:rsidR="00AD306C" w:rsidRDefault="00AD306C" w:rsidP="00AD306C">
      <w:pPr>
        <w:rPr>
          <w:lang w:val="fr-FR"/>
        </w:rPr>
      </w:pPr>
      <w:r w:rsidRPr="00AD306C">
        <w:t>People Management (2024) </w:t>
      </w:r>
      <w:r w:rsidRPr="00AD306C">
        <w:rPr>
          <w:i/>
          <w:iCs/>
        </w:rPr>
        <w:t>The first 100 days make or break a new hire.</w:t>
      </w:r>
      <w:r w:rsidRPr="00AD306C">
        <w:t xml:space="preserve"> </w:t>
      </w:r>
      <w:proofErr w:type="spellStart"/>
      <w:r w:rsidRPr="00876163">
        <w:rPr>
          <w:lang w:val="fr-FR"/>
        </w:rPr>
        <w:t>Available</w:t>
      </w:r>
      <w:proofErr w:type="spellEnd"/>
      <w:r w:rsidRPr="00876163">
        <w:rPr>
          <w:lang w:val="fr-FR"/>
        </w:rPr>
        <w:t xml:space="preserve"> </w:t>
      </w:r>
      <w:proofErr w:type="gramStart"/>
      <w:r w:rsidRPr="00876163">
        <w:rPr>
          <w:lang w:val="fr-FR"/>
        </w:rPr>
        <w:t>at:</w:t>
      </w:r>
      <w:proofErr w:type="gramEnd"/>
      <w:r w:rsidRPr="00876163">
        <w:rPr>
          <w:lang w:val="fr-FR"/>
        </w:rPr>
        <w:t> </w:t>
      </w:r>
      <w:hyperlink r:id="rId59" w:tgtFrame="_blank" w:history="1">
        <w:r w:rsidRPr="00876163">
          <w:rPr>
            <w:color w:val="0000FF"/>
            <w:u w:val="single"/>
            <w:lang w:val="fr-FR"/>
          </w:rPr>
          <w:t>https://www.peoplemanagement.co.uk/article/1870723/first-100-days-or-break-new-hire</w:t>
        </w:r>
      </w:hyperlink>
      <w:r w:rsidRPr="00876163">
        <w:rPr>
          <w:lang w:val="fr-FR"/>
        </w:rPr>
        <w:t> (</w:t>
      </w:r>
      <w:proofErr w:type="spellStart"/>
      <w:r w:rsidRPr="00876163">
        <w:rPr>
          <w:lang w:val="fr-FR"/>
        </w:rPr>
        <w:t>Accessed</w:t>
      </w:r>
      <w:proofErr w:type="spellEnd"/>
      <w:r w:rsidRPr="00876163">
        <w:rPr>
          <w:lang w:val="fr-FR"/>
        </w:rPr>
        <w:t>: 3 June 2025).</w:t>
      </w:r>
    </w:p>
    <w:p w14:paraId="136F5A3A" w14:textId="77777777" w:rsidR="00DD17A4" w:rsidRPr="00876163" w:rsidRDefault="00DD17A4" w:rsidP="00AD306C">
      <w:pPr>
        <w:rPr>
          <w:lang w:val="fr-FR"/>
        </w:rPr>
      </w:pPr>
    </w:p>
    <w:p w14:paraId="620EC3B4" w14:textId="1FF35AAB" w:rsidR="00AD306C" w:rsidRDefault="00DD17A4" w:rsidP="00AD306C">
      <w:proofErr w:type="spellStart"/>
      <w:r>
        <w:t>Pilbeam</w:t>
      </w:r>
      <w:proofErr w:type="spellEnd"/>
      <w:r>
        <w:t xml:space="preserve">, S. and Corbridge, M. (2010) </w:t>
      </w:r>
      <w:r w:rsidRPr="00DD17A4">
        <w:rPr>
          <w:i/>
          <w:iCs/>
        </w:rPr>
        <w:t xml:space="preserve">People resourcing and talent planning: </w:t>
      </w:r>
      <w:r>
        <w:t>HRM in practice. 4th ed. Harlow: Financial Times/Prentice Hall.</w:t>
      </w:r>
    </w:p>
    <w:p w14:paraId="3BDB5353" w14:textId="77777777" w:rsidR="00DD17A4" w:rsidRPr="00876163" w:rsidRDefault="00DD17A4" w:rsidP="00AD306C">
      <w:pPr>
        <w:rPr>
          <w:lang w:val="fr-FR"/>
        </w:rPr>
      </w:pPr>
    </w:p>
    <w:p w14:paraId="6B76B8EA" w14:textId="2ABA13E3" w:rsidR="00AD306C" w:rsidRPr="00AD306C" w:rsidRDefault="00AD306C" w:rsidP="00AD306C">
      <w:r w:rsidRPr="00AD306C">
        <w:t xml:space="preserve">SHRM. (2024) Future of Talent Retention: </w:t>
      </w:r>
      <w:r w:rsidRPr="00AD306C">
        <w:rPr>
          <w:i/>
          <w:iCs/>
        </w:rPr>
        <w:t>Understanding Why Employees Leave and Why They Stay</w:t>
      </w:r>
      <w:r w:rsidRPr="00AD306C">
        <w:t>. [online] Available at: </w:t>
      </w:r>
      <w:hyperlink r:id="rId60" w:history="1">
        <w:r w:rsidRPr="00AD306C">
          <w:rPr>
            <w:color w:val="0000FF"/>
            <w:u w:val="single"/>
          </w:rPr>
          <w:t>https://www.shrm.org/executive-network/insights/future-of-talent-retention-report-why-employees-leave</w:t>
        </w:r>
      </w:hyperlink>
      <w:r w:rsidRPr="00AD306C">
        <w:t xml:space="preserve">  </w:t>
      </w:r>
      <w:r w:rsidR="005263BD">
        <w:t>(</w:t>
      </w:r>
      <w:r w:rsidRPr="00AD306C">
        <w:t>Accessed</w:t>
      </w:r>
      <w:r w:rsidR="005263BD">
        <w:t>:</w:t>
      </w:r>
      <w:r w:rsidRPr="00AD306C">
        <w:t xml:space="preserve"> 14 Jun 2025</w:t>
      </w:r>
      <w:r w:rsidR="005263BD">
        <w:t>)</w:t>
      </w:r>
    </w:p>
    <w:p w14:paraId="44A0D1C2" w14:textId="77777777" w:rsidR="00AD306C" w:rsidRPr="00AD306C" w:rsidRDefault="00AD306C" w:rsidP="00AD306C"/>
    <w:p w14:paraId="689BD6EA" w14:textId="5BD7B430" w:rsidR="00AD306C" w:rsidRPr="00AD306C" w:rsidRDefault="00AD306C" w:rsidP="00AD306C">
      <w:r w:rsidRPr="00AD306C">
        <w:t>Sibisi, S. and Kappers, G. (2022) </w:t>
      </w:r>
      <w:r w:rsidRPr="00AD306C">
        <w:rPr>
          <w:u w:val="single"/>
        </w:rPr>
        <w:t>Onboarding Can Make or Break a New Hire’s Experience.</w:t>
      </w:r>
      <w:r w:rsidRPr="00AD306C">
        <w:t xml:space="preserve"> [online] Harvard Business Review. Available at: </w:t>
      </w:r>
      <w:hyperlink r:id="rId61" w:history="1">
        <w:r w:rsidRPr="00AD306C">
          <w:rPr>
            <w:color w:val="0000FF"/>
            <w:u w:val="single"/>
          </w:rPr>
          <w:t>https://hbr.org/2022/04/onboarding-can-make-or-break-a-new-hires-experience</w:t>
        </w:r>
      </w:hyperlink>
      <w:r w:rsidRPr="00AD306C">
        <w:t xml:space="preserve">  </w:t>
      </w:r>
      <w:r w:rsidR="005263BD">
        <w:t>(</w:t>
      </w:r>
      <w:r w:rsidRPr="00AD306C">
        <w:t>Accessed 14 Jun. 2025</w:t>
      </w:r>
      <w:r w:rsidR="005263BD">
        <w:t>)</w:t>
      </w:r>
    </w:p>
    <w:p w14:paraId="3D90CE3D" w14:textId="77777777" w:rsidR="00AD306C" w:rsidRPr="00AD306C" w:rsidRDefault="00AD306C" w:rsidP="00AD306C"/>
    <w:p w14:paraId="2C60DF36" w14:textId="0E4B1347" w:rsidR="00751EA0" w:rsidRDefault="00751EA0" w:rsidP="00AD306C">
      <w:r>
        <w:t xml:space="preserve">Sparkman, R. (2018) </w:t>
      </w:r>
      <w:r w:rsidRPr="00F139E3">
        <w:rPr>
          <w:i/>
          <w:iCs/>
        </w:rPr>
        <w:t>Strategic workforce planning: developing optimi</w:t>
      </w:r>
      <w:r w:rsidR="00F139E3" w:rsidRPr="00F139E3">
        <w:rPr>
          <w:i/>
          <w:iCs/>
        </w:rPr>
        <w:t>s</w:t>
      </w:r>
      <w:r w:rsidRPr="00F139E3">
        <w:rPr>
          <w:i/>
          <w:iCs/>
        </w:rPr>
        <w:t>ed talent strategies for future growth</w:t>
      </w:r>
      <w:r>
        <w:t>. London: Kogan Page. [Forthcoming, 2nd ed., May 2023.]</w:t>
      </w:r>
    </w:p>
    <w:p w14:paraId="482CC0F7" w14:textId="77777777" w:rsidR="00751EA0" w:rsidRDefault="00751EA0" w:rsidP="00AD306C"/>
    <w:p w14:paraId="7744BDF8" w14:textId="056B536A" w:rsidR="00AD306C" w:rsidRPr="00AD306C" w:rsidRDefault="00AD306C" w:rsidP="00AD306C">
      <w:r w:rsidRPr="00AD306C">
        <w:t xml:space="preserve">Sucher, S.J. and </w:t>
      </w:r>
      <w:proofErr w:type="spellStart"/>
      <w:r w:rsidRPr="00AD306C">
        <w:t>Westner</w:t>
      </w:r>
      <w:proofErr w:type="spellEnd"/>
      <w:r w:rsidRPr="00AD306C">
        <w:t>, M.M., 2022</w:t>
      </w:r>
      <w:r w:rsidRPr="00AD306C">
        <w:rPr>
          <w:i/>
          <w:iCs/>
        </w:rPr>
        <w:t>. What Companies Still Get Wrong About Layoffs.</w:t>
      </w:r>
      <w:r w:rsidRPr="00AD306C">
        <w:t xml:space="preserve"> Harvard Business Review. Available at: </w:t>
      </w:r>
      <w:hyperlink r:id="rId62" w:history="1">
        <w:r w:rsidRPr="00AD306C">
          <w:rPr>
            <w:color w:val="0000FF"/>
            <w:u w:val="single"/>
          </w:rPr>
          <w:t>https://hbr.org/2022/12/what-companies-still-get-wrong-about-layoffs</w:t>
        </w:r>
      </w:hyperlink>
      <w:r w:rsidRPr="00AD306C">
        <w:t xml:space="preserve">  </w:t>
      </w:r>
      <w:r w:rsidR="00FF7260">
        <w:t>(</w:t>
      </w:r>
      <w:r w:rsidRPr="00AD306C">
        <w:t>Accessed</w:t>
      </w:r>
      <w:r w:rsidR="00FF7260">
        <w:t>:</w:t>
      </w:r>
      <w:r w:rsidRPr="00AD306C">
        <w:t xml:space="preserve"> 14 Jun 2025</w:t>
      </w:r>
      <w:r w:rsidR="00FF7260">
        <w:t>)</w:t>
      </w:r>
    </w:p>
    <w:p w14:paraId="2338BBB2" w14:textId="77777777" w:rsidR="00AD306C" w:rsidRPr="00AD306C" w:rsidRDefault="00AD306C" w:rsidP="00AD306C"/>
    <w:p w14:paraId="52856505" w14:textId="14EA8B0F" w:rsidR="00AD306C" w:rsidRDefault="00AD306C" w:rsidP="00AD306C">
      <w:r w:rsidRPr="00AD306C">
        <w:t xml:space="preserve">Taylor, A.K. and </w:t>
      </w:r>
      <w:proofErr w:type="spellStart"/>
      <w:r w:rsidRPr="00AD306C">
        <w:t>Alla</w:t>
      </w:r>
      <w:proofErr w:type="spellEnd"/>
      <w:r w:rsidRPr="00AD306C">
        <w:t>, S., (2018). </w:t>
      </w:r>
      <w:r w:rsidRPr="00AD306C">
        <w:rPr>
          <w:i/>
          <w:iCs/>
        </w:rPr>
        <w:t>Influence of reward systems on motivation – Pros and cons based on current literature</w:t>
      </w:r>
      <w:r w:rsidRPr="00AD306C">
        <w:t>. Proceedings of the American Society for Engineering Management (ASEM) 2018 International Annual Conference. Available at: </w:t>
      </w:r>
      <w:hyperlink r:id="rId63" w:history="1">
        <w:r w:rsidRPr="00AD306C">
          <w:rPr>
            <w:color w:val="0000FF"/>
            <w:u w:val="single"/>
          </w:rPr>
          <w:t>https://www.researchgate.net/publication/335353132</w:t>
        </w:r>
      </w:hyperlink>
      <w:r w:rsidRPr="00AD306C">
        <w:t xml:space="preserve"> </w:t>
      </w:r>
      <w:r w:rsidR="00FF7260">
        <w:t>(</w:t>
      </w:r>
      <w:r w:rsidRPr="00AD306C">
        <w:t>Accessed</w:t>
      </w:r>
      <w:r w:rsidR="00FF7260">
        <w:t>:</w:t>
      </w:r>
      <w:r w:rsidRPr="00AD306C">
        <w:t xml:space="preserve"> 2 Jun 2025</w:t>
      </w:r>
      <w:r w:rsidR="00FF7260">
        <w:t>)</w:t>
      </w:r>
    </w:p>
    <w:p w14:paraId="43DE94DA" w14:textId="77777777" w:rsidR="008F4FD9" w:rsidRPr="00AD306C" w:rsidRDefault="008F4FD9" w:rsidP="008F4FD9"/>
    <w:p w14:paraId="628143FC" w14:textId="0381A97D" w:rsidR="00AD306C" w:rsidRPr="008F4FD9" w:rsidRDefault="008F4FD9" w:rsidP="008F4FD9">
      <w:r w:rsidRPr="008F4FD9">
        <w:t>The Health Foundation (n</w:t>
      </w:r>
      <w:r w:rsidR="00663CC2">
        <w:t>o date</w:t>
      </w:r>
      <w:r w:rsidRPr="008F4FD9">
        <w:t>) </w:t>
      </w:r>
      <w:r w:rsidRPr="008F4FD9">
        <w:rPr>
          <w:i/>
          <w:iCs/>
        </w:rPr>
        <w:t>The impact of workforce turnover and temporary staff on productivity and health outcomes in the hospital sector. London School of Economics and Political Science.</w:t>
      </w:r>
      <w:r w:rsidRPr="008F4FD9">
        <w:t xml:space="preserve"> Available at: </w:t>
      </w:r>
      <w:hyperlink r:id="rId64" w:history="1">
        <w:r w:rsidRPr="008F4FD9">
          <w:rPr>
            <w:rStyle w:val="Hyperlink"/>
            <w:color w:val="0070C0"/>
          </w:rPr>
          <w:t>https://www.health.org.uk/funding-and-fellowships/projects/the-impact-of-workforce-turnover-and-temporary-staff-on</w:t>
        </w:r>
      </w:hyperlink>
      <w:r w:rsidRPr="008F4FD9">
        <w:rPr>
          <w:color w:val="0070C0"/>
        </w:rPr>
        <w:t xml:space="preserve">  </w:t>
      </w:r>
      <w:r w:rsidRPr="008F4FD9">
        <w:t>(Accessed: 18 June 2025).</w:t>
      </w:r>
    </w:p>
    <w:p w14:paraId="45A94C73" w14:textId="77777777" w:rsidR="008F4FD9" w:rsidRPr="00AD306C" w:rsidRDefault="008F4FD9" w:rsidP="00AD306C"/>
    <w:p w14:paraId="141A0C37" w14:textId="7F6E3630" w:rsidR="00AD306C" w:rsidRDefault="00AD306C" w:rsidP="00AD306C">
      <w:r w:rsidRPr="00AD306C">
        <w:t>The HR Observer, (2024). </w:t>
      </w:r>
      <w:r w:rsidRPr="00AD306C">
        <w:rPr>
          <w:i/>
          <w:iCs/>
        </w:rPr>
        <w:t>How to maximise job retention by providing realistic job previews</w:t>
      </w:r>
      <w:r w:rsidRPr="00AD306C">
        <w:t>. [online] The HR Observer. Available at: </w:t>
      </w:r>
      <w:hyperlink r:id="rId65" w:history="1">
        <w:r w:rsidRPr="00AD306C">
          <w:rPr>
            <w:color w:val="0000FF"/>
            <w:u w:val="single"/>
          </w:rPr>
          <w:t>https://www.thehrobserver.com/indepth/how-to-maximise-job-retention-by-providing-realistic-job-previews/</w:t>
        </w:r>
      </w:hyperlink>
      <w:r w:rsidRPr="00AD306C">
        <w:t xml:space="preserve">  </w:t>
      </w:r>
      <w:r w:rsidR="00FF7260">
        <w:t>(</w:t>
      </w:r>
      <w:r w:rsidRPr="00AD306C">
        <w:t>Accessed</w:t>
      </w:r>
      <w:r w:rsidR="00FF7260">
        <w:t>:</w:t>
      </w:r>
      <w:r w:rsidRPr="00AD306C">
        <w:t xml:space="preserve"> 2 Jun 2025</w:t>
      </w:r>
      <w:r w:rsidR="00FF7260">
        <w:t>)</w:t>
      </w:r>
    </w:p>
    <w:p w14:paraId="2842782F" w14:textId="77777777" w:rsidR="005971AE" w:rsidRDefault="005971AE" w:rsidP="00AD306C"/>
    <w:p w14:paraId="19CB088C" w14:textId="73137B76" w:rsidR="005971AE" w:rsidRPr="00AD306C" w:rsidRDefault="005971AE" w:rsidP="005971AE">
      <w:r w:rsidRPr="005971AE">
        <w:t xml:space="preserve">Van Linden, C., </w:t>
      </w:r>
      <w:proofErr w:type="spellStart"/>
      <w:r w:rsidRPr="005971AE">
        <w:t>Vandenhaute</w:t>
      </w:r>
      <w:proofErr w:type="spellEnd"/>
      <w:r w:rsidRPr="005971AE">
        <w:t>, M.L. and Zimmerman, A.B. (2021) </w:t>
      </w:r>
      <w:r w:rsidRPr="00414560">
        <w:rPr>
          <w:i/>
          <w:iCs/>
        </w:rPr>
        <w:t>Consequences of employee turnover in audit firms. British Accounting and Finance Association</w:t>
      </w:r>
      <w:r w:rsidRPr="005971AE">
        <w:t>. Available at: </w:t>
      </w:r>
      <w:hyperlink r:id="rId66" w:history="1">
        <w:r w:rsidR="00414560" w:rsidRPr="00414560">
          <w:rPr>
            <w:rStyle w:val="Hyperlink"/>
            <w:color w:val="0070C0"/>
          </w:rPr>
          <w:t>https://bafa.ac.uk/assets/uploads/Day1_2a_Employee_Turnover_in_Audit_Firms_VVZ.pdf</w:t>
        </w:r>
      </w:hyperlink>
      <w:r w:rsidR="00414560" w:rsidRPr="00414560">
        <w:rPr>
          <w:color w:val="0070C0"/>
        </w:rPr>
        <w:t xml:space="preserve"> </w:t>
      </w:r>
      <w:r w:rsidRPr="00414560">
        <w:rPr>
          <w:color w:val="0070C0"/>
        </w:rPr>
        <w:t> </w:t>
      </w:r>
      <w:r w:rsidRPr="005971AE">
        <w:t>(Accessed: 18 June 2025).</w:t>
      </w:r>
    </w:p>
    <w:p w14:paraId="7868995D" w14:textId="77777777" w:rsidR="00793754" w:rsidRPr="00793754" w:rsidRDefault="00793754" w:rsidP="00793754">
      <w:pPr>
        <w:spacing w:line="240" w:lineRule="auto"/>
        <w:rPr>
          <w:rStyle w:val="ui-provider"/>
          <w:rFonts w:ascii="Times New Roman" w:eastAsia="Times New Roman" w:hAnsi="Times New Roman" w:cs="Times New Roman"/>
          <w:color w:val="000000"/>
          <w:sz w:val="24"/>
          <w:szCs w:val="24"/>
          <w:lang w:eastAsia="en-GB"/>
        </w:rPr>
      </w:pPr>
    </w:p>
    <w:p w14:paraId="4D74B3D4" w14:textId="7BCDD7AC" w:rsidR="00737A0A" w:rsidRDefault="001D1745" w:rsidP="001D1745">
      <w:r w:rsidRPr="001D1745">
        <w:lastRenderedPageBreak/>
        <w:t>VQ Solutions (n</w:t>
      </w:r>
      <w:r w:rsidR="00663CC2">
        <w:t>o date</w:t>
      </w:r>
      <w:r w:rsidRPr="001D1745">
        <w:t>) </w:t>
      </w:r>
      <w:r w:rsidRPr="001D1745">
        <w:rPr>
          <w:i/>
          <w:iCs/>
        </w:rPr>
        <w:t>The impact of changing labour market conditions on resourcing decisions.</w:t>
      </w:r>
      <w:r w:rsidRPr="001D1745">
        <w:t xml:space="preserve"> Available at: </w:t>
      </w:r>
      <w:hyperlink r:id="rId67" w:history="1">
        <w:r w:rsidRPr="008F4FD9">
          <w:rPr>
            <w:rStyle w:val="Hyperlink"/>
            <w:color w:val="0070C0"/>
          </w:rPr>
          <w:t>https://hr.vqsolutions.co.uk/the-impact-of-changing-labour-market-conditions-on-resourcing-decisions/</w:t>
        </w:r>
      </w:hyperlink>
      <w:r w:rsidRPr="008F4FD9">
        <w:rPr>
          <w:color w:val="0070C0"/>
        </w:rPr>
        <w:t xml:space="preserve">  </w:t>
      </w:r>
      <w:r w:rsidRPr="001D1745">
        <w:t>(Accessed: 18 June 2025).</w:t>
      </w:r>
    </w:p>
    <w:p w14:paraId="7D15205C" w14:textId="77777777" w:rsidR="00B303AF" w:rsidRDefault="00B303AF" w:rsidP="001D1745"/>
    <w:p w14:paraId="19458F65" w14:textId="605F06C2" w:rsidR="00B303AF" w:rsidRPr="001D1745" w:rsidRDefault="00B303AF" w:rsidP="001D1745">
      <w:r>
        <w:t xml:space="preserve">Wilton, N. (2022) </w:t>
      </w:r>
      <w:r w:rsidRPr="00B303AF">
        <w:rPr>
          <w:i/>
          <w:iCs/>
        </w:rPr>
        <w:t>An introduction to human resource management</w:t>
      </w:r>
      <w:r>
        <w:t>. 4th ed. London: Sage Publications Ltd.</w:t>
      </w:r>
    </w:p>
    <w:sectPr w:rsidR="00B303AF" w:rsidRPr="001D17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50BD0" w14:textId="77777777" w:rsidR="00251C49" w:rsidRDefault="00251C49" w:rsidP="00637202">
      <w:pPr>
        <w:spacing w:after="0" w:line="240" w:lineRule="auto"/>
      </w:pPr>
      <w:r>
        <w:separator/>
      </w:r>
    </w:p>
  </w:endnote>
  <w:endnote w:type="continuationSeparator" w:id="0">
    <w:p w14:paraId="688D4C6C" w14:textId="77777777" w:rsidR="00251C49" w:rsidRDefault="00251C49" w:rsidP="00637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2E0A0" w14:textId="77777777" w:rsidR="00251C49" w:rsidRDefault="00251C49" w:rsidP="00637202">
      <w:pPr>
        <w:spacing w:after="0" w:line="240" w:lineRule="auto"/>
      </w:pPr>
      <w:r>
        <w:separator/>
      </w:r>
    </w:p>
  </w:footnote>
  <w:footnote w:type="continuationSeparator" w:id="0">
    <w:p w14:paraId="7A5BFB08" w14:textId="77777777" w:rsidR="00251C49" w:rsidRDefault="00251C49" w:rsidP="00637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11323"/>
    <w:multiLevelType w:val="multilevel"/>
    <w:tmpl w:val="9F64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C23BEB"/>
    <w:multiLevelType w:val="hybridMultilevel"/>
    <w:tmpl w:val="310856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9F27F43"/>
    <w:multiLevelType w:val="multilevel"/>
    <w:tmpl w:val="E3F6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8E1A12"/>
    <w:multiLevelType w:val="multilevel"/>
    <w:tmpl w:val="B9B4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8E17E2"/>
    <w:multiLevelType w:val="multilevel"/>
    <w:tmpl w:val="F922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010E5A"/>
    <w:multiLevelType w:val="multilevel"/>
    <w:tmpl w:val="8146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1299131">
    <w:abstractNumId w:val="2"/>
  </w:num>
  <w:num w:numId="2" w16cid:durableId="1692682602">
    <w:abstractNumId w:val="3"/>
  </w:num>
  <w:num w:numId="3" w16cid:durableId="629239492">
    <w:abstractNumId w:val="1"/>
  </w:num>
  <w:num w:numId="4" w16cid:durableId="1591692897">
    <w:abstractNumId w:val="5"/>
  </w:num>
  <w:num w:numId="5" w16cid:durableId="322858008">
    <w:abstractNumId w:val="6"/>
  </w:num>
  <w:num w:numId="6" w16cid:durableId="506603444">
    <w:abstractNumId w:val="0"/>
  </w:num>
  <w:num w:numId="7" w16cid:durableId="1890535009">
    <w:abstractNumId w:val="7"/>
  </w:num>
  <w:num w:numId="8" w16cid:durableId="149030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C39"/>
    <w:rsid w:val="000046A3"/>
    <w:rsid w:val="00014CFE"/>
    <w:rsid w:val="0001731C"/>
    <w:rsid w:val="00020900"/>
    <w:rsid w:val="000304DB"/>
    <w:rsid w:val="000307DE"/>
    <w:rsid w:val="00031E7F"/>
    <w:rsid w:val="00032B12"/>
    <w:rsid w:val="00036991"/>
    <w:rsid w:val="00041CD7"/>
    <w:rsid w:val="00041F28"/>
    <w:rsid w:val="000435A0"/>
    <w:rsid w:val="000442A3"/>
    <w:rsid w:val="00046885"/>
    <w:rsid w:val="0004752B"/>
    <w:rsid w:val="0006036E"/>
    <w:rsid w:val="00060D56"/>
    <w:rsid w:val="00071053"/>
    <w:rsid w:val="0007164F"/>
    <w:rsid w:val="00072343"/>
    <w:rsid w:val="00073C87"/>
    <w:rsid w:val="0007562F"/>
    <w:rsid w:val="00083CC0"/>
    <w:rsid w:val="00085641"/>
    <w:rsid w:val="00094551"/>
    <w:rsid w:val="000960C3"/>
    <w:rsid w:val="000A5307"/>
    <w:rsid w:val="000B68C6"/>
    <w:rsid w:val="000C23F9"/>
    <w:rsid w:val="000C5127"/>
    <w:rsid w:val="000D39E9"/>
    <w:rsid w:val="000D4396"/>
    <w:rsid w:val="000E0482"/>
    <w:rsid w:val="000E27EB"/>
    <w:rsid w:val="000E6030"/>
    <w:rsid w:val="000E673F"/>
    <w:rsid w:val="000F13E1"/>
    <w:rsid w:val="000F5490"/>
    <w:rsid w:val="0011269E"/>
    <w:rsid w:val="0011784E"/>
    <w:rsid w:val="00121895"/>
    <w:rsid w:val="00123682"/>
    <w:rsid w:val="00124C7D"/>
    <w:rsid w:val="001262C8"/>
    <w:rsid w:val="00130B0E"/>
    <w:rsid w:val="00133DFC"/>
    <w:rsid w:val="00135344"/>
    <w:rsid w:val="001365E5"/>
    <w:rsid w:val="00140D23"/>
    <w:rsid w:val="00141CBE"/>
    <w:rsid w:val="00145F9E"/>
    <w:rsid w:val="0014604C"/>
    <w:rsid w:val="0015165D"/>
    <w:rsid w:val="00162E4D"/>
    <w:rsid w:val="00163A71"/>
    <w:rsid w:val="00170968"/>
    <w:rsid w:val="00172531"/>
    <w:rsid w:val="0017286B"/>
    <w:rsid w:val="00173168"/>
    <w:rsid w:val="00173AD6"/>
    <w:rsid w:val="00174443"/>
    <w:rsid w:val="00176248"/>
    <w:rsid w:val="001803C0"/>
    <w:rsid w:val="001826EE"/>
    <w:rsid w:val="00183396"/>
    <w:rsid w:val="00183D9B"/>
    <w:rsid w:val="001867E9"/>
    <w:rsid w:val="00197FD0"/>
    <w:rsid w:val="001A0ECC"/>
    <w:rsid w:val="001A2012"/>
    <w:rsid w:val="001A4400"/>
    <w:rsid w:val="001B47E3"/>
    <w:rsid w:val="001C1209"/>
    <w:rsid w:val="001C551A"/>
    <w:rsid w:val="001C55C1"/>
    <w:rsid w:val="001C763E"/>
    <w:rsid w:val="001D00D3"/>
    <w:rsid w:val="001D1745"/>
    <w:rsid w:val="001E0EA0"/>
    <w:rsid w:val="001E2FDD"/>
    <w:rsid w:val="001F1B01"/>
    <w:rsid w:val="001F24F0"/>
    <w:rsid w:val="001F4013"/>
    <w:rsid w:val="001F4948"/>
    <w:rsid w:val="001F4AB6"/>
    <w:rsid w:val="001F53ED"/>
    <w:rsid w:val="00204457"/>
    <w:rsid w:val="00213EFA"/>
    <w:rsid w:val="0021668E"/>
    <w:rsid w:val="0021726B"/>
    <w:rsid w:val="002224EF"/>
    <w:rsid w:val="002259A7"/>
    <w:rsid w:val="0024191A"/>
    <w:rsid w:val="00241CD6"/>
    <w:rsid w:val="00243000"/>
    <w:rsid w:val="00244176"/>
    <w:rsid w:val="00251C49"/>
    <w:rsid w:val="002534EB"/>
    <w:rsid w:val="00261227"/>
    <w:rsid w:val="00261D2E"/>
    <w:rsid w:val="0027280B"/>
    <w:rsid w:val="00283DBA"/>
    <w:rsid w:val="00286D5D"/>
    <w:rsid w:val="002917F7"/>
    <w:rsid w:val="00294599"/>
    <w:rsid w:val="002A0D29"/>
    <w:rsid w:val="002A10DB"/>
    <w:rsid w:val="002A1818"/>
    <w:rsid w:val="002A4228"/>
    <w:rsid w:val="002B6FCC"/>
    <w:rsid w:val="002B7A13"/>
    <w:rsid w:val="002B7C5D"/>
    <w:rsid w:val="002C41EE"/>
    <w:rsid w:val="002C5CBB"/>
    <w:rsid w:val="002D7F74"/>
    <w:rsid w:val="002E2188"/>
    <w:rsid w:val="002E2C3F"/>
    <w:rsid w:val="002E3274"/>
    <w:rsid w:val="002E4A44"/>
    <w:rsid w:val="002F2D74"/>
    <w:rsid w:val="002F646B"/>
    <w:rsid w:val="002F72A7"/>
    <w:rsid w:val="00301337"/>
    <w:rsid w:val="0030450C"/>
    <w:rsid w:val="00304806"/>
    <w:rsid w:val="00310449"/>
    <w:rsid w:val="003149E2"/>
    <w:rsid w:val="00316FC7"/>
    <w:rsid w:val="00325539"/>
    <w:rsid w:val="00326750"/>
    <w:rsid w:val="00332E23"/>
    <w:rsid w:val="00343244"/>
    <w:rsid w:val="00346996"/>
    <w:rsid w:val="00346BC4"/>
    <w:rsid w:val="00346DE7"/>
    <w:rsid w:val="00347BAD"/>
    <w:rsid w:val="00352429"/>
    <w:rsid w:val="0036792C"/>
    <w:rsid w:val="0037382D"/>
    <w:rsid w:val="00375CE7"/>
    <w:rsid w:val="00376150"/>
    <w:rsid w:val="003859F1"/>
    <w:rsid w:val="00387D97"/>
    <w:rsid w:val="00394873"/>
    <w:rsid w:val="00394A34"/>
    <w:rsid w:val="003966CE"/>
    <w:rsid w:val="003A7634"/>
    <w:rsid w:val="003B1102"/>
    <w:rsid w:val="003B12AC"/>
    <w:rsid w:val="003B29AB"/>
    <w:rsid w:val="003B5EC9"/>
    <w:rsid w:val="003B6681"/>
    <w:rsid w:val="003B7CA3"/>
    <w:rsid w:val="003C1E31"/>
    <w:rsid w:val="003C2145"/>
    <w:rsid w:val="003C4F74"/>
    <w:rsid w:val="003D64FB"/>
    <w:rsid w:val="003E30E8"/>
    <w:rsid w:val="003E479B"/>
    <w:rsid w:val="003E5F16"/>
    <w:rsid w:val="003E618D"/>
    <w:rsid w:val="003F4D8F"/>
    <w:rsid w:val="004003AD"/>
    <w:rsid w:val="00401169"/>
    <w:rsid w:val="00403298"/>
    <w:rsid w:val="004032DB"/>
    <w:rsid w:val="0040378B"/>
    <w:rsid w:val="00405C36"/>
    <w:rsid w:val="004063AA"/>
    <w:rsid w:val="00414560"/>
    <w:rsid w:val="00420F4B"/>
    <w:rsid w:val="0042255E"/>
    <w:rsid w:val="00427F07"/>
    <w:rsid w:val="00441F0F"/>
    <w:rsid w:val="00445FA6"/>
    <w:rsid w:val="00446F1F"/>
    <w:rsid w:val="00450D2D"/>
    <w:rsid w:val="004511A6"/>
    <w:rsid w:val="00454130"/>
    <w:rsid w:val="00455689"/>
    <w:rsid w:val="00461ADE"/>
    <w:rsid w:val="00461B6A"/>
    <w:rsid w:val="00464CCB"/>
    <w:rsid w:val="00470B64"/>
    <w:rsid w:val="004724BC"/>
    <w:rsid w:val="00487074"/>
    <w:rsid w:val="00487CEB"/>
    <w:rsid w:val="004928A3"/>
    <w:rsid w:val="004958FF"/>
    <w:rsid w:val="004A49FE"/>
    <w:rsid w:val="004B0B67"/>
    <w:rsid w:val="004B4DEE"/>
    <w:rsid w:val="004B7E70"/>
    <w:rsid w:val="004C5327"/>
    <w:rsid w:val="004C5D5C"/>
    <w:rsid w:val="004C7994"/>
    <w:rsid w:val="004D1F1E"/>
    <w:rsid w:val="004D2545"/>
    <w:rsid w:val="004D4E1F"/>
    <w:rsid w:val="004E1030"/>
    <w:rsid w:val="004F2B50"/>
    <w:rsid w:val="00501799"/>
    <w:rsid w:val="005102D9"/>
    <w:rsid w:val="00513B48"/>
    <w:rsid w:val="0051430F"/>
    <w:rsid w:val="00515B7D"/>
    <w:rsid w:val="0052056A"/>
    <w:rsid w:val="00521D92"/>
    <w:rsid w:val="005231DD"/>
    <w:rsid w:val="005263BD"/>
    <w:rsid w:val="005324C1"/>
    <w:rsid w:val="00536747"/>
    <w:rsid w:val="00547810"/>
    <w:rsid w:val="00547C59"/>
    <w:rsid w:val="00551E22"/>
    <w:rsid w:val="00556EDF"/>
    <w:rsid w:val="00557814"/>
    <w:rsid w:val="00562916"/>
    <w:rsid w:val="0056751C"/>
    <w:rsid w:val="00585226"/>
    <w:rsid w:val="00587966"/>
    <w:rsid w:val="00594A2E"/>
    <w:rsid w:val="005971AE"/>
    <w:rsid w:val="005A2F28"/>
    <w:rsid w:val="005A4761"/>
    <w:rsid w:val="005A541C"/>
    <w:rsid w:val="005A5B86"/>
    <w:rsid w:val="005B195A"/>
    <w:rsid w:val="005B325D"/>
    <w:rsid w:val="005B44B4"/>
    <w:rsid w:val="005B6FE5"/>
    <w:rsid w:val="005C22FC"/>
    <w:rsid w:val="005C7C9E"/>
    <w:rsid w:val="005D2DF5"/>
    <w:rsid w:val="005E3295"/>
    <w:rsid w:val="005E4B6B"/>
    <w:rsid w:val="005F25D3"/>
    <w:rsid w:val="00600017"/>
    <w:rsid w:val="00600DFD"/>
    <w:rsid w:val="0060366F"/>
    <w:rsid w:val="006064F9"/>
    <w:rsid w:val="00606BAE"/>
    <w:rsid w:val="00607712"/>
    <w:rsid w:val="00613988"/>
    <w:rsid w:val="006142AC"/>
    <w:rsid w:val="00614D06"/>
    <w:rsid w:val="00617B02"/>
    <w:rsid w:val="00623C7D"/>
    <w:rsid w:val="006261C7"/>
    <w:rsid w:val="00631D8B"/>
    <w:rsid w:val="00632A30"/>
    <w:rsid w:val="00637202"/>
    <w:rsid w:val="00640709"/>
    <w:rsid w:val="00641AF0"/>
    <w:rsid w:val="00641B86"/>
    <w:rsid w:val="0064377D"/>
    <w:rsid w:val="0065070C"/>
    <w:rsid w:val="0065337D"/>
    <w:rsid w:val="0065601D"/>
    <w:rsid w:val="00656C26"/>
    <w:rsid w:val="00657013"/>
    <w:rsid w:val="0066096C"/>
    <w:rsid w:val="00663CC2"/>
    <w:rsid w:val="00670693"/>
    <w:rsid w:val="00671904"/>
    <w:rsid w:val="00677CE0"/>
    <w:rsid w:val="0068354F"/>
    <w:rsid w:val="00694EF8"/>
    <w:rsid w:val="00696239"/>
    <w:rsid w:val="006A3183"/>
    <w:rsid w:val="006A3806"/>
    <w:rsid w:val="006A51FD"/>
    <w:rsid w:val="006A5788"/>
    <w:rsid w:val="006A6EDB"/>
    <w:rsid w:val="006B61ED"/>
    <w:rsid w:val="006C0C39"/>
    <w:rsid w:val="006C7015"/>
    <w:rsid w:val="006C7EE5"/>
    <w:rsid w:val="006D1A00"/>
    <w:rsid w:val="006E267D"/>
    <w:rsid w:val="006E27B8"/>
    <w:rsid w:val="006E51B4"/>
    <w:rsid w:val="0070030A"/>
    <w:rsid w:val="00706430"/>
    <w:rsid w:val="0071320E"/>
    <w:rsid w:val="007134BE"/>
    <w:rsid w:val="0071391F"/>
    <w:rsid w:val="00714909"/>
    <w:rsid w:val="007173E9"/>
    <w:rsid w:val="0072722C"/>
    <w:rsid w:val="0073023A"/>
    <w:rsid w:val="00730719"/>
    <w:rsid w:val="00734DD6"/>
    <w:rsid w:val="00737A0A"/>
    <w:rsid w:val="00737B61"/>
    <w:rsid w:val="00737FE8"/>
    <w:rsid w:val="00742E8B"/>
    <w:rsid w:val="00747699"/>
    <w:rsid w:val="00751EA0"/>
    <w:rsid w:val="0075426E"/>
    <w:rsid w:val="007568AC"/>
    <w:rsid w:val="007572B0"/>
    <w:rsid w:val="00761062"/>
    <w:rsid w:val="0076164F"/>
    <w:rsid w:val="00764FD5"/>
    <w:rsid w:val="0076581D"/>
    <w:rsid w:val="00765AA6"/>
    <w:rsid w:val="00767451"/>
    <w:rsid w:val="00771A2E"/>
    <w:rsid w:val="007763D2"/>
    <w:rsid w:val="00776ADF"/>
    <w:rsid w:val="00776B31"/>
    <w:rsid w:val="00777B21"/>
    <w:rsid w:val="00780B9C"/>
    <w:rsid w:val="00782848"/>
    <w:rsid w:val="007848C5"/>
    <w:rsid w:val="00785C16"/>
    <w:rsid w:val="0078759F"/>
    <w:rsid w:val="00790D87"/>
    <w:rsid w:val="00791E91"/>
    <w:rsid w:val="00793754"/>
    <w:rsid w:val="007946F5"/>
    <w:rsid w:val="0079497B"/>
    <w:rsid w:val="007952DE"/>
    <w:rsid w:val="007A06F6"/>
    <w:rsid w:val="007A324E"/>
    <w:rsid w:val="007A3406"/>
    <w:rsid w:val="007A3751"/>
    <w:rsid w:val="007B2837"/>
    <w:rsid w:val="007B4C17"/>
    <w:rsid w:val="007C0432"/>
    <w:rsid w:val="007C0CD0"/>
    <w:rsid w:val="007C11D9"/>
    <w:rsid w:val="007C711D"/>
    <w:rsid w:val="007D1C82"/>
    <w:rsid w:val="007E43A7"/>
    <w:rsid w:val="007F2977"/>
    <w:rsid w:val="007F3E17"/>
    <w:rsid w:val="00800214"/>
    <w:rsid w:val="00805E83"/>
    <w:rsid w:val="00806838"/>
    <w:rsid w:val="00806F5B"/>
    <w:rsid w:val="008107F2"/>
    <w:rsid w:val="00812BBD"/>
    <w:rsid w:val="00817736"/>
    <w:rsid w:val="008178A8"/>
    <w:rsid w:val="00822A9F"/>
    <w:rsid w:val="00835767"/>
    <w:rsid w:val="00837889"/>
    <w:rsid w:val="00837EA0"/>
    <w:rsid w:val="00840024"/>
    <w:rsid w:val="00841B96"/>
    <w:rsid w:val="0084326A"/>
    <w:rsid w:val="0085246E"/>
    <w:rsid w:val="00852F40"/>
    <w:rsid w:val="008535E2"/>
    <w:rsid w:val="00862C9A"/>
    <w:rsid w:val="0086368F"/>
    <w:rsid w:val="008646C1"/>
    <w:rsid w:val="00864D94"/>
    <w:rsid w:val="00876163"/>
    <w:rsid w:val="00877B43"/>
    <w:rsid w:val="00890FFD"/>
    <w:rsid w:val="008913E9"/>
    <w:rsid w:val="0089390E"/>
    <w:rsid w:val="00893EA2"/>
    <w:rsid w:val="00893FD6"/>
    <w:rsid w:val="008A5773"/>
    <w:rsid w:val="008B2114"/>
    <w:rsid w:val="008B35CF"/>
    <w:rsid w:val="008C211C"/>
    <w:rsid w:val="008C25D5"/>
    <w:rsid w:val="008C4B0B"/>
    <w:rsid w:val="008C6286"/>
    <w:rsid w:val="008C7A83"/>
    <w:rsid w:val="008D4917"/>
    <w:rsid w:val="008E0910"/>
    <w:rsid w:val="008E6DEA"/>
    <w:rsid w:val="008F1138"/>
    <w:rsid w:val="008F4FD9"/>
    <w:rsid w:val="00900C74"/>
    <w:rsid w:val="009054F9"/>
    <w:rsid w:val="009069E6"/>
    <w:rsid w:val="00913E63"/>
    <w:rsid w:val="00914E3E"/>
    <w:rsid w:val="00916B65"/>
    <w:rsid w:val="00925066"/>
    <w:rsid w:val="009316F0"/>
    <w:rsid w:val="00934AC7"/>
    <w:rsid w:val="00936D76"/>
    <w:rsid w:val="00944906"/>
    <w:rsid w:val="00954742"/>
    <w:rsid w:val="00961365"/>
    <w:rsid w:val="00961C83"/>
    <w:rsid w:val="009657D5"/>
    <w:rsid w:val="00971A15"/>
    <w:rsid w:val="00971A8C"/>
    <w:rsid w:val="009857B1"/>
    <w:rsid w:val="009869A7"/>
    <w:rsid w:val="00990DBF"/>
    <w:rsid w:val="009918DD"/>
    <w:rsid w:val="00991F9D"/>
    <w:rsid w:val="00994C1E"/>
    <w:rsid w:val="009A16A8"/>
    <w:rsid w:val="009A2455"/>
    <w:rsid w:val="009A5C93"/>
    <w:rsid w:val="009A67CB"/>
    <w:rsid w:val="009B749B"/>
    <w:rsid w:val="009D074A"/>
    <w:rsid w:val="009D6041"/>
    <w:rsid w:val="009E0009"/>
    <w:rsid w:val="009E016D"/>
    <w:rsid w:val="009E65B4"/>
    <w:rsid w:val="009E7165"/>
    <w:rsid w:val="009F2125"/>
    <w:rsid w:val="009F3806"/>
    <w:rsid w:val="009F7AF4"/>
    <w:rsid w:val="00A133CA"/>
    <w:rsid w:val="00A153BC"/>
    <w:rsid w:val="00A222E4"/>
    <w:rsid w:val="00A306F2"/>
    <w:rsid w:val="00A33876"/>
    <w:rsid w:val="00A379EF"/>
    <w:rsid w:val="00A44BA6"/>
    <w:rsid w:val="00A52C9C"/>
    <w:rsid w:val="00A5770B"/>
    <w:rsid w:val="00A74842"/>
    <w:rsid w:val="00A76946"/>
    <w:rsid w:val="00A77BCF"/>
    <w:rsid w:val="00A80662"/>
    <w:rsid w:val="00A856EA"/>
    <w:rsid w:val="00A86415"/>
    <w:rsid w:val="00A87A6A"/>
    <w:rsid w:val="00A905C0"/>
    <w:rsid w:val="00A920B6"/>
    <w:rsid w:val="00A93EE5"/>
    <w:rsid w:val="00A95A58"/>
    <w:rsid w:val="00A96D79"/>
    <w:rsid w:val="00AA0CB8"/>
    <w:rsid w:val="00AA1EE8"/>
    <w:rsid w:val="00AA4B66"/>
    <w:rsid w:val="00AC4060"/>
    <w:rsid w:val="00AC4F88"/>
    <w:rsid w:val="00AC7736"/>
    <w:rsid w:val="00AD1FC0"/>
    <w:rsid w:val="00AD2009"/>
    <w:rsid w:val="00AD306C"/>
    <w:rsid w:val="00AD41A0"/>
    <w:rsid w:val="00AE18EE"/>
    <w:rsid w:val="00AF5C41"/>
    <w:rsid w:val="00AF7179"/>
    <w:rsid w:val="00B01DC5"/>
    <w:rsid w:val="00B01F0F"/>
    <w:rsid w:val="00B0420C"/>
    <w:rsid w:val="00B11C95"/>
    <w:rsid w:val="00B145F2"/>
    <w:rsid w:val="00B303AF"/>
    <w:rsid w:val="00B316B2"/>
    <w:rsid w:val="00B321F5"/>
    <w:rsid w:val="00B461E5"/>
    <w:rsid w:val="00B520CB"/>
    <w:rsid w:val="00B60164"/>
    <w:rsid w:val="00B65016"/>
    <w:rsid w:val="00B66D2B"/>
    <w:rsid w:val="00B70FEC"/>
    <w:rsid w:val="00B71E49"/>
    <w:rsid w:val="00B74B37"/>
    <w:rsid w:val="00B77B89"/>
    <w:rsid w:val="00B8122F"/>
    <w:rsid w:val="00B81B27"/>
    <w:rsid w:val="00B82A3F"/>
    <w:rsid w:val="00B838A0"/>
    <w:rsid w:val="00B9329A"/>
    <w:rsid w:val="00B9455B"/>
    <w:rsid w:val="00B96BB2"/>
    <w:rsid w:val="00BA1228"/>
    <w:rsid w:val="00BA6B98"/>
    <w:rsid w:val="00BB2C46"/>
    <w:rsid w:val="00BB7D02"/>
    <w:rsid w:val="00BD00C0"/>
    <w:rsid w:val="00BD0FCB"/>
    <w:rsid w:val="00BD105C"/>
    <w:rsid w:val="00BD2011"/>
    <w:rsid w:val="00BD5C8D"/>
    <w:rsid w:val="00BD73DF"/>
    <w:rsid w:val="00BE04FC"/>
    <w:rsid w:val="00BE1702"/>
    <w:rsid w:val="00BE18E3"/>
    <w:rsid w:val="00BE3567"/>
    <w:rsid w:val="00BE6B17"/>
    <w:rsid w:val="00BE72AD"/>
    <w:rsid w:val="00BF094F"/>
    <w:rsid w:val="00BF37C8"/>
    <w:rsid w:val="00BF64AA"/>
    <w:rsid w:val="00C0337A"/>
    <w:rsid w:val="00C042B4"/>
    <w:rsid w:val="00C0601F"/>
    <w:rsid w:val="00C07EA8"/>
    <w:rsid w:val="00C07F1D"/>
    <w:rsid w:val="00C12262"/>
    <w:rsid w:val="00C133B7"/>
    <w:rsid w:val="00C13E7C"/>
    <w:rsid w:val="00C1570B"/>
    <w:rsid w:val="00C224CA"/>
    <w:rsid w:val="00C22E53"/>
    <w:rsid w:val="00C30BAF"/>
    <w:rsid w:val="00C3612B"/>
    <w:rsid w:val="00C41BF1"/>
    <w:rsid w:val="00C41D08"/>
    <w:rsid w:val="00C41DD8"/>
    <w:rsid w:val="00C4746F"/>
    <w:rsid w:val="00C534FF"/>
    <w:rsid w:val="00C54EF1"/>
    <w:rsid w:val="00C6395D"/>
    <w:rsid w:val="00C7056F"/>
    <w:rsid w:val="00C76747"/>
    <w:rsid w:val="00C76EE9"/>
    <w:rsid w:val="00C80CE3"/>
    <w:rsid w:val="00C82C46"/>
    <w:rsid w:val="00C85EE7"/>
    <w:rsid w:val="00C8722C"/>
    <w:rsid w:val="00C9733F"/>
    <w:rsid w:val="00C97F3F"/>
    <w:rsid w:val="00CA0F3C"/>
    <w:rsid w:val="00CA2A5D"/>
    <w:rsid w:val="00CA36E8"/>
    <w:rsid w:val="00CA4DE0"/>
    <w:rsid w:val="00CA63DD"/>
    <w:rsid w:val="00CB339F"/>
    <w:rsid w:val="00CB5673"/>
    <w:rsid w:val="00CB5EC9"/>
    <w:rsid w:val="00CC3975"/>
    <w:rsid w:val="00CC4EC9"/>
    <w:rsid w:val="00CC7D13"/>
    <w:rsid w:val="00CD200E"/>
    <w:rsid w:val="00CE1C9A"/>
    <w:rsid w:val="00CE5317"/>
    <w:rsid w:val="00CE7BEB"/>
    <w:rsid w:val="00CF562A"/>
    <w:rsid w:val="00CF5E55"/>
    <w:rsid w:val="00D04037"/>
    <w:rsid w:val="00D10241"/>
    <w:rsid w:val="00D12DAC"/>
    <w:rsid w:val="00D201A0"/>
    <w:rsid w:val="00D24AED"/>
    <w:rsid w:val="00D25B15"/>
    <w:rsid w:val="00D27489"/>
    <w:rsid w:val="00D30D5E"/>
    <w:rsid w:val="00D53B05"/>
    <w:rsid w:val="00D61455"/>
    <w:rsid w:val="00D66396"/>
    <w:rsid w:val="00D67B52"/>
    <w:rsid w:val="00D776FB"/>
    <w:rsid w:val="00D80DFB"/>
    <w:rsid w:val="00D8199A"/>
    <w:rsid w:val="00D92301"/>
    <w:rsid w:val="00D92786"/>
    <w:rsid w:val="00D92D06"/>
    <w:rsid w:val="00DA438C"/>
    <w:rsid w:val="00DA4959"/>
    <w:rsid w:val="00DA4A33"/>
    <w:rsid w:val="00DA5251"/>
    <w:rsid w:val="00DA54D4"/>
    <w:rsid w:val="00DA6012"/>
    <w:rsid w:val="00DA606D"/>
    <w:rsid w:val="00DB335F"/>
    <w:rsid w:val="00DB3571"/>
    <w:rsid w:val="00DC0459"/>
    <w:rsid w:val="00DC0DB5"/>
    <w:rsid w:val="00DC47C7"/>
    <w:rsid w:val="00DC47DB"/>
    <w:rsid w:val="00DC4915"/>
    <w:rsid w:val="00DC7E1B"/>
    <w:rsid w:val="00DD17A4"/>
    <w:rsid w:val="00DD1C4B"/>
    <w:rsid w:val="00DD1F81"/>
    <w:rsid w:val="00DD214E"/>
    <w:rsid w:val="00DD3AC3"/>
    <w:rsid w:val="00DD4E84"/>
    <w:rsid w:val="00DD63A3"/>
    <w:rsid w:val="00DE2C58"/>
    <w:rsid w:val="00DE6E0E"/>
    <w:rsid w:val="00DF2633"/>
    <w:rsid w:val="00DF2F1F"/>
    <w:rsid w:val="00DF401D"/>
    <w:rsid w:val="00DF5404"/>
    <w:rsid w:val="00E06C91"/>
    <w:rsid w:val="00E22F18"/>
    <w:rsid w:val="00E30B2D"/>
    <w:rsid w:val="00E337B2"/>
    <w:rsid w:val="00E40098"/>
    <w:rsid w:val="00E401B6"/>
    <w:rsid w:val="00E4269B"/>
    <w:rsid w:val="00E43C6F"/>
    <w:rsid w:val="00E47618"/>
    <w:rsid w:val="00E527E5"/>
    <w:rsid w:val="00E54F60"/>
    <w:rsid w:val="00E55B83"/>
    <w:rsid w:val="00E838A2"/>
    <w:rsid w:val="00E852B6"/>
    <w:rsid w:val="00E86DE0"/>
    <w:rsid w:val="00E93BF1"/>
    <w:rsid w:val="00E957A9"/>
    <w:rsid w:val="00E95ECA"/>
    <w:rsid w:val="00E973F8"/>
    <w:rsid w:val="00EA256E"/>
    <w:rsid w:val="00EA4931"/>
    <w:rsid w:val="00EA4F85"/>
    <w:rsid w:val="00EB1A3F"/>
    <w:rsid w:val="00EB302F"/>
    <w:rsid w:val="00EB3E13"/>
    <w:rsid w:val="00EB6B45"/>
    <w:rsid w:val="00EC4D9A"/>
    <w:rsid w:val="00ED1E8B"/>
    <w:rsid w:val="00ED7907"/>
    <w:rsid w:val="00EE570A"/>
    <w:rsid w:val="00EE6EC4"/>
    <w:rsid w:val="00EF4263"/>
    <w:rsid w:val="00F10F47"/>
    <w:rsid w:val="00F1251E"/>
    <w:rsid w:val="00F13173"/>
    <w:rsid w:val="00F139E3"/>
    <w:rsid w:val="00F153CF"/>
    <w:rsid w:val="00F1574A"/>
    <w:rsid w:val="00F24996"/>
    <w:rsid w:val="00F24BDE"/>
    <w:rsid w:val="00F34B0C"/>
    <w:rsid w:val="00F34DB0"/>
    <w:rsid w:val="00F4549F"/>
    <w:rsid w:val="00F45B95"/>
    <w:rsid w:val="00F47E34"/>
    <w:rsid w:val="00F558F6"/>
    <w:rsid w:val="00F6294D"/>
    <w:rsid w:val="00F72ADD"/>
    <w:rsid w:val="00F74225"/>
    <w:rsid w:val="00F74C1B"/>
    <w:rsid w:val="00F76166"/>
    <w:rsid w:val="00F844B5"/>
    <w:rsid w:val="00F8697F"/>
    <w:rsid w:val="00FA0437"/>
    <w:rsid w:val="00FA3D42"/>
    <w:rsid w:val="00FA4026"/>
    <w:rsid w:val="00FA7659"/>
    <w:rsid w:val="00FB7043"/>
    <w:rsid w:val="00FC3902"/>
    <w:rsid w:val="00FC6631"/>
    <w:rsid w:val="00FD009C"/>
    <w:rsid w:val="00FD37FC"/>
    <w:rsid w:val="00FD7302"/>
    <w:rsid w:val="00FE07BF"/>
    <w:rsid w:val="00FE6430"/>
    <w:rsid w:val="00FE74EA"/>
    <w:rsid w:val="00FF0B36"/>
    <w:rsid w:val="00FF204B"/>
    <w:rsid w:val="00FF23AD"/>
    <w:rsid w:val="00FF3279"/>
    <w:rsid w:val="00FF5D12"/>
    <w:rsid w:val="00FF7260"/>
    <w:rsid w:val="00FF7D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8986D"/>
  <w15:chartTrackingRefBased/>
  <w15:docId w15:val="{37ACA1B8-94C1-4F01-B365-EFDCBB9B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C0C39"/>
    <w:rPr>
      <w:u w:val="single"/>
    </w:rPr>
  </w:style>
  <w:style w:type="character" w:customStyle="1" w:styleId="ui-provider">
    <w:name w:val="ui-provider"/>
    <w:rsid w:val="006C0C39"/>
  </w:style>
  <w:style w:type="paragraph" w:styleId="ListParagraph">
    <w:name w:val="List Paragraph"/>
    <w:rsid w:val="006C0C39"/>
    <w:pPr>
      <w:pBdr>
        <w:top w:val="nil"/>
        <w:left w:val="nil"/>
        <w:bottom w:val="nil"/>
        <w:right w:val="nil"/>
        <w:between w:val="nil"/>
        <w:bar w:val="nil"/>
      </w:pBdr>
      <w:spacing w:after="0"/>
      <w:ind w:left="720"/>
    </w:pPr>
    <w:rPr>
      <w:rFonts w:ascii="Arial" w:eastAsia="Arial Unicode MS" w:hAnsi="Arial" w:cs="Arial Unicode MS"/>
      <w:color w:val="000000"/>
      <w:kern w:val="0"/>
      <w:u w:color="000000"/>
      <w:bdr w:val="nil"/>
      <w:lang w:val="en-US" w:eastAsia="zh-CN"/>
      <w14:ligatures w14:val="none"/>
    </w:rPr>
  </w:style>
  <w:style w:type="paragraph" w:customStyle="1" w:styleId="Body">
    <w:name w:val="Body"/>
    <w:rsid w:val="006C0C39"/>
    <w:pPr>
      <w:pBdr>
        <w:top w:val="nil"/>
        <w:left w:val="nil"/>
        <w:bottom w:val="nil"/>
        <w:right w:val="nil"/>
        <w:between w:val="nil"/>
        <w:bar w:val="nil"/>
      </w:pBdr>
      <w:spacing w:after="0"/>
    </w:pPr>
    <w:rPr>
      <w:rFonts w:ascii="Arial" w:eastAsia="Arial" w:hAnsi="Arial" w:cs="Arial"/>
      <w:color w:val="000000"/>
      <w:kern w:val="0"/>
      <w:u w:color="000000"/>
      <w:bdr w:val="nil"/>
      <w:lang w:eastAsia="zh-CN"/>
      <w14:textOutline w14:w="0" w14:cap="flat" w14:cmpd="sng" w14:algn="ctr">
        <w14:noFill/>
        <w14:prstDash w14:val="solid"/>
        <w14:bevel/>
      </w14:textOutline>
      <w14:ligatures w14:val="none"/>
    </w:rPr>
  </w:style>
  <w:style w:type="paragraph" w:customStyle="1" w:styleId="Nornal">
    <w:name w:val="Nornal"/>
    <w:rsid w:val="006C0C39"/>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zh-CN"/>
      <w14:ligatures w14:val="none"/>
    </w:rPr>
  </w:style>
  <w:style w:type="numbering" w:customStyle="1" w:styleId="ImportedStyle5">
    <w:name w:val="Imported Style 5"/>
    <w:rsid w:val="006C0C39"/>
    <w:pPr>
      <w:numPr>
        <w:numId w:val="1"/>
      </w:numPr>
    </w:pPr>
  </w:style>
  <w:style w:type="character" w:styleId="Strong">
    <w:name w:val="Strong"/>
    <w:basedOn w:val="DefaultParagraphFont"/>
    <w:uiPriority w:val="22"/>
    <w:qFormat/>
    <w:rsid w:val="006C0C39"/>
    <w:rPr>
      <w:b/>
      <w:bCs/>
    </w:rPr>
  </w:style>
  <w:style w:type="character" w:styleId="Emphasis">
    <w:name w:val="Emphasis"/>
    <w:basedOn w:val="DefaultParagraphFont"/>
    <w:uiPriority w:val="20"/>
    <w:qFormat/>
    <w:rsid w:val="00141CBE"/>
    <w:rPr>
      <w:i/>
      <w:iCs/>
    </w:rPr>
  </w:style>
  <w:style w:type="paragraph" w:styleId="NormalWeb">
    <w:name w:val="Normal (Web)"/>
    <w:basedOn w:val="Normal"/>
    <w:uiPriority w:val="99"/>
    <w:semiHidden/>
    <w:unhideWhenUsed/>
    <w:rsid w:val="006077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D1745"/>
    <w:rPr>
      <w:color w:val="605E5C"/>
      <w:shd w:val="clear" w:color="auto" w:fill="E1DFDD"/>
    </w:rPr>
  </w:style>
  <w:style w:type="paragraph" w:styleId="Header">
    <w:name w:val="header"/>
    <w:basedOn w:val="Normal"/>
    <w:link w:val="HeaderChar"/>
    <w:uiPriority w:val="99"/>
    <w:unhideWhenUsed/>
    <w:rsid w:val="00637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202"/>
  </w:style>
  <w:style w:type="paragraph" w:styleId="Footer">
    <w:name w:val="footer"/>
    <w:basedOn w:val="Normal"/>
    <w:link w:val="FooterChar"/>
    <w:uiPriority w:val="99"/>
    <w:unhideWhenUsed/>
    <w:rsid w:val="00637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202"/>
  </w:style>
  <w:style w:type="character" w:styleId="CommentReference">
    <w:name w:val="annotation reference"/>
    <w:basedOn w:val="DefaultParagraphFont"/>
    <w:uiPriority w:val="99"/>
    <w:semiHidden/>
    <w:unhideWhenUsed/>
    <w:rsid w:val="00876163"/>
    <w:rPr>
      <w:sz w:val="16"/>
      <w:szCs w:val="16"/>
    </w:rPr>
  </w:style>
  <w:style w:type="paragraph" w:styleId="CommentText">
    <w:name w:val="annotation text"/>
    <w:basedOn w:val="Normal"/>
    <w:link w:val="CommentTextChar"/>
    <w:uiPriority w:val="99"/>
    <w:unhideWhenUsed/>
    <w:rsid w:val="00876163"/>
    <w:pPr>
      <w:spacing w:line="240" w:lineRule="auto"/>
    </w:pPr>
    <w:rPr>
      <w:sz w:val="20"/>
      <w:szCs w:val="20"/>
    </w:rPr>
  </w:style>
  <w:style w:type="character" w:customStyle="1" w:styleId="CommentTextChar">
    <w:name w:val="Comment Text Char"/>
    <w:basedOn w:val="DefaultParagraphFont"/>
    <w:link w:val="CommentText"/>
    <w:uiPriority w:val="99"/>
    <w:rsid w:val="00876163"/>
    <w:rPr>
      <w:sz w:val="20"/>
      <w:szCs w:val="20"/>
    </w:rPr>
  </w:style>
  <w:style w:type="paragraph" w:styleId="CommentSubject">
    <w:name w:val="annotation subject"/>
    <w:basedOn w:val="CommentText"/>
    <w:next w:val="CommentText"/>
    <w:link w:val="CommentSubjectChar"/>
    <w:uiPriority w:val="99"/>
    <w:semiHidden/>
    <w:unhideWhenUsed/>
    <w:rsid w:val="00876163"/>
    <w:rPr>
      <w:b/>
      <w:bCs/>
    </w:rPr>
  </w:style>
  <w:style w:type="character" w:customStyle="1" w:styleId="CommentSubjectChar">
    <w:name w:val="Comment Subject Char"/>
    <w:basedOn w:val="CommentTextChar"/>
    <w:link w:val="CommentSubject"/>
    <w:uiPriority w:val="99"/>
    <w:semiHidden/>
    <w:rsid w:val="008761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7869">
      <w:bodyDiv w:val="1"/>
      <w:marLeft w:val="0"/>
      <w:marRight w:val="0"/>
      <w:marTop w:val="0"/>
      <w:marBottom w:val="0"/>
      <w:divBdr>
        <w:top w:val="none" w:sz="0" w:space="0" w:color="auto"/>
        <w:left w:val="none" w:sz="0" w:space="0" w:color="auto"/>
        <w:bottom w:val="none" w:sz="0" w:space="0" w:color="auto"/>
        <w:right w:val="none" w:sz="0" w:space="0" w:color="auto"/>
      </w:divBdr>
      <w:divsChild>
        <w:div w:id="498617870">
          <w:marLeft w:val="0"/>
          <w:marRight w:val="0"/>
          <w:marTop w:val="0"/>
          <w:marBottom w:val="0"/>
          <w:divBdr>
            <w:top w:val="none" w:sz="0" w:space="0" w:color="auto"/>
            <w:left w:val="none" w:sz="0" w:space="0" w:color="auto"/>
            <w:bottom w:val="none" w:sz="0" w:space="0" w:color="auto"/>
            <w:right w:val="none" w:sz="0" w:space="0" w:color="auto"/>
          </w:divBdr>
        </w:div>
      </w:divsChild>
    </w:div>
    <w:div w:id="253631135">
      <w:bodyDiv w:val="1"/>
      <w:marLeft w:val="0"/>
      <w:marRight w:val="0"/>
      <w:marTop w:val="0"/>
      <w:marBottom w:val="0"/>
      <w:divBdr>
        <w:top w:val="none" w:sz="0" w:space="0" w:color="auto"/>
        <w:left w:val="none" w:sz="0" w:space="0" w:color="auto"/>
        <w:bottom w:val="none" w:sz="0" w:space="0" w:color="auto"/>
        <w:right w:val="none" w:sz="0" w:space="0" w:color="auto"/>
      </w:divBdr>
    </w:div>
    <w:div w:id="410737061">
      <w:bodyDiv w:val="1"/>
      <w:marLeft w:val="0"/>
      <w:marRight w:val="0"/>
      <w:marTop w:val="0"/>
      <w:marBottom w:val="0"/>
      <w:divBdr>
        <w:top w:val="none" w:sz="0" w:space="0" w:color="auto"/>
        <w:left w:val="none" w:sz="0" w:space="0" w:color="auto"/>
        <w:bottom w:val="none" w:sz="0" w:space="0" w:color="auto"/>
        <w:right w:val="none" w:sz="0" w:space="0" w:color="auto"/>
      </w:divBdr>
      <w:divsChild>
        <w:div w:id="1159030548">
          <w:marLeft w:val="0"/>
          <w:marRight w:val="0"/>
          <w:marTop w:val="0"/>
          <w:marBottom w:val="0"/>
          <w:divBdr>
            <w:top w:val="none" w:sz="0" w:space="0" w:color="auto"/>
            <w:left w:val="none" w:sz="0" w:space="0" w:color="auto"/>
            <w:bottom w:val="none" w:sz="0" w:space="0" w:color="auto"/>
            <w:right w:val="none" w:sz="0" w:space="0" w:color="auto"/>
          </w:divBdr>
        </w:div>
      </w:divsChild>
    </w:div>
    <w:div w:id="486211867">
      <w:bodyDiv w:val="1"/>
      <w:marLeft w:val="0"/>
      <w:marRight w:val="0"/>
      <w:marTop w:val="0"/>
      <w:marBottom w:val="0"/>
      <w:divBdr>
        <w:top w:val="none" w:sz="0" w:space="0" w:color="auto"/>
        <w:left w:val="none" w:sz="0" w:space="0" w:color="auto"/>
        <w:bottom w:val="none" w:sz="0" w:space="0" w:color="auto"/>
        <w:right w:val="none" w:sz="0" w:space="0" w:color="auto"/>
      </w:divBdr>
    </w:div>
    <w:div w:id="537595890">
      <w:bodyDiv w:val="1"/>
      <w:marLeft w:val="0"/>
      <w:marRight w:val="0"/>
      <w:marTop w:val="0"/>
      <w:marBottom w:val="0"/>
      <w:divBdr>
        <w:top w:val="none" w:sz="0" w:space="0" w:color="auto"/>
        <w:left w:val="none" w:sz="0" w:space="0" w:color="auto"/>
        <w:bottom w:val="none" w:sz="0" w:space="0" w:color="auto"/>
        <w:right w:val="none" w:sz="0" w:space="0" w:color="auto"/>
      </w:divBdr>
      <w:divsChild>
        <w:div w:id="663318523">
          <w:marLeft w:val="0"/>
          <w:marRight w:val="0"/>
          <w:marTop w:val="0"/>
          <w:marBottom w:val="0"/>
          <w:divBdr>
            <w:top w:val="none" w:sz="0" w:space="0" w:color="auto"/>
            <w:left w:val="none" w:sz="0" w:space="0" w:color="auto"/>
            <w:bottom w:val="none" w:sz="0" w:space="0" w:color="auto"/>
            <w:right w:val="none" w:sz="0" w:space="0" w:color="auto"/>
          </w:divBdr>
        </w:div>
      </w:divsChild>
    </w:div>
    <w:div w:id="547180186">
      <w:bodyDiv w:val="1"/>
      <w:marLeft w:val="0"/>
      <w:marRight w:val="0"/>
      <w:marTop w:val="0"/>
      <w:marBottom w:val="0"/>
      <w:divBdr>
        <w:top w:val="none" w:sz="0" w:space="0" w:color="auto"/>
        <w:left w:val="none" w:sz="0" w:space="0" w:color="auto"/>
        <w:bottom w:val="none" w:sz="0" w:space="0" w:color="auto"/>
        <w:right w:val="none" w:sz="0" w:space="0" w:color="auto"/>
      </w:divBdr>
      <w:divsChild>
        <w:div w:id="287862392">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566889265">
      <w:bodyDiv w:val="1"/>
      <w:marLeft w:val="0"/>
      <w:marRight w:val="0"/>
      <w:marTop w:val="0"/>
      <w:marBottom w:val="0"/>
      <w:divBdr>
        <w:top w:val="none" w:sz="0" w:space="0" w:color="auto"/>
        <w:left w:val="none" w:sz="0" w:space="0" w:color="auto"/>
        <w:bottom w:val="none" w:sz="0" w:space="0" w:color="auto"/>
        <w:right w:val="none" w:sz="0" w:space="0" w:color="auto"/>
      </w:divBdr>
      <w:divsChild>
        <w:div w:id="480736248">
          <w:marLeft w:val="0"/>
          <w:marRight w:val="0"/>
          <w:marTop w:val="0"/>
          <w:marBottom w:val="0"/>
          <w:divBdr>
            <w:top w:val="none" w:sz="0" w:space="0" w:color="auto"/>
            <w:left w:val="none" w:sz="0" w:space="0" w:color="auto"/>
            <w:bottom w:val="none" w:sz="0" w:space="0" w:color="auto"/>
            <w:right w:val="none" w:sz="0" w:space="0" w:color="auto"/>
          </w:divBdr>
        </w:div>
      </w:divsChild>
    </w:div>
    <w:div w:id="636225550">
      <w:bodyDiv w:val="1"/>
      <w:marLeft w:val="0"/>
      <w:marRight w:val="0"/>
      <w:marTop w:val="0"/>
      <w:marBottom w:val="0"/>
      <w:divBdr>
        <w:top w:val="none" w:sz="0" w:space="0" w:color="auto"/>
        <w:left w:val="none" w:sz="0" w:space="0" w:color="auto"/>
        <w:bottom w:val="none" w:sz="0" w:space="0" w:color="auto"/>
        <w:right w:val="none" w:sz="0" w:space="0" w:color="auto"/>
      </w:divBdr>
      <w:divsChild>
        <w:div w:id="286590740">
          <w:marLeft w:val="0"/>
          <w:marRight w:val="0"/>
          <w:marTop w:val="0"/>
          <w:marBottom w:val="0"/>
          <w:divBdr>
            <w:top w:val="none" w:sz="0" w:space="0" w:color="auto"/>
            <w:left w:val="none" w:sz="0" w:space="0" w:color="auto"/>
            <w:bottom w:val="none" w:sz="0" w:space="0" w:color="auto"/>
            <w:right w:val="none" w:sz="0" w:space="0" w:color="auto"/>
          </w:divBdr>
        </w:div>
      </w:divsChild>
    </w:div>
    <w:div w:id="742215236">
      <w:bodyDiv w:val="1"/>
      <w:marLeft w:val="0"/>
      <w:marRight w:val="0"/>
      <w:marTop w:val="0"/>
      <w:marBottom w:val="0"/>
      <w:divBdr>
        <w:top w:val="none" w:sz="0" w:space="0" w:color="auto"/>
        <w:left w:val="none" w:sz="0" w:space="0" w:color="auto"/>
        <w:bottom w:val="none" w:sz="0" w:space="0" w:color="auto"/>
        <w:right w:val="none" w:sz="0" w:space="0" w:color="auto"/>
      </w:divBdr>
    </w:div>
    <w:div w:id="802776048">
      <w:bodyDiv w:val="1"/>
      <w:marLeft w:val="0"/>
      <w:marRight w:val="0"/>
      <w:marTop w:val="0"/>
      <w:marBottom w:val="0"/>
      <w:divBdr>
        <w:top w:val="none" w:sz="0" w:space="0" w:color="auto"/>
        <w:left w:val="none" w:sz="0" w:space="0" w:color="auto"/>
        <w:bottom w:val="none" w:sz="0" w:space="0" w:color="auto"/>
        <w:right w:val="none" w:sz="0" w:space="0" w:color="auto"/>
      </w:divBdr>
      <w:divsChild>
        <w:div w:id="817110356">
          <w:marLeft w:val="0"/>
          <w:marRight w:val="0"/>
          <w:marTop w:val="0"/>
          <w:marBottom w:val="0"/>
          <w:divBdr>
            <w:top w:val="none" w:sz="0" w:space="0" w:color="auto"/>
            <w:left w:val="none" w:sz="0" w:space="0" w:color="auto"/>
            <w:bottom w:val="none" w:sz="0" w:space="0" w:color="auto"/>
            <w:right w:val="none" w:sz="0" w:space="0" w:color="auto"/>
          </w:divBdr>
        </w:div>
      </w:divsChild>
    </w:div>
    <w:div w:id="805439826">
      <w:bodyDiv w:val="1"/>
      <w:marLeft w:val="0"/>
      <w:marRight w:val="0"/>
      <w:marTop w:val="0"/>
      <w:marBottom w:val="0"/>
      <w:divBdr>
        <w:top w:val="none" w:sz="0" w:space="0" w:color="auto"/>
        <w:left w:val="none" w:sz="0" w:space="0" w:color="auto"/>
        <w:bottom w:val="none" w:sz="0" w:space="0" w:color="auto"/>
        <w:right w:val="none" w:sz="0" w:space="0" w:color="auto"/>
      </w:divBdr>
    </w:div>
    <w:div w:id="977223259">
      <w:bodyDiv w:val="1"/>
      <w:marLeft w:val="0"/>
      <w:marRight w:val="0"/>
      <w:marTop w:val="0"/>
      <w:marBottom w:val="0"/>
      <w:divBdr>
        <w:top w:val="none" w:sz="0" w:space="0" w:color="auto"/>
        <w:left w:val="none" w:sz="0" w:space="0" w:color="auto"/>
        <w:bottom w:val="none" w:sz="0" w:space="0" w:color="auto"/>
        <w:right w:val="none" w:sz="0" w:space="0" w:color="auto"/>
      </w:divBdr>
      <w:divsChild>
        <w:div w:id="344095087">
          <w:marLeft w:val="0"/>
          <w:marRight w:val="0"/>
          <w:marTop w:val="0"/>
          <w:marBottom w:val="0"/>
          <w:divBdr>
            <w:top w:val="none" w:sz="0" w:space="0" w:color="auto"/>
            <w:left w:val="none" w:sz="0" w:space="0" w:color="auto"/>
            <w:bottom w:val="none" w:sz="0" w:space="0" w:color="auto"/>
            <w:right w:val="none" w:sz="0" w:space="0" w:color="auto"/>
          </w:divBdr>
        </w:div>
      </w:divsChild>
    </w:div>
    <w:div w:id="992224191">
      <w:bodyDiv w:val="1"/>
      <w:marLeft w:val="0"/>
      <w:marRight w:val="0"/>
      <w:marTop w:val="0"/>
      <w:marBottom w:val="0"/>
      <w:divBdr>
        <w:top w:val="none" w:sz="0" w:space="0" w:color="auto"/>
        <w:left w:val="none" w:sz="0" w:space="0" w:color="auto"/>
        <w:bottom w:val="none" w:sz="0" w:space="0" w:color="auto"/>
        <w:right w:val="none" w:sz="0" w:space="0" w:color="auto"/>
      </w:divBdr>
      <w:divsChild>
        <w:div w:id="66343691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07363996">
      <w:bodyDiv w:val="1"/>
      <w:marLeft w:val="0"/>
      <w:marRight w:val="0"/>
      <w:marTop w:val="0"/>
      <w:marBottom w:val="0"/>
      <w:divBdr>
        <w:top w:val="none" w:sz="0" w:space="0" w:color="auto"/>
        <w:left w:val="none" w:sz="0" w:space="0" w:color="auto"/>
        <w:bottom w:val="none" w:sz="0" w:space="0" w:color="auto"/>
        <w:right w:val="none" w:sz="0" w:space="0" w:color="auto"/>
      </w:divBdr>
    </w:div>
    <w:div w:id="1129056242">
      <w:bodyDiv w:val="1"/>
      <w:marLeft w:val="0"/>
      <w:marRight w:val="0"/>
      <w:marTop w:val="0"/>
      <w:marBottom w:val="0"/>
      <w:divBdr>
        <w:top w:val="none" w:sz="0" w:space="0" w:color="auto"/>
        <w:left w:val="none" w:sz="0" w:space="0" w:color="auto"/>
        <w:bottom w:val="none" w:sz="0" w:space="0" w:color="auto"/>
        <w:right w:val="none" w:sz="0" w:space="0" w:color="auto"/>
      </w:divBdr>
      <w:divsChild>
        <w:div w:id="1998148200">
          <w:marLeft w:val="0"/>
          <w:marRight w:val="0"/>
          <w:marTop w:val="0"/>
          <w:marBottom w:val="0"/>
          <w:divBdr>
            <w:top w:val="none" w:sz="0" w:space="0" w:color="auto"/>
            <w:left w:val="none" w:sz="0" w:space="0" w:color="auto"/>
            <w:bottom w:val="none" w:sz="0" w:space="0" w:color="auto"/>
            <w:right w:val="none" w:sz="0" w:space="0" w:color="auto"/>
          </w:divBdr>
        </w:div>
        <w:div w:id="2007512243">
          <w:marLeft w:val="0"/>
          <w:marRight w:val="0"/>
          <w:marTop w:val="0"/>
          <w:marBottom w:val="0"/>
          <w:divBdr>
            <w:top w:val="none" w:sz="0" w:space="0" w:color="auto"/>
            <w:left w:val="none" w:sz="0" w:space="0" w:color="auto"/>
            <w:bottom w:val="none" w:sz="0" w:space="0" w:color="auto"/>
            <w:right w:val="none" w:sz="0" w:space="0" w:color="auto"/>
          </w:divBdr>
        </w:div>
      </w:divsChild>
    </w:div>
    <w:div w:id="1164970749">
      <w:bodyDiv w:val="1"/>
      <w:marLeft w:val="0"/>
      <w:marRight w:val="0"/>
      <w:marTop w:val="0"/>
      <w:marBottom w:val="0"/>
      <w:divBdr>
        <w:top w:val="none" w:sz="0" w:space="0" w:color="auto"/>
        <w:left w:val="none" w:sz="0" w:space="0" w:color="auto"/>
        <w:bottom w:val="none" w:sz="0" w:space="0" w:color="auto"/>
        <w:right w:val="none" w:sz="0" w:space="0" w:color="auto"/>
      </w:divBdr>
      <w:divsChild>
        <w:div w:id="1196773116">
          <w:marLeft w:val="0"/>
          <w:marRight w:val="0"/>
          <w:marTop w:val="0"/>
          <w:marBottom w:val="0"/>
          <w:divBdr>
            <w:top w:val="none" w:sz="0" w:space="0" w:color="auto"/>
            <w:left w:val="none" w:sz="0" w:space="0" w:color="auto"/>
            <w:bottom w:val="none" w:sz="0" w:space="0" w:color="auto"/>
            <w:right w:val="none" w:sz="0" w:space="0" w:color="auto"/>
          </w:divBdr>
        </w:div>
      </w:divsChild>
    </w:div>
    <w:div w:id="1214584238">
      <w:bodyDiv w:val="1"/>
      <w:marLeft w:val="0"/>
      <w:marRight w:val="0"/>
      <w:marTop w:val="0"/>
      <w:marBottom w:val="0"/>
      <w:divBdr>
        <w:top w:val="none" w:sz="0" w:space="0" w:color="auto"/>
        <w:left w:val="none" w:sz="0" w:space="0" w:color="auto"/>
        <w:bottom w:val="none" w:sz="0" w:space="0" w:color="auto"/>
        <w:right w:val="none" w:sz="0" w:space="0" w:color="auto"/>
      </w:divBdr>
    </w:div>
    <w:div w:id="1237058274">
      <w:bodyDiv w:val="1"/>
      <w:marLeft w:val="0"/>
      <w:marRight w:val="0"/>
      <w:marTop w:val="0"/>
      <w:marBottom w:val="0"/>
      <w:divBdr>
        <w:top w:val="none" w:sz="0" w:space="0" w:color="auto"/>
        <w:left w:val="none" w:sz="0" w:space="0" w:color="auto"/>
        <w:bottom w:val="none" w:sz="0" w:space="0" w:color="auto"/>
        <w:right w:val="none" w:sz="0" w:space="0" w:color="auto"/>
      </w:divBdr>
    </w:div>
    <w:div w:id="1420829661">
      <w:bodyDiv w:val="1"/>
      <w:marLeft w:val="0"/>
      <w:marRight w:val="0"/>
      <w:marTop w:val="0"/>
      <w:marBottom w:val="0"/>
      <w:divBdr>
        <w:top w:val="none" w:sz="0" w:space="0" w:color="auto"/>
        <w:left w:val="none" w:sz="0" w:space="0" w:color="auto"/>
        <w:bottom w:val="none" w:sz="0" w:space="0" w:color="auto"/>
        <w:right w:val="none" w:sz="0" w:space="0" w:color="auto"/>
      </w:divBdr>
    </w:div>
    <w:div w:id="1429618482">
      <w:bodyDiv w:val="1"/>
      <w:marLeft w:val="0"/>
      <w:marRight w:val="0"/>
      <w:marTop w:val="0"/>
      <w:marBottom w:val="0"/>
      <w:divBdr>
        <w:top w:val="none" w:sz="0" w:space="0" w:color="auto"/>
        <w:left w:val="none" w:sz="0" w:space="0" w:color="auto"/>
        <w:bottom w:val="none" w:sz="0" w:space="0" w:color="auto"/>
        <w:right w:val="none" w:sz="0" w:space="0" w:color="auto"/>
      </w:divBdr>
    </w:div>
    <w:div w:id="1440638126">
      <w:bodyDiv w:val="1"/>
      <w:marLeft w:val="0"/>
      <w:marRight w:val="0"/>
      <w:marTop w:val="0"/>
      <w:marBottom w:val="0"/>
      <w:divBdr>
        <w:top w:val="none" w:sz="0" w:space="0" w:color="auto"/>
        <w:left w:val="none" w:sz="0" w:space="0" w:color="auto"/>
        <w:bottom w:val="none" w:sz="0" w:space="0" w:color="auto"/>
        <w:right w:val="none" w:sz="0" w:space="0" w:color="auto"/>
      </w:divBdr>
      <w:divsChild>
        <w:div w:id="1946619667">
          <w:marLeft w:val="0"/>
          <w:marRight w:val="0"/>
          <w:marTop w:val="0"/>
          <w:marBottom w:val="0"/>
          <w:divBdr>
            <w:top w:val="none" w:sz="0" w:space="0" w:color="auto"/>
            <w:left w:val="none" w:sz="0" w:space="0" w:color="auto"/>
            <w:bottom w:val="none" w:sz="0" w:space="0" w:color="auto"/>
            <w:right w:val="none" w:sz="0" w:space="0" w:color="auto"/>
          </w:divBdr>
        </w:div>
      </w:divsChild>
    </w:div>
    <w:div w:id="1462655075">
      <w:bodyDiv w:val="1"/>
      <w:marLeft w:val="0"/>
      <w:marRight w:val="0"/>
      <w:marTop w:val="0"/>
      <w:marBottom w:val="0"/>
      <w:divBdr>
        <w:top w:val="none" w:sz="0" w:space="0" w:color="auto"/>
        <w:left w:val="none" w:sz="0" w:space="0" w:color="auto"/>
        <w:bottom w:val="none" w:sz="0" w:space="0" w:color="auto"/>
        <w:right w:val="none" w:sz="0" w:space="0" w:color="auto"/>
      </w:divBdr>
      <w:divsChild>
        <w:div w:id="1920015347">
          <w:marLeft w:val="0"/>
          <w:marRight w:val="0"/>
          <w:marTop w:val="0"/>
          <w:marBottom w:val="0"/>
          <w:divBdr>
            <w:top w:val="none" w:sz="0" w:space="0" w:color="auto"/>
            <w:left w:val="none" w:sz="0" w:space="0" w:color="auto"/>
            <w:bottom w:val="none" w:sz="0" w:space="0" w:color="auto"/>
            <w:right w:val="none" w:sz="0" w:space="0" w:color="auto"/>
          </w:divBdr>
        </w:div>
      </w:divsChild>
    </w:div>
    <w:div w:id="1473327550">
      <w:bodyDiv w:val="1"/>
      <w:marLeft w:val="0"/>
      <w:marRight w:val="0"/>
      <w:marTop w:val="0"/>
      <w:marBottom w:val="0"/>
      <w:divBdr>
        <w:top w:val="none" w:sz="0" w:space="0" w:color="auto"/>
        <w:left w:val="none" w:sz="0" w:space="0" w:color="auto"/>
        <w:bottom w:val="none" w:sz="0" w:space="0" w:color="auto"/>
        <w:right w:val="none" w:sz="0" w:space="0" w:color="auto"/>
      </w:divBdr>
      <w:divsChild>
        <w:div w:id="872113104">
          <w:marLeft w:val="0"/>
          <w:marRight w:val="0"/>
          <w:marTop w:val="0"/>
          <w:marBottom w:val="0"/>
          <w:divBdr>
            <w:top w:val="none" w:sz="0" w:space="0" w:color="auto"/>
            <w:left w:val="none" w:sz="0" w:space="0" w:color="auto"/>
            <w:bottom w:val="none" w:sz="0" w:space="0" w:color="auto"/>
            <w:right w:val="none" w:sz="0" w:space="0" w:color="auto"/>
          </w:divBdr>
        </w:div>
      </w:divsChild>
    </w:div>
    <w:div w:id="1530341417">
      <w:bodyDiv w:val="1"/>
      <w:marLeft w:val="0"/>
      <w:marRight w:val="0"/>
      <w:marTop w:val="0"/>
      <w:marBottom w:val="0"/>
      <w:divBdr>
        <w:top w:val="none" w:sz="0" w:space="0" w:color="auto"/>
        <w:left w:val="none" w:sz="0" w:space="0" w:color="auto"/>
        <w:bottom w:val="none" w:sz="0" w:space="0" w:color="auto"/>
        <w:right w:val="none" w:sz="0" w:space="0" w:color="auto"/>
      </w:divBdr>
    </w:div>
    <w:div w:id="1589540549">
      <w:bodyDiv w:val="1"/>
      <w:marLeft w:val="0"/>
      <w:marRight w:val="0"/>
      <w:marTop w:val="0"/>
      <w:marBottom w:val="0"/>
      <w:divBdr>
        <w:top w:val="none" w:sz="0" w:space="0" w:color="auto"/>
        <w:left w:val="none" w:sz="0" w:space="0" w:color="auto"/>
        <w:bottom w:val="none" w:sz="0" w:space="0" w:color="auto"/>
        <w:right w:val="none" w:sz="0" w:space="0" w:color="auto"/>
      </w:divBdr>
      <w:divsChild>
        <w:div w:id="1021590526">
          <w:marLeft w:val="0"/>
          <w:marRight w:val="0"/>
          <w:marTop w:val="0"/>
          <w:marBottom w:val="0"/>
          <w:divBdr>
            <w:top w:val="none" w:sz="0" w:space="0" w:color="auto"/>
            <w:left w:val="none" w:sz="0" w:space="0" w:color="auto"/>
            <w:bottom w:val="none" w:sz="0" w:space="0" w:color="auto"/>
            <w:right w:val="none" w:sz="0" w:space="0" w:color="auto"/>
          </w:divBdr>
        </w:div>
        <w:div w:id="534543771">
          <w:marLeft w:val="0"/>
          <w:marRight w:val="0"/>
          <w:marTop w:val="0"/>
          <w:marBottom w:val="0"/>
          <w:divBdr>
            <w:top w:val="none" w:sz="0" w:space="0" w:color="auto"/>
            <w:left w:val="none" w:sz="0" w:space="0" w:color="auto"/>
            <w:bottom w:val="none" w:sz="0" w:space="0" w:color="auto"/>
            <w:right w:val="none" w:sz="0" w:space="0" w:color="auto"/>
          </w:divBdr>
        </w:div>
      </w:divsChild>
    </w:div>
    <w:div w:id="1625425402">
      <w:bodyDiv w:val="1"/>
      <w:marLeft w:val="0"/>
      <w:marRight w:val="0"/>
      <w:marTop w:val="0"/>
      <w:marBottom w:val="0"/>
      <w:divBdr>
        <w:top w:val="none" w:sz="0" w:space="0" w:color="auto"/>
        <w:left w:val="none" w:sz="0" w:space="0" w:color="auto"/>
        <w:bottom w:val="none" w:sz="0" w:space="0" w:color="auto"/>
        <w:right w:val="none" w:sz="0" w:space="0" w:color="auto"/>
      </w:divBdr>
      <w:divsChild>
        <w:div w:id="451635266">
          <w:marLeft w:val="0"/>
          <w:marRight w:val="0"/>
          <w:marTop w:val="0"/>
          <w:marBottom w:val="0"/>
          <w:divBdr>
            <w:top w:val="none" w:sz="0" w:space="0" w:color="auto"/>
            <w:left w:val="none" w:sz="0" w:space="0" w:color="auto"/>
            <w:bottom w:val="none" w:sz="0" w:space="0" w:color="auto"/>
            <w:right w:val="none" w:sz="0" w:space="0" w:color="auto"/>
          </w:divBdr>
        </w:div>
      </w:divsChild>
    </w:div>
    <w:div w:id="1670252234">
      <w:bodyDiv w:val="1"/>
      <w:marLeft w:val="0"/>
      <w:marRight w:val="0"/>
      <w:marTop w:val="0"/>
      <w:marBottom w:val="0"/>
      <w:divBdr>
        <w:top w:val="none" w:sz="0" w:space="0" w:color="auto"/>
        <w:left w:val="none" w:sz="0" w:space="0" w:color="auto"/>
        <w:bottom w:val="none" w:sz="0" w:space="0" w:color="auto"/>
        <w:right w:val="none" w:sz="0" w:space="0" w:color="auto"/>
      </w:divBdr>
    </w:div>
    <w:div w:id="1774668449">
      <w:bodyDiv w:val="1"/>
      <w:marLeft w:val="0"/>
      <w:marRight w:val="0"/>
      <w:marTop w:val="0"/>
      <w:marBottom w:val="0"/>
      <w:divBdr>
        <w:top w:val="none" w:sz="0" w:space="0" w:color="auto"/>
        <w:left w:val="none" w:sz="0" w:space="0" w:color="auto"/>
        <w:bottom w:val="none" w:sz="0" w:space="0" w:color="auto"/>
        <w:right w:val="none" w:sz="0" w:space="0" w:color="auto"/>
      </w:divBdr>
      <w:divsChild>
        <w:div w:id="755900498">
          <w:marLeft w:val="0"/>
          <w:marRight w:val="0"/>
          <w:marTop w:val="0"/>
          <w:marBottom w:val="0"/>
          <w:divBdr>
            <w:top w:val="none" w:sz="0" w:space="0" w:color="auto"/>
            <w:left w:val="none" w:sz="0" w:space="0" w:color="auto"/>
            <w:bottom w:val="none" w:sz="0" w:space="0" w:color="auto"/>
            <w:right w:val="none" w:sz="0" w:space="0" w:color="auto"/>
          </w:divBdr>
        </w:div>
      </w:divsChild>
    </w:div>
    <w:div w:id="1829978682">
      <w:bodyDiv w:val="1"/>
      <w:marLeft w:val="0"/>
      <w:marRight w:val="0"/>
      <w:marTop w:val="0"/>
      <w:marBottom w:val="0"/>
      <w:divBdr>
        <w:top w:val="none" w:sz="0" w:space="0" w:color="auto"/>
        <w:left w:val="none" w:sz="0" w:space="0" w:color="auto"/>
        <w:bottom w:val="none" w:sz="0" w:space="0" w:color="auto"/>
        <w:right w:val="none" w:sz="0" w:space="0" w:color="auto"/>
      </w:divBdr>
    </w:div>
    <w:div w:id="1997146729">
      <w:bodyDiv w:val="1"/>
      <w:marLeft w:val="0"/>
      <w:marRight w:val="0"/>
      <w:marTop w:val="0"/>
      <w:marBottom w:val="0"/>
      <w:divBdr>
        <w:top w:val="none" w:sz="0" w:space="0" w:color="auto"/>
        <w:left w:val="none" w:sz="0" w:space="0" w:color="auto"/>
        <w:bottom w:val="none" w:sz="0" w:space="0" w:color="auto"/>
        <w:right w:val="none" w:sz="0" w:space="0" w:color="auto"/>
      </w:divBdr>
    </w:div>
    <w:div w:id="2110083908">
      <w:bodyDiv w:val="1"/>
      <w:marLeft w:val="0"/>
      <w:marRight w:val="0"/>
      <w:marTop w:val="0"/>
      <w:marBottom w:val="0"/>
      <w:divBdr>
        <w:top w:val="none" w:sz="0" w:space="0" w:color="auto"/>
        <w:left w:val="none" w:sz="0" w:space="0" w:color="auto"/>
        <w:bottom w:val="none" w:sz="0" w:space="0" w:color="auto"/>
        <w:right w:val="none" w:sz="0" w:space="0" w:color="auto"/>
      </w:divBdr>
      <w:divsChild>
        <w:div w:id="689455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workforce-planning-factsheet/" TargetMode="External"/><Relationship Id="rId21" Type="http://schemas.openxmlformats.org/officeDocument/2006/relationships/hyperlink" Target="https://www.cipd.org/uk/knowledge/factsheets/reward-factsheet" TargetMode="External"/><Relationship Id="rId42" Type="http://schemas.openxmlformats.org/officeDocument/2006/relationships/hyperlink" Target="https://www.cipd.org/uk/topics/health-and-safety/" TargetMode="External"/><Relationship Id="rId47" Type="http://schemas.openxmlformats.org/officeDocument/2006/relationships/hyperlink" Target="https://hbr.org/2020/05/build-a-stronger-employee-referral-program" TargetMode="External"/><Relationship Id="rId63" Type="http://schemas.openxmlformats.org/officeDocument/2006/relationships/hyperlink" Target="https://www.researchgate.net/publication/335353132"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strategic-total-factsheet/" TargetMode="External"/><Relationship Id="rId29" Type="http://schemas.openxmlformats.org/officeDocument/2006/relationships/hyperlink" Target="https://www.cipd.org/uk/knowledge/factsheets/economy-labour-market-factsheet/" TargetMode="External"/><Relationship Id="rId11" Type="http://schemas.openxmlformats.org/officeDocument/2006/relationships/hyperlink" Target="https://www.acas.org.uk/zero-hours-contracts" TargetMode="External"/><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www.cipd.org/en/views-and-insights/thought-leadership/insight/learning-value-skills-development/" TargetMode="External"/><Relationship Id="rId37" Type="http://schemas.openxmlformats.org/officeDocument/2006/relationships/hyperlink" Target="https://www.cipd.org.uk" TargetMode="External"/><Relationship Id="rId40" Type="http://schemas.openxmlformats.org/officeDocument/2006/relationships/hyperlink" Target="https://www.cipd.org/uk/knowledge/podcasts/workforce-planning" TargetMode="External"/><Relationship Id="rId45" Type="http://schemas.openxmlformats.org/officeDocument/2006/relationships/hyperlink" Target="https://core.ac.uk/download/pdf/234672366.pdf" TargetMode="External"/><Relationship Id="rId53" Type="http://schemas.openxmlformats.org/officeDocument/2006/relationships/hyperlink" Target="https://www.peoplemanagement.co.uk/article/1742140/how-get-onboarding-right" TargetMode="External"/><Relationship Id="rId58" Type="http://schemas.openxmlformats.org/officeDocument/2006/relationships/hyperlink" Target="https://www.peoplexcd.com/insights/employee-turnover-push-vs-pull-factors/" TargetMode="External"/><Relationship Id="rId66" Type="http://schemas.openxmlformats.org/officeDocument/2006/relationships/hyperlink" Target="https://bafa.ac.uk/assets/uploads/Day1_2a_Employee_Turnover_in_Audit_Firms_VVZ.pdf" TargetMode="External"/><Relationship Id="rId5" Type="http://schemas.openxmlformats.org/officeDocument/2006/relationships/webSettings" Target="webSettings.xml"/><Relationship Id="rId61" Type="http://schemas.openxmlformats.org/officeDocument/2006/relationships/hyperlink" Target="https://hbr.org/2022/04/onboarding-can-make-or-break-a-new-hires-experience" TargetMode="External"/><Relationship Id="rId19" Type="http://schemas.openxmlformats.org/officeDocument/2006/relationships/hyperlink" Target="https://www.cipd.org/en/knowledge/guides/employee-retention/" TargetMode="External"/><Relationship Id="rId14" Type="http://schemas.openxmlformats.org/officeDocument/2006/relationships/hyperlink" Target="https://www.peoplemanagement.co.uk/article/1903056/workforce-planning-impacts-productivity" TargetMode="External"/><Relationship Id="rId22" Type="http://schemas.openxmlformats.org/officeDocument/2006/relationships/hyperlink" Target="https://www.cipd.org/uk/knowledge/guides/employee-induction/" TargetMode="External"/><Relationship Id="rId27" Type="http://schemas.openxmlformats.org/officeDocument/2006/relationships/hyperlink" Target="https://www.cipd.org/uk/knowledge/factsheets/recruitment-factsheet/" TargetMode="External"/><Relationship Id="rId30" Type="http://schemas.openxmlformats.org/officeDocument/2006/relationships/hyperlink" Target="https://www.cipd.org/uk/knowledge/factsheets/selection-factsheet/" TargetMode="External"/><Relationship Id="rId35" Type="http://schemas.openxmlformats.org/officeDocument/2006/relationships/hyperlink" Target="https://www.cipd.org/uk/knowledge/guides/strategic-workforce-planning/" TargetMode="External"/><Relationship Id="rId43" Type="http://schemas.openxmlformats.org/officeDocument/2006/relationships/hyperlink" Target="https://www.shrm.org/about/bio/martha-ekdahl" TargetMode="External"/><Relationship Id="rId48" Type="http://schemas.openxmlformats.org/officeDocument/2006/relationships/hyperlink" Target="https://www.gov.uk/contract-types-and-employer-responsibilities" TargetMode="External"/><Relationship Id="rId56" Type="http://schemas.openxmlformats.org/officeDocument/2006/relationships/hyperlink" Target="https://www.researchgate.net/publication/366373169" TargetMode="External"/><Relationship Id="rId64" Type="http://schemas.openxmlformats.org/officeDocument/2006/relationships/hyperlink" Target="https://www.health.org.uk/funding-and-fellowships/projects/the-impact-of-workforce-turnover-and-temporary-staff-on"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hrzone.com/blog/induction-crisis-what-induction-crisis-beyond-the-checklist" TargetMode="External"/><Relationship Id="rId3" Type="http://schemas.openxmlformats.org/officeDocument/2006/relationships/styles" Target="styles.xml"/><Relationship Id="rId12" Type="http://schemas.openxmlformats.org/officeDocument/2006/relationships/hyperlink" Target="https://www.acas.org.uk/agency-workers/understanding-your-employment-rights-after-12-weeks" TargetMode="External"/><Relationship Id="rId17" Type="http://schemas.openxmlformats.org/officeDocument/2006/relationships/hyperlink" Target="https://www.cipd.org/uk/about/news/people-professionals-lead-post-covid-workplace-evolution/" TargetMode="External"/><Relationship Id="rId25" Type="http://schemas.openxmlformats.org/officeDocument/2006/relationships/hyperlink" Target="https://www.cipd.org/globalassets/media/knowledge/knowledge-hub/reports/2024-pdfs/2024-labour-market-outlook-winter-2024-8552.pdf" TargetMode="External"/><Relationship Id="rId33" Type="http://schemas.openxmlformats.org/officeDocument/2006/relationships/hyperlink" Target="https://www.cipd.org/uk/knowledge/factsheets/succession-planning-factsheet/" TargetMode="External"/><Relationship Id="rId38" Type="http://schemas.openxmlformats.org/officeDocument/2006/relationships/hyperlink" Target="https://www.cipd.org/uk/knowledge/bitesize-research/personality-tests/" TargetMode="External"/><Relationship Id="rId46" Type="http://schemas.openxmlformats.org/officeDocument/2006/relationships/hyperlink" Target="https://hbr.org/2024/10/research-the-long-term-costs-of-layoffs" TargetMode="External"/><Relationship Id="rId59" Type="http://schemas.openxmlformats.org/officeDocument/2006/relationships/hyperlink" Target="https://qa.peoplemanagement.co.uk/article/1870723/first-100-days-or-break-new-hire" TargetMode="External"/><Relationship Id="rId67" Type="http://schemas.openxmlformats.org/officeDocument/2006/relationships/hyperlink" Target="https://hr.vqsolutions.co.uk/the-impact-of-changing-labour-market-conditions-on-resourcing-decisions/" TargetMode="External"/><Relationship Id="rId20" Type="http://schemas.openxmlformats.org/officeDocument/2006/relationships/hyperlink" Target="https://www.cipd.org/uk/knowledge/reports/labour-market-outlook" TargetMode="External"/><Relationship Id="rId41" Type="http://schemas.openxmlformats.org/officeDocument/2006/relationships/hyperlink" Target="https://www.cipd.org/uk/the-people-profession/the-profession-map/explore-the-profession-map/core-knowledge/culture-behaviour" TargetMode="External"/><Relationship Id="rId54" Type="http://schemas.openxmlformats.org/officeDocument/2006/relationships/hyperlink" Target="https://www.ihire.com/resourcecenter/employer/pages/talent-retention-report-2024" TargetMode="External"/><Relationship Id="rId62" Type="http://schemas.openxmlformats.org/officeDocument/2006/relationships/hyperlink" Target="https://hbr.org/2022/12/what-companies-still-get-wrong-about-layoff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298738149" TargetMode="External"/><Relationship Id="rId23" Type="http://schemas.openxmlformats.org/officeDocument/2006/relationships/hyperlink" Target="https://www.cipd.org/uk/knowledge/factsheets/economy-labour-market-factsheet/" TargetMode="External"/><Relationship Id="rId28" Type="http://schemas.openxmlformats.org/officeDocument/2006/relationships/hyperlink" Target="https://www.cipd.org/uk/knowledge/guides/inclusive-employers/" TargetMode="External"/><Relationship Id="rId36" Type="http://schemas.openxmlformats.org/officeDocument/2006/relationships/hyperlink" Target="https://www.cipd.org/uk/knowledge/factsheets/employee-retention-factsheet/" TargetMode="External"/><Relationship Id="rId49" Type="http://schemas.openxmlformats.org/officeDocument/2006/relationships/hyperlink" Target="https://www.gov.uk/agency-workers-your-rights" TargetMode="External"/><Relationship Id="rId57" Type="http://schemas.openxmlformats.org/officeDocument/2006/relationships/hyperlink" Target="https://www.cipd.org/uk/knowledge/reports/people-profession-survey-2023/" TargetMode="External"/><Relationship Id="rId10" Type="http://schemas.openxmlformats.org/officeDocument/2006/relationships/hyperlink" Target="https://hbr.org/2023/04/companies-need-to-normalize-healthy-turnover" TargetMode="External"/><Relationship Id="rId31" Type="http://schemas.openxmlformats.org/officeDocument/2006/relationships/hyperlink" Target="https://www.cipd.org/uk/knowledge/factsheets/recruitment-brand-factsheet/" TargetMode="External"/><Relationship Id="rId44" Type="http://schemas.openxmlformats.org/officeDocument/2006/relationships/hyperlink" Target="https://www.shrm.org/enterprise-solutions/insights/skills-based-hiring-building-stronger-teams" TargetMode="External"/><Relationship Id="rId52" Type="http://schemas.openxmlformats.org/officeDocument/2006/relationships/hyperlink" Target="https://www.gov.uk/employment-status/employee" TargetMode="External"/><Relationship Id="rId60" Type="http://schemas.openxmlformats.org/officeDocument/2006/relationships/hyperlink" Target="https://www.shrm.org/executive-network/insights/future-of-talent-retention-report-why-employees-leave" TargetMode="External"/><Relationship Id="rId65" Type="http://schemas.openxmlformats.org/officeDocument/2006/relationships/hyperlink" Target="https://www.thehrobserver.com/indepth/how-to-maximise-job-retention-by-providing-realistic-job-previews/" TargetMode="External"/><Relationship Id="rId4" Type="http://schemas.openxmlformats.org/officeDocument/2006/relationships/settings" Target="settings.xml"/><Relationship Id="rId9" Type="http://schemas.openxmlformats.org/officeDocument/2006/relationships/hyperlink" Target="https://www.youtube.com/watch?v=EvGhsGOtToI" TargetMode="External"/><Relationship Id="rId13" Type="http://schemas.openxmlformats.org/officeDocument/2006/relationships/hyperlink" Target="https://www.shrm.org/content/dam/en/shrm/topics-tools/news/Retaining-Talent.pdf" TargetMode="External"/><Relationship Id="rId18" Type="http://schemas.openxmlformats.org/officeDocument/2006/relationships/hyperlink" Target="https://www.cipd.org/uk/knowledge/factsheets/turnover-retention-factsheet/" TargetMode="External"/><Relationship Id="rId39" Type="http://schemas.openxmlformats.org/officeDocument/2006/relationships/hyperlink" Target="https://www.cipd.co.uk/knowledge/fundamentals/emp-law/contracts/fixed-term-factsheet" TargetMode="External"/><Relationship Id="rId34" Type="http://schemas.openxmlformats.org/officeDocument/2006/relationships/hyperlink" Target="https://www.cipd.org/uk/knowledge/guides/flexible-working/" TargetMode="External"/><Relationship Id="rId50" Type="http://schemas.openxmlformats.org/officeDocument/2006/relationships/hyperlink" Target="https://www.cipd.org/globalassets/media/knowledge/knowledge-hub/reports/2024-pdfs/8662-resource-and-talent-planning-2024-report-web.pdf" TargetMode="External"/><Relationship Id="rId55" Type="http://schemas.openxmlformats.org/officeDocument/2006/relationships/hyperlink" Target="https://www.shrm.org/topics-tools/flagships/all-things-work/driving-change--essential-steps-for-successful-hr-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CBA37-35F3-49E8-BD3F-82C23109F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7923</Words>
  <Characters>45165</Characters>
  <Application>Microsoft Office Word</Application>
  <DocSecurity>0</DocSecurity>
  <Lines>376</Lines>
  <Paragraphs>105</Paragraphs>
  <ScaleCrop>false</ScaleCrop>
  <Company>Hywel Dda University Health Board</Company>
  <LinksUpToDate>false</LinksUpToDate>
  <CharactersWithSpaces>52983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2</cp:revision>
  <dcterms:created xsi:type="dcterms:W3CDTF">2025-06-29T09:51:00Z</dcterms:created>
  <dcterms:modified xsi:type="dcterms:W3CDTF">2025-06-29T09:51:00Z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bba3be78-fdaa-467b-9b53-fa94cfb5a9cf</vt:lpwstr>
  </property>
</Properties>
</file>