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1F08E" w14:textId="6D49B7F6" w:rsidR="00286C5C" w:rsidRPr="009C6CE5" w:rsidRDefault="009C6CE5" w:rsidP="009C6CE5">
      <w:pPr>
        <w:spacing w:after="0" w:line="360" w:lineRule="auto"/>
        <w:jc w:val="both"/>
        <w:rPr>
          <w:rFonts w:ascii="Times New Roman" w:eastAsia="Arial" w:hAnsi="Times New Roman" w:cs="Times New Roman"/>
          <w:noProof/>
          <w:sz w:val="24"/>
          <w:szCs w:val="24"/>
          <w:lang w:val="en-US" w:eastAsia="en-MY"/>
        </w:rPr>
      </w:pPr>
      <w:r w:rsidRPr="009C6CE5">
        <w:rPr>
          <w:rFonts w:ascii="Times New Roman" w:hAnsi="Times New Roman" w:cs="Times New Roman"/>
          <w:noProof/>
          <w:sz w:val="24"/>
          <w:szCs w:val="24"/>
        </w:rPr>
        <w:drawing>
          <wp:inline distT="0" distB="0" distL="0" distR="0" wp14:anchorId="1055E6C0" wp14:editId="23E3D08A">
            <wp:extent cx="4746929" cy="1571237"/>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403" cy="1576359"/>
                    </a:xfrm>
                    <a:prstGeom prst="rect">
                      <a:avLst/>
                    </a:prstGeom>
                    <a:noFill/>
                    <a:ln>
                      <a:noFill/>
                    </a:ln>
                  </pic:spPr>
                </pic:pic>
              </a:graphicData>
            </a:graphic>
          </wp:inline>
        </w:drawing>
      </w:r>
    </w:p>
    <w:p w14:paraId="4CF629CA" w14:textId="77777777" w:rsidR="00286C5C" w:rsidRPr="009C6CE5" w:rsidRDefault="00286C5C" w:rsidP="009C6CE5">
      <w:pPr>
        <w:spacing w:after="0" w:line="360" w:lineRule="auto"/>
        <w:jc w:val="both"/>
        <w:rPr>
          <w:rFonts w:ascii="Times New Roman" w:eastAsia="Arial" w:hAnsi="Times New Roman" w:cs="Times New Roman"/>
          <w:noProof/>
          <w:sz w:val="24"/>
          <w:szCs w:val="24"/>
          <w:lang w:val="en-US" w:eastAsia="en-MY"/>
        </w:rPr>
      </w:pPr>
    </w:p>
    <w:p w14:paraId="4502EAA8" w14:textId="77777777" w:rsidR="009C6CE5" w:rsidRPr="009C6CE5" w:rsidRDefault="009C6CE5" w:rsidP="009C6CE5">
      <w:pPr>
        <w:tabs>
          <w:tab w:val="left" w:pos="4536"/>
        </w:tabs>
        <w:spacing w:line="360" w:lineRule="auto"/>
        <w:jc w:val="both"/>
        <w:rPr>
          <w:rFonts w:ascii="Times New Roman" w:hAnsi="Times New Roman" w:cs="Times New Roman"/>
          <w:b/>
          <w:bCs/>
          <w:sz w:val="24"/>
          <w:szCs w:val="24"/>
        </w:rPr>
      </w:pPr>
    </w:p>
    <w:p w14:paraId="3D9D2B44" w14:textId="5930ED0D" w:rsidR="009C6CE5" w:rsidRPr="009C6CE5" w:rsidRDefault="009C6CE5" w:rsidP="009C6CE5">
      <w:pPr>
        <w:tabs>
          <w:tab w:val="left" w:pos="4536"/>
        </w:tabs>
        <w:spacing w:line="360" w:lineRule="auto"/>
        <w:jc w:val="center"/>
        <w:rPr>
          <w:rFonts w:ascii="Times New Roman" w:hAnsi="Times New Roman" w:cs="Times New Roman"/>
          <w:b/>
          <w:bCs/>
          <w:sz w:val="24"/>
          <w:szCs w:val="24"/>
        </w:rPr>
      </w:pPr>
      <w:r w:rsidRPr="009C6CE5">
        <w:rPr>
          <w:rFonts w:ascii="Times New Roman" w:hAnsi="Times New Roman" w:cs="Times New Roman"/>
          <w:b/>
          <w:bCs/>
          <w:sz w:val="24"/>
          <w:szCs w:val="24"/>
        </w:rPr>
        <w:t>IUMW EXCHANGE PROGRAMME</w:t>
      </w:r>
    </w:p>
    <w:p w14:paraId="519195E9" w14:textId="48898533" w:rsidR="009C6CE5" w:rsidRPr="009C6CE5" w:rsidRDefault="009C6CE5" w:rsidP="009C6CE5">
      <w:pPr>
        <w:tabs>
          <w:tab w:val="left" w:pos="4536"/>
        </w:tabs>
        <w:spacing w:line="360" w:lineRule="auto"/>
        <w:jc w:val="center"/>
        <w:rPr>
          <w:rFonts w:ascii="Times New Roman" w:hAnsi="Times New Roman" w:cs="Times New Roman"/>
          <w:b/>
          <w:bCs/>
          <w:sz w:val="24"/>
          <w:szCs w:val="24"/>
        </w:rPr>
      </w:pPr>
      <w:r w:rsidRPr="009C6CE5">
        <w:rPr>
          <w:rFonts w:ascii="Times New Roman" w:hAnsi="Times New Roman" w:cs="Times New Roman"/>
          <w:b/>
          <w:bCs/>
          <w:sz w:val="24"/>
          <w:szCs w:val="24"/>
        </w:rPr>
        <w:t>CONTRACT LAW (BMLW5009)</w:t>
      </w:r>
    </w:p>
    <w:p w14:paraId="5EC7DE5A" w14:textId="5E2940FD" w:rsidR="009C6CE5" w:rsidRPr="009C6CE5" w:rsidRDefault="009C6CE5" w:rsidP="009C6CE5">
      <w:pPr>
        <w:tabs>
          <w:tab w:val="left" w:pos="4536"/>
        </w:tabs>
        <w:spacing w:line="360" w:lineRule="auto"/>
        <w:jc w:val="center"/>
        <w:rPr>
          <w:rFonts w:ascii="Times New Roman" w:hAnsi="Times New Roman" w:cs="Times New Roman"/>
          <w:b/>
          <w:bCs/>
          <w:sz w:val="24"/>
          <w:szCs w:val="24"/>
        </w:rPr>
      </w:pPr>
      <w:r w:rsidRPr="009C6CE5">
        <w:rPr>
          <w:rFonts w:ascii="Times New Roman" w:hAnsi="Times New Roman" w:cs="Times New Roman"/>
          <w:b/>
          <w:bCs/>
          <w:sz w:val="24"/>
          <w:szCs w:val="24"/>
        </w:rPr>
        <w:t>LAURA KNIGHT</w:t>
      </w:r>
    </w:p>
    <w:p w14:paraId="097F62DF" w14:textId="77777777" w:rsidR="00286C5C" w:rsidRPr="009C6CE5" w:rsidRDefault="00286C5C" w:rsidP="009C6CE5">
      <w:pPr>
        <w:spacing w:after="0" w:line="360" w:lineRule="auto"/>
        <w:jc w:val="both"/>
        <w:rPr>
          <w:rFonts w:ascii="Times New Roman" w:eastAsia="Arial" w:hAnsi="Times New Roman" w:cs="Times New Roman"/>
          <w:noProof/>
          <w:sz w:val="24"/>
          <w:szCs w:val="24"/>
          <w:lang w:val="en-US" w:eastAsia="en-MY"/>
        </w:rPr>
      </w:pPr>
    </w:p>
    <w:p w14:paraId="09BA3B81" w14:textId="77777777" w:rsidR="009C6CE5" w:rsidRPr="009C6CE5" w:rsidRDefault="009C6CE5" w:rsidP="009C6CE5">
      <w:pPr>
        <w:spacing w:after="0" w:line="360" w:lineRule="auto"/>
        <w:jc w:val="both"/>
        <w:rPr>
          <w:rFonts w:ascii="Times New Roman" w:eastAsia="Arial" w:hAnsi="Times New Roman" w:cs="Times New Roman"/>
          <w:sz w:val="24"/>
          <w:szCs w:val="24"/>
          <w:lang w:val="en-US" w:eastAsia="en-MY"/>
        </w:rPr>
      </w:pPr>
    </w:p>
    <w:tbl>
      <w:tblPr>
        <w:tblStyle w:val="TableGrid"/>
        <w:tblpPr w:leftFromText="180" w:rightFromText="180" w:vertAnchor="text" w:horzAnchor="margin" w:tblpXSpec="center" w:tblpY="226"/>
        <w:tblW w:w="0" w:type="auto"/>
        <w:tblLook w:val="04A0" w:firstRow="1" w:lastRow="0" w:firstColumn="1" w:lastColumn="0" w:noHBand="0" w:noVBand="1"/>
      </w:tblPr>
      <w:tblGrid>
        <w:gridCol w:w="1701"/>
        <w:gridCol w:w="996"/>
        <w:gridCol w:w="6348"/>
      </w:tblGrid>
      <w:tr w:rsidR="00286C5C" w:rsidRPr="009C6CE5" w14:paraId="598C5F5F" w14:textId="77777777" w:rsidTr="0024757F">
        <w:trPr>
          <w:trHeight w:val="1141"/>
        </w:trPr>
        <w:tc>
          <w:tcPr>
            <w:tcW w:w="1701" w:type="dxa"/>
          </w:tcPr>
          <w:p w14:paraId="7081B2CA" w14:textId="77777777" w:rsidR="00286C5C" w:rsidRPr="009C6CE5" w:rsidRDefault="00286C5C" w:rsidP="009C6CE5">
            <w:pPr>
              <w:spacing w:after="0" w:line="360" w:lineRule="auto"/>
              <w:rPr>
                <w:rFonts w:eastAsia="Arial"/>
                <w:sz w:val="24"/>
                <w:szCs w:val="24"/>
                <w:lang w:eastAsia="en-MY"/>
              </w:rPr>
            </w:pPr>
          </w:p>
          <w:p w14:paraId="3AB4D79C"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Name</w:t>
            </w:r>
          </w:p>
          <w:p w14:paraId="46C048A0" w14:textId="77777777" w:rsidR="00286C5C" w:rsidRPr="009C6CE5" w:rsidRDefault="00286C5C" w:rsidP="009C6CE5">
            <w:pPr>
              <w:spacing w:after="0" w:line="360" w:lineRule="auto"/>
              <w:rPr>
                <w:rFonts w:eastAsia="Arial"/>
                <w:sz w:val="24"/>
                <w:szCs w:val="24"/>
                <w:lang w:eastAsia="en-MY"/>
              </w:rPr>
            </w:pPr>
          </w:p>
        </w:tc>
        <w:tc>
          <w:tcPr>
            <w:tcW w:w="996" w:type="dxa"/>
          </w:tcPr>
          <w:p w14:paraId="59AEEA81" w14:textId="77777777" w:rsidR="00286C5C" w:rsidRPr="009C6CE5" w:rsidRDefault="00286C5C" w:rsidP="009C6CE5">
            <w:pPr>
              <w:spacing w:after="0" w:line="360" w:lineRule="auto"/>
              <w:rPr>
                <w:rFonts w:eastAsia="Arial"/>
                <w:sz w:val="24"/>
                <w:szCs w:val="24"/>
                <w:lang w:eastAsia="en-MY"/>
              </w:rPr>
            </w:pPr>
          </w:p>
          <w:p w14:paraId="2667428A"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w:t>
            </w:r>
          </w:p>
        </w:tc>
        <w:tc>
          <w:tcPr>
            <w:tcW w:w="6348" w:type="dxa"/>
          </w:tcPr>
          <w:p w14:paraId="62705C48" w14:textId="77777777" w:rsidR="00286C5C" w:rsidRPr="009C6CE5" w:rsidRDefault="00286C5C" w:rsidP="009C6CE5">
            <w:pPr>
              <w:spacing w:after="0" w:line="360" w:lineRule="auto"/>
              <w:rPr>
                <w:rFonts w:eastAsia="Arial"/>
                <w:sz w:val="24"/>
                <w:szCs w:val="24"/>
                <w:lang w:eastAsia="en-MY"/>
              </w:rPr>
            </w:pPr>
          </w:p>
          <w:p w14:paraId="0B91202F"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 xml:space="preserve">HANNAH BINTI IRWAN </w:t>
            </w:r>
          </w:p>
        </w:tc>
      </w:tr>
      <w:tr w:rsidR="00286C5C" w:rsidRPr="009C6CE5" w14:paraId="33B4B348" w14:textId="77777777" w:rsidTr="0024757F">
        <w:trPr>
          <w:trHeight w:val="1155"/>
        </w:trPr>
        <w:tc>
          <w:tcPr>
            <w:tcW w:w="1701" w:type="dxa"/>
          </w:tcPr>
          <w:p w14:paraId="7933B778" w14:textId="77777777" w:rsidR="00286C5C" w:rsidRPr="009C6CE5" w:rsidRDefault="00286C5C" w:rsidP="009C6CE5">
            <w:pPr>
              <w:spacing w:after="0" w:line="360" w:lineRule="auto"/>
              <w:rPr>
                <w:rFonts w:eastAsia="Arial"/>
                <w:sz w:val="24"/>
                <w:szCs w:val="24"/>
                <w:lang w:eastAsia="en-MY"/>
              </w:rPr>
            </w:pPr>
          </w:p>
          <w:p w14:paraId="50126F61"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Student ID</w:t>
            </w:r>
          </w:p>
          <w:p w14:paraId="6E47AE95" w14:textId="77777777" w:rsidR="00286C5C" w:rsidRPr="009C6CE5" w:rsidRDefault="00286C5C" w:rsidP="009C6CE5">
            <w:pPr>
              <w:spacing w:after="0" w:line="360" w:lineRule="auto"/>
              <w:rPr>
                <w:rFonts w:eastAsia="Arial"/>
                <w:sz w:val="24"/>
                <w:szCs w:val="24"/>
                <w:lang w:eastAsia="en-MY"/>
              </w:rPr>
            </w:pPr>
          </w:p>
        </w:tc>
        <w:tc>
          <w:tcPr>
            <w:tcW w:w="996" w:type="dxa"/>
          </w:tcPr>
          <w:p w14:paraId="4F017BDF" w14:textId="77777777" w:rsidR="00286C5C" w:rsidRPr="009C6CE5" w:rsidRDefault="00286C5C" w:rsidP="009C6CE5">
            <w:pPr>
              <w:spacing w:after="0" w:line="360" w:lineRule="auto"/>
              <w:rPr>
                <w:rFonts w:eastAsia="Arial"/>
                <w:sz w:val="24"/>
                <w:szCs w:val="24"/>
                <w:lang w:eastAsia="en-MY"/>
              </w:rPr>
            </w:pPr>
          </w:p>
          <w:p w14:paraId="06F9E9AA" w14:textId="77777777"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w:t>
            </w:r>
          </w:p>
        </w:tc>
        <w:tc>
          <w:tcPr>
            <w:tcW w:w="6348" w:type="dxa"/>
          </w:tcPr>
          <w:p w14:paraId="3C85D575" w14:textId="77777777" w:rsidR="00286C5C" w:rsidRPr="009C6CE5" w:rsidRDefault="00286C5C" w:rsidP="009C6CE5">
            <w:pPr>
              <w:spacing w:after="0" w:line="360" w:lineRule="auto"/>
              <w:rPr>
                <w:rFonts w:eastAsia="Arial"/>
                <w:sz w:val="24"/>
                <w:szCs w:val="24"/>
                <w:lang w:eastAsia="en-MY"/>
              </w:rPr>
            </w:pPr>
          </w:p>
          <w:p w14:paraId="755AB3E8" w14:textId="44E9FFC9" w:rsidR="00286C5C" w:rsidRPr="009C6CE5" w:rsidRDefault="00286C5C" w:rsidP="009C6CE5">
            <w:pPr>
              <w:spacing w:after="0" w:line="360" w:lineRule="auto"/>
              <w:rPr>
                <w:rFonts w:eastAsia="Arial"/>
                <w:sz w:val="24"/>
                <w:szCs w:val="24"/>
                <w:lang w:eastAsia="en-MY"/>
              </w:rPr>
            </w:pPr>
            <w:r w:rsidRPr="009C6CE5">
              <w:rPr>
                <w:rFonts w:eastAsia="Arial"/>
                <w:sz w:val="24"/>
                <w:szCs w:val="24"/>
                <w:lang w:eastAsia="en-MY"/>
              </w:rPr>
              <w:t>2</w:t>
            </w:r>
            <w:r w:rsidRPr="009C6CE5">
              <w:rPr>
                <w:rFonts w:eastAsia="Arial"/>
                <w:sz w:val="24"/>
                <w:szCs w:val="24"/>
                <w:lang w:eastAsia="en-MY"/>
              </w:rPr>
              <w:t>227193</w:t>
            </w:r>
          </w:p>
        </w:tc>
      </w:tr>
    </w:tbl>
    <w:p w14:paraId="364EAF7E" w14:textId="77777777" w:rsidR="00286C5C" w:rsidRPr="009C6CE5" w:rsidRDefault="00286C5C" w:rsidP="009C6CE5">
      <w:pPr>
        <w:spacing w:line="360" w:lineRule="auto"/>
        <w:jc w:val="both"/>
        <w:rPr>
          <w:rFonts w:ascii="Times New Roman" w:hAnsi="Times New Roman" w:cs="Times New Roman"/>
          <w:b/>
          <w:bCs/>
          <w:sz w:val="24"/>
          <w:szCs w:val="24"/>
          <w:u w:val="single"/>
        </w:rPr>
      </w:pPr>
    </w:p>
    <w:p w14:paraId="47C8F491"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5BC52672"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5CEA0588"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5BB82345" w14:textId="77777777"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7800CB9C" w14:textId="78FC764F" w:rsidR="00286C5C" w:rsidRPr="009C6CE5" w:rsidRDefault="00286C5C" w:rsidP="009C6CE5">
      <w:pPr>
        <w:tabs>
          <w:tab w:val="left" w:pos="4536"/>
        </w:tabs>
        <w:spacing w:line="360" w:lineRule="auto"/>
        <w:jc w:val="both"/>
        <w:rPr>
          <w:rFonts w:ascii="Times New Roman" w:hAnsi="Times New Roman" w:cs="Times New Roman"/>
          <w:b/>
          <w:bCs/>
          <w:sz w:val="24"/>
          <w:szCs w:val="24"/>
          <w:u w:val="single"/>
        </w:rPr>
      </w:pPr>
    </w:p>
    <w:p w14:paraId="0853BE7F" w14:textId="0FBFC31D" w:rsidR="009C6CE5" w:rsidRPr="009C6CE5" w:rsidRDefault="009C6CE5" w:rsidP="009C6CE5">
      <w:pPr>
        <w:tabs>
          <w:tab w:val="left" w:pos="4536"/>
        </w:tabs>
        <w:spacing w:line="360" w:lineRule="auto"/>
        <w:jc w:val="both"/>
        <w:rPr>
          <w:rFonts w:ascii="Times New Roman" w:hAnsi="Times New Roman" w:cs="Times New Roman"/>
          <w:b/>
          <w:bCs/>
          <w:sz w:val="24"/>
          <w:szCs w:val="24"/>
          <w:u w:val="single"/>
        </w:rPr>
      </w:pPr>
    </w:p>
    <w:p w14:paraId="4AACF31F" w14:textId="77777777" w:rsidR="009C6CE5" w:rsidRPr="009C6CE5" w:rsidRDefault="009C6CE5" w:rsidP="009C6CE5">
      <w:pPr>
        <w:tabs>
          <w:tab w:val="left" w:pos="4536"/>
        </w:tabs>
        <w:spacing w:line="360" w:lineRule="auto"/>
        <w:jc w:val="both"/>
        <w:rPr>
          <w:rFonts w:ascii="Times New Roman" w:hAnsi="Times New Roman" w:cs="Times New Roman"/>
          <w:b/>
          <w:bCs/>
          <w:sz w:val="24"/>
          <w:szCs w:val="24"/>
          <w:u w:val="single"/>
        </w:rPr>
      </w:pPr>
    </w:p>
    <w:p w14:paraId="5EB1617C" w14:textId="0E25077E" w:rsidR="0020499C" w:rsidRPr="009C6CE5" w:rsidRDefault="009D2AD0" w:rsidP="009C6CE5">
      <w:pPr>
        <w:tabs>
          <w:tab w:val="left" w:pos="4536"/>
        </w:tabs>
        <w:spacing w:line="360" w:lineRule="auto"/>
        <w:jc w:val="both"/>
        <w:rPr>
          <w:rFonts w:ascii="Times New Roman" w:hAnsi="Times New Roman" w:cs="Times New Roman"/>
          <w:b/>
          <w:bCs/>
          <w:sz w:val="24"/>
          <w:szCs w:val="24"/>
          <w:u w:val="single"/>
        </w:rPr>
      </w:pPr>
      <w:r w:rsidRPr="009C6CE5">
        <w:rPr>
          <w:rFonts w:ascii="Times New Roman" w:hAnsi="Times New Roman" w:cs="Times New Roman"/>
          <w:sz w:val="24"/>
          <w:szCs w:val="24"/>
        </w:rPr>
        <w:lastRenderedPageBreak/>
        <w:t xml:space="preserve">          </w:t>
      </w:r>
      <w:r w:rsidR="0020499C" w:rsidRPr="009C6CE5">
        <w:rPr>
          <w:rFonts w:ascii="Times New Roman" w:hAnsi="Times New Roman" w:cs="Times New Roman"/>
          <w:color w:val="000000"/>
          <w:sz w:val="24"/>
          <w:szCs w:val="24"/>
          <w14:ligatures w14:val="none"/>
        </w:rPr>
        <w:t xml:space="preserve">Social and domestic agreements and commercial agreements are the different types of agreements that fall under the common understanding of the aim to establish legal relations. Each composition has an associated presumption that can be refuted by contradictory evidence. Although, the term "presumption" is not being used in this specific case in its technical evidential sense because a rational individual would have anticipated that this agreement would have legal repercussions. The case of </w:t>
      </w:r>
      <w:proofErr w:type="gramStart"/>
      <w:r w:rsidR="0020499C" w:rsidRPr="009C6CE5">
        <w:rPr>
          <w:rFonts w:ascii="Times New Roman" w:hAnsi="Times New Roman" w:cs="Times New Roman"/>
          <w:color w:val="000000"/>
          <w:sz w:val="24"/>
          <w:szCs w:val="24"/>
          <w14:ligatures w14:val="none"/>
        </w:rPr>
        <w:t>Blue</w:t>
      </w:r>
      <w:proofErr w:type="gramEnd"/>
      <w:r w:rsidR="0020499C" w:rsidRPr="009C6CE5">
        <w:rPr>
          <w:rFonts w:ascii="Times New Roman" w:hAnsi="Times New Roman" w:cs="Times New Roman"/>
          <w:color w:val="000000"/>
          <w:sz w:val="24"/>
          <w:szCs w:val="24"/>
          <w14:ligatures w14:val="none"/>
        </w:rPr>
        <w:t xml:space="preserve"> v. Ashley [2017] raised the issue of the desire to establish legal relations. </w:t>
      </w:r>
      <w:r w:rsidR="006E31D0" w:rsidRPr="009C6CE5">
        <w:rPr>
          <w:rFonts w:ascii="Times New Roman" w:hAnsi="Times New Roman" w:cs="Times New Roman"/>
          <w:color w:val="000000"/>
          <w:sz w:val="24"/>
          <w:szCs w:val="24"/>
          <w14:ligatures w14:val="none"/>
        </w:rPr>
        <w:t>According to Mr. Blue, Mr. Ashley verbally promised to provide him £15 million if the share price reached the critical £8 mark.</w:t>
      </w:r>
      <w:r w:rsidR="006E31D0" w:rsidRPr="009C6CE5">
        <w:rPr>
          <w:rFonts w:ascii="Times New Roman" w:hAnsi="Times New Roman" w:cs="Times New Roman"/>
          <w:color w:val="000000"/>
          <w:sz w:val="24"/>
          <w:szCs w:val="24"/>
          <w14:ligatures w14:val="none"/>
        </w:rPr>
        <w:t xml:space="preserve"> </w:t>
      </w:r>
      <w:r w:rsidR="0020499C" w:rsidRPr="009C6CE5">
        <w:rPr>
          <w:rFonts w:ascii="Times New Roman" w:hAnsi="Times New Roman" w:cs="Times New Roman"/>
          <w:color w:val="000000"/>
          <w:sz w:val="24"/>
          <w:szCs w:val="24"/>
          <w14:ligatures w14:val="none"/>
        </w:rPr>
        <w:t>The share price did in fact rise to this point. The pay-out was subsequently demanded by Mr. Blue from Mr. Ashley, who was said to be a party to a legally binding contract, according to Mr. Blue. In the High Court, Mr. Justice Leggatt rejected Mr. Blue's lawsuit, stating that a night of drinking in a bar was an odd setting for conducting formal contract discussions.</w:t>
      </w:r>
    </w:p>
    <w:p w14:paraId="55F5B0D5" w14:textId="125A5474" w:rsidR="0020499C" w:rsidRPr="0020499C" w:rsidRDefault="0020499C"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6E31D0" w:rsidRPr="009C6CE5">
        <w:rPr>
          <w:rFonts w:ascii="Times New Roman" w:eastAsia="Times New Roman" w:hAnsi="Times New Roman" w:cs="Times New Roman"/>
          <w:color w:val="000000"/>
          <w:kern w:val="0"/>
          <w:sz w:val="24"/>
          <w:szCs w:val="24"/>
          <w:lang w:eastAsia="en-MY"/>
          <w14:ligatures w14:val="none"/>
        </w:rPr>
        <w:t>The law relating to the intent to make legal ties in the case of non-commercial agreements is complex due to the difficulty in distinguishing between social and domestic arrangements and the desire to be able to enforce some agreements even if they have a social or domestic nature</w:t>
      </w:r>
      <w:r w:rsidR="00015CC4" w:rsidRPr="009C6CE5">
        <w:rPr>
          <w:rFonts w:ascii="Times New Roman" w:eastAsia="Times New Roman" w:hAnsi="Times New Roman" w:cs="Times New Roman"/>
          <w:color w:val="000000"/>
          <w:kern w:val="0"/>
          <w:sz w:val="24"/>
          <w:szCs w:val="24"/>
          <w:lang w:eastAsia="en-MY"/>
          <w14:ligatures w14:val="none"/>
        </w:rPr>
        <w:t xml:space="preserve"> (</w:t>
      </w:r>
      <w:r w:rsidR="00015CC4" w:rsidRPr="009156B5">
        <w:rPr>
          <w:rFonts w:ascii="Times New Roman" w:eastAsia="Times New Roman" w:hAnsi="Times New Roman" w:cs="Times New Roman"/>
          <w:color w:val="000000"/>
          <w:kern w:val="0"/>
          <w:sz w:val="24"/>
          <w:szCs w:val="24"/>
          <w:lang w:eastAsia="en-MY"/>
          <w14:ligatures w14:val="none"/>
        </w:rPr>
        <w:t>Saintier</w:t>
      </w:r>
      <w:r w:rsidR="00015CC4" w:rsidRPr="009C6CE5">
        <w:rPr>
          <w:rFonts w:ascii="Times New Roman" w:eastAsia="Times New Roman" w:hAnsi="Times New Roman" w:cs="Times New Roman"/>
          <w:color w:val="000000"/>
          <w:kern w:val="0"/>
          <w:sz w:val="24"/>
          <w:szCs w:val="24"/>
          <w:lang w:eastAsia="en-MY"/>
          <w14:ligatures w14:val="none"/>
        </w:rPr>
        <w:t>, 2021)</w:t>
      </w:r>
      <w:r w:rsidR="006E31D0" w:rsidRPr="009C6CE5">
        <w:rPr>
          <w:rFonts w:ascii="Times New Roman" w:eastAsia="Times New Roman" w:hAnsi="Times New Roman" w:cs="Times New Roman"/>
          <w:color w:val="000000"/>
          <w:kern w:val="0"/>
          <w:sz w:val="24"/>
          <w:szCs w:val="24"/>
          <w:lang w:eastAsia="en-MY"/>
          <w14:ligatures w14:val="none"/>
        </w:rPr>
        <w:t>.</w:t>
      </w:r>
      <w:r w:rsidR="006E31D0" w:rsidRPr="009C6CE5">
        <w:rPr>
          <w:rFonts w:ascii="Times New Roman" w:eastAsia="Times New Roman" w:hAnsi="Times New Roman" w:cs="Times New Roman"/>
          <w:color w:val="000000"/>
          <w:kern w:val="0"/>
          <w:sz w:val="24"/>
          <w:szCs w:val="24"/>
          <w:lang w:eastAsia="en-MY"/>
          <w14:ligatures w14:val="none"/>
        </w:rPr>
        <w:t xml:space="preserve"> </w:t>
      </w:r>
      <w:r w:rsidR="006E31D0" w:rsidRPr="009C6CE5">
        <w:rPr>
          <w:rFonts w:ascii="Times New Roman" w:eastAsia="Times New Roman" w:hAnsi="Times New Roman" w:cs="Times New Roman"/>
          <w:color w:val="000000"/>
          <w:kern w:val="0"/>
          <w:sz w:val="24"/>
          <w:szCs w:val="24"/>
          <w:lang w:eastAsia="en-MY"/>
          <w14:ligatures w14:val="none"/>
        </w:rPr>
        <w:t>A husband and wife agreed to go to another country and split the cost of their individual monthly living expenses by £30 in the case of Balfour v. Balfour [1919].</w:t>
      </w:r>
      <w:r w:rsidR="006E31D0" w:rsidRPr="009C6CE5">
        <w:rPr>
          <w:rFonts w:ascii="Times New Roman" w:eastAsia="Times New Roman" w:hAnsi="Times New Roman" w:cs="Times New Roman"/>
          <w:color w:val="000000"/>
          <w:kern w:val="0"/>
          <w:sz w:val="24"/>
          <w:szCs w:val="24"/>
          <w:lang w:eastAsia="en-MY"/>
          <w14:ligatures w14:val="none"/>
        </w:rPr>
        <w:t xml:space="preserve"> </w:t>
      </w:r>
      <w:r w:rsidRPr="0020499C">
        <w:rPr>
          <w:rFonts w:ascii="Times New Roman" w:eastAsia="Times New Roman" w:hAnsi="Times New Roman" w:cs="Times New Roman"/>
          <w:color w:val="000000"/>
          <w:kern w:val="0"/>
          <w:sz w:val="24"/>
          <w:szCs w:val="24"/>
          <w:lang w:eastAsia="en-MY"/>
          <w14:ligatures w14:val="none"/>
        </w:rPr>
        <w:t xml:space="preserve">The promise was not, according to the Court of Appeal, legally binding because there had been no purpose to establishing a formal relationship. </w:t>
      </w:r>
      <w:r w:rsidR="006E31D0" w:rsidRPr="009C6CE5">
        <w:rPr>
          <w:rFonts w:ascii="Times New Roman" w:eastAsia="Times New Roman" w:hAnsi="Times New Roman" w:cs="Times New Roman"/>
          <w:color w:val="000000"/>
          <w:kern w:val="0"/>
          <w:sz w:val="24"/>
          <w:szCs w:val="24"/>
          <w:lang w:eastAsia="en-MY"/>
          <w14:ligatures w14:val="none"/>
        </w:rPr>
        <w:t>Thus,</w:t>
      </w:r>
      <w:r w:rsidR="006E31D0" w:rsidRPr="009C6CE5">
        <w:rPr>
          <w:rFonts w:ascii="Times New Roman" w:eastAsia="Times New Roman" w:hAnsi="Times New Roman" w:cs="Times New Roman"/>
          <w:color w:val="000000"/>
          <w:kern w:val="0"/>
          <w:sz w:val="24"/>
          <w:szCs w:val="24"/>
          <w:lang w:eastAsia="en-MY"/>
          <w14:ligatures w14:val="none"/>
        </w:rPr>
        <w:t xml:space="preserve"> according</w:t>
      </w:r>
      <w:r w:rsidR="006E31D0" w:rsidRPr="009C6CE5">
        <w:rPr>
          <w:rFonts w:ascii="Times New Roman" w:eastAsia="Times New Roman" w:hAnsi="Times New Roman" w:cs="Times New Roman"/>
          <w:color w:val="000000"/>
          <w:kern w:val="0"/>
          <w:sz w:val="24"/>
          <w:szCs w:val="24"/>
          <w:lang w:eastAsia="en-MY"/>
          <w14:ligatures w14:val="none"/>
        </w:rPr>
        <w:t xml:space="preserve"> to</w:t>
      </w:r>
      <w:r w:rsidR="006E31D0" w:rsidRPr="009C6CE5">
        <w:rPr>
          <w:rFonts w:ascii="Times New Roman" w:eastAsia="Times New Roman" w:hAnsi="Times New Roman" w:cs="Times New Roman"/>
          <w:color w:val="000000"/>
          <w:kern w:val="0"/>
          <w:sz w:val="24"/>
          <w:szCs w:val="24"/>
          <w:lang w:eastAsia="en-MY"/>
          <w14:ligatures w14:val="none"/>
        </w:rPr>
        <w:t xml:space="preserve"> Merritt v. Merritt (1970), if the maintenance agreement had been made after the marriage had ended rather than before when the relationship between the parties was amicable, it would have been enforceable even if it had been engaged between husband and wife.</w:t>
      </w:r>
      <w:r w:rsidR="006E31D0" w:rsidRPr="009C6CE5">
        <w:rPr>
          <w:rFonts w:ascii="Times New Roman" w:eastAsia="Times New Roman" w:hAnsi="Times New Roman" w:cs="Times New Roman"/>
          <w:color w:val="000000"/>
          <w:kern w:val="0"/>
          <w:sz w:val="24"/>
          <w:szCs w:val="24"/>
          <w:lang w:eastAsia="en-MY"/>
          <w14:ligatures w14:val="none"/>
        </w:rPr>
        <w:t xml:space="preserve"> </w:t>
      </w:r>
      <w:r w:rsidRPr="0020499C">
        <w:rPr>
          <w:rFonts w:ascii="Times New Roman" w:eastAsia="Times New Roman" w:hAnsi="Times New Roman" w:cs="Times New Roman"/>
          <w:color w:val="000000"/>
          <w:kern w:val="0"/>
          <w:sz w:val="24"/>
          <w:szCs w:val="24"/>
          <w:lang w:eastAsia="en-MY"/>
          <w14:ligatures w14:val="none"/>
        </w:rPr>
        <w:t>According to Lord Denning MR, when parties are not getting along but are instead split or about to separate, they are keen negotiators and want everything to be clear-cut</w:t>
      </w:r>
      <w:r w:rsidR="00D33928" w:rsidRPr="009C6CE5">
        <w:rPr>
          <w:rFonts w:ascii="Times New Roman" w:eastAsia="Times New Roman" w:hAnsi="Times New Roman" w:cs="Times New Roman"/>
          <w:color w:val="000000"/>
          <w:kern w:val="0"/>
          <w:sz w:val="24"/>
          <w:szCs w:val="24"/>
          <w:lang w:eastAsia="en-MY"/>
          <w14:ligatures w14:val="none"/>
        </w:rPr>
        <w:t xml:space="preserve"> (</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lang w:eastAsia="en-MY"/>
          <w14:ligatures w14:val="none"/>
        </w:rPr>
        <w:t>.</w:t>
      </w:r>
    </w:p>
    <w:p w14:paraId="4D8DAC9A" w14:textId="040F9704" w:rsidR="0020499C" w:rsidRPr="0020499C" w:rsidRDefault="0020499C"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t xml:space="preserve">Social and domestic agreements carry the biggest presumption against the purpose to establish legal ties, but courts have occasionally been ready to uphold them based on elements including the terms' clarity, seriousness, and reliance. In Jones v. </w:t>
      </w:r>
      <w:proofErr w:type="spellStart"/>
      <w:r w:rsidRPr="0020499C">
        <w:rPr>
          <w:rFonts w:ascii="Times New Roman" w:eastAsia="Times New Roman" w:hAnsi="Times New Roman" w:cs="Times New Roman"/>
          <w:color w:val="000000"/>
          <w:kern w:val="0"/>
          <w:sz w:val="24"/>
          <w:szCs w:val="24"/>
          <w:lang w:eastAsia="en-MY"/>
          <w14:ligatures w14:val="none"/>
        </w:rPr>
        <w:t>Padavatton</w:t>
      </w:r>
      <w:proofErr w:type="spellEnd"/>
      <w:r w:rsidRPr="0020499C">
        <w:rPr>
          <w:rFonts w:ascii="Times New Roman" w:eastAsia="Times New Roman" w:hAnsi="Times New Roman" w:cs="Times New Roman"/>
          <w:color w:val="000000"/>
          <w:kern w:val="0"/>
          <w:sz w:val="24"/>
          <w:szCs w:val="24"/>
          <w:lang w:eastAsia="en-MY"/>
          <w14:ligatures w14:val="none"/>
        </w:rPr>
        <w:t xml:space="preserve"> [1969], the plaintiff attempted to sway her daughter to pursue a different line of work by offering to cover her daughter's tuition and give her a living allowance while she pursued studies to become a lawyer. The mother and daughter eventually left after numerous failed examination efforts, and the mother then attempted to evict the daughter from the home. Due to the lack of an enforceable contract between the daughter and her mother, the Court of </w:t>
      </w:r>
      <w:proofErr w:type="spellStart"/>
      <w:r w:rsidRPr="0020499C">
        <w:rPr>
          <w:rFonts w:ascii="Times New Roman" w:eastAsia="Times New Roman" w:hAnsi="Times New Roman" w:cs="Times New Roman"/>
          <w:color w:val="000000"/>
          <w:kern w:val="0"/>
          <w:sz w:val="24"/>
          <w:szCs w:val="24"/>
          <w:lang w:eastAsia="en-MY"/>
          <w14:ligatures w14:val="none"/>
        </w:rPr>
        <w:t>Apres</w:t>
      </w:r>
      <w:proofErr w:type="spellEnd"/>
      <w:r w:rsidRPr="0020499C">
        <w:rPr>
          <w:rFonts w:ascii="Times New Roman" w:eastAsia="Times New Roman" w:hAnsi="Times New Roman" w:cs="Times New Roman"/>
          <w:color w:val="000000"/>
          <w:kern w:val="0"/>
          <w:sz w:val="24"/>
          <w:szCs w:val="24"/>
          <w:lang w:eastAsia="en-MY"/>
          <w14:ligatures w14:val="none"/>
        </w:rPr>
        <w:t xml:space="preserve"> </w:t>
      </w:r>
      <w:proofErr w:type="spellStart"/>
      <w:r w:rsidRPr="0020499C">
        <w:rPr>
          <w:rFonts w:ascii="Times New Roman" w:eastAsia="Times New Roman" w:hAnsi="Times New Roman" w:cs="Times New Roman"/>
          <w:color w:val="000000"/>
          <w:kern w:val="0"/>
          <w:sz w:val="24"/>
          <w:szCs w:val="24"/>
          <w:lang w:eastAsia="en-MY"/>
          <w14:ligatures w14:val="none"/>
        </w:rPr>
        <w:t>Danckwerts</w:t>
      </w:r>
      <w:proofErr w:type="spellEnd"/>
      <w:r w:rsidRPr="0020499C">
        <w:rPr>
          <w:rFonts w:ascii="Times New Roman" w:eastAsia="Times New Roman" w:hAnsi="Times New Roman" w:cs="Times New Roman"/>
          <w:color w:val="000000"/>
          <w:kern w:val="0"/>
          <w:sz w:val="24"/>
          <w:szCs w:val="24"/>
          <w:lang w:eastAsia="en-MY"/>
          <w14:ligatures w14:val="none"/>
        </w:rPr>
        <w:t xml:space="preserve"> </w:t>
      </w:r>
      <w:r w:rsidRPr="0020499C">
        <w:rPr>
          <w:rFonts w:ascii="Times New Roman" w:eastAsia="Times New Roman" w:hAnsi="Times New Roman" w:cs="Times New Roman"/>
          <w:color w:val="000000"/>
          <w:kern w:val="0"/>
          <w:sz w:val="24"/>
          <w:szCs w:val="24"/>
          <w:lang w:eastAsia="en-MY"/>
          <w14:ligatures w14:val="none"/>
        </w:rPr>
        <w:lastRenderedPageBreak/>
        <w:t>majority and Fenton Atkinson LJ concluded that the daughter had no right to remain in the home. Salmon L concurred with the overall judgment, although for various reasons. He stressed the daughter's dependence on the promise by giving up her stable and profitable employment in support of his claim that the arrangement was intended to have legal force and that this time period had passed in order to ensure the mother was entitled to possession of the home</w:t>
      </w:r>
      <w:r w:rsidR="00D33928" w:rsidRPr="009C6CE5">
        <w:rPr>
          <w:rFonts w:ascii="Times New Roman" w:eastAsia="Times New Roman" w:hAnsi="Times New Roman" w:cs="Times New Roman"/>
          <w:color w:val="000000"/>
          <w:kern w:val="0"/>
          <w:sz w:val="24"/>
          <w:szCs w:val="24"/>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lang w:eastAsia="en-MY"/>
          <w14:ligatures w14:val="none"/>
        </w:rPr>
        <w:t>.</w:t>
      </w:r>
    </w:p>
    <w:p w14:paraId="4F2365E3" w14:textId="356D4A8C" w:rsidR="0020499C" w:rsidRPr="0020499C" w:rsidRDefault="0020499C"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t>Similar issues may arise in agreements other than those between parents and children and husbands and wives, in regular social arrangements. Similar to the last example, the presumption is against a finding of an intention to establish a legal relationship, albeit this can also be refuted by opposite evidence</w:t>
      </w:r>
      <w:r w:rsidR="00D33928" w:rsidRPr="009C6CE5">
        <w:rPr>
          <w:rFonts w:ascii="Times New Roman" w:eastAsia="Times New Roman" w:hAnsi="Times New Roman" w:cs="Times New Roman"/>
          <w:color w:val="000000"/>
          <w:kern w:val="0"/>
          <w:sz w:val="24"/>
          <w:szCs w:val="24"/>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(Richards, 2009)</w:t>
      </w:r>
      <w:r w:rsidRPr="0020499C">
        <w:rPr>
          <w:rFonts w:ascii="Times New Roman" w:eastAsia="Times New Roman" w:hAnsi="Times New Roman" w:cs="Times New Roman"/>
          <w:color w:val="000000"/>
          <w:kern w:val="0"/>
          <w:sz w:val="24"/>
          <w:szCs w:val="24"/>
          <w:lang w:eastAsia="en-MY"/>
          <w14:ligatures w14:val="none"/>
        </w:rPr>
        <w:t>. The idea of mutuality, as in Simpkins v. Pays [1955], is a significant factor that may play a significant role in this situation. The claimant, a paying lodger, resided with the defendant and her granddaughter in the defendant's home, which she owned</w:t>
      </w:r>
      <w:r w:rsidR="00D33928" w:rsidRPr="009C6CE5">
        <w:rPr>
          <w:rFonts w:ascii="Times New Roman" w:eastAsia="Times New Roman" w:hAnsi="Times New Roman" w:cs="Times New Roman"/>
          <w:color w:val="000000"/>
          <w:kern w:val="0"/>
          <w:sz w:val="24"/>
          <w:szCs w:val="24"/>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(Richards, 2009)</w:t>
      </w:r>
      <w:r w:rsidRPr="0020499C">
        <w:rPr>
          <w:rFonts w:ascii="Times New Roman" w:eastAsia="Times New Roman" w:hAnsi="Times New Roman" w:cs="Times New Roman"/>
          <w:color w:val="000000"/>
          <w:kern w:val="0"/>
          <w:sz w:val="24"/>
          <w:szCs w:val="24"/>
          <w:lang w:eastAsia="en-MY"/>
          <w14:ligatures w14:val="none"/>
        </w:rPr>
        <w:t>. The three routinely participated in and contributed to a competition in a Sunday newspaper. The entry was chosen after a week, but the defendant refused to provide the winner with his portion of the reward. Seller J ruled that the claimant was entitled to his share, asserting that there was sufficient mutual consent to create a legally enforceable agreement to split any prize that could be won. Seller J decided that the claimant was entitled to his portion. An agreement to split awards or competition winnings among family members, acquaintances, or co-workers would not be sufficient to disprove the inference that there was no intent to be legally bound</w:t>
      </w:r>
      <w:r w:rsidR="00D33928" w:rsidRPr="009C6CE5">
        <w:rPr>
          <w:rFonts w:ascii="Times New Roman" w:eastAsia="Times New Roman" w:hAnsi="Times New Roman" w:cs="Times New Roman"/>
          <w:color w:val="000000"/>
          <w:kern w:val="0"/>
          <w:sz w:val="24"/>
          <w:szCs w:val="24"/>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(Richards, 2009)</w:t>
      </w:r>
      <w:r w:rsidRPr="0020499C">
        <w:rPr>
          <w:rFonts w:ascii="Times New Roman" w:eastAsia="Times New Roman" w:hAnsi="Times New Roman" w:cs="Times New Roman"/>
          <w:color w:val="000000"/>
          <w:kern w:val="0"/>
          <w:sz w:val="24"/>
          <w:szCs w:val="24"/>
          <w:lang w:eastAsia="en-MY"/>
          <w14:ligatures w14:val="none"/>
        </w:rPr>
        <w:t>.</w:t>
      </w:r>
    </w:p>
    <w:p w14:paraId="1C089C6B" w14:textId="22708E86" w:rsidR="0020499C" w:rsidRPr="0020499C" w:rsidRDefault="0020499C"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r w:rsidRPr="0020499C">
        <w:rPr>
          <w:rFonts w:ascii="Times New Roman" w:eastAsia="Times New Roman" w:hAnsi="Times New Roman" w:cs="Times New Roman"/>
          <w:color w:val="000000"/>
          <w:kern w:val="0"/>
          <w:sz w:val="24"/>
          <w:szCs w:val="24"/>
          <w:shd w:val="clear" w:color="auto" w:fill="FFFFFF"/>
          <w:lang w:eastAsia="en-MY"/>
          <w14:ligatures w14:val="none"/>
        </w:rPr>
        <w:tab/>
        <w:t>In conclusion, although there is a strong policy against courts interfering in social and personal matters, and it is improbable that even an express statement to the contrary would be conclusive of an intention to create a legal partnership, the courts still occasionally override the assumption</w:t>
      </w:r>
      <w:r w:rsidR="00D33928"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 Although the conditions can be a little elusive, factors like harmful dependency, certainty, and the gravity of the agreement and its terms can offer some insight</w:t>
      </w:r>
      <w:r w:rsidR="00D33928"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D33928" w:rsidRPr="009C6CE5">
        <w:rPr>
          <w:rFonts w:ascii="Times New Roman" w:eastAsia="Times New Roman" w:hAnsi="Times New Roman" w:cs="Times New Roman"/>
          <w:color w:val="000000"/>
          <w:kern w:val="0"/>
          <w:sz w:val="24"/>
          <w:szCs w:val="24"/>
          <w:lang w:eastAsia="en-MY"/>
          <w14:ligatures w14:val="none"/>
        </w:rPr>
        <w:t>(</w:t>
      </w:r>
      <w:r w:rsidR="00D33928" w:rsidRPr="009156B5">
        <w:rPr>
          <w:rFonts w:ascii="Times New Roman" w:eastAsia="Times New Roman" w:hAnsi="Times New Roman" w:cs="Times New Roman"/>
          <w:color w:val="000000"/>
          <w:kern w:val="0"/>
          <w:sz w:val="24"/>
          <w:szCs w:val="24"/>
          <w:lang w:eastAsia="en-MY"/>
          <w14:ligatures w14:val="none"/>
        </w:rPr>
        <w:t>Saintier</w:t>
      </w:r>
      <w:r w:rsidR="00D33928"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w:t>
      </w:r>
    </w:p>
    <w:p w14:paraId="11657E61" w14:textId="77777777" w:rsidR="0020499C" w:rsidRPr="0020499C" w:rsidRDefault="0020499C"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18C1CB9C" w14:textId="2E801B71" w:rsidR="0020499C" w:rsidRPr="0020499C" w:rsidRDefault="0020499C" w:rsidP="009C6CE5">
      <w:pPr>
        <w:tabs>
          <w:tab w:val="left" w:pos="4536"/>
        </w:tabs>
        <w:spacing w:line="360" w:lineRule="auto"/>
        <w:jc w:val="both"/>
        <w:rPr>
          <w:rFonts w:ascii="Times New Roman" w:hAnsi="Times New Roman" w:cs="Times New Roman"/>
          <w:sz w:val="24"/>
          <w:szCs w:val="24"/>
        </w:rPr>
      </w:pPr>
      <w:r w:rsidRPr="0020499C">
        <w:rPr>
          <w:rFonts w:ascii="Times New Roman" w:eastAsia="Times New Roman" w:hAnsi="Times New Roman" w:cs="Times New Roman"/>
          <w:color w:val="000000"/>
          <w:kern w:val="0"/>
          <w:sz w:val="24"/>
          <w:szCs w:val="24"/>
          <w:lang w:eastAsia="en-MY"/>
          <w14:ligatures w14:val="none"/>
        </w:rPr>
        <w:t xml:space="preserve">         Moving on to the next context, the agreements are made within a commercial or business context. Contracts' primary economic function is to promote exchange, and it is daunting to challenge the assumption that such contracts contain intentionality. Advertising can be viewed as a sales gimmick or a promissory statement, yet if there is proof of a desire </w:t>
      </w:r>
      <w:r w:rsidRPr="0020499C">
        <w:rPr>
          <w:rFonts w:ascii="Times New Roman" w:eastAsia="Times New Roman" w:hAnsi="Times New Roman" w:cs="Times New Roman"/>
          <w:color w:val="000000"/>
          <w:kern w:val="0"/>
          <w:sz w:val="24"/>
          <w:szCs w:val="24"/>
          <w:lang w:eastAsia="en-MY"/>
          <w14:ligatures w14:val="none"/>
        </w:rPr>
        <w:lastRenderedPageBreak/>
        <w:t xml:space="preserve">to be legally bound, it may be possible to prove that an advertisement constitutes a promise. </w:t>
      </w:r>
      <w:r w:rsidR="006E31D0" w:rsidRPr="009C6CE5">
        <w:rPr>
          <w:rFonts w:ascii="Times New Roman" w:eastAsia="Times New Roman" w:hAnsi="Times New Roman" w:cs="Times New Roman"/>
          <w:color w:val="000000"/>
          <w:kern w:val="0"/>
          <w:sz w:val="24"/>
          <w:szCs w:val="24"/>
          <w:lang w:eastAsia="en-MY"/>
          <w14:ligatures w14:val="none"/>
        </w:rPr>
        <w:t xml:space="preserve">When Esso offered complimentary World Cup coins in exchange for four </w:t>
      </w:r>
      <w:proofErr w:type="spellStart"/>
      <w:r w:rsidR="00285325" w:rsidRPr="009C6CE5">
        <w:rPr>
          <w:rFonts w:ascii="Times New Roman" w:eastAsia="Times New Roman" w:hAnsi="Times New Roman" w:cs="Times New Roman"/>
          <w:color w:val="000000"/>
          <w:kern w:val="0"/>
          <w:sz w:val="24"/>
          <w:szCs w:val="24"/>
          <w:lang w:eastAsia="en-MY"/>
          <w14:ligatures w14:val="none"/>
        </w:rPr>
        <w:t>liters</w:t>
      </w:r>
      <w:proofErr w:type="spellEnd"/>
      <w:r w:rsidR="006E31D0" w:rsidRPr="009C6CE5">
        <w:rPr>
          <w:rFonts w:ascii="Times New Roman" w:eastAsia="Times New Roman" w:hAnsi="Times New Roman" w:cs="Times New Roman"/>
          <w:color w:val="000000"/>
          <w:kern w:val="0"/>
          <w:sz w:val="24"/>
          <w:szCs w:val="24"/>
          <w:lang w:eastAsia="en-MY"/>
          <w14:ligatures w14:val="none"/>
        </w:rPr>
        <w:t xml:space="preserve"> of gasoline in the case of Esso v. Commissioners of Customs and Excise (1975), the Commissioners of Customs and Excise asserted that the coins were liable to purchase tax</w:t>
      </w:r>
      <w:r w:rsidR="00F05C6A" w:rsidRPr="009C6CE5">
        <w:rPr>
          <w:rFonts w:ascii="Times New Roman" w:eastAsia="Times New Roman" w:hAnsi="Times New Roman" w:cs="Times New Roman"/>
          <w:color w:val="000000"/>
          <w:kern w:val="0"/>
          <w:sz w:val="24"/>
          <w:szCs w:val="24"/>
          <w:lang w:eastAsia="en-MY"/>
          <w14:ligatures w14:val="none"/>
        </w:rPr>
        <w:t xml:space="preserve"> </w:t>
      </w:r>
      <w:r w:rsidR="00F05C6A" w:rsidRPr="009C6CE5">
        <w:rPr>
          <w:rFonts w:ascii="Times New Roman" w:hAnsi="Times New Roman" w:cs="Times New Roman"/>
          <w:sz w:val="24"/>
          <w:szCs w:val="24"/>
        </w:rPr>
        <w:t>(Elliott and Quinn, 2011)</w:t>
      </w:r>
      <w:r w:rsidR="006E31D0" w:rsidRPr="009C6CE5">
        <w:rPr>
          <w:rFonts w:ascii="Times New Roman" w:eastAsia="Times New Roman" w:hAnsi="Times New Roman" w:cs="Times New Roman"/>
          <w:color w:val="000000"/>
          <w:kern w:val="0"/>
          <w:sz w:val="24"/>
          <w:szCs w:val="24"/>
          <w:lang w:eastAsia="en-MY"/>
          <w14:ligatures w14:val="none"/>
        </w:rPr>
        <w:t xml:space="preserve">. It was questioned whether the distribution of the coins met the legal definition of "goods for general sale" and was therefore offered for sale in accordance with Esso's commitment to </w:t>
      </w:r>
      <w:r w:rsidR="00285325" w:rsidRPr="009C6CE5">
        <w:rPr>
          <w:rFonts w:ascii="Times New Roman" w:eastAsia="Times New Roman" w:hAnsi="Times New Roman" w:cs="Times New Roman"/>
          <w:color w:val="000000"/>
          <w:kern w:val="0"/>
          <w:sz w:val="24"/>
          <w:szCs w:val="24"/>
          <w:lang w:eastAsia="en-MY"/>
          <w14:ligatures w14:val="none"/>
        </w:rPr>
        <w:t>providing</w:t>
      </w:r>
      <w:r w:rsidR="006E31D0" w:rsidRPr="009C6CE5">
        <w:rPr>
          <w:rFonts w:ascii="Times New Roman" w:eastAsia="Times New Roman" w:hAnsi="Times New Roman" w:cs="Times New Roman"/>
          <w:color w:val="000000"/>
          <w:kern w:val="0"/>
          <w:sz w:val="24"/>
          <w:szCs w:val="24"/>
          <w:lang w:eastAsia="en-MY"/>
          <w14:ligatures w14:val="none"/>
        </w:rPr>
        <w:t xml:space="preserve"> the coins to consumers.</w:t>
      </w:r>
      <w:r w:rsidR="006E31D0" w:rsidRPr="009C6CE5">
        <w:rPr>
          <w:rFonts w:ascii="Times New Roman" w:eastAsia="Times New Roman" w:hAnsi="Times New Roman" w:cs="Times New Roman"/>
          <w:color w:val="000000"/>
          <w:kern w:val="0"/>
          <w:sz w:val="24"/>
          <w:szCs w:val="24"/>
          <w:lang w:eastAsia="en-MY"/>
          <w14:ligatures w14:val="none"/>
        </w:rPr>
        <w:t xml:space="preserve">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The judge ruled that Esso sought to establish a legal obligation to provide the coins. Yet, Lord Russell and Viscount </w:t>
      </w:r>
      <w:proofErr w:type="spellStart"/>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Dilhorne</w:t>
      </w:r>
      <w:proofErr w:type="spellEnd"/>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thought the coins were a gift</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2021)</w:t>
      </w:r>
      <w:r w:rsidR="00F05C6A" w:rsidRPr="009C6CE5">
        <w:rPr>
          <w:rFonts w:ascii="Times New Roman" w:eastAsia="Times New Roman" w:hAnsi="Times New Roman" w:cs="Times New Roman"/>
          <w:color w:val="000000"/>
          <w:kern w:val="0"/>
          <w:sz w:val="24"/>
          <w:szCs w:val="24"/>
          <w:lang w:eastAsia="en-MY"/>
          <w14:ligatures w14:val="none"/>
        </w:rPr>
        <w:t xml:space="preserve">.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The goal of such an arrangement was not to establish legal links, and the coins had minimal inherent values. Lords Simon and Wilberforce came to the contrary conclusion since the agreement was established in the context of commercial connections</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2021)</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According to Lord Simon, whether or not the parties actually bring a lawsuit to enforce the agreement cannot be a deciding factor. </w:t>
      </w:r>
      <w:proofErr w:type="spellStart"/>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Atiyah</w:t>
      </w:r>
      <w:proofErr w:type="spellEnd"/>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(1976) made a compelling argument that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a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lack of interest in litigating and the importance of the transaction are not signs of a desire to create legal links</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2021)</w:t>
      </w:r>
      <w:r w:rsidR="00F05C6A" w:rsidRPr="0020499C">
        <w:rPr>
          <w:rFonts w:ascii="Times New Roman" w:eastAsia="Times New Roman" w:hAnsi="Times New Roman" w:cs="Times New Roman"/>
          <w:color w:val="000000"/>
          <w:kern w:val="0"/>
          <w:sz w:val="24"/>
          <w:szCs w:val="24"/>
          <w:shd w:val="clear" w:color="auto" w:fill="FFFFFF"/>
          <w:lang w:eastAsia="en-MY"/>
          <w14:ligatures w14:val="none"/>
        </w:rPr>
        <w:t>.</w:t>
      </w:r>
    </w:p>
    <w:p w14:paraId="6D02AE07" w14:textId="02A115C2" w:rsidR="00285325" w:rsidRPr="009C6CE5" w:rsidRDefault="0020499C" w:rsidP="009C6CE5">
      <w:pPr>
        <w:spacing w:after="0" w:line="360" w:lineRule="auto"/>
        <w:jc w:val="both"/>
        <w:rPr>
          <w:rFonts w:ascii="Times New Roman" w:eastAsia="Times New Roman" w:hAnsi="Times New Roman" w:cs="Times New Roman"/>
          <w:color w:val="000000"/>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285325" w:rsidRPr="009C6CE5">
        <w:rPr>
          <w:rFonts w:ascii="Times New Roman" w:eastAsia="Times New Roman" w:hAnsi="Times New Roman" w:cs="Times New Roman"/>
          <w:color w:val="000000"/>
          <w:kern w:val="0"/>
          <w:sz w:val="24"/>
          <w:szCs w:val="24"/>
          <w:lang w:eastAsia="en-MY"/>
          <w14:ligatures w14:val="none"/>
        </w:rPr>
        <w:t>The case of Edwards v. Skyways [1969] is comparable to the ones above. The airline business and the British Airline Pilots Association negotiated an agreement for the airline company to give each pilot a "ex gratia payment" equal to the firm's pension fund contribution, but the claimant elected to quit the company and pursue the payment of his compensation</w:t>
      </w:r>
      <w:r w:rsidR="00015CC4" w:rsidRPr="009C6CE5">
        <w:rPr>
          <w:rFonts w:ascii="Times New Roman" w:eastAsia="Times New Roman" w:hAnsi="Times New Roman" w:cs="Times New Roman"/>
          <w:color w:val="000000"/>
          <w:kern w:val="0"/>
          <w:sz w:val="24"/>
          <w:szCs w:val="24"/>
          <w:lang w:eastAsia="en-MY"/>
          <w14:ligatures w14:val="none"/>
        </w:rPr>
        <w:t xml:space="preserve"> (Richards, 2009)</w:t>
      </w:r>
      <w:r w:rsidR="00285325" w:rsidRPr="009C6CE5">
        <w:rPr>
          <w:rFonts w:ascii="Times New Roman" w:eastAsia="Times New Roman" w:hAnsi="Times New Roman" w:cs="Times New Roman"/>
          <w:color w:val="000000"/>
          <w:kern w:val="0"/>
          <w:sz w:val="24"/>
          <w:szCs w:val="24"/>
          <w:lang w:eastAsia="en-MY"/>
          <w14:ligatures w14:val="none"/>
        </w:rPr>
        <w:t xml:space="preserve">. It was raised whether or not the agreement between the </w:t>
      </w:r>
      <w:r w:rsidR="00285325" w:rsidRPr="009C6CE5">
        <w:rPr>
          <w:rFonts w:ascii="Times New Roman" w:eastAsia="Times New Roman" w:hAnsi="Times New Roman" w:cs="Times New Roman"/>
          <w:color w:val="000000"/>
          <w:kern w:val="0"/>
          <w:sz w:val="24"/>
          <w:szCs w:val="24"/>
          <w:lang w:eastAsia="en-MY"/>
          <w14:ligatures w14:val="none"/>
        </w:rPr>
        <w:t>airplane</w:t>
      </w:r>
      <w:r w:rsidR="00285325" w:rsidRPr="009C6CE5">
        <w:rPr>
          <w:rFonts w:ascii="Times New Roman" w:eastAsia="Times New Roman" w:hAnsi="Times New Roman" w:cs="Times New Roman"/>
          <w:color w:val="000000"/>
          <w:kern w:val="0"/>
          <w:sz w:val="24"/>
          <w:szCs w:val="24"/>
          <w:lang w:eastAsia="en-MY"/>
          <w14:ligatures w14:val="none"/>
        </w:rPr>
        <w:t xml:space="preserve"> company and the association to pay employee contributions was meant to create legal relationships and obligations.</w:t>
      </w:r>
      <w:r w:rsidRPr="0020499C">
        <w:rPr>
          <w:rFonts w:ascii="Times New Roman" w:eastAsia="Times New Roman" w:hAnsi="Times New Roman" w:cs="Times New Roman"/>
          <w:color w:val="000000"/>
          <w:kern w:val="0"/>
          <w:sz w:val="24"/>
          <w:szCs w:val="24"/>
          <w:lang w:eastAsia="en-MY"/>
          <w14:ligatures w14:val="none"/>
        </w:rPr>
        <w:t xml:space="preserve"> </w:t>
      </w:r>
      <w:r w:rsidR="00285325" w:rsidRPr="009C6CE5">
        <w:rPr>
          <w:rFonts w:ascii="Times New Roman" w:eastAsia="Times New Roman" w:hAnsi="Times New Roman" w:cs="Times New Roman"/>
          <w:color w:val="000000"/>
          <w:kern w:val="0"/>
          <w:sz w:val="24"/>
          <w:szCs w:val="24"/>
          <w:lang w:eastAsia="en-MY"/>
          <w14:ligatures w14:val="none"/>
        </w:rPr>
        <w:t>The Queen's Bench Division claimed that the employer failed to show that the agreement was not intended to create a legal relationship. The burden of proving that they specifically intended to forego forgoing the creation of a legal obligation in favour of a merely moral agreement rests with the party refuting this presumption</w:t>
      </w:r>
      <w:r w:rsidR="00015CC4" w:rsidRPr="009C6CE5">
        <w:rPr>
          <w:rFonts w:ascii="Times New Roman" w:eastAsia="Times New Roman" w:hAnsi="Times New Roman" w:cs="Times New Roman"/>
          <w:color w:val="000000"/>
          <w:kern w:val="0"/>
          <w:sz w:val="24"/>
          <w:szCs w:val="24"/>
          <w:lang w:eastAsia="en-MY"/>
          <w14:ligatures w14:val="none"/>
        </w:rPr>
        <w:t xml:space="preserve"> (Richards, 2009)</w:t>
      </w:r>
      <w:r w:rsidR="00285325" w:rsidRPr="009C6CE5">
        <w:rPr>
          <w:rFonts w:ascii="Times New Roman" w:eastAsia="Times New Roman" w:hAnsi="Times New Roman" w:cs="Times New Roman"/>
          <w:color w:val="000000"/>
          <w:kern w:val="0"/>
          <w:sz w:val="24"/>
          <w:szCs w:val="24"/>
          <w:lang w:eastAsia="en-MY"/>
          <w14:ligatures w14:val="none"/>
        </w:rPr>
        <w:t>.</w:t>
      </w:r>
    </w:p>
    <w:p w14:paraId="4D7484B6" w14:textId="6FC17DC4"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p>
    <w:p w14:paraId="0A142BC9" w14:textId="582EA986"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r w:rsidRPr="0020499C">
        <w:rPr>
          <w:rFonts w:ascii="Times New Roman" w:eastAsia="Times New Roman" w:hAnsi="Times New Roman" w:cs="Times New Roman"/>
          <w:color w:val="000000"/>
          <w:kern w:val="0"/>
          <w:sz w:val="24"/>
          <w:szCs w:val="24"/>
          <w:shd w:val="clear" w:color="auto" w:fill="FFFFFF"/>
          <w:lang w:eastAsia="en-MY"/>
          <w14:ligatures w14:val="none"/>
        </w:rPr>
        <w:tab/>
        <w:t>A "honour clause," which disclaims the jurisdiction of the courts and declares that the agreement is enforceable only on the basis of honour, can also be used to counteract the assumption that a legal relationship was intended. Crompton and Brothers Ltd. v. The Rose and Frank Co</w:t>
      </w:r>
      <w:r w:rsidR="00F05C6A"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F05C6A" w:rsidRPr="009C6CE5">
        <w:rPr>
          <w:rFonts w:ascii="Times New Roman" w:eastAsia="Times New Roman" w:hAnsi="Times New Roman" w:cs="Times New Roman"/>
          <w:color w:val="000000"/>
          <w:kern w:val="0"/>
          <w:sz w:val="24"/>
          <w:szCs w:val="24"/>
          <w:lang w:eastAsia="en-MY"/>
          <w14:ligatures w14:val="none"/>
        </w:rPr>
        <w:t>(</w:t>
      </w:r>
      <w:r w:rsidR="00F05C6A" w:rsidRPr="009156B5">
        <w:rPr>
          <w:rFonts w:ascii="Times New Roman" w:eastAsia="Times New Roman" w:hAnsi="Times New Roman" w:cs="Times New Roman"/>
          <w:color w:val="000000"/>
          <w:kern w:val="0"/>
          <w:sz w:val="24"/>
          <w:szCs w:val="24"/>
          <w:lang w:eastAsia="en-MY"/>
          <w14:ligatures w14:val="none"/>
        </w:rPr>
        <w:t>Saintier</w:t>
      </w:r>
      <w:r w:rsidR="00F05C6A"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 A</w:t>
      </w:r>
      <w:r w:rsidR="00B723BD" w:rsidRPr="009C6CE5">
        <w:rPr>
          <w:rFonts w:ascii="Times New Roman" w:eastAsia="Times New Roman" w:hAnsi="Times New Roman" w:cs="Times New Roman"/>
          <w:color w:val="000000"/>
          <w:kern w:val="0"/>
          <w:sz w:val="24"/>
          <w:szCs w:val="24"/>
          <w:shd w:val="clear" w:color="auto" w:fill="FFFFFF"/>
          <w:lang w:eastAsia="en-MY"/>
          <w14:ligatures w14:val="none"/>
        </w:rPr>
        <w:t>n</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 exclusive agency agreement between the American and English companies was made in 1913, but it was not enforceable and did not impose any duties. The issues that arose were whether the 1913 sole agency agreement was an </w:t>
      </w:r>
      <w:r w:rsidRPr="0020499C">
        <w:rPr>
          <w:rFonts w:ascii="Times New Roman" w:eastAsia="Times New Roman" w:hAnsi="Times New Roman" w:cs="Times New Roman"/>
          <w:color w:val="000000"/>
          <w:kern w:val="0"/>
          <w:sz w:val="24"/>
          <w:szCs w:val="24"/>
          <w:shd w:val="clear" w:color="auto" w:fill="FFFFFF"/>
          <w:lang w:eastAsia="en-MY"/>
          <w14:ligatures w14:val="none"/>
        </w:rPr>
        <w:lastRenderedPageBreak/>
        <w:t>enforceable contract and whether the orders were valid sales contracts</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The Court of Appeal determined that the contract was invalid, and as a result, no legal action could be based on it.</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Pr="0020499C">
        <w:rPr>
          <w:rFonts w:ascii="Times New Roman" w:eastAsia="Times New Roman" w:hAnsi="Times New Roman" w:cs="Times New Roman"/>
          <w:color w:val="000000"/>
          <w:kern w:val="0"/>
          <w:sz w:val="24"/>
          <w:szCs w:val="24"/>
          <w:lang w:eastAsia="en-MY"/>
          <w14:ligatures w14:val="none"/>
        </w:rPr>
        <w:t xml:space="preserve">A majority of judges also ruled that acceptance of orders and their issuance did not create enforceable contracts for their </w:t>
      </w:r>
      <w:r w:rsidR="00286C5C" w:rsidRPr="009C6CE5">
        <w:rPr>
          <w:rFonts w:ascii="Times New Roman" w:eastAsia="Times New Roman" w:hAnsi="Times New Roman" w:cs="Times New Roman"/>
          <w:color w:val="000000"/>
          <w:kern w:val="0"/>
          <w:sz w:val="24"/>
          <w:szCs w:val="24"/>
          <w:lang w:eastAsia="en-MY"/>
          <w14:ligatures w14:val="none"/>
        </w:rPr>
        <w:t xml:space="preserve">fulfilment </w:t>
      </w:r>
      <w:r w:rsidR="00286C5C" w:rsidRPr="009C6CE5">
        <w:rPr>
          <w:rFonts w:ascii="Times New Roman" w:eastAsia="Times New Roman" w:hAnsi="Times New Roman" w:cs="Times New Roman"/>
          <w:color w:val="000000"/>
          <w:kern w:val="0"/>
          <w:sz w:val="24"/>
          <w:szCs w:val="24"/>
          <w:lang w:eastAsia="en-MY"/>
          <w14:ligatures w14:val="none"/>
        </w:rPr>
        <w:t xml:space="preserve"> </w:t>
      </w:r>
      <w:r w:rsidR="00286C5C" w:rsidRPr="009C6CE5">
        <w:rPr>
          <w:rFonts w:ascii="Times New Roman" w:hAnsi="Times New Roman" w:cs="Times New Roman"/>
          <w:sz w:val="24"/>
          <w:szCs w:val="24"/>
        </w:rPr>
        <w:t>(Elliott and Quinn, 2011)</w:t>
      </w:r>
      <w:r w:rsidRPr="0020499C">
        <w:rPr>
          <w:rFonts w:ascii="Times New Roman" w:eastAsia="Times New Roman" w:hAnsi="Times New Roman" w:cs="Times New Roman"/>
          <w:color w:val="000000"/>
          <w:kern w:val="0"/>
          <w:sz w:val="24"/>
          <w:szCs w:val="24"/>
          <w:lang w:eastAsia="en-MY"/>
          <w14:ligatures w14:val="none"/>
        </w:rPr>
        <w:t>.</w:t>
      </w:r>
    </w:p>
    <w:p w14:paraId="42E0868D" w14:textId="77777777"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69FA3BAA" w14:textId="710C8EF6" w:rsidR="00285325" w:rsidRPr="009C6CE5" w:rsidRDefault="0020499C" w:rsidP="009C6CE5">
      <w:pPr>
        <w:spacing w:after="0" w:line="360" w:lineRule="auto"/>
        <w:jc w:val="both"/>
        <w:rPr>
          <w:rFonts w:ascii="Times New Roman" w:eastAsia="Times New Roman" w:hAnsi="Times New Roman" w:cs="Times New Roman"/>
          <w:color w:val="000000"/>
          <w:kern w:val="0"/>
          <w:sz w:val="24"/>
          <w:szCs w:val="24"/>
          <w:shd w:val="clear" w:color="auto" w:fill="FFFFFF"/>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t>In other cases, the court had to do a more thorough investigation of the case before deciding what might be held</w:t>
      </w:r>
      <w:r w:rsidR="00285325" w:rsidRPr="009C6CE5">
        <w:rPr>
          <w:rFonts w:ascii="Times New Roman" w:eastAsia="Times New Roman" w:hAnsi="Times New Roman" w:cs="Times New Roman"/>
          <w:color w:val="000000"/>
          <w:kern w:val="0"/>
          <w:sz w:val="24"/>
          <w:szCs w:val="24"/>
          <w:lang w:eastAsia="en-MY"/>
          <w14:ligatures w14:val="none"/>
        </w:rPr>
        <w:t xml:space="preserve">. The 1989 case of Kleinwort Benson Ltd. v. Malaysia Mining Company </w:t>
      </w:r>
      <w:proofErr w:type="spellStart"/>
      <w:r w:rsidR="00285325" w:rsidRPr="009C6CE5">
        <w:rPr>
          <w:rFonts w:ascii="Times New Roman" w:eastAsia="Times New Roman" w:hAnsi="Times New Roman" w:cs="Times New Roman"/>
          <w:color w:val="000000"/>
          <w:kern w:val="0"/>
          <w:sz w:val="24"/>
          <w:szCs w:val="24"/>
          <w:lang w:eastAsia="en-MY"/>
          <w14:ligatures w14:val="none"/>
        </w:rPr>
        <w:t>Berhad</w:t>
      </w:r>
      <w:proofErr w:type="spellEnd"/>
      <w:r w:rsidR="00285325" w:rsidRPr="009C6CE5">
        <w:rPr>
          <w:rFonts w:ascii="Times New Roman" w:eastAsia="Times New Roman" w:hAnsi="Times New Roman" w:cs="Times New Roman"/>
          <w:color w:val="000000"/>
          <w:kern w:val="0"/>
          <w:sz w:val="24"/>
          <w:szCs w:val="24"/>
          <w:lang w:eastAsia="en-MY"/>
          <w14:ligatures w14:val="none"/>
        </w:rPr>
        <w:t xml:space="preserve"> is a fascinating example.</w:t>
      </w:r>
      <w:r w:rsidR="00285325" w:rsidRPr="009C6CE5">
        <w:rPr>
          <w:rFonts w:ascii="Times New Roman" w:eastAsia="Times New Roman" w:hAnsi="Times New Roman" w:cs="Times New Roman"/>
          <w:color w:val="000000"/>
          <w:kern w:val="0"/>
          <w:sz w:val="24"/>
          <w:szCs w:val="24"/>
          <w:lang w:eastAsia="en-MY"/>
          <w14:ligatures w14:val="none"/>
        </w:rPr>
        <w:t xml:space="preserve"> </w:t>
      </w:r>
      <w:r w:rsidRPr="0020499C">
        <w:rPr>
          <w:rFonts w:ascii="Times New Roman" w:eastAsia="Times New Roman" w:hAnsi="Times New Roman" w:cs="Times New Roman"/>
          <w:color w:val="000000"/>
          <w:kern w:val="0"/>
          <w:sz w:val="24"/>
          <w:szCs w:val="24"/>
          <w:lang w:eastAsia="en-MY"/>
          <w14:ligatures w14:val="none"/>
        </w:rPr>
        <w:t>To finance its London-based subsidiary trade company, Malaysia obtained a cash loan from merchant bankers. The bank then increased the facility to £10 million</w:t>
      </w:r>
      <w:r w:rsidR="00286C5C" w:rsidRPr="009C6CE5">
        <w:rPr>
          <w:rFonts w:ascii="Times New Roman" w:eastAsia="Times New Roman" w:hAnsi="Times New Roman" w:cs="Times New Roman"/>
          <w:color w:val="000000"/>
          <w:kern w:val="0"/>
          <w:sz w:val="24"/>
          <w:szCs w:val="24"/>
          <w:lang w:eastAsia="en-MY"/>
          <w14:ligatures w14:val="none"/>
        </w:rPr>
        <w:t xml:space="preserve"> (Poole, 2014)</w:t>
      </w:r>
      <w:r w:rsidRPr="0020499C">
        <w:rPr>
          <w:rFonts w:ascii="Times New Roman" w:eastAsia="Times New Roman" w:hAnsi="Times New Roman" w:cs="Times New Roman"/>
          <w:color w:val="000000"/>
          <w:kern w:val="0"/>
          <w:sz w:val="24"/>
          <w:szCs w:val="24"/>
          <w:lang w:eastAsia="en-MY"/>
          <w14:ligatures w14:val="none"/>
        </w:rPr>
        <w:t>. The Malaysian business asserted that the letters were not meant to impose any legal responsibilities</w:t>
      </w:r>
      <w:r w:rsidR="00286C5C" w:rsidRPr="009C6CE5">
        <w:rPr>
          <w:rFonts w:ascii="Times New Roman" w:eastAsia="Times New Roman" w:hAnsi="Times New Roman" w:cs="Times New Roman"/>
          <w:color w:val="000000"/>
          <w:kern w:val="0"/>
          <w:sz w:val="24"/>
          <w:szCs w:val="24"/>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(Poole, 2014)</w:t>
      </w:r>
      <w:r w:rsidRPr="0020499C">
        <w:rPr>
          <w:rFonts w:ascii="Times New Roman" w:eastAsia="Times New Roman" w:hAnsi="Times New Roman" w:cs="Times New Roman"/>
          <w:color w:val="000000"/>
          <w:kern w:val="0"/>
          <w:sz w:val="24"/>
          <w:szCs w:val="24"/>
          <w:lang w:eastAsia="en-MY"/>
          <w14:ligatures w14:val="none"/>
        </w:rPr>
        <w:t xml:space="preserve">. </w:t>
      </w:r>
      <w:r w:rsidR="00285325" w:rsidRPr="009C6CE5">
        <w:rPr>
          <w:rFonts w:ascii="Times New Roman" w:eastAsia="Times New Roman" w:hAnsi="Times New Roman" w:cs="Times New Roman"/>
          <w:color w:val="000000"/>
          <w:kern w:val="0"/>
          <w:sz w:val="24"/>
          <w:szCs w:val="24"/>
          <w:lang w:eastAsia="en-MY"/>
          <w14:ligatures w14:val="none"/>
        </w:rPr>
        <w:t>It was questioned whether the assertions made in the letters were intended to create a legally binding agreement for upcoming payments.</w:t>
      </w:r>
      <w:r w:rsidR="00285325" w:rsidRPr="009C6CE5">
        <w:rPr>
          <w:rFonts w:ascii="Times New Roman" w:eastAsia="Times New Roman" w:hAnsi="Times New Roman" w:cs="Times New Roman"/>
          <w:color w:val="000000"/>
          <w:kern w:val="0"/>
          <w:sz w:val="24"/>
          <w:szCs w:val="24"/>
          <w:lang w:eastAsia="en-MY"/>
          <w14:ligatures w14:val="none"/>
        </w:rPr>
        <w:t xml:space="preserve"> </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The Court ruled that it must assess whether the parties meant and understood the statement to be a binding legal promise regarding future </w:t>
      </w:r>
      <w:r w:rsidR="003C3259" w:rsidRPr="009C6CE5">
        <w:rPr>
          <w:rFonts w:ascii="Times New Roman" w:eastAsia="Times New Roman" w:hAnsi="Times New Roman" w:cs="Times New Roman"/>
          <w:color w:val="000000"/>
          <w:kern w:val="0"/>
          <w:sz w:val="24"/>
          <w:szCs w:val="24"/>
          <w:shd w:val="clear" w:color="auto" w:fill="FFFFFF"/>
          <w:lang w:eastAsia="en-MY"/>
          <w14:ligatures w14:val="none"/>
        </w:rPr>
        <w:t>behaviour</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 to establish legal relations with the payment in the absence of an expressly expressed intention to do so</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Pr="0020499C">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The information in this comfort letter was essentially a policy statement, not a promise. This was obviously a commercial transaction. As a result, the presumption of an intention can be disproved in circumstances involving comfort letters when the wording does not amount to a promise. This could lead to minor variations in the comfort letter's wording</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285325" w:rsidRPr="009C6CE5">
        <w:rPr>
          <w:rFonts w:ascii="Times New Roman" w:eastAsia="Times New Roman" w:hAnsi="Times New Roman" w:cs="Times New Roman"/>
          <w:color w:val="000000"/>
          <w:kern w:val="0"/>
          <w:sz w:val="24"/>
          <w:szCs w:val="24"/>
          <w:shd w:val="clear" w:color="auto" w:fill="FFFFFF"/>
          <w:lang w:eastAsia="en-MY"/>
          <w14:ligatures w14:val="none"/>
        </w:rPr>
        <w:t>.</w:t>
      </w:r>
    </w:p>
    <w:p w14:paraId="3FE3A7DE" w14:textId="26D239A5"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1BABB40F" w14:textId="20DB34BA"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015CC4" w:rsidRPr="009C6CE5">
        <w:rPr>
          <w:rFonts w:ascii="Times New Roman" w:eastAsia="Times New Roman" w:hAnsi="Times New Roman" w:cs="Times New Roman"/>
          <w:color w:val="000000"/>
          <w:kern w:val="0"/>
          <w:sz w:val="24"/>
          <w:szCs w:val="24"/>
          <w:lang w:eastAsia="en-MY"/>
          <w14:ligatures w14:val="none"/>
        </w:rPr>
        <w:t>In the ERDC Group Ltd v. Brunel University [2006] case, the claimant also advanced with the design of the works in accordance with a letter of appointment and submitted a bid for the construction of new sports facilities at its Uxbridge campus using the JCT Standard Form of Contract with Contractors Design</w:t>
      </w:r>
      <w:r w:rsidR="00286C5C" w:rsidRPr="009C6CE5">
        <w:rPr>
          <w:rFonts w:ascii="Times New Roman" w:eastAsia="Times New Roman" w:hAnsi="Times New Roman" w:cs="Times New Roman"/>
          <w:color w:val="000000"/>
          <w:kern w:val="0"/>
          <w:sz w:val="24"/>
          <w:szCs w:val="24"/>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(Poole, 201</w:t>
      </w:r>
      <w:r w:rsidR="00286C5C" w:rsidRPr="009C6CE5">
        <w:rPr>
          <w:rFonts w:ascii="Times New Roman" w:eastAsia="Times New Roman" w:hAnsi="Times New Roman" w:cs="Times New Roman"/>
          <w:color w:val="000000"/>
          <w:kern w:val="0"/>
          <w:sz w:val="24"/>
          <w:szCs w:val="24"/>
          <w:lang w:eastAsia="en-MY"/>
          <w14:ligatures w14:val="none"/>
        </w:rPr>
        <w:t>6</w:t>
      </w:r>
      <w:r w:rsidR="00286C5C" w:rsidRPr="009C6CE5">
        <w:rPr>
          <w:rFonts w:ascii="Times New Roman" w:eastAsia="Times New Roman" w:hAnsi="Times New Roman" w:cs="Times New Roman"/>
          <w:color w:val="000000"/>
          <w:kern w:val="0"/>
          <w:sz w:val="24"/>
          <w:szCs w:val="24"/>
          <w:lang w:eastAsia="en-MY"/>
          <w14:ligatures w14:val="none"/>
        </w:rPr>
        <w:t>)</w:t>
      </w:r>
      <w:r w:rsidR="00015CC4" w:rsidRPr="009C6CE5">
        <w:rPr>
          <w:rFonts w:ascii="Times New Roman" w:eastAsia="Times New Roman" w:hAnsi="Times New Roman" w:cs="Times New Roman"/>
          <w:color w:val="000000"/>
          <w:kern w:val="0"/>
          <w:sz w:val="24"/>
          <w:szCs w:val="24"/>
          <w:lang w:eastAsia="en-MY"/>
          <w14:ligatures w14:val="none"/>
        </w:rPr>
        <w:t>.</w:t>
      </w:r>
      <w:r w:rsidRPr="0020499C">
        <w:rPr>
          <w:rFonts w:ascii="Times New Roman" w:eastAsia="Times New Roman" w:hAnsi="Times New Roman" w:cs="Times New Roman"/>
          <w:color w:val="000000"/>
          <w:kern w:val="0"/>
          <w:sz w:val="24"/>
          <w:szCs w:val="24"/>
          <w:lang w:eastAsia="en-MY"/>
          <w14:ligatures w14:val="none"/>
        </w:rPr>
        <w:t xml:space="preserve"> As the job was nearly finished, the claimant refused to sign and stated that they would only continue working in accordance with the JCT Valuation Regulations on a quantum meruit basis. </w:t>
      </w:r>
      <w:r w:rsidRPr="0020499C">
        <w:rPr>
          <w:rFonts w:ascii="Times New Roman" w:eastAsia="Times New Roman" w:hAnsi="Times New Roman" w:cs="Times New Roman"/>
          <w:color w:val="000000"/>
          <w:kern w:val="0"/>
          <w:sz w:val="24"/>
          <w:szCs w:val="24"/>
          <w:shd w:val="clear" w:color="auto" w:fill="FFFFFF"/>
          <w:lang w:eastAsia="en-MY"/>
          <w14:ligatures w14:val="none"/>
        </w:rPr>
        <w:t>The Court ruled that there was a clear desire to establish legal ties and that work completed before the previous contract expired should be evaluated and valued as though it had been done so. Quantum meruit was the foundation for payment after September 1, 2002, however, the claimant argued that this would be done on a cost-plus basis</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(Poole, 201</w:t>
      </w:r>
      <w:r w:rsidR="00286C5C" w:rsidRPr="009C6CE5">
        <w:rPr>
          <w:rFonts w:ascii="Times New Roman" w:eastAsia="Times New Roman" w:hAnsi="Times New Roman" w:cs="Times New Roman"/>
          <w:color w:val="000000"/>
          <w:kern w:val="0"/>
          <w:sz w:val="24"/>
          <w:szCs w:val="24"/>
          <w:lang w:eastAsia="en-MY"/>
          <w14:ligatures w14:val="none"/>
        </w:rPr>
        <w:t>6</w:t>
      </w:r>
      <w:r w:rsidR="00286C5C" w:rsidRPr="009C6CE5">
        <w:rPr>
          <w:rFonts w:ascii="Times New Roman" w:eastAsia="Times New Roman" w:hAnsi="Times New Roman" w:cs="Times New Roman"/>
          <w:color w:val="000000"/>
          <w:kern w:val="0"/>
          <w:sz w:val="24"/>
          <w:szCs w:val="24"/>
          <w:lang w:eastAsia="en-MY"/>
          <w14:ligatures w14:val="none"/>
        </w:rPr>
        <w:t>)</w:t>
      </w:r>
      <w:r w:rsidRPr="0020499C">
        <w:rPr>
          <w:rFonts w:ascii="Times New Roman" w:eastAsia="Times New Roman" w:hAnsi="Times New Roman" w:cs="Times New Roman"/>
          <w:color w:val="000000"/>
          <w:kern w:val="0"/>
          <w:sz w:val="24"/>
          <w:szCs w:val="24"/>
          <w:shd w:val="clear" w:color="auto" w:fill="FFFFFF"/>
          <w:lang w:eastAsia="en-MY"/>
          <w14:ligatures w14:val="none"/>
        </w:rPr>
        <w:t>.</w:t>
      </w:r>
    </w:p>
    <w:p w14:paraId="25277712" w14:textId="77777777"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p>
    <w:p w14:paraId="760FBC49" w14:textId="59442B28"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shd w:val="clear" w:color="auto" w:fill="FFFFFF"/>
          <w:lang w:eastAsia="en-MY"/>
          <w14:ligatures w14:val="none"/>
        </w:rPr>
        <w:t>       </w:t>
      </w:r>
      <w:r w:rsidRPr="0020499C">
        <w:rPr>
          <w:rFonts w:ascii="Times New Roman" w:eastAsia="Times New Roman" w:hAnsi="Times New Roman" w:cs="Times New Roman"/>
          <w:color w:val="000000"/>
          <w:kern w:val="0"/>
          <w:sz w:val="24"/>
          <w:szCs w:val="24"/>
          <w:shd w:val="clear" w:color="auto" w:fill="FFFFFF"/>
          <w:lang w:eastAsia="en-MY"/>
          <w14:ligatures w14:val="none"/>
        </w:rPr>
        <w:tab/>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Lastly, it could be difficult to distinguish between social</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 xml:space="preserve">domestic and economic contracts. The Court of Appeal avoided making this choice in Edmonds v. Lawson [2000] </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lastRenderedPageBreak/>
        <w:t>and instead focused on the unique circumstances surrounding the presentation of a pupillage offer in chambers</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 The claimant became a worker under the Act after the judge determined that the offer of pupillage was a contract of apprenticeship and that the presumption of purpose to form a legal relationship applied</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 Chambers argued that the pupillage offer was not a valid contract that could be enforced.</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Even if there had been a binding contract since there was the necessary intent to enter into legal relations and the agreement was backed by consideration, this was not an apprenticeship contract, hence the claimant did not meet the requirements to be considered a "worker" under the 1998 Act</w:t>
      </w:r>
      <w:r w:rsidR="00286C5C" w:rsidRPr="009C6CE5">
        <w:rPr>
          <w:rFonts w:ascii="Times New Roman" w:eastAsia="Times New Roman" w:hAnsi="Times New Roman" w:cs="Times New Roman"/>
          <w:color w:val="000000"/>
          <w:kern w:val="0"/>
          <w:sz w:val="24"/>
          <w:szCs w:val="24"/>
          <w:shd w:val="clear" w:color="auto" w:fill="FFFFFF"/>
          <w:lang w:eastAsia="en-MY"/>
          <w14:ligatures w14:val="none"/>
        </w:rPr>
        <w:t xml:space="preserve"> </w:t>
      </w:r>
      <w:r w:rsidR="00286C5C" w:rsidRPr="009C6CE5">
        <w:rPr>
          <w:rFonts w:ascii="Times New Roman" w:eastAsia="Times New Roman" w:hAnsi="Times New Roman" w:cs="Times New Roman"/>
          <w:color w:val="000000"/>
          <w:kern w:val="0"/>
          <w:sz w:val="24"/>
          <w:szCs w:val="24"/>
          <w:lang w:eastAsia="en-MY"/>
          <w14:ligatures w14:val="none"/>
        </w:rPr>
        <w:t>(</w:t>
      </w:r>
      <w:r w:rsidR="00286C5C" w:rsidRPr="009156B5">
        <w:rPr>
          <w:rFonts w:ascii="Times New Roman" w:eastAsia="Times New Roman" w:hAnsi="Times New Roman" w:cs="Times New Roman"/>
          <w:color w:val="000000"/>
          <w:kern w:val="0"/>
          <w:sz w:val="24"/>
          <w:szCs w:val="24"/>
          <w:lang w:eastAsia="en-MY"/>
          <w14:ligatures w14:val="none"/>
        </w:rPr>
        <w:t>Saintier</w:t>
      </w:r>
      <w:r w:rsidR="00286C5C" w:rsidRPr="009C6CE5">
        <w:rPr>
          <w:rFonts w:ascii="Times New Roman" w:eastAsia="Times New Roman" w:hAnsi="Times New Roman" w:cs="Times New Roman"/>
          <w:color w:val="000000"/>
          <w:kern w:val="0"/>
          <w:sz w:val="24"/>
          <w:szCs w:val="24"/>
          <w:lang w:eastAsia="en-MY"/>
          <w14:ligatures w14:val="none"/>
        </w:rPr>
        <w:t>, 2021)</w:t>
      </w:r>
      <w:r w:rsidR="00015CC4" w:rsidRPr="009C6CE5">
        <w:rPr>
          <w:rFonts w:ascii="Times New Roman" w:eastAsia="Times New Roman" w:hAnsi="Times New Roman" w:cs="Times New Roman"/>
          <w:color w:val="000000"/>
          <w:kern w:val="0"/>
          <w:sz w:val="24"/>
          <w:szCs w:val="24"/>
          <w:shd w:val="clear" w:color="auto" w:fill="FFFFFF"/>
          <w:lang w:eastAsia="en-MY"/>
          <w14:ligatures w14:val="none"/>
        </w:rPr>
        <w:t>.</w:t>
      </w:r>
    </w:p>
    <w:p w14:paraId="54B7390D" w14:textId="77777777" w:rsidR="0020499C" w:rsidRPr="0020499C" w:rsidRDefault="0020499C"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p>
    <w:p w14:paraId="711A4A39" w14:textId="0C43AE21" w:rsidR="0020499C" w:rsidRPr="0020499C" w:rsidRDefault="0020499C" w:rsidP="009C6CE5">
      <w:pPr>
        <w:spacing w:after="0" w:line="360" w:lineRule="auto"/>
        <w:jc w:val="both"/>
        <w:rPr>
          <w:rFonts w:ascii="Times New Roman" w:eastAsia="Times New Roman" w:hAnsi="Times New Roman" w:cs="Times New Roman"/>
          <w:kern w:val="0"/>
          <w:sz w:val="24"/>
          <w:szCs w:val="24"/>
          <w:lang w:eastAsia="en-MY"/>
          <w14:ligatures w14:val="non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015CC4" w:rsidRPr="009C6CE5">
        <w:rPr>
          <w:rFonts w:ascii="Times New Roman" w:eastAsia="Times New Roman" w:hAnsi="Times New Roman" w:cs="Times New Roman"/>
          <w:color w:val="000000"/>
          <w:kern w:val="0"/>
          <w:sz w:val="24"/>
          <w:szCs w:val="24"/>
          <w:lang w:eastAsia="en-MY"/>
          <w14:ligatures w14:val="none"/>
        </w:rPr>
        <w:t>Last but not least, courts may find that there was no reason to establish legal connections when agreements are made within public agencies or those that undermine the public interest.</w:t>
      </w:r>
      <w:r w:rsidRPr="0020499C">
        <w:rPr>
          <w:rFonts w:ascii="Times New Roman" w:eastAsia="Times New Roman" w:hAnsi="Times New Roman" w:cs="Times New Roman"/>
          <w:color w:val="000000"/>
          <w:kern w:val="0"/>
          <w:sz w:val="24"/>
          <w:szCs w:val="24"/>
          <w:lang w:eastAsia="en-MY"/>
          <w14:ligatures w14:val="none"/>
        </w:rPr>
        <w:t xml:space="preserve"> Even if a contract seems to be enforceable, a court may decide that no contractual connection exists. This may occur in a variety of ways, including by causing unjustified public expenses, undermining the intent of Parliament, and impairing public sector operations. In the case of </w:t>
      </w:r>
      <w:proofErr w:type="spellStart"/>
      <w:r w:rsidRPr="0020499C">
        <w:rPr>
          <w:rFonts w:ascii="Times New Roman" w:eastAsia="Times New Roman" w:hAnsi="Times New Roman" w:cs="Times New Roman"/>
          <w:color w:val="000000"/>
          <w:kern w:val="0"/>
          <w:sz w:val="24"/>
          <w:szCs w:val="24"/>
          <w:lang w:eastAsia="en-MY"/>
          <w14:ligatures w14:val="none"/>
        </w:rPr>
        <w:t>Triefus</w:t>
      </w:r>
      <w:proofErr w:type="spellEnd"/>
      <w:r w:rsidRPr="0020499C">
        <w:rPr>
          <w:rFonts w:ascii="Times New Roman" w:eastAsia="Times New Roman" w:hAnsi="Times New Roman" w:cs="Times New Roman"/>
          <w:color w:val="000000"/>
          <w:kern w:val="0"/>
          <w:sz w:val="24"/>
          <w:szCs w:val="24"/>
          <w:lang w:eastAsia="en-MY"/>
          <w14:ligatures w14:val="none"/>
        </w:rPr>
        <w:t xml:space="preserve"> v. Post Office (1957), the plaintiff demanded compensation after the defendant misplaced two mail packets. </w:t>
      </w:r>
      <w:r w:rsidRPr="0020499C">
        <w:rPr>
          <w:rFonts w:ascii="Times New Roman" w:eastAsia="Times New Roman" w:hAnsi="Times New Roman" w:cs="Times New Roman"/>
          <w:color w:val="000000"/>
          <w:kern w:val="0"/>
          <w:sz w:val="24"/>
          <w:szCs w:val="24"/>
          <w:shd w:val="clear" w:color="auto" w:fill="FFFFFF"/>
          <w:lang w:eastAsia="en-MY"/>
          <w14:ligatures w14:val="none"/>
        </w:rPr>
        <w:t>The attorney representing the Plaintiff agreed that the Defendant couldn't win the case and allowed it to be decided against him and dismissed as a result. The Robinson v. HM Customs &amp; Excise [2000] case involved R, who owned a business that repaired cars, and B, one of his clients, who offered smuggling in exchange for sizable payments. R consented to permit B to keep a vehicle on his property, as well as to permit the cops to take documents out of the van and install a tracking device. B was stopped at Dover at the end of May, and three-quarters of a tonne of cannabis was taken into custody along with the driver.</w:t>
      </w:r>
    </w:p>
    <w:p w14:paraId="5FEF7464" w14:textId="27388C21" w:rsidR="003C3259" w:rsidRPr="009C6CE5" w:rsidRDefault="0020499C" w:rsidP="009C6CE5">
      <w:pPr>
        <w:spacing w:before="240" w:after="240" w:line="360" w:lineRule="auto"/>
        <w:jc w:val="both"/>
        <w:rPr>
          <w:rFonts w:ascii="Times New Roman" w:hAnsi="Times New Roman" w:cs="Times New Roman"/>
          <w:b/>
          <w:bCs/>
          <w:sz w:val="24"/>
          <w:szCs w:val="24"/>
          <w:u w:val="single"/>
        </w:rPr>
      </w:pPr>
      <w:r w:rsidRPr="0020499C">
        <w:rPr>
          <w:rFonts w:ascii="Times New Roman" w:eastAsia="Times New Roman" w:hAnsi="Times New Roman" w:cs="Times New Roman"/>
          <w:color w:val="000000"/>
          <w:kern w:val="0"/>
          <w:sz w:val="24"/>
          <w:szCs w:val="24"/>
          <w:lang w:eastAsia="en-MY"/>
          <w14:ligatures w14:val="none"/>
        </w:rPr>
        <w:t>      </w:t>
      </w:r>
      <w:r w:rsidRPr="0020499C">
        <w:rPr>
          <w:rFonts w:ascii="Times New Roman" w:eastAsia="Times New Roman" w:hAnsi="Times New Roman" w:cs="Times New Roman"/>
          <w:color w:val="000000"/>
          <w:kern w:val="0"/>
          <w:sz w:val="24"/>
          <w:szCs w:val="24"/>
          <w:lang w:eastAsia="en-MY"/>
          <w14:ligatures w14:val="none"/>
        </w:rPr>
        <w:tab/>
      </w:r>
      <w:r w:rsidR="00015CC4" w:rsidRPr="009C6CE5">
        <w:rPr>
          <w:rFonts w:ascii="Times New Roman" w:eastAsia="Times New Roman" w:hAnsi="Times New Roman" w:cs="Times New Roman"/>
          <w:color w:val="000000"/>
          <w:kern w:val="0"/>
          <w:sz w:val="24"/>
          <w:szCs w:val="24"/>
          <w:lang w:eastAsia="en-MY"/>
          <w14:ligatures w14:val="none"/>
        </w:rPr>
        <w:t>To sum up, the desire to create legal relations is a fundamental component of any contract. A contract is not enforceable if the parties did not intend for their relationship to be one of law.</w:t>
      </w:r>
    </w:p>
    <w:p w14:paraId="268BEFB9" w14:textId="77777777" w:rsidR="009C6CE5" w:rsidRPr="009C6CE5" w:rsidRDefault="009C6CE5" w:rsidP="009C6CE5">
      <w:pPr>
        <w:spacing w:before="240" w:after="240" w:line="360" w:lineRule="auto"/>
        <w:jc w:val="both"/>
        <w:rPr>
          <w:rFonts w:ascii="Times New Roman" w:eastAsia="Times New Roman" w:hAnsi="Times New Roman" w:cs="Times New Roman"/>
          <w:b/>
          <w:bCs/>
          <w:color w:val="000000"/>
          <w:kern w:val="0"/>
          <w:sz w:val="24"/>
          <w:szCs w:val="24"/>
          <w:u w:val="single"/>
          <w:lang w:eastAsia="en-MY"/>
          <w14:ligatures w14:val="none"/>
        </w:rPr>
      </w:pPr>
    </w:p>
    <w:p w14:paraId="61C4B97B" w14:textId="77777777" w:rsidR="009C6CE5" w:rsidRPr="009C6CE5" w:rsidRDefault="009C6CE5" w:rsidP="009C6CE5">
      <w:pPr>
        <w:spacing w:before="240" w:after="240" w:line="360" w:lineRule="auto"/>
        <w:jc w:val="both"/>
        <w:rPr>
          <w:rFonts w:ascii="Times New Roman" w:eastAsia="Times New Roman" w:hAnsi="Times New Roman" w:cs="Times New Roman"/>
          <w:b/>
          <w:bCs/>
          <w:color w:val="000000"/>
          <w:kern w:val="0"/>
          <w:sz w:val="24"/>
          <w:szCs w:val="24"/>
          <w:u w:val="single"/>
          <w:lang w:eastAsia="en-MY"/>
          <w14:ligatures w14:val="none"/>
        </w:rPr>
      </w:pPr>
    </w:p>
    <w:p w14:paraId="222404C0" w14:textId="77777777" w:rsidR="009C6CE5" w:rsidRPr="009C6CE5" w:rsidRDefault="009C6CE5" w:rsidP="009C6CE5">
      <w:pPr>
        <w:spacing w:before="240" w:after="240" w:line="360" w:lineRule="auto"/>
        <w:jc w:val="both"/>
        <w:rPr>
          <w:rFonts w:ascii="Times New Roman" w:eastAsia="Times New Roman" w:hAnsi="Times New Roman" w:cs="Times New Roman"/>
          <w:b/>
          <w:bCs/>
          <w:color w:val="000000"/>
          <w:kern w:val="0"/>
          <w:sz w:val="24"/>
          <w:szCs w:val="24"/>
          <w:u w:val="single"/>
          <w:lang w:eastAsia="en-MY"/>
          <w14:ligatures w14:val="none"/>
        </w:rPr>
      </w:pPr>
    </w:p>
    <w:p w14:paraId="24184CFC" w14:textId="530C83AA"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b/>
          <w:bCs/>
          <w:color w:val="000000"/>
          <w:kern w:val="0"/>
          <w:sz w:val="24"/>
          <w:szCs w:val="24"/>
          <w:u w:val="single"/>
          <w:lang w:eastAsia="en-MY"/>
          <w14:ligatures w14:val="none"/>
        </w:rPr>
        <w:lastRenderedPageBreak/>
        <w:t>REFERENCE LIST</w:t>
      </w:r>
    </w:p>
    <w:p w14:paraId="534E181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b/>
          <w:bCs/>
          <w:color w:val="000000"/>
          <w:kern w:val="0"/>
          <w:sz w:val="24"/>
          <w:szCs w:val="24"/>
          <w:u w:val="single"/>
          <w:lang w:eastAsia="en-MY"/>
          <w14:ligatures w14:val="none"/>
        </w:rPr>
        <w:t>CASE LAW</w:t>
      </w:r>
    </w:p>
    <w:p w14:paraId="7600160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Balfour v. Balfour [1919] 2 KB 571</w:t>
      </w:r>
    </w:p>
    <w:p w14:paraId="7C5B0B26"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Blue v. Ashley [2017] EWHC 1928</w:t>
      </w:r>
    </w:p>
    <w:p w14:paraId="4BC79894"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shd w:val="clear" w:color="auto" w:fill="FFFFFF"/>
          <w:lang w:eastAsia="en-MY"/>
          <w14:ligatures w14:val="none"/>
        </w:rPr>
        <w:t>Edmonds v. Lawson [2000] QB 501</w:t>
      </w:r>
    </w:p>
    <w:p w14:paraId="433555A2"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702308F5"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Edwards v. Skyways [1969] 1 WLR 349</w:t>
      </w:r>
    </w:p>
    <w:p w14:paraId="0B1B886E"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 </w:t>
      </w:r>
    </w:p>
    <w:p w14:paraId="3A4DAD51" w14:textId="77777777" w:rsidR="003C3259" w:rsidRPr="003C3259" w:rsidRDefault="003C3259" w:rsidP="009C6CE5">
      <w:pPr>
        <w:spacing w:after="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ERDC Group Ltd v. Brunel University [2006] EWHC 687 (TCC)</w:t>
      </w:r>
    </w:p>
    <w:p w14:paraId="50FECF98"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Esso v Commissioners of Customs and Excise [1975] 1 WLR 1</w:t>
      </w:r>
    </w:p>
    <w:p w14:paraId="5A6EEBE2"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 xml:space="preserve">Jones v </w:t>
      </w:r>
      <w:proofErr w:type="spellStart"/>
      <w:r w:rsidRPr="003C3259">
        <w:rPr>
          <w:rFonts w:ascii="Times New Roman" w:eastAsia="Times New Roman" w:hAnsi="Times New Roman" w:cs="Times New Roman"/>
          <w:color w:val="000000"/>
          <w:kern w:val="0"/>
          <w:sz w:val="24"/>
          <w:szCs w:val="24"/>
          <w:lang w:eastAsia="en-MY"/>
          <w14:ligatures w14:val="none"/>
        </w:rPr>
        <w:t>Padavatton</w:t>
      </w:r>
      <w:proofErr w:type="spellEnd"/>
      <w:r w:rsidRPr="003C3259">
        <w:rPr>
          <w:rFonts w:ascii="Times New Roman" w:eastAsia="Times New Roman" w:hAnsi="Times New Roman" w:cs="Times New Roman"/>
          <w:color w:val="000000"/>
          <w:kern w:val="0"/>
          <w:sz w:val="24"/>
          <w:szCs w:val="24"/>
          <w:lang w:eastAsia="en-MY"/>
          <w14:ligatures w14:val="none"/>
        </w:rPr>
        <w:t xml:space="preserve"> [1969] 1 WLR 325</w:t>
      </w:r>
    </w:p>
    <w:p w14:paraId="6C5C2BF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Kleinwort Benson v Malaysian Mining Corp [1989] 1 ALL ER 785</w:t>
      </w:r>
    </w:p>
    <w:p w14:paraId="2710A8E2"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Merritt v Merritt [1970] 1 WLR 1211</w:t>
      </w:r>
    </w:p>
    <w:p w14:paraId="452BB873"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Robinson v HM Customs &amp; Excise [2000] 28 APR 2000</w:t>
      </w:r>
    </w:p>
    <w:p w14:paraId="394FDF28"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Rose &amp; Frank v Crompton Bros [1925] AC 445</w:t>
      </w:r>
    </w:p>
    <w:p w14:paraId="4830D108"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color w:val="000000"/>
          <w:kern w:val="0"/>
          <w:sz w:val="24"/>
          <w:szCs w:val="24"/>
          <w:lang w:eastAsia="en-MY"/>
          <w14:ligatures w14:val="none"/>
        </w:rPr>
        <w:t>Simpkins v Pays [1955] 1 WLR 349</w:t>
      </w:r>
    </w:p>
    <w:p w14:paraId="13CFEF09"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proofErr w:type="spellStart"/>
      <w:r w:rsidRPr="003C3259">
        <w:rPr>
          <w:rFonts w:ascii="Times New Roman" w:eastAsia="Times New Roman" w:hAnsi="Times New Roman" w:cs="Times New Roman"/>
          <w:color w:val="000000"/>
          <w:kern w:val="0"/>
          <w:sz w:val="24"/>
          <w:szCs w:val="24"/>
          <w:lang w:eastAsia="en-MY"/>
          <w14:ligatures w14:val="none"/>
        </w:rPr>
        <w:t>Triefus</w:t>
      </w:r>
      <w:proofErr w:type="spellEnd"/>
      <w:r w:rsidRPr="003C3259">
        <w:rPr>
          <w:rFonts w:ascii="Times New Roman" w:eastAsia="Times New Roman" w:hAnsi="Times New Roman" w:cs="Times New Roman"/>
          <w:color w:val="000000"/>
          <w:kern w:val="0"/>
          <w:sz w:val="24"/>
          <w:szCs w:val="24"/>
          <w:lang w:eastAsia="en-MY"/>
          <w14:ligatures w14:val="none"/>
        </w:rPr>
        <w:t xml:space="preserve"> v Post Office [1957] 2 QB 352</w:t>
      </w:r>
    </w:p>
    <w:p w14:paraId="2B11D88E" w14:textId="77777777" w:rsidR="003C3259" w:rsidRPr="003C3259" w:rsidRDefault="003C3259" w:rsidP="009C6CE5">
      <w:pPr>
        <w:spacing w:before="240" w:after="240" w:line="360" w:lineRule="auto"/>
        <w:jc w:val="both"/>
        <w:rPr>
          <w:rFonts w:ascii="Times New Roman" w:eastAsia="Times New Roman" w:hAnsi="Times New Roman" w:cs="Times New Roman"/>
          <w:kern w:val="0"/>
          <w:sz w:val="24"/>
          <w:szCs w:val="24"/>
          <w:lang w:eastAsia="en-MY"/>
          <w14:ligatures w14:val="none"/>
        </w:rPr>
      </w:pPr>
      <w:r w:rsidRPr="003C3259">
        <w:rPr>
          <w:rFonts w:ascii="Times New Roman" w:eastAsia="Times New Roman" w:hAnsi="Times New Roman" w:cs="Times New Roman"/>
          <w:b/>
          <w:bCs/>
          <w:color w:val="000000"/>
          <w:kern w:val="0"/>
          <w:sz w:val="24"/>
          <w:szCs w:val="24"/>
          <w:u w:val="single"/>
          <w:lang w:eastAsia="en-MY"/>
          <w14:ligatures w14:val="none"/>
        </w:rPr>
        <w:t>ACADEMIC LITERATURE</w:t>
      </w:r>
    </w:p>
    <w:p w14:paraId="0895DA92" w14:textId="77777777" w:rsidR="00F05C6A" w:rsidRPr="009C6CE5" w:rsidRDefault="00F05C6A" w:rsidP="009C6CE5">
      <w:pPr>
        <w:spacing w:after="0" w:line="360" w:lineRule="auto"/>
        <w:jc w:val="both"/>
        <w:rPr>
          <w:rFonts w:ascii="Times New Roman" w:hAnsi="Times New Roman" w:cs="Times New Roman"/>
          <w:color w:val="000000"/>
          <w:sz w:val="24"/>
          <w:szCs w:val="24"/>
        </w:rPr>
      </w:pPr>
      <w:r w:rsidRPr="009C6CE5">
        <w:rPr>
          <w:rFonts w:ascii="Times New Roman" w:hAnsi="Times New Roman" w:cs="Times New Roman"/>
          <w:color w:val="000000"/>
          <w:sz w:val="24"/>
          <w:szCs w:val="24"/>
        </w:rPr>
        <w:t xml:space="preserve">Elliott, C. and Quinn, F. (2011). </w:t>
      </w:r>
      <w:r w:rsidRPr="009C6CE5">
        <w:rPr>
          <w:rFonts w:ascii="Times New Roman" w:hAnsi="Times New Roman" w:cs="Times New Roman"/>
          <w:i/>
          <w:iCs/>
          <w:color w:val="000000"/>
          <w:sz w:val="24"/>
          <w:szCs w:val="24"/>
        </w:rPr>
        <w:t>Contract law</w:t>
      </w:r>
      <w:r w:rsidRPr="009C6CE5">
        <w:rPr>
          <w:rFonts w:ascii="Times New Roman" w:hAnsi="Times New Roman" w:cs="Times New Roman"/>
          <w:color w:val="000000"/>
          <w:sz w:val="24"/>
          <w:szCs w:val="24"/>
        </w:rPr>
        <w:t xml:space="preserve">. 8th ed. </w:t>
      </w:r>
      <w:proofErr w:type="gramStart"/>
      <w:r w:rsidRPr="009C6CE5">
        <w:rPr>
          <w:rFonts w:ascii="Times New Roman" w:hAnsi="Times New Roman" w:cs="Times New Roman"/>
          <w:color w:val="000000"/>
          <w:sz w:val="24"/>
          <w:szCs w:val="24"/>
        </w:rPr>
        <w:t>Harlow ;</w:t>
      </w:r>
      <w:proofErr w:type="gramEnd"/>
      <w:r w:rsidRPr="009C6CE5">
        <w:rPr>
          <w:rFonts w:ascii="Times New Roman" w:hAnsi="Times New Roman" w:cs="Times New Roman"/>
          <w:color w:val="000000"/>
          <w:sz w:val="24"/>
          <w:szCs w:val="24"/>
        </w:rPr>
        <w:t xml:space="preserve"> London ; Paris: Pearson Longman.</w:t>
      </w:r>
    </w:p>
    <w:p w14:paraId="1F311CE5" w14:textId="77777777" w:rsidR="00F05C6A" w:rsidRPr="009C6CE5" w:rsidRDefault="00F05C6A" w:rsidP="009C6CE5">
      <w:pPr>
        <w:spacing w:after="0" w:line="360" w:lineRule="auto"/>
        <w:jc w:val="both"/>
        <w:rPr>
          <w:rFonts w:ascii="Times New Roman" w:hAnsi="Times New Roman" w:cs="Times New Roman"/>
          <w:color w:val="000000"/>
          <w:sz w:val="24"/>
          <w:szCs w:val="24"/>
        </w:rPr>
      </w:pPr>
    </w:p>
    <w:p w14:paraId="32E5A9C9" w14:textId="77EECCBB"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Poole, J. (2014). </w:t>
      </w:r>
      <w:r w:rsidRPr="009156B5">
        <w:rPr>
          <w:rFonts w:ascii="Times New Roman" w:eastAsia="Times New Roman" w:hAnsi="Times New Roman" w:cs="Times New Roman"/>
          <w:i/>
          <w:iCs/>
          <w:color w:val="000000"/>
          <w:kern w:val="0"/>
          <w:sz w:val="24"/>
          <w:szCs w:val="24"/>
          <w:lang w:eastAsia="en-MY"/>
          <w14:ligatures w14:val="none"/>
        </w:rPr>
        <w:t>Textbook on contract law</w:t>
      </w:r>
      <w:r w:rsidRPr="009156B5">
        <w:rPr>
          <w:rFonts w:ascii="Times New Roman" w:eastAsia="Times New Roman" w:hAnsi="Times New Roman" w:cs="Times New Roman"/>
          <w:color w:val="000000"/>
          <w:kern w:val="0"/>
          <w:sz w:val="24"/>
          <w:szCs w:val="24"/>
          <w:lang w:eastAsia="en-MY"/>
          <w14:ligatures w14:val="none"/>
        </w:rPr>
        <w:t>. 12th ed. Oxford: Oxford University Press.</w:t>
      </w:r>
    </w:p>
    <w:p w14:paraId="2FAF511F"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73C7E894"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Poole, J. (2016). </w:t>
      </w:r>
      <w:r w:rsidRPr="009156B5">
        <w:rPr>
          <w:rFonts w:ascii="Times New Roman" w:eastAsia="Times New Roman" w:hAnsi="Times New Roman" w:cs="Times New Roman"/>
          <w:i/>
          <w:iCs/>
          <w:color w:val="000000"/>
          <w:kern w:val="0"/>
          <w:sz w:val="24"/>
          <w:szCs w:val="24"/>
          <w:lang w:eastAsia="en-MY"/>
          <w14:ligatures w14:val="none"/>
        </w:rPr>
        <w:t>Textbook on contract law</w:t>
      </w:r>
      <w:r w:rsidRPr="009156B5">
        <w:rPr>
          <w:rFonts w:ascii="Times New Roman" w:eastAsia="Times New Roman" w:hAnsi="Times New Roman" w:cs="Times New Roman"/>
          <w:color w:val="000000"/>
          <w:kern w:val="0"/>
          <w:sz w:val="24"/>
          <w:szCs w:val="24"/>
          <w:lang w:eastAsia="en-MY"/>
          <w14:ligatures w14:val="none"/>
        </w:rPr>
        <w:t>. 13th ed. Oxford: Oxford University Press.</w:t>
      </w:r>
    </w:p>
    <w:p w14:paraId="57325932"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4194AE80"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lastRenderedPageBreak/>
        <w:t xml:space="preserve">Richards, P. (2009). </w:t>
      </w:r>
      <w:r w:rsidRPr="009156B5">
        <w:rPr>
          <w:rFonts w:ascii="Times New Roman" w:eastAsia="Times New Roman" w:hAnsi="Times New Roman" w:cs="Times New Roman"/>
          <w:i/>
          <w:iCs/>
          <w:color w:val="000000"/>
          <w:kern w:val="0"/>
          <w:sz w:val="24"/>
          <w:szCs w:val="24"/>
          <w:lang w:eastAsia="en-MY"/>
          <w14:ligatures w14:val="none"/>
        </w:rPr>
        <w:t>Law of contract</w:t>
      </w:r>
      <w:r w:rsidRPr="009156B5">
        <w:rPr>
          <w:rFonts w:ascii="Times New Roman" w:eastAsia="Times New Roman" w:hAnsi="Times New Roman" w:cs="Times New Roman"/>
          <w:color w:val="000000"/>
          <w:kern w:val="0"/>
          <w:sz w:val="24"/>
          <w:szCs w:val="24"/>
          <w:lang w:eastAsia="en-MY"/>
          <w14:ligatures w14:val="none"/>
        </w:rPr>
        <w:t>. 9th ed. Harlow: Pearson Longman.</w:t>
      </w:r>
    </w:p>
    <w:p w14:paraId="7FF74E72"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4D896579"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Saintier, R. (2021). </w:t>
      </w:r>
      <w:r w:rsidRPr="009156B5">
        <w:rPr>
          <w:rFonts w:ascii="Times New Roman" w:eastAsia="Times New Roman" w:hAnsi="Times New Roman" w:cs="Times New Roman"/>
          <w:i/>
          <w:iCs/>
          <w:color w:val="000000"/>
          <w:kern w:val="0"/>
          <w:sz w:val="24"/>
          <w:szCs w:val="24"/>
          <w:lang w:eastAsia="en-MY"/>
          <w14:ligatures w14:val="none"/>
        </w:rPr>
        <w:t xml:space="preserve">Poole’s Casebook </w:t>
      </w:r>
      <w:proofErr w:type="gramStart"/>
      <w:r w:rsidRPr="009156B5">
        <w:rPr>
          <w:rFonts w:ascii="Times New Roman" w:eastAsia="Times New Roman" w:hAnsi="Times New Roman" w:cs="Times New Roman"/>
          <w:i/>
          <w:iCs/>
          <w:color w:val="000000"/>
          <w:kern w:val="0"/>
          <w:sz w:val="24"/>
          <w:szCs w:val="24"/>
          <w:lang w:eastAsia="en-MY"/>
          <w14:ligatures w14:val="none"/>
        </w:rPr>
        <w:t>On</w:t>
      </w:r>
      <w:proofErr w:type="gramEnd"/>
      <w:r w:rsidRPr="009156B5">
        <w:rPr>
          <w:rFonts w:ascii="Times New Roman" w:eastAsia="Times New Roman" w:hAnsi="Times New Roman" w:cs="Times New Roman"/>
          <w:i/>
          <w:iCs/>
          <w:color w:val="000000"/>
          <w:kern w:val="0"/>
          <w:sz w:val="24"/>
          <w:szCs w:val="24"/>
          <w:lang w:eastAsia="en-MY"/>
          <w14:ligatures w14:val="none"/>
        </w:rPr>
        <w:t xml:space="preserve"> Contract Law</w:t>
      </w:r>
      <w:r w:rsidRPr="009156B5">
        <w:rPr>
          <w:rFonts w:ascii="Times New Roman" w:eastAsia="Times New Roman" w:hAnsi="Times New Roman" w:cs="Times New Roman"/>
          <w:color w:val="000000"/>
          <w:kern w:val="0"/>
          <w:sz w:val="24"/>
          <w:szCs w:val="24"/>
          <w:lang w:eastAsia="en-MY"/>
          <w14:ligatures w14:val="none"/>
        </w:rPr>
        <w:t xml:space="preserve">. 15th ed. S.L.: Oxford </w:t>
      </w:r>
      <w:proofErr w:type="spellStart"/>
      <w:r w:rsidRPr="009156B5">
        <w:rPr>
          <w:rFonts w:ascii="Times New Roman" w:eastAsia="Times New Roman" w:hAnsi="Times New Roman" w:cs="Times New Roman"/>
          <w:color w:val="000000"/>
          <w:kern w:val="0"/>
          <w:sz w:val="24"/>
          <w:szCs w:val="24"/>
          <w:lang w:eastAsia="en-MY"/>
          <w14:ligatures w14:val="none"/>
        </w:rPr>
        <w:t>Univ</w:t>
      </w:r>
      <w:proofErr w:type="spellEnd"/>
      <w:r w:rsidRPr="009156B5">
        <w:rPr>
          <w:rFonts w:ascii="Times New Roman" w:eastAsia="Times New Roman" w:hAnsi="Times New Roman" w:cs="Times New Roman"/>
          <w:color w:val="000000"/>
          <w:kern w:val="0"/>
          <w:sz w:val="24"/>
          <w:szCs w:val="24"/>
          <w:lang w:eastAsia="en-MY"/>
          <w14:ligatures w14:val="none"/>
        </w:rPr>
        <w:t xml:space="preserve"> Press.</w:t>
      </w:r>
    </w:p>
    <w:p w14:paraId="2B06A8C0"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3984A6C4"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 xml:space="preserve">Stone, R. (2013). </w:t>
      </w:r>
      <w:r w:rsidRPr="009156B5">
        <w:rPr>
          <w:rFonts w:ascii="Times New Roman" w:eastAsia="Times New Roman" w:hAnsi="Times New Roman" w:cs="Times New Roman"/>
          <w:i/>
          <w:iCs/>
          <w:color w:val="000000"/>
          <w:kern w:val="0"/>
          <w:sz w:val="24"/>
          <w:szCs w:val="24"/>
          <w:lang w:eastAsia="en-MY"/>
          <w14:ligatures w14:val="none"/>
        </w:rPr>
        <w:t>The Modern law of contract</w:t>
      </w:r>
      <w:r w:rsidRPr="009156B5">
        <w:rPr>
          <w:rFonts w:ascii="Times New Roman" w:eastAsia="Times New Roman" w:hAnsi="Times New Roman" w:cs="Times New Roman"/>
          <w:color w:val="000000"/>
          <w:kern w:val="0"/>
          <w:sz w:val="24"/>
          <w:szCs w:val="24"/>
          <w:lang w:eastAsia="en-MY"/>
          <w14:ligatures w14:val="none"/>
        </w:rPr>
        <w:t xml:space="preserve">. 10th ed. London, </w:t>
      </w:r>
      <w:proofErr w:type="gramStart"/>
      <w:r w:rsidRPr="009156B5">
        <w:rPr>
          <w:rFonts w:ascii="Times New Roman" w:eastAsia="Times New Roman" w:hAnsi="Times New Roman" w:cs="Times New Roman"/>
          <w:color w:val="000000"/>
          <w:kern w:val="0"/>
          <w:sz w:val="24"/>
          <w:szCs w:val="24"/>
          <w:lang w:eastAsia="en-MY"/>
          <w14:ligatures w14:val="none"/>
        </w:rPr>
        <w:t>Etc.</w:t>
      </w:r>
      <w:proofErr w:type="gramEnd"/>
      <w:r w:rsidRPr="009156B5">
        <w:rPr>
          <w:rFonts w:ascii="Times New Roman" w:eastAsia="Times New Roman" w:hAnsi="Times New Roman" w:cs="Times New Roman"/>
          <w:color w:val="000000"/>
          <w:kern w:val="0"/>
          <w:sz w:val="24"/>
          <w:szCs w:val="24"/>
          <w:lang w:eastAsia="en-MY"/>
          <w14:ligatures w14:val="none"/>
        </w:rPr>
        <w:t>: Routledge.</w:t>
      </w:r>
    </w:p>
    <w:p w14:paraId="30FE7EF3"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2E5910A3"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roofErr w:type="spellStart"/>
      <w:r w:rsidRPr="009156B5">
        <w:rPr>
          <w:rFonts w:ascii="Times New Roman" w:eastAsia="Times New Roman" w:hAnsi="Times New Roman" w:cs="Times New Roman"/>
          <w:color w:val="000000"/>
          <w:kern w:val="0"/>
          <w:sz w:val="24"/>
          <w:szCs w:val="24"/>
          <w:lang w:eastAsia="en-MY"/>
          <w14:ligatures w14:val="none"/>
        </w:rPr>
        <w:t>vLex</w:t>
      </w:r>
      <w:proofErr w:type="spellEnd"/>
      <w:r w:rsidRPr="009156B5">
        <w:rPr>
          <w:rFonts w:ascii="Times New Roman" w:eastAsia="Times New Roman" w:hAnsi="Times New Roman" w:cs="Times New Roman"/>
          <w:color w:val="000000"/>
          <w:kern w:val="0"/>
          <w:sz w:val="24"/>
          <w:szCs w:val="24"/>
          <w:lang w:eastAsia="en-MY"/>
          <w14:ligatures w14:val="none"/>
        </w:rPr>
        <w:t xml:space="preserve">. (n.d.). </w:t>
      </w:r>
      <w:r w:rsidRPr="009156B5">
        <w:rPr>
          <w:rFonts w:ascii="Times New Roman" w:eastAsia="Times New Roman" w:hAnsi="Times New Roman" w:cs="Times New Roman"/>
          <w:i/>
          <w:iCs/>
          <w:color w:val="000000"/>
          <w:kern w:val="0"/>
          <w:sz w:val="24"/>
          <w:szCs w:val="24"/>
          <w:lang w:eastAsia="en-MY"/>
          <w14:ligatures w14:val="none"/>
        </w:rPr>
        <w:t>Robinson v Commissioners of Customs and Excise</w:t>
      </w:r>
      <w:r w:rsidRPr="009156B5">
        <w:rPr>
          <w:rFonts w:ascii="Times New Roman" w:eastAsia="Times New Roman" w:hAnsi="Times New Roman" w:cs="Times New Roman"/>
          <w:color w:val="000000"/>
          <w:kern w:val="0"/>
          <w:sz w:val="24"/>
          <w:szCs w:val="24"/>
          <w:lang w:eastAsia="en-MY"/>
          <w14:ligatures w14:val="none"/>
        </w:rPr>
        <w:t>. [online] Available at: https://vlex.co.uk/vid/robinson-v-commissioners-of-806715449 [Accessed 10 Mar. 2023].</w:t>
      </w:r>
    </w:p>
    <w:p w14:paraId="29E00752"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1285A0EB"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roofErr w:type="spellStart"/>
      <w:r w:rsidRPr="009156B5">
        <w:rPr>
          <w:rFonts w:ascii="Times New Roman" w:eastAsia="Times New Roman" w:hAnsi="Times New Roman" w:cs="Times New Roman"/>
          <w:color w:val="000000"/>
          <w:kern w:val="0"/>
          <w:sz w:val="24"/>
          <w:szCs w:val="24"/>
          <w:lang w:eastAsia="en-MY"/>
          <w14:ligatures w14:val="none"/>
        </w:rPr>
        <w:t>vLex</w:t>
      </w:r>
      <w:proofErr w:type="spellEnd"/>
      <w:r w:rsidRPr="009156B5">
        <w:rPr>
          <w:rFonts w:ascii="Times New Roman" w:eastAsia="Times New Roman" w:hAnsi="Times New Roman" w:cs="Times New Roman"/>
          <w:color w:val="000000"/>
          <w:kern w:val="0"/>
          <w:sz w:val="24"/>
          <w:szCs w:val="24"/>
          <w:lang w:eastAsia="en-MY"/>
          <w14:ligatures w14:val="none"/>
        </w:rPr>
        <w:t xml:space="preserve">. (n.d.). </w:t>
      </w:r>
      <w:proofErr w:type="spellStart"/>
      <w:r w:rsidRPr="009156B5">
        <w:rPr>
          <w:rFonts w:ascii="Times New Roman" w:eastAsia="Times New Roman" w:hAnsi="Times New Roman" w:cs="Times New Roman"/>
          <w:i/>
          <w:iCs/>
          <w:color w:val="000000"/>
          <w:kern w:val="0"/>
          <w:sz w:val="24"/>
          <w:szCs w:val="24"/>
          <w:lang w:eastAsia="en-MY"/>
          <w14:ligatures w14:val="none"/>
        </w:rPr>
        <w:t>Triefus</w:t>
      </w:r>
      <w:proofErr w:type="spellEnd"/>
      <w:r w:rsidRPr="009156B5">
        <w:rPr>
          <w:rFonts w:ascii="Times New Roman" w:eastAsia="Times New Roman" w:hAnsi="Times New Roman" w:cs="Times New Roman"/>
          <w:i/>
          <w:iCs/>
          <w:color w:val="000000"/>
          <w:kern w:val="0"/>
          <w:sz w:val="24"/>
          <w:szCs w:val="24"/>
          <w:lang w:eastAsia="en-MY"/>
          <w14:ligatures w14:val="none"/>
        </w:rPr>
        <w:t xml:space="preserve"> &amp; Company Ltd v Post Office</w:t>
      </w:r>
      <w:r w:rsidRPr="009156B5">
        <w:rPr>
          <w:rFonts w:ascii="Times New Roman" w:eastAsia="Times New Roman" w:hAnsi="Times New Roman" w:cs="Times New Roman"/>
          <w:color w:val="000000"/>
          <w:kern w:val="0"/>
          <w:sz w:val="24"/>
          <w:szCs w:val="24"/>
          <w:lang w:eastAsia="en-MY"/>
          <w14:ligatures w14:val="none"/>
        </w:rPr>
        <w:t>. [online] Available at: https://vlex.co.uk/vid/triefus-company-ltd-v-793160245.</w:t>
      </w:r>
    </w:p>
    <w:p w14:paraId="2B7B1FD4"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p>
    <w:p w14:paraId="2D80D44B" w14:textId="77777777" w:rsidR="009156B5" w:rsidRPr="009156B5" w:rsidRDefault="009156B5" w:rsidP="009C6CE5">
      <w:pPr>
        <w:spacing w:after="0" w:line="360" w:lineRule="auto"/>
        <w:jc w:val="both"/>
        <w:rPr>
          <w:rFonts w:ascii="Times New Roman" w:eastAsia="Times New Roman" w:hAnsi="Times New Roman" w:cs="Times New Roman"/>
          <w:kern w:val="0"/>
          <w:sz w:val="24"/>
          <w:szCs w:val="24"/>
          <w:lang w:eastAsia="en-MY"/>
          <w14:ligatures w14:val="none"/>
        </w:rPr>
      </w:pPr>
      <w:r w:rsidRPr="009156B5">
        <w:rPr>
          <w:rFonts w:ascii="Times New Roman" w:eastAsia="Times New Roman" w:hAnsi="Times New Roman" w:cs="Times New Roman"/>
          <w:color w:val="000000"/>
          <w:kern w:val="0"/>
          <w:sz w:val="24"/>
          <w:szCs w:val="24"/>
          <w:lang w:eastAsia="en-MY"/>
          <w14:ligatures w14:val="none"/>
        </w:rPr>
        <w:t>‌</w:t>
      </w:r>
    </w:p>
    <w:p w14:paraId="3E914A2C" w14:textId="66729E1C" w:rsidR="003C3259" w:rsidRPr="009C6CE5" w:rsidRDefault="003C3259" w:rsidP="009C6CE5">
      <w:pPr>
        <w:tabs>
          <w:tab w:val="left" w:pos="4536"/>
        </w:tabs>
        <w:spacing w:line="360" w:lineRule="auto"/>
        <w:jc w:val="both"/>
        <w:rPr>
          <w:rFonts w:ascii="Times New Roman" w:hAnsi="Times New Roman" w:cs="Times New Roman"/>
          <w:sz w:val="24"/>
          <w:szCs w:val="24"/>
        </w:rPr>
      </w:pPr>
    </w:p>
    <w:sectPr w:rsidR="003C3259" w:rsidRPr="009C6CE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CEF77" w14:textId="77777777" w:rsidR="00B534B0" w:rsidRDefault="00B534B0" w:rsidP="009156B5">
      <w:pPr>
        <w:spacing w:after="0" w:line="240" w:lineRule="auto"/>
      </w:pPr>
      <w:r>
        <w:separator/>
      </w:r>
    </w:p>
  </w:endnote>
  <w:endnote w:type="continuationSeparator" w:id="0">
    <w:p w14:paraId="11F745EB" w14:textId="77777777" w:rsidR="00B534B0" w:rsidRDefault="00B534B0" w:rsidP="00915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056319"/>
      <w:docPartObj>
        <w:docPartGallery w:val="Page Numbers (Bottom of Page)"/>
        <w:docPartUnique/>
      </w:docPartObj>
    </w:sdtPr>
    <w:sdtEndPr>
      <w:rPr>
        <w:noProof/>
      </w:rPr>
    </w:sdtEndPr>
    <w:sdtContent>
      <w:p w14:paraId="374DEB25" w14:textId="71F560E5" w:rsidR="009156B5" w:rsidRDefault="009156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6BA8CE" w14:textId="77777777" w:rsidR="009156B5" w:rsidRDefault="00915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4DE4A" w14:textId="77777777" w:rsidR="00B534B0" w:rsidRDefault="00B534B0" w:rsidP="009156B5">
      <w:pPr>
        <w:spacing w:after="0" w:line="240" w:lineRule="auto"/>
      </w:pPr>
      <w:r>
        <w:separator/>
      </w:r>
    </w:p>
  </w:footnote>
  <w:footnote w:type="continuationSeparator" w:id="0">
    <w:p w14:paraId="7E39DE3B" w14:textId="77777777" w:rsidR="00B534B0" w:rsidRDefault="00B534B0" w:rsidP="009156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44FD"/>
    <w:rsid w:val="00015CC4"/>
    <w:rsid w:val="0020499C"/>
    <w:rsid w:val="00285325"/>
    <w:rsid w:val="00286C5C"/>
    <w:rsid w:val="002B3307"/>
    <w:rsid w:val="00343E17"/>
    <w:rsid w:val="00387309"/>
    <w:rsid w:val="00387F09"/>
    <w:rsid w:val="003935F2"/>
    <w:rsid w:val="003944FD"/>
    <w:rsid w:val="003C3259"/>
    <w:rsid w:val="003F3B17"/>
    <w:rsid w:val="00450DDA"/>
    <w:rsid w:val="00466CA5"/>
    <w:rsid w:val="00471CC7"/>
    <w:rsid w:val="004A6D92"/>
    <w:rsid w:val="00503A4E"/>
    <w:rsid w:val="00594E33"/>
    <w:rsid w:val="005A0F14"/>
    <w:rsid w:val="006571DB"/>
    <w:rsid w:val="00666673"/>
    <w:rsid w:val="006849BD"/>
    <w:rsid w:val="006B484D"/>
    <w:rsid w:val="006D6A75"/>
    <w:rsid w:val="006E31D0"/>
    <w:rsid w:val="006E6BA4"/>
    <w:rsid w:val="00711517"/>
    <w:rsid w:val="00877A67"/>
    <w:rsid w:val="008A6E91"/>
    <w:rsid w:val="009156B5"/>
    <w:rsid w:val="009C6CE5"/>
    <w:rsid w:val="009D2AD0"/>
    <w:rsid w:val="00A07C74"/>
    <w:rsid w:val="00A11871"/>
    <w:rsid w:val="00A23796"/>
    <w:rsid w:val="00A45EF4"/>
    <w:rsid w:val="00A61B3C"/>
    <w:rsid w:val="00A81139"/>
    <w:rsid w:val="00AF6F27"/>
    <w:rsid w:val="00B534B0"/>
    <w:rsid w:val="00B67ECC"/>
    <w:rsid w:val="00B723BD"/>
    <w:rsid w:val="00B779E8"/>
    <w:rsid w:val="00C41163"/>
    <w:rsid w:val="00C46D63"/>
    <w:rsid w:val="00C62B3B"/>
    <w:rsid w:val="00C65279"/>
    <w:rsid w:val="00CB4C00"/>
    <w:rsid w:val="00CC4C86"/>
    <w:rsid w:val="00CE31C5"/>
    <w:rsid w:val="00D06737"/>
    <w:rsid w:val="00D17442"/>
    <w:rsid w:val="00D33928"/>
    <w:rsid w:val="00E0365C"/>
    <w:rsid w:val="00E9550B"/>
    <w:rsid w:val="00F05C6A"/>
    <w:rsid w:val="00FE222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D538F"/>
  <w15:docId w15:val="{01372E41-9DFE-4A4F-9777-E4A16425E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E2223"/>
    <w:rPr>
      <w:b/>
      <w:bCs/>
    </w:rPr>
  </w:style>
  <w:style w:type="paragraph" w:styleId="NormalWeb">
    <w:name w:val="Normal (Web)"/>
    <w:basedOn w:val="Normal"/>
    <w:uiPriority w:val="99"/>
    <w:unhideWhenUsed/>
    <w:rsid w:val="00387F09"/>
    <w:pPr>
      <w:spacing w:before="100" w:beforeAutospacing="1" w:after="100" w:afterAutospacing="1" w:line="240" w:lineRule="auto"/>
    </w:pPr>
    <w:rPr>
      <w:rFonts w:ascii="Times New Roman" w:eastAsia="Times New Roman" w:hAnsi="Times New Roman" w:cs="Times New Roman"/>
      <w:kern w:val="0"/>
      <w:sz w:val="24"/>
      <w:szCs w:val="24"/>
      <w:lang w:eastAsia="en-MY"/>
    </w:rPr>
  </w:style>
  <w:style w:type="character" w:customStyle="1" w:styleId="sssh">
    <w:name w:val="ss_sh"/>
    <w:basedOn w:val="DefaultParagraphFont"/>
    <w:rsid w:val="003F3B17"/>
  </w:style>
  <w:style w:type="character" w:customStyle="1" w:styleId="apple-tab-span">
    <w:name w:val="apple-tab-span"/>
    <w:basedOn w:val="DefaultParagraphFont"/>
    <w:rsid w:val="0020499C"/>
  </w:style>
  <w:style w:type="paragraph" w:styleId="Header">
    <w:name w:val="header"/>
    <w:basedOn w:val="Normal"/>
    <w:link w:val="HeaderChar"/>
    <w:uiPriority w:val="99"/>
    <w:unhideWhenUsed/>
    <w:rsid w:val="00915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6B5"/>
  </w:style>
  <w:style w:type="paragraph" w:styleId="Footer">
    <w:name w:val="footer"/>
    <w:basedOn w:val="Normal"/>
    <w:link w:val="FooterChar"/>
    <w:uiPriority w:val="99"/>
    <w:unhideWhenUsed/>
    <w:rsid w:val="00915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6B5"/>
  </w:style>
  <w:style w:type="table" w:styleId="TableGrid">
    <w:name w:val="Table Grid"/>
    <w:basedOn w:val="TableNormal"/>
    <w:uiPriority w:val="39"/>
    <w:rsid w:val="00286C5C"/>
    <w:pPr>
      <w:widowControl w:val="0"/>
      <w:jc w:val="both"/>
    </w:pPr>
    <w:rPr>
      <w:rFonts w:ascii="Times New Roman" w:eastAsia="SimSun" w:hAnsi="Times New Roman" w:cs="Times New Roman"/>
      <w:kern w:val="0"/>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30652">
      <w:bodyDiv w:val="1"/>
      <w:marLeft w:val="0"/>
      <w:marRight w:val="0"/>
      <w:marTop w:val="0"/>
      <w:marBottom w:val="0"/>
      <w:divBdr>
        <w:top w:val="none" w:sz="0" w:space="0" w:color="auto"/>
        <w:left w:val="none" w:sz="0" w:space="0" w:color="auto"/>
        <w:bottom w:val="none" w:sz="0" w:space="0" w:color="auto"/>
        <w:right w:val="none" w:sz="0" w:space="0" w:color="auto"/>
      </w:divBdr>
    </w:div>
    <w:div w:id="371661679">
      <w:bodyDiv w:val="1"/>
      <w:marLeft w:val="0"/>
      <w:marRight w:val="0"/>
      <w:marTop w:val="0"/>
      <w:marBottom w:val="0"/>
      <w:divBdr>
        <w:top w:val="none" w:sz="0" w:space="0" w:color="auto"/>
        <w:left w:val="none" w:sz="0" w:space="0" w:color="auto"/>
        <w:bottom w:val="none" w:sz="0" w:space="0" w:color="auto"/>
        <w:right w:val="none" w:sz="0" w:space="0" w:color="auto"/>
      </w:divBdr>
    </w:div>
    <w:div w:id="923951266">
      <w:bodyDiv w:val="1"/>
      <w:marLeft w:val="0"/>
      <w:marRight w:val="0"/>
      <w:marTop w:val="0"/>
      <w:marBottom w:val="0"/>
      <w:divBdr>
        <w:top w:val="none" w:sz="0" w:space="0" w:color="auto"/>
        <w:left w:val="none" w:sz="0" w:space="0" w:color="auto"/>
        <w:bottom w:val="none" w:sz="0" w:space="0" w:color="auto"/>
        <w:right w:val="none" w:sz="0" w:space="0" w:color="auto"/>
      </w:divBdr>
    </w:div>
    <w:div w:id="1066874209">
      <w:bodyDiv w:val="1"/>
      <w:marLeft w:val="0"/>
      <w:marRight w:val="0"/>
      <w:marTop w:val="0"/>
      <w:marBottom w:val="0"/>
      <w:divBdr>
        <w:top w:val="none" w:sz="0" w:space="0" w:color="auto"/>
        <w:left w:val="none" w:sz="0" w:space="0" w:color="auto"/>
        <w:bottom w:val="none" w:sz="0" w:space="0" w:color="auto"/>
        <w:right w:val="none" w:sz="0" w:space="0" w:color="auto"/>
      </w:divBdr>
    </w:div>
    <w:div w:id="1386559997">
      <w:bodyDiv w:val="1"/>
      <w:marLeft w:val="0"/>
      <w:marRight w:val="0"/>
      <w:marTop w:val="0"/>
      <w:marBottom w:val="0"/>
      <w:divBdr>
        <w:top w:val="none" w:sz="0" w:space="0" w:color="auto"/>
        <w:left w:val="none" w:sz="0" w:space="0" w:color="auto"/>
        <w:bottom w:val="none" w:sz="0" w:space="0" w:color="auto"/>
        <w:right w:val="none" w:sz="0" w:space="0" w:color="auto"/>
      </w:divBdr>
    </w:div>
    <w:div w:id="1653294680">
      <w:bodyDiv w:val="1"/>
      <w:marLeft w:val="0"/>
      <w:marRight w:val="0"/>
      <w:marTop w:val="0"/>
      <w:marBottom w:val="0"/>
      <w:divBdr>
        <w:top w:val="none" w:sz="0" w:space="0" w:color="auto"/>
        <w:left w:val="none" w:sz="0" w:space="0" w:color="auto"/>
        <w:bottom w:val="none" w:sz="0" w:space="0" w:color="auto"/>
        <w:right w:val="none" w:sz="0" w:space="0" w:color="auto"/>
      </w:divBdr>
    </w:div>
    <w:div w:id="1960136831">
      <w:bodyDiv w:val="1"/>
      <w:marLeft w:val="0"/>
      <w:marRight w:val="0"/>
      <w:marTop w:val="0"/>
      <w:marBottom w:val="0"/>
      <w:divBdr>
        <w:top w:val="none" w:sz="0" w:space="0" w:color="auto"/>
        <w:left w:val="none" w:sz="0" w:space="0" w:color="auto"/>
        <w:bottom w:val="none" w:sz="0" w:space="0" w:color="auto"/>
        <w:right w:val="none" w:sz="0" w:space="0" w:color="auto"/>
      </w:divBdr>
    </w:div>
    <w:div w:id="2029522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2307</Words>
  <Characters>12416</Characters>
  <Application>Microsoft Office Word</Application>
  <DocSecurity>0</DocSecurity>
  <Lines>400</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0131961</dc:creator>
  <cp:keywords/>
  <dc:description/>
  <cp:lastModifiedBy>0131961</cp:lastModifiedBy>
  <cp:revision>2</cp:revision>
  <dcterms:created xsi:type="dcterms:W3CDTF">2023-03-10T20:52:00Z</dcterms:created>
  <dcterms:modified xsi:type="dcterms:W3CDTF">2023-03-10T20:52:00Z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063080b8-d796-4bfb-8abb-91436a66c853</vt:lpwstr>
  </property>
</Properties>
</file>