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E63D29" w14:textId="229B8B39" w:rsidR="00AC5CFE" w:rsidRDefault="00D04B55" w:rsidP="00D04B55">
      <w:pPr>
        <w:rPr>
          <w:b/>
          <w:sz w:val="28"/>
          <w:szCs w:val="28"/>
          <w:lang w:bidi="he-IL"/>
        </w:rPr>
      </w:pPr>
      <w:r w:rsidRPr="00D04B55">
        <w:rPr>
          <w:b/>
          <w:sz w:val="28"/>
          <w:szCs w:val="28"/>
          <w:lang w:bidi="he-IL"/>
        </w:rPr>
        <w:t xml:space="preserve">Book Review: </w:t>
      </w:r>
      <w:bookmarkStart w:id="0" w:name="_Hlk533688328"/>
      <w:r w:rsidRPr="00D04B55">
        <w:rPr>
          <w:b/>
          <w:sz w:val="28"/>
          <w:szCs w:val="28"/>
          <w:lang w:bidi="he-IL"/>
        </w:rPr>
        <w:t>Eliade, Mircea. </w:t>
      </w:r>
      <w:r w:rsidRPr="00D04B55">
        <w:rPr>
          <w:b/>
          <w:i/>
          <w:iCs/>
          <w:sz w:val="28"/>
          <w:szCs w:val="28"/>
          <w:lang w:bidi="he-IL"/>
        </w:rPr>
        <w:t>The Sacred and the Profane. The Nature of Religion.</w:t>
      </w:r>
      <w:r w:rsidRPr="00D04B55">
        <w:rPr>
          <w:b/>
          <w:sz w:val="28"/>
          <w:szCs w:val="28"/>
          <w:lang w:bidi="he-IL"/>
        </w:rPr>
        <w:t xml:space="preserve"> Harcourt, New York: 1959 (Translation by Trask, Willard R.)</w:t>
      </w:r>
      <w:bookmarkEnd w:id="0"/>
    </w:p>
    <w:p w14:paraId="4438DB01" w14:textId="54369246" w:rsidR="00836800" w:rsidRDefault="00836800" w:rsidP="00D04B55">
      <w:pPr>
        <w:rPr>
          <w:b/>
          <w:sz w:val="28"/>
          <w:szCs w:val="28"/>
        </w:rPr>
      </w:pPr>
    </w:p>
    <w:p w14:paraId="4C966A42" w14:textId="2965056B" w:rsidR="00836800" w:rsidRDefault="00836800" w:rsidP="00D04B55">
      <w:pPr>
        <w:rPr>
          <w:color w:val="000000"/>
          <w:sz w:val="28"/>
          <w:szCs w:val="28"/>
        </w:rPr>
      </w:pPr>
      <w:r>
        <w:rPr>
          <w:sz w:val="28"/>
          <w:szCs w:val="28"/>
        </w:rPr>
        <w:t>The Sacred and the Profane belongs to a series of books conceived, written, revised and translated between</w:t>
      </w:r>
      <w:r w:rsidR="009F4822">
        <w:rPr>
          <w:sz w:val="28"/>
          <w:szCs w:val="28"/>
        </w:rPr>
        <w:t xml:space="preserve"> the mid-1940s and 1960s. During this </w:t>
      </w:r>
      <w:r w:rsidR="00901A5B">
        <w:rPr>
          <w:sz w:val="28"/>
          <w:szCs w:val="28"/>
        </w:rPr>
        <w:t>period</w:t>
      </w:r>
      <w:r w:rsidR="009F4822">
        <w:rPr>
          <w:sz w:val="28"/>
          <w:szCs w:val="28"/>
        </w:rPr>
        <w:t xml:space="preserve">, Mircea Eliade also published Shamanism, Archaic Techniques of Ecstasy, and The Myth of the Eternal Return, or Cosmos and History. Whilst his book on shamanism has retained </w:t>
      </w:r>
      <w:r w:rsidR="00A052E2">
        <w:rPr>
          <w:sz w:val="28"/>
          <w:szCs w:val="28"/>
        </w:rPr>
        <w:t xml:space="preserve">a </w:t>
      </w:r>
      <w:r w:rsidR="009F4822">
        <w:rPr>
          <w:sz w:val="28"/>
          <w:szCs w:val="28"/>
        </w:rPr>
        <w:t xml:space="preserve">classic </w:t>
      </w:r>
      <w:r w:rsidR="00624CF3">
        <w:rPr>
          <w:sz w:val="28"/>
          <w:szCs w:val="28"/>
        </w:rPr>
        <w:t xml:space="preserve">status </w:t>
      </w:r>
      <w:r w:rsidR="00624CF3" w:rsidRPr="00624CF3">
        <w:rPr>
          <w:sz w:val="28"/>
          <w:szCs w:val="28"/>
        </w:rPr>
        <w:t>(</w:t>
      </w:r>
      <w:r w:rsidR="00624CF3" w:rsidRPr="00624CF3">
        <w:rPr>
          <w:color w:val="000000"/>
          <w:sz w:val="28"/>
          <w:szCs w:val="28"/>
        </w:rPr>
        <w:t>Znamenski</w:t>
      </w:r>
      <w:r w:rsidR="00052083">
        <w:rPr>
          <w:color w:val="000000"/>
          <w:sz w:val="28"/>
          <w:szCs w:val="28"/>
        </w:rPr>
        <w:t>,</w:t>
      </w:r>
      <w:r w:rsidR="00030E25">
        <w:rPr>
          <w:color w:val="000000"/>
          <w:sz w:val="28"/>
          <w:szCs w:val="28"/>
        </w:rPr>
        <w:t xml:space="preserve"> 2007</w:t>
      </w:r>
      <w:r w:rsidR="00624CF3">
        <w:rPr>
          <w:color w:val="000000"/>
          <w:sz w:val="28"/>
          <w:szCs w:val="28"/>
        </w:rPr>
        <w:t>), Eliade</w:t>
      </w:r>
      <w:r w:rsidR="00042C78">
        <w:rPr>
          <w:color w:val="000000"/>
          <w:sz w:val="28"/>
          <w:szCs w:val="28"/>
        </w:rPr>
        <w:t xml:space="preserve">’s </w:t>
      </w:r>
      <w:r w:rsidR="00901A5B">
        <w:rPr>
          <w:color w:val="000000"/>
          <w:sz w:val="28"/>
          <w:szCs w:val="28"/>
        </w:rPr>
        <w:t xml:space="preserve">more </w:t>
      </w:r>
      <w:r w:rsidR="00042C78">
        <w:rPr>
          <w:color w:val="000000"/>
          <w:sz w:val="28"/>
          <w:szCs w:val="28"/>
        </w:rPr>
        <w:t xml:space="preserve">generalised </w:t>
      </w:r>
      <w:r w:rsidR="00901A5B">
        <w:rPr>
          <w:color w:val="000000"/>
          <w:sz w:val="28"/>
          <w:szCs w:val="28"/>
        </w:rPr>
        <w:t>extrapolations</w:t>
      </w:r>
      <w:r w:rsidR="00042C78">
        <w:rPr>
          <w:color w:val="000000"/>
          <w:sz w:val="28"/>
          <w:szCs w:val="28"/>
        </w:rPr>
        <w:t xml:space="preserve"> on</w:t>
      </w:r>
      <w:r w:rsidR="00624CF3">
        <w:rPr>
          <w:color w:val="000000"/>
          <w:sz w:val="28"/>
          <w:szCs w:val="28"/>
        </w:rPr>
        <w:t xml:space="preserve"> the nature of religion</w:t>
      </w:r>
      <w:r w:rsidR="00042C78">
        <w:rPr>
          <w:color w:val="000000"/>
          <w:sz w:val="28"/>
          <w:szCs w:val="28"/>
        </w:rPr>
        <w:t xml:space="preserve"> and religious cosmology became the subject of </w:t>
      </w:r>
      <w:r w:rsidR="00BE491D">
        <w:rPr>
          <w:color w:val="000000"/>
          <w:sz w:val="28"/>
          <w:szCs w:val="28"/>
        </w:rPr>
        <w:t xml:space="preserve">increasing </w:t>
      </w:r>
      <w:r w:rsidR="005D2513">
        <w:rPr>
          <w:color w:val="000000"/>
          <w:sz w:val="28"/>
          <w:szCs w:val="28"/>
        </w:rPr>
        <w:t xml:space="preserve">academic </w:t>
      </w:r>
      <w:r w:rsidR="00042C78">
        <w:rPr>
          <w:color w:val="000000"/>
          <w:sz w:val="28"/>
          <w:szCs w:val="28"/>
        </w:rPr>
        <w:t xml:space="preserve">criticism from the </w:t>
      </w:r>
      <w:r w:rsidR="00901A5B">
        <w:rPr>
          <w:color w:val="000000"/>
          <w:sz w:val="28"/>
          <w:szCs w:val="28"/>
        </w:rPr>
        <w:t>late 1960s</w:t>
      </w:r>
      <w:r w:rsidR="00042C78">
        <w:rPr>
          <w:color w:val="000000"/>
          <w:sz w:val="28"/>
          <w:szCs w:val="28"/>
        </w:rPr>
        <w:t xml:space="preserve"> (</w:t>
      </w:r>
      <w:r w:rsidR="00901A5B">
        <w:rPr>
          <w:color w:val="000000"/>
          <w:sz w:val="28"/>
          <w:szCs w:val="28"/>
        </w:rPr>
        <w:t xml:space="preserve">eg </w:t>
      </w:r>
      <w:r w:rsidR="00042C78">
        <w:rPr>
          <w:color w:val="000000"/>
          <w:sz w:val="28"/>
          <w:szCs w:val="28"/>
        </w:rPr>
        <w:t>Smith</w:t>
      </w:r>
      <w:r w:rsidR="006143B8">
        <w:rPr>
          <w:color w:val="000000"/>
          <w:sz w:val="28"/>
          <w:szCs w:val="28"/>
        </w:rPr>
        <w:t>,</w:t>
      </w:r>
      <w:r w:rsidR="00030E25">
        <w:rPr>
          <w:color w:val="000000"/>
          <w:sz w:val="28"/>
          <w:szCs w:val="28"/>
        </w:rPr>
        <w:t xml:space="preserve"> 1972</w:t>
      </w:r>
      <w:r w:rsidR="00042C78">
        <w:rPr>
          <w:color w:val="000000"/>
          <w:sz w:val="28"/>
          <w:szCs w:val="28"/>
        </w:rPr>
        <w:t>)</w:t>
      </w:r>
      <w:r w:rsidR="00052083">
        <w:rPr>
          <w:color w:val="000000"/>
          <w:sz w:val="28"/>
          <w:szCs w:val="28"/>
        </w:rPr>
        <w:t>, and</w:t>
      </w:r>
      <w:r w:rsidR="006143B8">
        <w:rPr>
          <w:color w:val="000000"/>
          <w:sz w:val="28"/>
          <w:szCs w:val="28"/>
        </w:rPr>
        <w:t xml:space="preserve"> </w:t>
      </w:r>
      <w:r w:rsidR="00901A5B">
        <w:rPr>
          <w:color w:val="000000"/>
          <w:sz w:val="28"/>
          <w:szCs w:val="28"/>
        </w:rPr>
        <w:t xml:space="preserve">many </w:t>
      </w:r>
      <w:r w:rsidR="006143B8">
        <w:rPr>
          <w:color w:val="000000"/>
          <w:sz w:val="28"/>
          <w:szCs w:val="28"/>
        </w:rPr>
        <w:t xml:space="preserve">specialised </w:t>
      </w:r>
      <w:r w:rsidR="00052083">
        <w:rPr>
          <w:color w:val="000000"/>
          <w:sz w:val="28"/>
          <w:szCs w:val="28"/>
        </w:rPr>
        <w:t xml:space="preserve">contemporary scholars </w:t>
      </w:r>
      <w:r w:rsidR="006143B8">
        <w:rPr>
          <w:color w:val="000000"/>
          <w:sz w:val="28"/>
          <w:szCs w:val="28"/>
        </w:rPr>
        <w:t>are circumspect about - or avoid altogether - referencing his over-arching paradigmatic theories.</w:t>
      </w:r>
      <w:r w:rsidR="00624CF3">
        <w:rPr>
          <w:color w:val="000000"/>
          <w:sz w:val="28"/>
          <w:szCs w:val="28"/>
        </w:rPr>
        <w:t xml:space="preserve"> </w:t>
      </w:r>
      <w:r w:rsidR="006143B8">
        <w:rPr>
          <w:color w:val="000000"/>
          <w:sz w:val="28"/>
          <w:szCs w:val="28"/>
        </w:rPr>
        <w:t>(O</w:t>
      </w:r>
      <w:r w:rsidR="006143B8" w:rsidRPr="006143B8">
        <w:rPr>
          <w:color w:val="000000"/>
          <w:sz w:val="28"/>
          <w:szCs w:val="28"/>
        </w:rPr>
        <w:t>estigaard</w:t>
      </w:r>
      <w:r w:rsidR="00030E25">
        <w:rPr>
          <w:color w:val="000000"/>
          <w:sz w:val="28"/>
          <w:szCs w:val="28"/>
        </w:rPr>
        <w:t>, 2011</w:t>
      </w:r>
      <w:r w:rsidR="006143B8">
        <w:rPr>
          <w:color w:val="000000"/>
          <w:sz w:val="28"/>
          <w:szCs w:val="28"/>
        </w:rPr>
        <w:t xml:space="preserve">). </w:t>
      </w:r>
      <w:r w:rsidR="007E6B41">
        <w:rPr>
          <w:color w:val="000000"/>
          <w:sz w:val="28"/>
          <w:szCs w:val="28"/>
        </w:rPr>
        <w:t>Yet the key concepts promoted in The Sacred and the Profane</w:t>
      </w:r>
      <w:r w:rsidR="00967BAE">
        <w:rPr>
          <w:color w:val="000000"/>
          <w:sz w:val="28"/>
          <w:szCs w:val="28"/>
        </w:rPr>
        <w:t xml:space="preserve"> </w:t>
      </w:r>
      <w:r w:rsidR="00901A5B">
        <w:rPr>
          <w:color w:val="000000"/>
          <w:sz w:val="28"/>
          <w:szCs w:val="28"/>
        </w:rPr>
        <w:t xml:space="preserve">still </w:t>
      </w:r>
      <w:r w:rsidR="006143B8">
        <w:rPr>
          <w:color w:val="000000"/>
          <w:sz w:val="28"/>
          <w:szCs w:val="28"/>
        </w:rPr>
        <w:t>re</w:t>
      </w:r>
      <w:r w:rsidR="00021F91">
        <w:rPr>
          <w:color w:val="000000"/>
          <w:sz w:val="28"/>
          <w:szCs w:val="28"/>
        </w:rPr>
        <w:t>tain</w:t>
      </w:r>
      <w:r w:rsidR="006143B8">
        <w:rPr>
          <w:color w:val="000000"/>
          <w:sz w:val="28"/>
          <w:szCs w:val="28"/>
        </w:rPr>
        <w:t xml:space="preserve"> </w:t>
      </w:r>
      <w:r w:rsidR="00937E21">
        <w:rPr>
          <w:color w:val="000000"/>
          <w:sz w:val="28"/>
          <w:szCs w:val="28"/>
        </w:rPr>
        <w:t>a</w:t>
      </w:r>
      <w:r w:rsidR="00021F91">
        <w:rPr>
          <w:color w:val="000000"/>
          <w:sz w:val="28"/>
          <w:szCs w:val="28"/>
        </w:rPr>
        <w:t xml:space="preserve"> significant interest for academics and others </w:t>
      </w:r>
      <w:r w:rsidR="007E6B41">
        <w:rPr>
          <w:color w:val="000000"/>
          <w:sz w:val="28"/>
          <w:szCs w:val="28"/>
        </w:rPr>
        <w:t>(Barth</w:t>
      </w:r>
      <w:r w:rsidR="003556DD">
        <w:rPr>
          <w:color w:val="000000"/>
          <w:sz w:val="28"/>
          <w:szCs w:val="28"/>
        </w:rPr>
        <w:t>,</w:t>
      </w:r>
      <w:r w:rsidR="007E6B41">
        <w:rPr>
          <w:color w:val="000000"/>
          <w:sz w:val="28"/>
          <w:szCs w:val="28"/>
        </w:rPr>
        <w:t xml:space="preserve"> 2013)</w:t>
      </w:r>
      <w:r w:rsidR="005D2513">
        <w:rPr>
          <w:color w:val="000000"/>
          <w:sz w:val="28"/>
          <w:szCs w:val="28"/>
        </w:rPr>
        <w:t>.</w:t>
      </w:r>
    </w:p>
    <w:p w14:paraId="03355492" w14:textId="2FFA124C" w:rsidR="005D2513" w:rsidRDefault="005D2513" w:rsidP="00D04B55">
      <w:pPr>
        <w:rPr>
          <w:color w:val="000000"/>
          <w:sz w:val="28"/>
          <w:szCs w:val="28"/>
        </w:rPr>
      </w:pPr>
    </w:p>
    <w:p w14:paraId="279CBC5D" w14:textId="619AC840" w:rsidR="005D2513" w:rsidRDefault="005D2513" w:rsidP="00D04B55">
      <w:pPr>
        <w:rPr>
          <w:color w:val="000000"/>
          <w:sz w:val="28"/>
          <w:szCs w:val="28"/>
        </w:rPr>
      </w:pPr>
      <w:r>
        <w:rPr>
          <w:color w:val="000000"/>
          <w:sz w:val="28"/>
          <w:szCs w:val="28"/>
        </w:rPr>
        <w:t>This review briefly considers the c</w:t>
      </w:r>
      <w:r w:rsidR="00F855FD">
        <w:rPr>
          <w:color w:val="000000"/>
          <w:sz w:val="28"/>
          <w:szCs w:val="28"/>
        </w:rPr>
        <w:t>ore</w:t>
      </w:r>
      <w:r>
        <w:rPr>
          <w:color w:val="000000"/>
          <w:sz w:val="28"/>
          <w:szCs w:val="28"/>
        </w:rPr>
        <w:t xml:space="preserve"> ideas of what Barth describes as one of Eliade’s “central publications”, the other being The Myth of the Eternal Return (which the author considered his most important work). </w:t>
      </w:r>
      <w:r w:rsidR="00FD5884">
        <w:rPr>
          <w:color w:val="000000"/>
          <w:sz w:val="28"/>
          <w:szCs w:val="28"/>
        </w:rPr>
        <w:t xml:space="preserve">It will also refer to Shamanism, a book which offers important insights into Eliade’s cosmological thinking: </w:t>
      </w:r>
      <w:r w:rsidR="00967BAE">
        <w:rPr>
          <w:color w:val="000000"/>
          <w:sz w:val="28"/>
          <w:szCs w:val="28"/>
        </w:rPr>
        <w:t xml:space="preserve">in its </w:t>
      </w:r>
      <w:r w:rsidR="00FD5884">
        <w:rPr>
          <w:color w:val="000000"/>
          <w:sz w:val="28"/>
          <w:szCs w:val="28"/>
        </w:rPr>
        <w:t xml:space="preserve">emphasis on the Axis Mundi, for instance. Jonathan Z Smith’s </w:t>
      </w:r>
      <w:r w:rsidR="00BA0C7C">
        <w:rPr>
          <w:color w:val="000000"/>
          <w:sz w:val="28"/>
          <w:szCs w:val="28"/>
        </w:rPr>
        <w:t xml:space="preserve">1972 seminal </w:t>
      </w:r>
      <w:r w:rsidR="00967BAE">
        <w:rPr>
          <w:color w:val="000000"/>
          <w:sz w:val="28"/>
          <w:szCs w:val="28"/>
        </w:rPr>
        <w:t xml:space="preserve">criticism in The Wobbling Pivot is also </w:t>
      </w:r>
      <w:r w:rsidR="00A052E2">
        <w:rPr>
          <w:color w:val="000000"/>
          <w:sz w:val="28"/>
          <w:szCs w:val="28"/>
        </w:rPr>
        <w:t>mentioned</w:t>
      </w:r>
      <w:r w:rsidR="00967BAE">
        <w:rPr>
          <w:color w:val="000000"/>
          <w:sz w:val="28"/>
          <w:szCs w:val="28"/>
        </w:rPr>
        <w:t xml:space="preserve">, as is Terje Oestigaard’s more </w:t>
      </w:r>
      <w:r w:rsidR="00901A5B">
        <w:rPr>
          <w:color w:val="000000"/>
          <w:sz w:val="28"/>
          <w:szCs w:val="28"/>
        </w:rPr>
        <w:t>recent</w:t>
      </w:r>
      <w:r w:rsidR="00967BAE">
        <w:rPr>
          <w:color w:val="000000"/>
          <w:sz w:val="28"/>
          <w:szCs w:val="28"/>
        </w:rPr>
        <w:t xml:space="preserve"> critique of Eliade. Finally, a case is made for the enduring value of his contribution to the study of religions, ancient and modern.</w:t>
      </w:r>
    </w:p>
    <w:p w14:paraId="305101DB" w14:textId="2EC0E9D4" w:rsidR="00FF64C5" w:rsidRDefault="00FF64C5" w:rsidP="00D04B55">
      <w:pPr>
        <w:rPr>
          <w:color w:val="000000"/>
          <w:sz w:val="28"/>
          <w:szCs w:val="28"/>
        </w:rPr>
      </w:pPr>
    </w:p>
    <w:p w14:paraId="39D7377E" w14:textId="64B070DE" w:rsidR="00FF64C5" w:rsidRDefault="00FF64C5" w:rsidP="00D04B55">
      <w:pPr>
        <w:rPr>
          <w:color w:val="000000"/>
          <w:sz w:val="28"/>
          <w:szCs w:val="28"/>
        </w:rPr>
      </w:pPr>
      <w:r>
        <w:rPr>
          <w:color w:val="000000"/>
          <w:sz w:val="28"/>
          <w:szCs w:val="28"/>
        </w:rPr>
        <w:t xml:space="preserve">The Sacred and the Profane begins with a discussion of </w:t>
      </w:r>
      <w:r w:rsidR="007440BA">
        <w:rPr>
          <w:color w:val="000000"/>
          <w:sz w:val="28"/>
          <w:szCs w:val="28"/>
        </w:rPr>
        <w:t xml:space="preserve">vital </w:t>
      </w:r>
      <w:r w:rsidR="00CE1B95">
        <w:rPr>
          <w:color w:val="000000"/>
          <w:sz w:val="28"/>
          <w:szCs w:val="28"/>
        </w:rPr>
        <w:t xml:space="preserve">terminology. Sacredness is </w:t>
      </w:r>
      <w:r w:rsidR="00A052E2">
        <w:rPr>
          <w:color w:val="000000"/>
          <w:sz w:val="28"/>
          <w:szCs w:val="28"/>
        </w:rPr>
        <w:t>associated</w:t>
      </w:r>
      <w:r w:rsidR="00CE1B95">
        <w:rPr>
          <w:color w:val="000000"/>
          <w:sz w:val="28"/>
          <w:szCs w:val="28"/>
        </w:rPr>
        <w:t xml:space="preserve"> with Rudolf</w:t>
      </w:r>
      <w:r w:rsidR="00CE0074">
        <w:rPr>
          <w:color w:val="000000"/>
          <w:sz w:val="28"/>
          <w:szCs w:val="28"/>
        </w:rPr>
        <w:t xml:space="preserve"> Otto’s </w:t>
      </w:r>
      <w:r w:rsidR="00CE1B95">
        <w:rPr>
          <w:color w:val="000000"/>
          <w:sz w:val="28"/>
          <w:szCs w:val="28"/>
        </w:rPr>
        <w:t xml:space="preserve">concept of the numinous and also “the equivalent of power”. Hierophanies are “manifestations of sacred realities”, </w:t>
      </w:r>
      <w:r w:rsidR="00A052E2">
        <w:rPr>
          <w:color w:val="000000"/>
          <w:sz w:val="28"/>
          <w:szCs w:val="28"/>
        </w:rPr>
        <w:t>exemplified</w:t>
      </w:r>
      <w:r w:rsidR="00304B16">
        <w:rPr>
          <w:color w:val="000000"/>
          <w:sz w:val="28"/>
          <w:szCs w:val="28"/>
        </w:rPr>
        <w:t xml:space="preserve"> in</w:t>
      </w:r>
      <w:r w:rsidR="00A052E2">
        <w:rPr>
          <w:color w:val="000000"/>
          <w:sz w:val="28"/>
          <w:szCs w:val="28"/>
        </w:rPr>
        <w:t xml:space="preserve"> </w:t>
      </w:r>
      <w:r w:rsidR="00CE1B95">
        <w:rPr>
          <w:color w:val="000000"/>
          <w:sz w:val="28"/>
          <w:szCs w:val="28"/>
        </w:rPr>
        <w:t>sacred space, the subject of the first chapter. This explores Eliade’s proposition that “religious man has always sought to fix his abode at the centre of the world”</w:t>
      </w:r>
      <w:r w:rsidR="00CE0074">
        <w:rPr>
          <w:color w:val="000000"/>
          <w:sz w:val="28"/>
          <w:szCs w:val="28"/>
        </w:rPr>
        <w:t xml:space="preserve"> which, co-located with the Axis Mundi, or sacred pillar, provides a</w:t>
      </w:r>
      <w:r w:rsidR="005604DC">
        <w:rPr>
          <w:color w:val="000000"/>
          <w:sz w:val="28"/>
          <w:szCs w:val="28"/>
        </w:rPr>
        <w:t xml:space="preserve"> gateway </w:t>
      </w:r>
      <w:r w:rsidR="00CE0074">
        <w:rPr>
          <w:color w:val="000000"/>
          <w:sz w:val="28"/>
          <w:szCs w:val="28"/>
        </w:rPr>
        <w:t xml:space="preserve">to the “three cosmic levels”, corresponding to </w:t>
      </w:r>
      <w:r w:rsidR="002A579E">
        <w:rPr>
          <w:color w:val="000000"/>
          <w:sz w:val="28"/>
          <w:szCs w:val="28"/>
        </w:rPr>
        <w:t>the lower, middle and upper worlds</w:t>
      </w:r>
      <w:r w:rsidR="00CE1B95">
        <w:rPr>
          <w:color w:val="000000"/>
          <w:sz w:val="28"/>
          <w:szCs w:val="28"/>
        </w:rPr>
        <w:t xml:space="preserve"> </w:t>
      </w:r>
      <w:r w:rsidR="002A579E">
        <w:rPr>
          <w:color w:val="000000"/>
          <w:sz w:val="28"/>
          <w:szCs w:val="28"/>
        </w:rPr>
        <w:t>found in shamanic and other cosmologies. Such a structure represents “the “system of the world” prevalent in traditional societies”. The second chapter describes the notion of sacred time “created and sanctified by the gods and the time of their gesta”</w:t>
      </w:r>
      <w:r w:rsidR="005604DC">
        <w:rPr>
          <w:color w:val="000000"/>
          <w:sz w:val="28"/>
          <w:szCs w:val="28"/>
        </w:rPr>
        <w:t>. In this “mythical time”, humans can “periodically become contemporary with the gods” through participation in ritual events such as festivals.</w:t>
      </w:r>
      <w:r w:rsidR="002B543C">
        <w:rPr>
          <w:color w:val="000000"/>
          <w:sz w:val="28"/>
          <w:szCs w:val="28"/>
        </w:rPr>
        <w:t xml:space="preserve"> Eliade also refers to “regeneration</w:t>
      </w:r>
      <w:r w:rsidR="0011480F">
        <w:rPr>
          <w:color w:val="000000"/>
          <w:sz w:val="28"/>
          <w:szCs w:val="28"/>
        </w:rPr>
        <w:t xml:space="preserve"> through return to the time of origins”. Chapter Three is entitled “The Sacredness of Nature and Cosmic Religion” and discusses the “universality of symbols”, citing the example of the cosmic tree. He also distinguishes sacredness </w:t>
      </w:r>
      <w:r w:rsidR="00CD0193">
        <w:rPr>
          <w:color w:val="000000"/>
          <w:sz w:val="28"/>
          <w:szCs w:val="28"/>
        </w:rPr>
        <w:t xml:space="preserve">- </w:t>
      </w:r>
      <w:r w:rsidR="0011480F">
        <w:rPr>
          <w:color w:val="000000"/>
          <w:sz w:val="28"/>
          <w:szCs w:val="28"/>
        </w:rPr>
        <w:t>an “absolute reality” - from “naturism” whilst pointing to the “desacrali</w:t>
      </w:r>
      <w:r w:rsidR="00F06CB7">
        <w:rPr>
          <w:color w:val="000000"/>
          <w:sz w:val="28"/>
          <w:szCs w:val="28"/>
        </w:rPr>
        <w:t>zation of nature” in a profane world. The f</w:t>
      </w:r>
      <w:r w:rsidR="0060416E">
        <w:rPr>
          <w:color w:val="000000"/>
          <w:sz w:val="28"/>
          <w:szCs w:val="28"/>
        </w:rPr>
        <w:t xml:space="preserve">ourth </w:t>
      </w:r>
      <w:r w:rsidR="00F06CB7">
        <w:rPr>
          <w:color w:val="000000"/>
          <w:sz w:val="28"/>
          <w:szCs w:val="28"/>
        </w:rPr>
        <w:t>chapter</w:t>
      </w:r>
      <w:r w:rsidR="00136B9D">
        <w:rPr>
          <w:color w:val="000000"/>
          <w:sz w:val="28"/>
          <w:szCs w:val="28"/>
        </w:rPr>
        <w:t xml:space="preserve"> seeks to identify common attributes of the “sanctified life”, including universal “initiatory patterns”, </w:t>
      </w:r>
      <w:r w:rsidR="00136B9D">
        <w:rPr>
          <w:color w:val="000000"/>
          <w:sz w:val="28"/>
          <w:szCs w:val="28"/>
        </w:rPr>
        <w:lastRenderedPageBreak/>
        <w:t>correspondences between the cosmic macrocosm and the microcosm of “human existence”</w:t>
      </w:r>
      <w:r w:rsidR="00A052E2">
        <w:rPr>
          <w:color w:val="000000"/>
          <w:sz w:val="28"/>
          <w:szCs w:val="28"/>
        </w:rPr>
        <w:t>,</w:t>
      </w:r>
      <w:r w:rsidR="00136B9D">
        <w:rPr>
          <w:color w:val="000000"/>
          <w:sz w:val="28"/>
          <w:szCs w:val="28"/>
        </w:rPr>
        <w:t xml:space="preserve"> and the significance of folk religiosity, which Eliade compare</w:t>
      </w:r>
      <w:r w:rsidR="0060416E">
        <w:rPr>
          <w:color w:val="000000"/>
          <w:sz w:val="28"/>
          <w:szCs w:val="28"/>
        </w:rPr>
        <w:t>s</w:t>
      </w:r>
      <w:r w:rsidR="00136B9D">
        <w:rPr>
          <w:color w:val="000000"/>
          <w:sz w:val="28"/>
          <w:szCs w:val="28"/>
        </w:rPr>
        <w:t xml:space="preserve"> favourabl</w:t>
      </w:r>
      <w:r w:rsidR="0060416E">
        <w:rPr>
          <w:color w:val="000000"/>
          <w:sz w:val="28"/>
          <w:szCs w:val="28"/>
        </w:rPr>
        <w:t>y</w:t>
      </w:r>
      <w:r w:rsidR="00136B9D">
        <w:rPr>
          <w:color w:val="000000"/>
          <w:sz w:val="28"/>
          <w:szCs w:val="28"/>
        </w:rPr>
        <w:t xml:space="preserve"> to “sacred literature”.</w:t>
      </w:r>
      <w:r w:rsidR="0060416E">
        <w:rPr>
          <w:color w:val="000000"/>
          <w:sz w:val="28"/>
          <w:szCs w:val="28"/>
        </w:rPr>
        <w:t xml:space="preserve"> A “Chronological Survey” of the “History of Religion” as a field of scholarship from classical antiquity to the early twentieth century concludes the book.</w:t>
      </w:r>
    </w:p>
    <w:p w14:paraId="679BF426" w14:textId="64F236E9" w:rsidR="009B238F" w:rsidRDefault="009B238F" w:rsidP="00D04B55">
      <w:pPr>
        <w:rPr>
          <w:color w:val="000000"/>
          <w:sz w:val="28"/>
          <w:szCs w:val="28"/>
        </w:rPr>
      </w:pPr>
    </w:p>
    <w:p w14:paraId="3B317212" w14:textId="07E39576" w:rsidR="009B238F" w:rsidRDefault="009B238F" w:rsidP="00D04B55">
      <w:pPr>
        <w:rPr>
          <w:color w:val="000000"/>
          <w:sz w:val="28"/>
          <w:szCs w:val="28"/>
        </w:rPr>
      </w:pPr>
      <w:r>
        <w:rPr>
          <w:color w:val="000000"/>
          <w:sz w:val="28"/>
          <w:szCs w:val="28"/>
        </w:rPr>
        <w:t xml:space="preserve">It is noteworthy that Eliade’s survey of scholarship in the history of religions ends </w:t>
      </w:r>
      <w:r w:rsidR="005A14B5">
        <w:rPr>
          <w:color w:val="000000"/>
          <w:sz w:val="28"/>
          <w:szCs w:val="28"/>
        </w:rPr>
        <w:t xml:space="preserve">almost </w:t>
      </w:r>
      <w:r>
        <w:rPr>
          <w:color w:val="000000"/>
          <w:sz w:val="28"/>
          <w:szCs w:val="28"/>
        </w:rPr>
        <w:t xml:space="preserve">half a century before his own central publications, although studies from the interwar period are referenced in the preceding chapters of The Sacred and the Profane. </w:t>
      </w:r>
      <w:r w:rsidR="005A14B5">
        <w:rPr>
          <w:color w:val="000000"/>
          <w:sz w:val="28"/>
          <w:szCs w:val="28"/>
        </w:rPr>
        <w:t xml:space="preserve">Also significant is the author’s scant mention of his methodology, although his approach to the history of religion is described in </w:t>
      </w:r>
      <w:r w:rsidR="00A94E8C">
        <w:rPr>
          <w:color w:val="000000"/>
          <w:sz w:val="28"/>
          <w:szCs w:val="28"/>
        </w:rPr>
        <w:t>a</w:t>
      </w:r>
      <w:r w:rsidR="005A14B5">
        <w:rPr>
          <w:color w:val="000000"/>
          <w:sz w:val="28"/>
          <w:szCs w:val="28"/>
        </w:rPr>
        <w:t xml:space="preserve"> forward to Shamanism. </w:t>
      </w:r>
      <w:r w:rsidR="00A94E8C">
        <w:rPr>
          <w:color w:val="000000"/>
          <w:sz w:val="28"/>
          <w:szCs w:val="28"/>
        </w:rPr>
        <w:t>Here h</w:t>
      </w:r>
      <w:r w:rsidR="005A14B5">
        <w:rPr>
          <w:color w:val="000000"/>
          <w:sz w:val="28"/>
          <w:szCs w:val="28"/>
        </w:rPr>
        <w:t xml:space="preserve">e </w:t>
      </w:r>
      <w:r w:rsidR="00A94E8C">
        <w:rPr>
          <w:color w:val="000000"/>
          <w:sz w:val="28"/>
          <w:szCs w:val="28"/>
        </w:rPr>
        <w:t>argues</w:t>
      </w:r>
      <w:r w:rsidR="005A14B5">
        <w:rPr>
          <w:color w:val="000000"/>
          <w:sz w:val="28"/>
          <w:szCs w:val="28"/>
        </w:rPr>
        <w:t xml:space="preserve"> that it is the </w:t>
      </w:r>
      <w:r w:rsidR="00A94E8C">
        <w:rPr>
          <w:color w:val="000000"/>
          <w:sz w:val="28"/>
          <w:szCs w:val="28"/>
        </w:rPr>
        <w:t>dialectical relationship</w:t>
      </w:r>
      <w:r w:rsidR="005A14B5">
        <w:rPr>
          <w:color w:val="000000"/>
          <w:sz w:val="28"/>
          <w:szCs w:val="28"/>
        </w:rPr>
        <w:t xml:space="preserve"> between </w:t>
      </w:r>
      <w:r w:rsidR="00A94E8C">
        <w:rPr>
          <w:color w:val="000000"/>
          <w:sz w:val="28"/>
          <w:szCs w:val="28"/>
        </w:rPr>
        <w:t xml:space="preserve">manifestations of the </w:t>
      </w:r>
      <w:r w:rsidR="005A14B5">
        <w:rPr>
          <w:color w:val="000000"/>
          <w:sz w:val="28"/>
          <w:szCs w:val="28"/>
        </w:rPr>
        <w:t xml:space="preserve">sacred </w:t>
      </w:r>
      <w:r w:rsidR="00A94E8C">
        <w:rPr>
          <w:color w:val="000000"/>
          <w:sz w:val="28"/>
          <w:szCs w:val="28"/>
        </w:rPr>
        <w:t xml:space="preserve">and the process of </w:t>
      </w:r>
      <w:r w:rsidR="005A14B5">
        <w:rPr>
          <w:color w:val="000000"/>
          <w:sz w:val="28"/>
          <w:szCs w:val="28"/>
        </w:rPr>
        <w:t xml:space="preserve">chronological </w:t>
      </w:r>
      <w:r w:rsidR="00A94E8C">
        <w:rPr>
          <w:color w:val="000000"/>
          <w:sz w:val="28"/>
          <w:szCs w:val="28"/>
        </w:rPr>
        <w:t xml:space="preserve">history, rather than the “practice of historiography” that underlies his methodology. </w:t>
      </w:r>
      <w:r w:rsidR="009C51C0">
        <w:rPr>
          <w:color w:val="000000"/>
          <w:sz w:val="28"/>
          <w:szCs w:val="28"/>
        </w:rPr>
        <w:t xml:space="preserve">Nevertheless, </w:t>
      </w:r>
      <w:r w:rsidR="00BE491D">
        <w:rPr>
          <w:color w:val="000000"/>
          <w:sz w:val="28"/>
          <w:szCs w:val="28"/>
        </w:rPr>
        <w:t xml:space="preserve">writing in the 1970s </w:t>
      </w:r>
      <w:r w:rsidR="000B787E">
        <w:rPr>
          <w:color w:val="000000"/>
          <w:sz w:val="28"/>
          <w:szCs w:val="28"/>
        </w:rPr>
        <w:t xml:space="preserve">fellow historian of religions </w:t>
      </w:r>
      <w:r w:rsidR="009C51C0">
        <w:rPr>
          <w:color w:val="000000"/>
          <w:sz w:val="28"/>
          <w:szCs w:val="28"/>
        </w:rPr>
        <w:t>Jonathan</w:t>
      </w:r>
      <w:r w:rsidR="00F3528F">
        <w:rPr>
          <w:color w:val="000000"/>
          <w:sz w:val="28"/>
          <w:szCs w:val="28"/>
        </w:rPr>
        <w:t xml:space="preserve"> Z Smith takes issue with</w:t>
      </w:r>
      <w:r w:rsidR="000B787E">
        <w:rPr>
          <w:color w:val="000000"/>
          <w:sz w:val="28"/>
          <w:szCs w:val="28"/>
        </w:rPr>
        <w:t xml:space="preserve"> Eliade’s </w:t>
      </w:r>
      <w:r w:rsidR="006C0CA0">
        <w:rPr>
          <w:color w:val="000000"/>
          <w:sz w:val="28"/>
          <w:szCs w:val="28"/>
        </w:rPr>
        <w:t xml:space="preserve">discourse on sacred intersectionalities in an essay entitled “The Wobbling Pivot”, an ironic reference to the elder scholar’s Axis Mundi </w:t>
      </w:r>
      <w:r w:rsidR="00021F91">
        <w:rPr>
          <w:color w:val="000000"/>
          <w:sz w:val="28"/>
          <w:szCs w:val="28"/>
        </w:rPr>
        <w:t>preoccupation</w:t>
      </w:r>
      <w:r w:rsidR="006C0CA0">
        <w:rPr>
          <w:color w:val="000000"/>
          <w:sz w:val="28"/>
          <w:szCs w:val="28"/>
        </w:rPr>
        <w:t>. Smith c</w:t>
      </w:r>
      <w:r w:rsidR="00416539">
        <w:rPr>
          <w:color w:val="000000"/>
          <w:sz w:val="28"/>
          <w:szCs w:val="28"/>
        </w:rPr>
        <w:t>hallenges</w:t>
      </w:r>
      <w:r w:rsidR="006C0CA0">
        <w:rPr>
          <w:color w:val="000000"/>
          <w:sz w:val="28"/>
          <w:szCs w:val="28"/>
        </w:rPr>
        <w:t xml:space="preserve"> the “ideological” construction of sacred space based  on a “Centre of the World” hypothesis as “questionable interpretations” of </w:t>
      </w:r>
      <w:r w:rsidR="00591FD6">
        <w:rPr>
          <w:color w:val="000000"/>
          <w:sz w:val="28"/>
          <w:szCs w:val="28"/>
        </w:rPr>
        <w:t xml:space="preserve">source </w:t>
      </w:r>
      <w:r w:rsidR="00BE491D">
        <w:rPr>
          <w:color w:val="000000"/>
          <w:sz w:val="28"/>
          <w:szCs w:val="28"/>
        </w:rPr>
        <w:t>material, a criticism he extends to the “paradigmatic” locus of the sacred in mythic time</w:t>
      </w:r>
      <w:r w:rsidR="00591FD6">
        <w:rPr>
          <w:color w:val="000000"/>
          <w:sz w:val="28"/>
          <w:szCs w:val="28"/>
        </w:rPr>
        <w:t xml:space="preserve"> </w:t>
      </w:r>
      <w:r w:rsidR="00BE491D">
        <w:rPr>
          <w:color w:val="000000"/>
          <w:sz w:val="28"/>
          <w:szCs w:val="28"/>
        </w:rPr>
        <w:t xml:space="preserve">(144-5) However, Smith also notes that Eliade modified his theory of sacred time in the 1967 </w:t>
      </w:r>
      <w:bookmarkStart w:id="1" w:name="_Hlk533242403"/>
      <w:r w:rsidR="00BE491D">
        <w:rPr>
          <w:color w:val="000000"/>
          <w:sz w:val="28"/>
          <w:szCs w:val="28"/>
        </w:rPr>
        <w:t>article “Cosmogenic Myth and “Sacred History”</w:t>
      </w:r>
      <w:r w:rsidR="00591FD6">
        <w:rPr>
          <w:color w:val="000000"/>
          <w:sz w:val="28"/>
          <w:szCs w:val="28"/>
        </w:rPr>
        <w:t>”.</w:t>
      </w:r>
    </w:p>
    <w:bookmarkEnd w:id="1"/>
    <w:p w14:paraId="10E27454" w14:textId="5A9567B2" w:rsidR="00416539" w:rsidRDefault="00416539" w:rsidP="00D04B55">
      <w:pPr>
        <w:rPr>
          <w:color w:val="000000"/>
          <w:sz w:val="28"/>
          <w:szCs w:val="28"/>
        </w:rPr>
      </w:pPr>
    </w:p>
    <w:p w14:paraId="30B805CF" w14:textId="20EF651C" w:rsidR="00416539" w:rsidRDefault="00416539" w:rsidP="00D04B55">
      <w:pPr>
        <w:rPr>
          <w:color w:val="000000"/>
          <w:sz w:val="28"/>
          <w:szCs w:val="28"/>
        </w:rPr>
      </w:pPr>
      <w:r>
        <w:rPr>
          <w:color w:val="000000"/>
          <w:sz w:val="28"/>
          <w:szCs w:val="28"/>
        </w:rPr>
        <w:t xml:space="preserve">In her chapter on </w:t>
      </w:r>
      <w:r w:rsidR="00404B82">
        <w:rPr>
          <w:color w:val="000000"/>
          <w:sz w:val="28"/>
          <w:szCs w:val="28"/>
        </w:rPr>
        <w:t>“</w:t>
      </w:r>
      <w:r>
        <w:rPr>
          <w:color w:val="000000"/>
          <w:sz w:val="28"/>
          <w:szCs w:val="28"/>
        </w:rPr>
        <w:t>Cosmogony</w:t>
      </w:r>
      <w:r w:rsidR="00404B82">
        <w:rPr>
          <w:color w:val="000000"/>
          <w:sz w:val="28"/>
          <w:szCs w:val="28"/>
        </w:rPr>
        <w:t xml:space="preserve">” </w:t>
      </w:r>
      <w:r>
        <w:rPr>
          <w:color w:val="000000"/>
          <w:sz w:val="28"/>
          <w:szCs w:val="28"/>
        </w:rPr>
        <w:t xml:space="preserve">in The Oxford Handbook of the Archaeology of Ritual and Religion, Terje Oestigaard </w:t>
      </w:r>
      <w:r w:rsidR="00404B82">
        <w:rPr>
          <w:color w:val="000000"/>
          <w:sz w:val="28"/>
          <w:szCs w:val="28"/>
        </w:rPr>
        <w:t xml:space="preserve">too highlights Eliade’s “emphasis on non-historical universal structures rather than the historical and the particular”, suggesting that “his phenomenology is as normative as theology”. For </w:t>
      </w:r>
      <w:bookmarkStart w:id="2" w:name="_Hlk533241174"/>
      <w:r w:rsidR="00404B82">
        <w:rPr>
          <w:color w:val="000000"/>
          <w:sz w:val="28"/>
          <w:szCs w:val="28"/>
        </w:rPr>
        <w:t>Oestigaard</w:t>
      </w:r>
      <w:bookmarkEnd w:id="2"/>
      <w:r w:rsidR="00175274">
        <w:rPr>
          <w:color w:val="000000"/>
          <w:sz w:val="28"/>
          <w:szCs w:val="28"/>
        </w:rPr>
        <w:t>,</w:t>
      </w:r>
      <w:r w:rsidR="00404B82">
        <w:rPr>
          <w:color w:val="000000"/>
          <w:sz w:val="28"/>
          <w:szCs w:val="28"/>
        </w:rPr>
        <w:t xml:space="preserve"> the cosmogenic premises in The Sacred and the Profane and Eliade’s other writings from the 1950s </w:t>
      </w:r>
      <w:r w:rsidR="00175274">
        <w:rPr>
          <w:color w:val="000000"/>
          <w:sz w:val="28"/>
          <w:szCs w:val="28"/>
        </w:rPr>
        <w:t xml:space="preserve">(which as previously </w:t>
      </w:r>
      <w:r w:rsidR="00021F91">
        <w:rPr>
          <w:color w:val="000000"/>
          <w:sz w:val="28"/>
          <w:szCs w:val="28"/>
        </w:rPr>
        <w:t xml:space="preserve">noted </w:t>
      </w:r>
      <w:r w:rsidR="00175274">
        <w:rPr>
          <w:color w:val="000000"/>
          <w:sz w:val="28"/>
          <w:szCs w:val="28"/>
        </w:rPr>
        <w:t xml:space="preserve">were later modified) strongly reflect a “background in Hinduism” – although perhaps the use of </w:t>
      </w:r>
      <w:r w:rsidR="00A91147">
        <w:rPr>
          <w:color w:val="000000"/>
          <w:sz w:val="28"/>
          <w:szCs w:val="28"/>
        </w:rPr>
        <w:t>“certain oriental religions”</w:t>
      </w:r>
      <w:r w:rsidR="00175274">
        <w:rPr>
          <w:color w:val="000000"/>
          <w:sz w:val="28"/>
          <w:szCs w:val="28"/>
        </w:rPr>
        <w:t xml:space="preserve"> might be more appropriate - where his “model fits perfectly well”. She concludes that his “universalism” belongs to a type of scholarship which gradually fell out of academic favour during the 1960s.</w:t>
      </w:r>
    </w:p>
    <w:p w14:paraId="6E7B164B" w14:textId="03133E86" w:rsidR="00C03D8A" w:rsidRDefault="00C03D8A" w:rsidP="00D04B55">
      <w:pPr>
        <w:rPr>
          <w:color w:val="000000"/>
          <w:sz w:val="28"/>
          <w:szCs w:val="28"/>
        </w:rPr>
      </w:pPr>
    </w:p>
    <w:p w14:paraId="31DCC033" w14:textId="6C00985A" w:rsidR="00591FD6" w:rsidRDefault="00C03D8A" w:rsidP="00D04B55">
      <w:pPr>
        <w:rPr>
          <w:color w:val="000000"/>
          <w:sz w:val="28"/>
          <w:szCs w:val="28"/>
        </w:rPr>
      </w:pPr>
      <w:r>
        <w:rPr>
          <w:color w:val="000000"/>
          <w:sz w:val="28"/>
          <w:szCs w:val="28"/>
        </w:rPr>
        <w:t xml:space="preserve">Notwithstanding </w:t>
      </w:r>
      <w:r w:rsidR="00164600">
        <w:rPr>
          <w:color w:val="000000"/>
          <w:sz w:val="28"/>
          <w:szCs w:val="28"/>
        </w:rPr>
        <w:t>these</w:t>
      </w:r>
      <w:r w:rsidR="00332C80">
        <w:rPr>
          <w:color w:val="000000"/>
          <w:sz w:val="28"/>
          <w:szCs w:val="28"/>
        </w:rPr>
        <w:t xml:space="preserve"> criticisms</w:t>
      </w:r>
      <w:r w:rsidR="00A91147">
        <w:rPr>
          <w:color w:val="000000"/>
          <w:sz w:val="28"/>
          <w:szCs w:val="28"/>
        </w:rPr>
        <w:t>, Eliade</w:t>
      </w:r>
      <w:r w:rsidR="00F855FD">
        <w:rPr>
          <w:color w:val="000000"/>
          <w:sz w:val="28"/>
          <w:szCs w:val="28"/>
        </w:rPr>
        <w:t xml:space="preserve"> </w:t>
      </w:r>
      <w:r w:rsidR="00A91147">
        <w:rPr>
          <w:color w:val="000000"/>
          <w:sz w:val="28"/>
          <w:szCs w:val="28"/>
        </w:rPr>
        <w:t xml:space="preserve">retains an enduring appeal. In </w:t>
      </w:r>
      <w:r w:rsidR="00F855FD">
        <w:rPr>
          <w:color w:val="000000"/>
          <w:sz w:val="28"/>
          <w:szCs w:val="28"/>
        </w:rPr>
        <w:t>a</w:t>
      </w:r>
      <w:r w:rsidR="00A91147">
        <w:rPr>
          <w:color w:val="000000"/>
          <w:sz w:val="28"/>
          <w:szCs w:val="28"/>
        </w:rPr>
        <w:t xml:space="preserve"> preface to </w:t>
      </w:r>
      <w:r w:rsidR="00190ABD">
        <w:rPr>
          <w:color w:val="000000"/>
          <w:sz w:val="28"/>
          <w:szCs w:val="28"/>
        </w:rPr>
        <w:t xml:space="preserve">the 2012 </w:t>
      </w:r>
      <w:r w:rsidR="00A91147">
        <w:rPr>
          <w:color w:val="000000"/>
          <w:sz w:val="28"/>
          <w:szCs w:val="28"/>
        </w:rPr>
        <w:t>Heaven on Earth</w:t>
      </w:r>
      <w:r w:rsidR="00F855FD">
        <w:rPr>
          <w:color w:val="000000"/>
          <w:sz w:val="28"/>
          <w:szCs w:val="28"/>
        </w:rPr>
        <w:t xml:space="preserve">, </w:t>
      </w:r>
      <w:r w:rsidR="00A91147">
        <w:rPr>
          <w:color w:val="000000"/>
          <w:sz w:val="28"/>
          <w:szCs w:val="28"/>
        </w:rPr>
        <w:t xml:space="preserve">Temples, Rituals and Cosmic Symbolism in the Ancient World, Deena </w:t>
      </w:r>
      <w:proofErr w:type="spellStart"/>
      <w:r w:rsidR="00A91147">
        <w:rPr>
          <w:color w:val="000000"/>
          <w:sz w:val="28"/>
          <w:szCs w:val="28"/>
        </w:rPr>
        <w:t>Ragavan</w:t>
      </w:r>
      <w:proofErr w:type="spellEnd"/>
      <w:r w:rsidR="00A91147">
        <w:rPr>
          <w:color w:val="000000"/>
          <w:sz w:val="28"/>
          <w:szCs w:val="28"/>
        </w:rPr>
        <w:t xml:space="preserve"> pinpoints his concept of “imago mundi”, the notion that </w:t>
      </w:r>
      <w:r w:rsidR="00190ABD">
        <w:rPr>
          <w:color w:val="000000"/>
          <w:sz w:val="28"/>
          <w:szCs w:val="28"/>
        </w:rPr>
        <w:t>cosmology is represented</w:t>
      </w:r>
      <w:r w:rsidR="00A91147">
        <w:rPr>
          <w:color w:val="000000"/>
          <w:sz w:val="28"/>
          <w:szCs w:val="28"/>
        </w:rPr>
        <w:t xml:space="preserve"> </w:t>
      </w:r>
      <w:r w:rsidR="00190ABD">
        <w:rPr>
          <w:color w:val="000000"/>
          <w:sz w:val="28"/>
          <w:szCs w:val="28"/>
        </w:rPr>
        <w:t xml:space="preserve">in terrestrial structures, notably temples, as a key </w:t>
      </w:r>
      <w:r w:rsidR="000812A5">
        <w:rPr>
          <w:color w:val="000000"/>
          <w:sz w:val="28"/>
          <w:szCs w:val="28"/>
        </w:rPr>
        <w:t>contribution</w:t>
      </w:r>
      <w:r w:rsidR="00F855FD">
        <w:rPr>
          <w:color w:val="000000"/>
          <w:sz w:val="28"/>
          <w:szCs w:val="28"/>
        </w:rPr>
        <w:t>.</w:t>
      </w:r>
      <w:r w:rsidR="00190ABD">
        <w:rPr>
          <w:color w:val="000000"/>
          <w:sz w:val="28"/>
          <w:szCs w:val="28"/>
        </w:rPr>
        <w:t xml:space="preserve">  </w:t>
      </w:r>
      <w:r w:rsidR="00332C80">
        <w:rPr>
          <w:color w:val="000000"/>
          <w:sz w:val="28"/>
          <w:szCs w:val="28"/>
        </w:rPr>
        <w:t>Christiane Barth</w:t>
      </w:r>
      <w:r w:rsidR="004D762C">
        <w:rPr>
          <w:color w:val="000000"/>
          <w:sz w:val="28"/>
          <w:szCs w:val="28"/>
        </w:rPr>
        <w:t>’s</w:t>
      </w:r>
      <w:r w:rsidR="00332C80">
        <w:rPr>
          <w:color w:val="000000"/>
          <w:sz w:val="28"/>
          <w:szCs w:val="28"/>
        </w:rPr>
        <w:t xml:space="preserve"> 2013 essay “</w:t>
      </w:r>
      <w:r w:rsidR="00332C80" w:rsidRPr="00332C80">
        <w:rPr>
          <w:color w:val="000000"/>
          <w:sz w:val="28"/>
          <w:szCs w:val="28"/>
        </w:rPr>
        <w:t xml:space="preserve">In </w:t>
      </w:r>
      <w:proofErr w:type="spellStart"/>
      <w:r w:rsidR="00332C80" w:rsidRPr="00332C80">
        <w:rPr>
          <w:color w:val="000000"/>
          <w:sz w:val="28"/>
          <w:szCs w:val="28"/>
        </w:rPr>
        <w:t>illo</w:t>
      </w:r>
      <w:proofErr w:type="spellEnd"/>
      <w:r w:rsidR="00332C80" w:rsidRPr="00332C80">
        <w:rPr>
          <w:color w:val="000000"/>
          <w:sz w:val="28"/>
          <w:szCs w:val="28"/>
        </w:rPr>
        <w:t xml:space="preserve"> tempore, at the </w:t>
      </w:r>
      <w:proofErr w:type="spellStart"/>
      <w:r w:rsidR="00332C80" w:rsidRPr="00332C80">
        <w:rPr>
          <w:color w:val="000000"/>
          <w:sz w:val="28"/>
          <w:szCs w:val="28"/>
        </w:rPr>
        <w:t>Center</w:t>
      </w:r>
      <w:proofErr w:type="spellEnd"/>
      <w:r w:rsidR="00332C80" w:rsidRPr="00332C80">
        <w:rPr>
          <w:color w:val="000000"/>
          <w:sz w:val="28"/>
          <w:szCs w:val="28"/>
        </w:rPr>
        <w:t xml:space="preserve"> of the World:  Mircea Eliade and Religious Studies’ Concepts of Sacred Time and Space</w:t>
      </w:r>
      <w:r w:rsidR="00332C80">
        <w:rPr>
          <w:color w:val="000000"/>
          <w:sz w:val="28"/>
          <w:szCs w:val="28"/>
        </w:rPr>
        <w:t xml:space="preserve">” </w:t>
      </w:r>
      <w:r w:rsidR="00190ABD">
        <w:rPr>
          <w:color w:val="000000"/>
          <w:sz w:val="28"/>
          <w:szCs w:val="28"/>
        </w:rPr>
        <w:t>also seek</w:t>
      </w:r>
      <w:r w:rsidR="00315B0A">
        <w:rPr>
          <w:color w:val="000000"/>
          <w:sz w:val="28"/>
          <w:szCs w:val="28"/>
        </w:rPr>
        <w:t>s</w:t>
      </w:r>
      <w:r w:rsidR="00332C80">
        <w:rPr>
          <w:color w:val="000000"/>
          <w:sz w:val="28"/>
          <w:szCs w:val="28"/>
        </w:rPr>
        <w:t xml:space="preserve"> </w:t>
      </w:r>
      <w:r w:rsidR="00190ABD">
        <w:rPr>
          <w:color w:val="000000"/>
          <w:sz w:val="28"/>
          <w:szCs w:val="28"/>
        </w:rPr>
        <w:t>to understand his legacy</w:t>
      </w:r>
      <w:r w:rsidR="004D762C">
        <w:rPr>
          <w:color w:val="000000"/>
          <w:sz w:val="28"/>
          <w:szCs w:val="28"/>
        </w:rPr>
        <w:t xml:space="preserve">, as does </w:t>
      </w:r>
      <w:bookmarkStart w:id="3" w:name="_Hlk533685993"/>
      <w:proofErr w:type="spellStart"/>
      <w:r w:rsidR="004D762C">
        <w:rPr>
          <w:color w:val="000000"/>
          <w:sz w:val="28"/>
          <w:szCs w:val="28"/>
        </w:rPr>
        <w:t>T</w:t>
      </w:r>
      <w:r w:rsidR="004D762C" w:rsidRPr="004D762C">
        <w:rPr>
          <w:color w:val="000000"/>
          <w:sz w:val="28"/>
          <w:szCs w:val="28"/>
        </w:rPr>
        <w:t>euvo</w:t>
      </w:r>
      <w:proofErr w:type="spellEnd"/>
      <w:r w:rsidR="004D762C" w:rsidRPr="004D762C">
        <w:rPr>
          <w:color w:val="000000"/>
          <w:sz w:val="28"/>
          <w:szCs w:val="28"/>
        </w:rPr>
        <w:t xml:space="preserve"> </w:t>
      </w:r>
      <w:proofErr w:type="spellStart"/>
      <w:r w:rsidR="004D762C">
        <w:rPr>
          <w:color w:val="000000"/>
          <w:sz w:val="28"/>
          <w:szCs w:val="28"/>
        </w:rPr>
        <w:t>L</w:t>
      </w:r>
      <w:r w:rsidR="004D762C" w:rsidRPr="004D762C">
        <w:rPr>
          <w:color w:val="000000"/>
          <w:sz w:val="28"/>
          <w:szCs w:val="28"/>
        </w:rPr>
        <w:t>aitila</w:t>
      </w:r>
      <w:proofErr w:type="spellEnd"/>
      <w:r w:rsidR="004D762C">
        <w:rPr>
          <w:color w:val="000000"/>
          <w:sz w:val="28"/>
          <w:szCs w:val="28"/>
        </w:rPr>
        <w:t xml:space="preserve"> </w:t>
      </w:r>
      <w:bookmarkEnd w:id="3"/>
      <w:r w:rsidR="004D762C">
        <w:rPr>
          <w:color w:val="000000"/>
          <w:sz w:val="28"/>
          <w:szCs w:val="28"/>
        </w:rPr>
        <w:t>in an earlier 2007 article.</w:t>
      </w:r>
      <w:r w:rsidR="00315B0A">
        <w:rPr>
          <w:color w:val="000000"/>
          <w:sz w:val="28"/>
          <w:szCs w:val="28"/>
        </w:rPr>
        <w:t xml:space="preserve"> The latter </w:t>
      </w:r>
      <w:r w:rsidR="00164600">
        <w:rPr>
          <w:color w:val="000000"/>
          <w:sz w:val="28"/>
          <w:szCs w:val="28"/>
        </w:rPr>
        <w:t>suggests</w:t>
      </w:r>
      <w:r w:rsidR="00315B0A">
        <w:rPr>
          <w:color w:val="000000"/>
          <w:sz w:val="28"/>
          <w:szCs w:val="28"/>
        </w:rPr>
        <w:t xml:space="preserve"> that, as a public intellectual,</w:t>
      </w:r>
      <w:r w:rsidR="00A5677D">
        <w:rPr>
          <w:color w:val="000000"/>
          <w:sz w:val="28"/>
          <w:szCs w:val="28"/>
        </w:rPr>
        <w:t xml:space="preserve"> </w:t>
      </w:r>
      <w:r w:rsidR="00315B0A">
        <w:rPr>
          <w:color w:val="000000"/>
          <w:sz w:val="28"/>
          <w:szCs w:val="28"/>
        </w:rPr>
        <w:t xml:space="preserve">Eliade </w:t>
      </w:r>
      <w:r w:rsidR="00E613CC">
        <w:rPr>
          <w:color w:val="000000"/>
          <w:sz w:val="28"/>
          <w:szCs w:val="28"/>
        </w:rPr>
        <w:lastRenderedPageBreak/>
        <w:t>aimed</w:t>
      </w:r>
      <w:r w:rsidR="00315B0A">
        <w:rPr>
          <w:color w:val="000000"/>
          <w:sz w:val="28"/>
          <w:szCs w:val="28"/>
        </w:rPr>
        <w:t xml:space="preserve"> to reach a </w:t>
      </w:r>
      <w:r w:rsidR="00110ED2">
        <w:rPr>
          <w:color w:val="000000"/>
          <w:sz w:val="28"/>
          <w:szCs w:val="28"/>
        </w:rPr>
        <w:t xml:space="preserve">very </w:t>
      </w:r>
      <w:r w:rsidR="00CC5B91">
        <w:rPr>
          <w:color w:val="000000"/>
          <w:sz w:val="28"/>
          <w:szCs w:val="28"/>
        </w:rPr>
        <w:t>broad</w:t>
      </w:r>
      <w:r w:rsidR="00315B0A">
        <w:rPr>
          <w:color w:val="000000"/>
          <w:sz w:val="28"/>
          <w:szCs w:val="28"/>
        </w:rPr>
        <w:t xml:space="preserve"> </w:t>
      </w:r>
      <w:r w:rsidR="00CC5B91">
        <w:rPr>
          <w:color w:val="000000"/>
          <w:sz w:val="28"/>
          <w:szCs w:val="28"/>
        </w:rPr>
        <w:t xml:space="preserve">audience </w:t>
      </w:r>
      <w:r w:rsidR="00315B0A">
        <w:rPr>
          <w:color w:val="000000"/>
          <w:sz w:val="28"/>
          <w:szCs w:val="28"/>
        </w:rPr>
        <w:t>and to promote a certain traditional worldview</w:t>
      </w:r>
      <w:r w:rsidR="00CC5B91">
        <w:rPr>
          <w:color w:val="000000"/>
          <w:sz w:val="28"/>
          <w:szCs w:val="28"/>
        </w:rPr>
        <w:t xml:space="preserve">. Indeed, </w:t>
      </w:r>
      <w:r w:rsidR="00342016">
        <w:rPr>
          <w:color w:val="000000"/>
          <w:sz w:val="28"/>
          <w:szCs w:val="28"/>
        </w:rPr>
        <w:t>the author</w:t>
      </w:r>
      <w:r w:rsidR="00A5677D">
        <w:rPr>
          <w:color w:val="000000"/>
          <w:sz w:val="28"/>
          <w:szCs w:val="28"/>
        </w:rPr>
        <w:t xml:space="preserve"> himself</w:t>
      </w:r>
      <w:r w:rsidR="00CC5B91">
        <w:rPr>
          <w:color w:val="000000"/>
          <w:sz w:val="28"/>
          <w:szCs w:val="28"/>
        </w:rPr>
        <w:t xml:space="preserve"> describes Shamanism as “a general study addressed to non-specialist readers”. </w:t>
      </w:r>
      <w:r w:rsidR="00110ED2">
        <w:rPr>
          <w:color w:val="000000"/>
          <w:sz w:val="28"/>
          <w:szCs w:val="28"/>
        </w:rPr>
        <w:t xml:space="preserve">For </w:t>
      </w:r>
      <w:bookmarkStart w:id="4" w:name="_Hlk533686119"/>
      <w:proofErr w:type="spellStart"/>
      <w:r w:rsidR="00110ED2">
        <w:rPr>
          <w:color w:val="000000"/>
          <w:sz w:val="28"/>
          <w:szCs w:val="28"/>
        </w:rPr>
        <w:t>V</w:t>
      </w:r>
      <w:r w:rsidR="00110ED2" w:rsidRPr="008E23EA">
        <w:rPr>
          <w:color w:val="000000"/>
          <w:sz w:val="28"/>
          <w:szCs w:val="28"/>
        </w:rPr>
        <w:t>eikko</w:t>
      </w:r>
      <w:proofErr w:type="spellEnd"/>
      <w:r w:rsidR="00110ED2" w:rsidRPr="008E23EA">
        <w:rPr>
          <w:color w:val="000000"/>
          <w:sz w:val="28"/>
          <w:szCs w:val="28"/>
        </w:rPr>
        <w:t xml:space="preserve"> </w:t>
      </w:r>
      <w:proofErr w:type="spellStart"/>
      <w:r w:rsidR="00110ED2">
        <w:rPr>
          <w:color w:val="000000"/>
          <w:sz w:val="28"/>
          <w:szCs w:val="28"/>
        </w:rPr>
        <w:t>A</w:t>
      </w:r>
      <w:r w:rsidR="00110ED2" w:rsidRPr="008E23EA">
        <w:rPr>
          <w:color w:val="000000"/>
          <w:sz w:val="28"/>
          <w:szCs w:val="28"/>
        </w:rPr>
        <w:t>nttonen</w:t>
      </w:r>
      <w:bookmarkEnd w:id="4"/>
      <w:proofErr w:type="spellEnd"/>
      <w:r w:rsidR="00110ED2">
        <w:rPr>
          <w:color w:val="000000"/>
          <w:sz w:val="28"/>
          <w:szCs w:val="28"/>
        </w:rPr>
        <w:t xml:space="preserve">, another critical friend within the Academy, Eliade </w:t>
      </w:r>
      <w:r w:rsidR="008E23EA">
        <w:rPr>
          <w:color w:val="000000"/>
          <w:sz w:val="28"/>
          <w:szCs w:val="28"/>
        </w:rPr>
        <w:t>“</w:t>
      </w:r>
      <w:r w:rsidR="008E23EA" w:rsidRPr="008E23EA">
        <w:rPr>
          <w:color w:val="000000"/>
          <w:sz w:val="28"/>
          <w:szCs w:val="28"/>
        </w:rPr>
        <w:t xml:space="preserve"> used his immense erudition in the religious history of humankind as a spiritual leader and a visionary artist more than as an academic scholar</w:t>
      </w:r>
      <w:r w:rsidR="008E23EA">
        <w:rPr>
          <w:color w:val="000000"/>
          <w:sz w:val="28"/>
          <w:szCs w:val="28"/>
        </w:rPr>
        <w:t xml:space="preserve">” </w:t>
      </w:r>
      <w:bookmarkStart w:id="5" w:name="_Hlk533239644"/>
      <w:r w:rsidR="00110ED2">
        <w:rPr>
          <w:color w:val="000000"/>
          <w:sz w:val="28"/>
          <w:szCs w:val="28"/>
        </w:rPr>
        <w:t>(2007).</w:t>
      </w:r>
    </w:p>
    <w:p w14:paraId="0BBB853D" w14:textId="70ECE902" w:rsidR="00E613CC" w:rsidRDefault="00E613CC" w:rsidP="00D04B55">
      <w:pPr>
        <w:rPr>
          <w:color w:val="000000"/>
          <w:sz w:val="28"/>
          <w:szCs w:val="28"/>
        </w:rPr>
      </w:pPr>
    </w:p>
    <w:p w14:paraId="77B6B73A" w14:textId="2A05A9F2" w:rsidR="00111458" w:rsidRDefault="00E613CC" w:rsidP="003969D4">
      <w:r>
        <w:rPr>
          <w:color w:val="000000"/>
          <w:sz w:val="28"/>
          <w:szCs w:val="28"/>
        </w:rPr>
        <w:t>So how should the 21</w:t>
      </w:r>
      <w:r w:rsidRPr="00E613CC">
        <w:rPr>
          <w:color w:val="000000"/>
          <w:sz w:val="28"/>
          <w:szCs w:val="28"/>
          <w:vertAlign w:val="superscript"/>
        </w:rPr>
        <w:t>st</w:t>
      </w:r>
      <w:r>
        <w:rPr>
          <w:color w:val="000000"/>
          <w:sz w:val="28"/>
          <w:szCs w:val="28"/>
        </w:rPr>
        <w:t xml:space="preserve"> century student of ancient and modern religions </w:t>
      </w:r>
      <w:proofErr w:type="gramStart"/>
      <w:r>
        <w:rPr>
          <w:color w:val="000000"/>
          <w:sz w:val="28"/>
          <w:szCs w:val="28"/>
        </w:rPr>
        <w:t>navigate</w:t>
      </w:r>
      <w:proofErr w:type="gramEnd"/>
      <w:r>
        <w:rPr>
          <w:color w:val="000000"/>
          <w:sz w:val="28"/>
          <w:szCs w:val="28"/>
        </w:rPr>
        <w:t xml:space="preserve"> </w:t>
      </w:r>
      <w:r w:rsidR="00F137AD">
        <w:rPr>
          <w:color w:val="000000"/>
          <w:sz w:val="28"/>
          <w:szCs w:val="28"/>
        </w:rPr>
        <w:t xml:space="preserve">the </w:t>
      </w:r>
      <w:r>
        <w:rPr>
          <w:color w:val="000000"/>
          <w:sz w:val="28"/>
          <w:szCs w:val="28"/>
        </w:rPr>
        <w:t xml:space="preserve">cosmological topography </w:t>
      </w:r>
      <w:r w:rsidR="00F137AD">
        <w:rPr>
          <w:color w:val="000000"/>
          <w:sz w:val="28"/>
          <w:szCs w:val="28"/>
        </w:rPr>
        <w:t>of</w:t>
      </w:r>
      <w:r>
        <w:rPr>
          <w:color w:val="000000"/>
          <w:sz w:val="28"/>
          <w:szCs w:val="28"/>
        </w:rPr>
        <w:t xml:space="preserve"> The Sacred and The Profane and other writings </w:t>
      </w:r>
      <w:r w:rsidR="00F137AD">
        <w:rPr>
          <w:color w:val="000000"/>
          <w:sz w:val="28"/>
          <w:szCs w:val="28"/>
        </w:rPr>
        <w:t xml:space="preserve">by Mircea Eliade </w:t>
      </w:r>
      <w:r>
        <w:rPr>
          <w:color w:val="000000"/>
          <w:sz w:val="28"/>
          <w:szCs w:val="28"/>
        </w:rPr>
        <w:t xml:space="preserve">from the same period? </w:t>
      </w:r>
      <w:r w:rsidR="00F137AD">
        <w:rPr>
          <w:color w:val="000000"/>
          <w:sz w:val="28"/>
          <w:szCs w:val="28"/>
        </w:rPr>
        <w:t xml:space="preserve">Firstly, it is recommended that this book is read alongside Shamanism, as the latter seems to be overlooked by </w:t>
      </w:r>
      <w:r w:rsidR="00F855FD">
        <w:rPr>
          <w:color w:val="000000"/>
          <w:sz w:val="28"/>
          <w:szCs w:val="28"/>
        </w:rPr>
        <w:t xml:space="preserve">some of the </w:t>
      </w:r>
      <w:r w:rsidR="00F137AD">
        <w:rPr>
          <w:color w:val="000000"/>
          <w:sz w:val="28"/>
          <w:szCs w:val="28"/>
        </w:rPr>
        <w:t>author’s major critics. For although Oestigaard emphasises the Hindu origins of Eliade’s cosmology</w:t>
      </w:r>
      <w:r w:rsidR="00F855FD">
        <w:rPr>
          <w:color w:val="000000"/>
          <w:sz w:val="28"/>
          <w:szCs w:val="28"/>
        </w:rPr>
        <w:t>,</w:t>
      </w:r>
      <w:r w:rsidR="00190ABD">
        <w:rPr>
          <w:color w:val="000000"/>
          <w:sz w:val="28"/>
          <w:szCs w:val="28"/>
        </w:rPr>
        <w:t xml:space="preserve"> and </w:t>
      </w:r>
      <w:proofErr w:type="spellStart"/>
      <w:r w:rsidR="00190ABD">
        <w:rPr>
          <w:color w:val="000000"/>
          <w:sz w:val="28"/>
          <w:szCs w:val="28"/>
        </w:rPr>
        <w:t>Ragavan</w:t>
      </w:r>
      <w:proofErr w:type="spellEnd"/>
      <w:r w:rsidR="00190ABD">
        <w:rPr>
          <w:color w:val="000000"/>
          <w:sz w:val="28"/>
          <w:szCs w:val="28"/>
        </w:rPr>
        <w:t xml:space="preserve"> its genesis in links between </w:t>
      </w:r>
      <w:r w:rsidR="009670C7">
        <w:rPr>
          <w:color w:val="000000"/>
          <w:sz w:val="28"/>
          <w:szCs w:val="28"/>
        </w:rPr>
        <w:t xml:space="preserve">ancient </w:t>
      </w:r>
      <w:r w:rsidR="00190ABD">
        <w:rPr>
          <w:color w:val="000000"/>
          <w:sz w:val="28"/>
          <w:szCs w:val="28"/>
        </w:rPr>
        <w:t xml:space="preserve">Near Eastern and Indian sources, another </w:t>
      </w:r>
      <w:r w:rsidR="00F137AD">
        <w:rPr>
          <w:color w:val="000000"/>
          <w:sz w:val="28"/>
          <w:szCs w:val="28"/>
        </w:rPr>
        <w:t xml:space="preserve">key </w:t>
      </w:r>
      <w:r w:rsidR="00A27CEA">
        <w:rPr>
          <w:color w:val="000000"/>
          <w:sz w:val="28"/>
          <w:szCs w:val="28"/>
        </w:rPr>
        <w:t xml:space="preserve">resides within the worldviews of </w:t>
      </w:r>
      <w:r w:rsidR="00111458">
        <w:rPr>
          <w:color w:val="000000"/>
          <w:sz w:val="28"/>
          <w:szCs w:val="28"/>
        </w:rPr>
        <w:t xml:space="preserve">“living” </w:t>
      </w:r>
      <w:r w:rsidR="00A27CEA">
        <w:rPr>
          <w:color w:val="000000"/>
          <w:sz w:val="28"/>
          <w:szCs w:val="28"/>
        </w:rPr>
        <w:t>shamanic and folkloric traditions. This is hinted at in The Sacred and The Profane which proposes that: “In many cases the customs and beliefs of European peasants represent a more archaic state of culture than that documented in the mythology of classic Greece”</w:t>
      </w:r>
      <w:r w:rsidR="003969D4">
        <w:rPr>
          <w:color w:val="000000"/>
          <w:sz w:val="28"/>
          <w:szCs w:val="28"/>
        </w:rPr>
        <w:t>. Eliade’s later article “Cosmogenic Myth and “Sacred History”” makes his position more explicit:</w:t>
      </w:r>
      <w:r w:rsidR="003969D4" w:rsidRPr="003969D4">
        <w:t xml:space="preserve"> </w:t>
      </w:r>
    </w:p>
    <w:p w14:paraId="1648312F" w14:textId="77777777" w:rsidR="00111458" w:rsidRDefault="00111458" w:rsidP="003969D4"/>
    <w:p w14:paraId="12CAE7F5" w14:textId="3AEF54A3" w:rsidR="003969D4" w:rsidRDefault="00111458" w:rsidP="003969D4">
      <w:pPr>
        <w:rPr>
          <w:i/>
          <w:color w:val="000000"/>
          <w:sz w:val="28"/>
          <w:szCs w:val="28"/>
        </w:rPr>
      </w:pPr>
      <w:r w:rsidRPr="00111458">
        <w:rPr>
          <w:i/>
        </w:rPr>
        <w:t>“</w:t>
      </w:r>
      <w:r w:rsidR="003969D4" w:rsidRPr="00111458">
        <w:rPr>
          <w:i/>
          <w:color w:val="000000"/>
          <w:sz w:val="28"/>
          <w:szCs w:val="28"/>
        </w:rPr>
        <w:t>The mythology which informs Homer, Hesiod and the tragic poets represents already a selection and an interpretation of archaic materials, some of which had become almost unintelligible</w:t>
      </w:r>
      <w:r>
        <w:rPr>
          <w:i/>
          <w:color w:val="000000"/>
          <w:sz w:val="28"/>
          <w:szCs w:val="28"/>
        </w:rPr>
        <w:t xml:space="preserve"> … O</w:t>
      </w:r>
      <w:r w:rsidR="003969D4" w:rsidRPr="00111458">
        <w:rPr>
          <w:i/>
          <w:color w:val="000000"/>
          <w:sz w:val="28"/>
          <w:szCs w:val="28"/>
        </w:rPr>
        <w:t>ur best chance of understanding the structure of mythical thought is to study cultures where myth is a 'living thing'</w:t>
      </w:r>
      <w:r>
        <w:rPr>
          <w:i/>
          <w:color w:val="000000"/>
          <w:sz w:val="28"/>
          <w:szCs w:val="28"/>
        </w:rPr>
        <w:t>.”</w:t>
      </w:r>
    </w:p>
    <w:p w14:paraId="0A8ECA9C" w14:textId="22FF6A89" w:rsidR="00111458" w:rsidRDefault="00111458" w:rsidP="003969D4">
      <w:pPr>
        <w:rPr>
          <w:color w:val="000000"/>
          <w:sz w:val="28"/>
          <w:szCs w:val="28"/>
        </w:rPr>
      </w:pPr>
    </w:p>
    <w:p w14:paraId="3BA6D586" w14:textId="5CF6405E" w:rsidR="00111458" w:rsidRDefault="00111458" w:rsidP="003969D4">
      <w:pPr>
        <w:rPr>
          <w:color w:val="000000"/>
          <w:sz w:val="28"/>
          <w:szCs w:val="28"/>
        </w:rPr>
      </w:pPr>
      <w:r>
        <w:rPr>
          <w:color w:val="000000"/>
          <w:sz w:val="28"/>
          <w:szCs w:val="28"/>
        </w:rPr>
        <w:t xml:space="preserve">Secondly, Eliade’s much criticised methodology, or the lack of method ascribed to his </w:t>
      </w:r>
      <w:r w:rsidR="00AC3DB8">
        <w:rPr>
          <w:color w:val="000000"/>
          <w:sz w:val="28"/>
          <w:szCs w:val="28"/>
        </w:rPr>
        <w:t>scholarship</w:t>
      </w:r>
      <w:r>
        <w:rPr>
          <w:color w:val="000000"/>
          <w:sz w:val="28"/>
          <w:szCs w:val="28"/>
        </w:rPr>
        <w:t xml:space="preserve">, </w:t>
      </w:r>
      <w:r w:rsidR="004F4DAD">
        <w:rPr>
          <w:color w:val="000000"/>
          <w:sz w:val="28"/>
          <w:szCs w:val="28"/>
        </w:rPr>
        <w:t xml:space="preserve">is </w:t>
      </w:r>
      <w:r w:rsidR="00FE5E4F">
        <w:rPr>
          <w:color w:val="000000"/>
          <w:sz w:val="28"/>
          <w:szCs w:val="28"/>
        </w:rPr>
        <w:t>explained</w:t>
      </w:r>
      <w:r w:rsidR="004F4DAD">
        <w:rPr>
          <w:color w:val="000000"/>
          <w:sz w:val="28"/>
          <w:szCs w:val="28"/>
        </w:rPr>
        <w:t xml:space="preserve"> in the forward to Shamanism to be as much phenomenological as historical</w:t>
      </w:r>
      <w:r w:rsidR="00F855FD">
        <w:rPr>
          <w:color w:val="000000"/>
          <w:sz w:val="28"/>
          <w:szCs w:val="28"/>
        </w:rPr>
        <w:t xml:space="preserve">, </w:t>
      </w:r>
      <w:r w:rsidR="00FE5E4F">
        <w:rPr>
          <w:color w:val="000000"/>
          <w:sz w:val="28"/>
          <w:szCs w:val="28"/>
        </w:rPr>
        <w:t>cit</w:t>
      </w:r>
      <w:r w:rsidR="00F855FD">
        <w:rPr>
          <w:color w:val="000000"/>
          <w:sz w:val="28"/>
          <w:szCs w:val="28"/>
        </w:rPr>
        <w:t>ing</w:t>
      </w:r>
      <w:r w:rsidR="00FE5E4F">
        <w:rPr>
          <w:color w:val="000000"/>
          <w:sz w:val="28"/>
          <w:szCs w:val="28"/>
        </w:rPr>
        <w:t xml:space="preserve"> the example of the World Tree (a representation of the Axis Mundi) and the shamanic “celestial ascent”</w:t>
      </w:r>
      <w:r w:rsidR="00A966C3">
        <w:rPr>
          <w:color w:val="000000"/>
          <w:sz w:val="28"/>
          <w:szCs w:val="28"/>
        </w:rPr>
        <w:t>. For him, “the historian of religions makes use of all the historical manifestations of a religious phenomenon….</w:t>
      </w:r>
      <w:r w:rsidR="008059AF">
        <w:rPr>
          <w:color w:val="000000"/>
          <w:sz w:val="28"/>
          <w:szCs w:val="28"/>
        </w:rPr>
        <w:t xml:space="preserve"> </w:t>
      </w:r>
      <w:r w:rsidR="00A966C3">
        <w:rPr>
          <w:color w:val="000000"/>
          <w:sz w:val="28"/>
          <w:szCs w:val="28"/>
        </w:rPr>
        <w:t xml:space="preserve">to decipher whatever transhistorical content a religious datum reveals through history”. </w:t>
      </w:r>
      <w:r w:rsidR="006E2497">
        <w:rPr>
          <w:color w:val="000000"/>
          <w:sz w:val="28"/>
          <w:szCs w:val="28"/>
        </w:rPr>
        <w:t>Dependin</w:t>
      </w:r>
      <w:r w:rsidR="0087029C">
        <w:rPr>
          <w:color w:val="000000"/>
          <w:sz w:val="28"/>
          <w:szCs w:val="28"/>
        </w:rPr>
        <w:t>g upon one’s own outlook, Eliade worldview either looks back</w:t>
      </w:r>
      <w:r w:rsidR="00B578E6">
        <w:rPr>
          <w:color w:val="000000"/>
          <w:sz w:val="28"/>
          <w:szCs w:val="28"/>
        </w:rPr>
        <w:t xml:space="preserve">ward </w:t>
      </w:r>
      <w:r w:rsidR="0087029C">
        <w:rPr>
          <w:color w:val="000000"/>
          <w:sz w:val="28"/>
          <w:szCs w:val="28"/>
        </w:rPr>
        <w:t xml:space="preserve">to medieval </w:t>
      </w:r>
      <w:r w:rsidR="00F74678">
        <w:rPr>
          <w:color w:val="000000"/>
          <w:sz w:val="28"/>
          <w:szCs w:val="28"/>
        </w:rPr>
        <w:t xml:space="preserve">cosmology or forward to </w:t>
      </w:r>
      <w:r w:rsidR="00B578E6">
        <w:rPr>
          <w:color w:val="000000"/>
          <w:sz w:val="28"/>
          <w:szCs w:val="28"/>
        </w:rPr>
        <w:t>modern systems thinking, or perhaps both at the same time.</w:t>
      </w:r>
    </w:p>
    <w:p w14:paraId="0D8834D4" w14:textId="77777777" w:rsidR="0068117A" w:rsidRDefault="0068117A" w:rsidP="003969D4">
      <w:pPr>
        <w:rPr>
          <w:color w:val="000000"/>
          <w:sz w:val="28"/>
          <w:szCs w:val="28"/>
        </w:rPr>
      </w:pPr>
    </w:p>
    <w:bookmarkEnd w:id="5"/>
    <w:p w14:paraId="731094E2" w14:textId="59FFE626" w:rsidR="00052083" w:rsidRDefault="00052083" w:rsidP="00D04B55">
      <w:pPr>
        <w:rPr>
          <w:b/>
          <w:sz w:val="28"/>
          <w:szCs w:val="28"/>
        </w:rPr>
      </w:pPr>
      <w:r w:rsidRPr="0068117A">
        <w:rPr>
          <w:b/>
          <w:sz w:val="28"/>
          <w:szCs w:val="28"/>
        </w:rPr>
        <w:t>References</w:t>
      </w:r>
    </w:p>
    <w:p w14:paraId="492D2FAC" w14:textId="77777777" w:rsidR="008059AF" w:rsidRPr="0068117A" w:rsidRDefault="008059AF" w:rsidP="00D04B55">
      <w:pPr>
        <w:rPr>
          <w:b/>
          <w:sz w:val="28"/>
          <w:szCs w:val="28"/>
        </w:rPr>
      </w:pPr>
    </w:p>
    <w:p w14:paraId="09912870" w14:textId="29BAEEFB" w:rsidR="00C73E25" w:rsidRPr="007A7432" w:rsidRDefault="00C73E25" w:rsidP="00D04B55">
      <w:pPr>
        <w:rPr>
          <w:sz w:val="26"/>
          <w:szCs w:val="26"/>
        </w:rPr>
      </w:pPr>
      <w:proofErr w:type="spellStart"/>
      <w:r w:rsidRPr="007A7432">
        <w:rPr>
          <w:color w:val="000000"/>
          <w:sz w:val="26"/>
          <w:szCs w:val="26"/>
        </w:rPr>
        <w:t>Anttonen</w:t>
      </w:r>
      <w:proofErr w:type="spellEnd"/>
      <w:r w:rsidR="00D72FE1" w:rsidRPr="007A7432">
        <w:rPr>
          <w:color w:val="000000"/>
          <w:sz w:val="26"/>
          <w:szCs w:val="26"/>
        </w:rPr>
        <w:t>,</w:t>
      </w:r>
      <w:r w:rsidR="007A7432">
        <w:rPr>
          <w:color w:val="000000"/>
          <w:sz w:val="26"/>
          <w:szCs w:val="26"/>
        </w:rPr>
        <w:t xml:space="preserve"> </w:t>
      </w:r>
      <w:proofErr w:type="spellStart"/>
      <w:r w:rsidR="001A050B" w:rsidRPr="007A7432">
        <w:rPr>
          <w:color w:val="000000"/>
          <w:sz w:val="26"/>
          <w:szCs w:val="26"/>
        </w:rPr>
        <w:t>Veikko</w:t>
      </w:r>
      <w:proofErr w:type="spellEnd"/>
      <w:r w:rsidR="00710D6E">
        <w:rPr>
          <w:color w:val="000000"/>
          <w:sz w:val="26"/>
          <w:szCs w:val="26"/>
        </w:rPr>
        <w:t xml:space="preserve"> </w:t>
      </w:r>
      <w:r w:rsidR="00B0028D">
        <w:rPr>
          <w:color w:val="000000"/>
          <w:sz w:val="26"/>
          <w:szCs w:val="26"/>
        </w:rPr>
        <w:t xml:space="preserve">(2007) </w:t>
      </w:r>
      <w:r w:rsidR="00710D6E" w:rsidRPr="00710D6E">
        <w:rPr>
          <w:color w:val="000000"/>
          <w:sz w:val="26"/>
          <w:szCs w:val="26"/>
        </w:rPr>
        <w:t xml:space="preserve">Rethinking ‘Religious’ Cognition: The </w:t>
      </w:r>
      <w:proofErr w:type="spellStart"/>
      <w:r w:rsidR="00710D6E" w:rsidRPr="00710D6E">
        <w:rPr>
          <w:color w:val="000000"/>
          <w:sz w:val="26"/>
          <w:szCs w:val="26"/>
        </w:rPr>
        <w:t>Eliadean</w:t>
      </w:r>
      <w:proofErr w:type="spellEnd"/>
      <w:r w:rsidR="00710D6E" w:rsidRPr="00710D6E">
        <w:rPr>
          <w:color w:val="000000"/>
          <w:sz w:val="26"/>
          <w:szCs w:val="26"/>
        </w:rPr>
        <w:t xml:space="preserve"> Notion of the Sacred in the Light of the Legacy of Uno </w:t>
      </w:r>
      <w:proofErr w:type="spellStart"/>
      <w:r w:rsidR="00710D6E" w:rsidRPr="00710D6E">
        <w:rPr>
          <w:color w:val="000000"/>
          <w:sz w:val="26"/>
          <w:szCs w:val="26"/>
        </w:rPr>
        <w:t>Harva</w:t>
      </w:r>
      <w:proofErr w:type="spellEnd"/>
      <w:r w:rsidR="00F72311">
        <w:rPr>
          <w:color w:val="000000"/>
          <w:sz w:val="26"/>
          <w:szCs w:val="26"/>
        </w:rPr>
        <w:t xml:space="preserve"> </w:t>
      </w:r>
      <w:r w:rsidR="00F72311" w:rsidRPr="00F72311">
        <w:rPr>
          <w:color w:val="000000"/>
          <w:sz w:val="26"/>
          <w:szCs w:val="26"/>
        </w:rPr>
        <w:t>Temenos Vol. 43 No. 1 (2007), 53–72</w:t>
      </w:r>
    </w:p>
    <w:p w14:paraId="537BD259" w14:textId="77777777" w:rsidR="00D9130F" w:rsidRDefault="00D9130F" w:rsidP="00D04B55">
      <w:pPr>
        <w:rPr>
          <w:sz w:val="26"/>
          <w:szCs w:val="26"/>
        </w:rPr>
      </w:pPr>
    </w:p>
    <w:p w14:paraId="616BAAF3" w14:textId="49A82AB9" w:rsidR="007E6B41" w:rsidRPr="00E35D31" w:rsidRDefault="00B94C44" w:rsidP="00D04B55">
      <w:pPr>
        <w:rPr>
          <w:sz w:val="26"/>
          <w:szCs w:val="26"/>
        </w:rPr>
      </w:pPr>
      <w:r w:rsidRPr="00B94C44">
        <w:rPr>
          <w:sz w:val="26"/>
          <w:szCs w:val="26"/>
        </w:rPr>
        <w:t>Barth, C</w:t>
      </w:r>
      <w:r w:rsidR="00E91AD7">
        <w:rPr>
          <w:sz w:val="26"/>
          <w:szCs w:val="26"/>
        </w:rPr>
        <w:t>hristiane</w:t>
      </w:r>
      <w:r w:rsidRPr="00B94C44">
        <w:rPr>
          <w:sz w:val="26"/>
          <w:szCs w:val="26"/>
        </w:rPr>
        <w:t xml:space="preserve">. (2013). In </w:t>
      </w:r>
      <w:proofErr w:type="spellStart"/>
      <w:r w:rsidRPr="00B94C44">
        <w:rPr>
          <w:sz w:val="26"/>
          <w:szCs w:val="26"/>
        </w:rPr>
        <w:t>illo</w:t>
      </w:r>
      <w:proofErr w:type="spellEnd"/>
      <w:r w:rsidRPr="00B94C44">
        <w:rPr>
          <w:sz w:val="26"/>
          <w:szCs w:val="26"/>
        </w:rPr>
        <w:t xml:space="preserve"> tempore, at the </w:t>
      </w:r>
      <w:proofErr w:type="spellStart"/>
      <w:r w:rsidRPr="00B94C44">
        <w:rPr>
          <w:sz w:val="26"/>
          <w:szCs w:val="26"/>
        </w:rPr>
        <w:t>center</w:t>
      </w:r>
      <w:proofErr w:type="spellEnd"/>
      <w:r w:rsidRPr="00B94C44">
        <w:rPr>
          <w:sz w:val="26"/>
          <w:szCs w:val="26"/>
        </w:rPr>
        <w:t xml:space="preserve"> of the world: Mircea Eliade and religious studies' concepts of sacred time and space. Historical Social Research, 38(3), 59-75. </w:t>
      </w:r>
      <w:hyperlink r:id="rId6" w:history="1">
        <w:r w:rsidRPr="00114B57">
          <w:rPr>
            <w:rStyle w:val="Hyperlink"/>
            <w:sz w:val="26"/>
            <w:szCs w:val="26"/>
          </w:rPr>
          <w:t>https://doi.org/10.12759/hsr.38.2013.3.59-75</w:t>
        </w:r>
      </w:hyperlink>
      <w:r>
        <w:rPr>
          <w:sz w:val="26"/>
          <w:szCs w:val="26"/>
        </w:rPr>
        <w:t xml:space="preserve"> </w:t>
      </w:r>
    </w:p>
    <w:p w14:paraId="7C65CB3A" w14:textId="77777777" w:rsidR="00D9130F" w:rsidRDefault="00D9130F" w:rsidP="00D04B55">
      <w:pPr>
        <w:rPr>
          <w:sz w:val="26"/>
          <w:szCs w:val="26"/>
        </w:rPr>
      </w:pPr>
    </w:p>
    <w:p w14:paraId="0B2918AD" w14:textId="7E88A330" w:rsidR="00052083" w:rsidRDefault="00052083" w:rsidP="00D04B55">
      <w:pPr>
        <w:rPr>
          <w:sz w:val="26"/>
          <w:szCs w:val="26"/>
        </w:rPr>
      </w:pPr>
      <w:r w:rsidRPr="00E35D31">
        <w:rPr>
          <w:sz w:val="26"/>
          <w:szCs w:val="26"/>
        </w:rPr>
        <w:t>Eliade</w:t>
      </w:r>
      <w:r w:rsidR="003556DD" w:rsidRPr="00E35D31">
        <w:rPr>
          <w:sz w:val="26"/>
          <w:szCs w:val="26"/>
        </w:rPr>
        <w:t>, Mircea</w:t>
      </w:r>
      <w:r w:rsidR="00C05BE2">
        <w:rPr>
          <w:sz w:val="26"/>
          <w:szCs w:val="26"/>
        </w:rPr>
        <w:t>:</w:t>
      </w:r>
    </w:p>
    <w:p w14:paraId="5AE96844" w14:textId="77777777" w:rsidR="003F016E" w:rsidRDefault="003F016E" w:rsidP="00D04B55">
      <w:pPr>
        <w:rPr>
          <w:sz w:val="26"/>
          <w:szCs w:val="26"/>
        </w:rPr>
      </w:pPr>
    </w:p>
    <w:p w14:paraId="15C5224D" w14:textId="39B1B291" w:rsidR="00F04F7B" w:rsidRDefault="00362068" w:rsidP="00D04B55">
      <w:pPr>
        <w:rPr>
          <w:sz w:val="26"/>
          <w:szCs w:val="26"/>
          <w:lang w:bidi="he-IL"/>
        </w:rPr>
      </w:pPr>
      <w:r w:rsidRPr="00362068">
        <w:rPr>
          <w:sz w:val="26"/>
          <w:szCs w:val="26"/>
          <w:lang w:bidi="he-IL"/>
        </w:rPr>
        <w:t> </w:t>
      </w:r>
      <w:r w:rsidRPr="00362068">
        <w:rPr>
          <w:i/>
          <w:iCs/>
          <w:sz w:val="26"/>
          <w:szCs w:val="26"/>
          <w:lang w:bidi="he-IL"/>
        </w:rPr>
        <w:t>The Sacred and the Profane. The Nature of Religion.</w:t>
      </w:r>
      <w:r w:rsidRPr="00362068">
        <w:rPr>
          <w:sz w:val="26"/>
          <w:szCs w:val="26"/>
          <w:lang w:bidi="he-IL"/>
        </w:rPr>
        <w:t xml:space="preserve"> Harcourt, New York: 1959 (Translation by Trask, Willard R.)</w:t>
      </w:r>
    </w:p>
    <w:p w14:paraId="711C37EB" w14:textId="77777777" w:rsidR="00A16FC3" w:rsidRDefault="00A16FC3" w:rsidP="00D04B55">
      <w:pPr>
        <w:rPr>
          <w:sz w:val="26"/>
          <w:szCs w:val="26"/>
          <w:lang w:bidi="he-IL"/>
        </w:rPr>
      </w:pPr>
    </w:p>
    <w:p w14:paraId="0EF06A69" w14:textId="3EE5FEEA" w:rsidR="00A16FC3" w:rsidRDefault="00764219" w:rsidP="00D04B55">
      <w:pPr>
        <w:rPr>
          <w:sz w:val="26"/>
          <w:szCs w:val="26"/>
        </w:rPr>
      </w:pPr>
      <w:r>
        <w:rPr>
          <w:sz w:val="26"/>
          <w:szCs w:val="26"/>
        </w:rPr>
        <w:t xml:space="preserve">Shamanism. Archaic techniques of </w:t>
      </w:r>
      <w:r w:rsidR="00076230">
        <w:rPr>
          <w:sz w:val="26"/>
          <w:szCs w:val="26"/>
        </w:rPr>
        <w:t xml:space="preserve">ecstasy. </w:t>
      </w:r>
      <w:r w:rsidR="00F67A1A">
        <w:rPr>
          <w:sz w:val="26"/>
          <w:szCs w:val="26"/>
        </w:rPr>
        <w:t>1964 Bollingen Foundation</w:t>
      </w:r>
      <w:r w:rsidR="00BD3916">
        <w:rPr>
          <w:sz w:val="26"/>
          <w:szCs w:val="26"/>
        </w:rPr>
        <w:t xml:space="preserve">/Pantheon Books. </w:t>
      </w:r>
      <w:r w:rsidR="009C4F4A">
        <w:rPr>
          <w:sz w:val="26"/>
          <w:szCs w:val="26"/>
        </w:rPr>
        <w:t>Arkana 1989</w:t>
      </w:r>
    </w:p>
    <w:p w14:paraId="18713126" w14:textId="497745FC" w:rsidR="00380808" w:rsidRDefault="00380808" w:rsidP="00D04B55">
      <w:pPr>
        <w:rPr>
          <w:sz w:val="26"/>
          <w:szCs w:val="26"/>
        </w:rPr>
      </w:pPr>
    </w:p>
    <w:p w14:paraId="7FC4C3D0" w14:textId="4BC8E401" w:rsidR="00380808" w:rsidRPr="00362068" w:rsidRDefault="00380808" w:rsidP="00D04B55">
      <w:pPr>
        <w:rPr>
          <w:sz w:val="26"/>
          <w:szCs w:val="26"/>
        </w:rPr>
      </w:pPr>
      <w:r>
        <w:rPr>
          <w:sz w:val="26"/>
          <w:szCs w:val="26"/>
        </w:rPr>
        <w:t>The Myth of the Eternal Return</w:t>
      </w:r>
      <w:r w:rsidR="006665A1">
        <w:rPr>
          <w:sz w:val="26"/>
          <w:szCs w:val="26"/>
        </w:rPr>
        <w:t>, Bollingen/Princetown University Press 1965/1971</w:t>
      </w:r>
    </w:p>
    <w:p w14:paraId="0C1565DE" w14:textId="77777777" w:rsidR="00F04F7B" w:rsidRDefault="00F04F7B" w:rsidP="00D04B55">
      <w:pPr>
        <w:rPr>
          <w:sz w:val="26"/>
          <w:szCs w:val="26"/>
        </w:rPr>
      </w:pPr>
    </w:p>
    <w:p w14:paraId="7A135D06" w14:textId="32794A0D" w:rsidR="00C05BE2" w:rsidRPr="00E35D31" w:rsidRDefault="00C05BE2" w:rsidP="00D04B55">
      <w:pPr>
        <w:rPr>
          <w:sz w:val="26"/>
          <w:szCs w:val="26"/>
        </w:rPr>
      </w:pPr>
      <w:r w:rsidRPr="00C05BE2">
        <w:rPr>
          <w:sz w:val="26"/>
          <w:szCs w:val="26"/>
        </w:rPr>
        <w:t>Cosmogonic Myth and 'Sacred History'</w:t>
      </w:r>
      <w:r w:rsidR="00D32B80">
        <w:rPr>
          <w:sz w:val="26"/>
          <w:szCs w:val="26"/>
        </w:rPr>
        <w:t xml:space="preserve">. </w:t>
      </w:r>
      <w:r w:rsidRPr="00C05BE2">
        <w:rPr>
          <w:sz w:val="26"/>
          <w:szCs w:val="26"/>
        </w:rPr>
        <w:t>Religious Studies, Vol. 2, No. 2 (Apr 1967), pp. 171-183 Published by: Cambridge University Press Stable URL: https://www.jstor.org/stable/20004652</w:t>
      </w:r>
    </w:p>
    <w:p w14:paraId="7BAD806E" w14:textId="77777777" w:rsidR="00317018" w:rsidRDefault="00317018" w:rsidP="00D04B55">
      <w:pPr>
        <w:rPr>
          <w:sz w:val="26"/>
          <w:szCs w:val="26"/>
        </w:rPr>
      </w:pPr>
    </w:p>
    <w:p w14:paraId="7CC9D1A8" w14:textId="4A24F57F" w:rsidR="00937E21" w:rsidRDefault="00937E21" w:rsidP="00D04B55">
      <w:pPr>
        <w:rPr>
          <w:sz w:val="26"/>
          <w:szCs w:val="26"/>
        </w:rPr>
      </w:pPr>
      <w:r w:rsidRPr="00E35D31">
        <w:rPr>
          <w:sz w:val="26"/>
          <w:szCs w:val="26"/>
        </w:rPr>
        <w:t>Oestigaard</w:t>
      </w:r>
      <w:r w:rsidR="003556DD" w:rsidRPr="00E35D31">
        <w:rPr>
          <w:sz w:val="26"/>
          <w:szCs w:val="26"/>
        </w:rPr>
        <w:t>, Terje</w:t>
      </w:r>
      <w:r w:rsidR="00035482" w:rsidRPr="00E35D31">
        <w:rPr>
          <w:sz w:val="26"/>
          <w:szCs w:val="26"/>
        </w:rPr>
        <w:t xml:space="preserve"> in </w:t>
      </w:r>
      <w:proofErr w:type="spellStart"/>
      <w:r w:rsidR="00035482" w:rsidRPr="00E35D31">
        <w:rPr>
          <w:sz w:val="26"/>
          <w:szCs w:val="26"/>
        </w:rPr>
        <w:t>Insoll</w:t>
      </w:r>
      <w:proofErr w:type="spellEnd"/>
      <w:r w:rsidR="00035482" w:rsidRPr="00E35D31">
        <w:rPr>
          <w:sz w:val="26"/>
          <w:szCs w:val="26"/>
        </w:rPr>
        <w:t>, Timoth</w:t>
      </w:r>
      <w:r w:rsidR="00E91AD7">
        <w:rPr>
          <w:sz w:val="26"/>
          <w:szCs w:val="26"/>
        </w:rPr>
        <w:t>y</w:t>
      </w:r>
      <w:r w:rsidR="00035482" w:rsidRPr="00E35D31">
        <w:rPr>
          <w:sz w:val="26"/>
          <w:szCs w:val="26"/>
        </w:rPr>
        <w:t xml:space="preserve"> 2011 Chapter 6 Cosmology in The Oxford Handbook of the Archaeology of Religion and Ritual</w:t>
      </w:r>
    </w:p>
    <w:p w14:paraId="06EAD498" w14:textId="77777777" w:rsidR="00317018" w:rsidRDefault="00317018" w:rsidP="00D04B55">
      <w:pPr>
        <w:rPr>
          <w:sz w:val="26"/>
          <w:szCs w:val="26"/>
        </w:rPr>
      </w:pPr>
    </w:p>
    <w:p w14:paraId="6DB44120" w14:textId="30A36198" w:rsidR="0033419D" w:rsidRPr="00E35D31" w:rsidRDefault="0033419D" w:rsidP="00D04B55">
      <w:pPr>
        <w:rPr>
          <w:sz w:val="26"/>
          <w:szCs w:val="26"/>
        </w:rPr>
      </w:pPr>
      <w:bookmarkStart w:id="6" w:name="_GoBack"/>
      <w:proofErr w:type="spellStart"/>
      <w:r>
        <w:rPr>
          <w:sz w:val="26"/>
          <w:szCs w:val="26"/>
        </w:rPr>
        <w:t>Ragavan</w:t>
      </w:r>
      <w:bookmarkEnd w:id="6"/>
      <w:proofErr w:type="spellEnd"/>
      <w:r>
        <w:rPr>
          <w:sz w:val="26"/>
          <w:szCs w:val="26"/>
        </w:rPr>
        <w:t>, Deena 2012</w:t>
      </w:r>
      <w:r w:rsidR="00364C4F">
        <w:rPr>
          <w:sz w:val="26"/>
          <w:szCs w:val="26"/>
        </w:rPr>
        <w:t xml:space="preserve"> </w:t>
      </w:r>
      <w:r w:rsidR="00364C4F" w:rsidRPr="00364C4F">
        <w:rPr>
          <w:sz w:val="26"/>
          <w:szCs w:val="26"/>
        </w:rPr>
        <w:t xml:space="preserve">Heaven </w:t>
      </w:r>
      <w:r w:rsidR="00364C4F">
        <w:rPr>
          <w:sz w:val="26"/>
          <w:szCs w:val="26"/>
        </w:rPr>
        <w:t>o</w:t>
      </w:r>
      <w:r w:rsidR="00364C4F" w:rsidRPr="00364C4F">
        <w:rPr>
          <w:sz w:val="26"/>
          <w:szCs w:val="26"/>
        </w:rPr>
        <w:t>n Earth Temples, Ritual</w:t>
      </w:r>
      <w:r w:rsidR="00B07483">
        <w:rPr>
          <w:sz w:val="26"/>
          <w:szCs w:val="26"/>
        </w:rPr>
        <w:t xml:space="preserve"> </w:t>
      </w:r>
      <w:r w:rsidR="002E7DB8">
        <w:rPr>
          <w:sz w:val="26"/>
          <w:szCs w:val="26"/>
        </w:rPr>
        <w:t>a</w:t>
      </w:r>
      <w:r w:rsidR="00364C4F" w:rsidRPr="00364C4F">
        <w:rPr>
          <w:sz w:val="26"/>
          <w:szCs w:val="26"/>
        </w:rPr>
        <w:t xml:space="preserve">nd Cosmic Symbolism </w:t>
      </w:r>
      <w:r w:rsidR="00364C4F">
        <w:rPr>
          <w:sz w:val="26"/>
          <w:szCs w:val="26"/>
        </w:rPr>
        <w:t>i</w:t>
      </w:r>
      <w:r w:rsidR="00364C4F" w:rsidRPr="00364C4F">
        <w:rPr>
          <w:sz w:val="26"/>
          <w:szCs w:val="26"/>
        </w:rPr>
        <w:t>n The Ancient World</w:t>
      </w:r>
      <w:r w:rsidR="000442AB">
        <w:rPr>
          <w:sz w:val="26"/>
          <w:szCs w:val="26"/>
        </w:rPr>
        <w:t xml:space="preserve">, </w:t>
      </w:r>
      <w:r w:rsidR="000442AB" w:rsidRPr="000442AB">
        <w:rPr>
          <w:sz w:val="26"/>
          <w:szCs w:val="26"/>
        </w:rPr>
        <w:t>Papers from the Oriental Institute Seminar Heaven on Earth Held at the Oriental Institute of the University of Chicago</w:t>
      </w:r>
    </w:p>
    <w:p w14:paraId="060C00DE" w14:textId="77777777" w:rsidR="00AB2ECE" w:rsidRDefault="00AB2ECE" w:rsidP="00D04B55">
      <w:pPr>
        <w:rPr>
          <w:sz w:val="26"/>
          <w:szCs w:val="26"/>
        </w:rPr>
      </w:pPr>
    </w:p>
    <w:p w14:paraId="3125AC9B" w14:textId="3CB31F51" w:rsidR="00AB45ED" w:rsidRPr="00AB45ED" w:rsidRDefault="00052083" w:rsidP="00AB45ED">
      <w:pPr>
        <w:rPr>
          <w:rFonts w:ascii="&amp;quot" w:hAnsi="&amp;quot"/>
          <w:sz w:val="26"/>
          <w:szCs w:val="26"/>
        </w:rPr>
      </w:pPr>
      <w:r w:rsidRPr="00E35D31">
        <w:rPr>
          <w:sz w:val="26"/>
          <w:szCs w:val="26"/>
        </w:rPr>
        <w:t>Smith</w:t>
      </w:r>
      <w:r w:rsidR="003556DD" w:rsidRPr="00E35D31">
        <w:rPr>
          <w:sz w:val="26"/>
          <w:szCs w:val="26"/>
        </w:rPr>
        <w:t>, Jonathan Z</w:t>
      </w:r>
      <w:r w:rsidRPr="00E35D31">
        <w:rPr>
          <w:sz w:val="26"/>
          <w:szCs w:val="26"/>
        </w:rPr>
        <w:t xml:space="preserve"> </w:t>
      </w:r>
      <w:r w:rsidR="000B7732">
        <w:rPr>
          <w:sz w:val="26"/>
          <w:szCs w:val="26"/>
        </w:rPr>
        <w:t xml:space="preserve">1972, </w:t>
      </w:r>
      <w:r w:rsidR="00AB45ED" w:rsidRPr="00AB45ED">
        <w:rPr>
          <w:rFonts w:ascii="&amp;quot" w:hAnsi="&amp;quot"/>
          <w:i/>
          <w:iCs/>
          <w:sz w:val="26"/>
          <w:szCs w:val="26"/>
        </w:rPr>
        <w:t>The Journal of Religion</w:t>
      </w:r>
      <w:r w:rsidR="00AB45ED" w:rsidRPr="00AB45ED">
        <w:rPr>
          <w:rFonts w:ascii="&amp;quot" w:hAnsi="&amp;quot"/>
          <w:sz w:val="26"/>
          <w:szCs w:val="26"/>
        </w:rPr>
        <w:t xml:space="preserve"> Vol. 52, No. 2 (Apr</w:t>
      </w:r>
      <w:r w:rsidR="00272714">
        <w:rPr>
          <w:rFonts w:ascii="&amp;quot" w:hAnsi="&amp;quot"/>
          <w:sz w:val="26"/>
          <w:szCs w:val="26"/>
        </w:rPr>
        <w:t xml:space="preserve">il </w:t>
      </w:r>
      <w:r w:rsidR="00AB45ED" w:rsidRPr="00AB45ED">
        <w:rPr>
          <w:rFonts w:ascii="&amp;quot" w:hAnsi="&amp;quot"/>
          <w:sz w:val="26"/>
          <w:szCs w:val="26"/>
        </w:rPr>
        <w:t>1972), pp. 134-149</w:t>
      </w:r>
    </w:p>
    <w:p w14:paraId="6DA1D06B" w14:textId="06BE20DB" w:rsidR="00C532FA" w:rsidRDefault="00C532FA" w:rsidP="00D04B55">
      <w:pPr>
        <w:rPr>
          <w:sz w:val="26"/>
          <w:szCs w:val="26"/>
        </w:rPr>
      </w:pPr>
    </w:p>
    <w:p w14:paraId="5C6BF6C0" w14:textId="54938384" w:rsidR="00052083" w:rsidRPr="00C532FA" w:rsidRDefault="00C532FA" w:rsidP="00D04B55">
      <w:pPr>
        <w:rPr>
          <w:sz w:val="26"/>
          <w:szCs w:val="26"/>
        </w:rPr>
      </w:pPr>
      <w:proofErr w:type="spellStart"/>
      <w:r w:rsidRPr="00C532FA">
        <w:rPr>
          <w:color w:val="000000"/>
          <w:sz w:val="26"/>
          <w:szCs w:val="26"/>
        </w:rPr>
        <w:t>Teuvo</w:t>
      </w:r>
      <w:proofErr w:type="spellEnd"/>
      <w:r w:rsidRPr="00C532FA">
        <w:rPr>
          <w:color w:val="000000"/>
          <w:sz w:val="26"/>
          <w:szCs w:val="26"/>
        </w:rPr>
        <w:t xml:space="preserve"> </w:t>
      </w:r>
      <w:proofErr w:type="spellStart"/>
      <w:r w:rsidRPr="00C532FA">
        <w:rPr>
          <w:color w:val="000000"/>
          <w:sz w:val="26"/>
          <w:szCs w:val="26"/>
        </w:rPr>
        <w:t>Laitila</w:t>
      </w:r>
      <w:proofErr w:type="spellEnd"/>
      <w:r w:rsidR="00C962D0">
        <w:rPr>
          <w:color w:val="000000"/>
          <w:sz w:val="26"/>
          <w:szCs w:val="26"/>
        </w:rPr>
        <w:t>, 2007</w:t>
      </w:r>
      <w:r w:rsidR="00553479">
        <w:rPr>
          <w:color w:val="000000"/>
          <w:sz w:val="26"/>
          <w:szCs w:val="26"/>
        </w:rPr>
        <w:t xml:space="preserve"> </w:t>
      </w:r>
      <w:r w:rsidR="00553479" w:rsidRPr="00553479">
        <w:rPr>
          <w:color w:val="000000"/>
          <w:sz w:val="26"/>
          <w:szCs w:val="26"/>
        </w:rPr>
        <w:t>From Reality to Subject: A Sympathetic, Yet Critical Reading of Eliade</w:t>
      </w:r>
      <w:r w:rsidR="007555BE">
        <w:rPr>
          <w:color w:val="000000"/>
          <w:sz w:val="26"/>
          <w:szCs w:val="26"/>
        </w:rPr>
        <w:t xml:space="preserve"> </w:t>
      </w:r>
      <w:r w:rsidR="007555BE" w:rsidRPr="007555BE">
        <w:rPr>
          <w:color w:val="000000"/>
          <w:sz w:val="26"/>
          <w:szCs w:val="26"/>
        </w:rPr>
        <w:t>Temenos Vol. 43 No. 1 (2007), 99–11</w:t>
      </w:r>
    </w:p>
    <w:p w14:paraId="053C31FC" w14:textId="77777777" w:rsidR="00C532FA" w:rsidRPr="00E35D31" w:rsidRDefault="00C532FA" w:rsidP="00D04B55">
      <w:pPr>
        <w:rPr>
          <w:sz w:val="26"/>
          <w:szCs w:val="26"/>
        </w:rPr>
      </w:pPr>
    </w:p>
    <w:p w14:paraId="08CEB1B1" w14:textId="104D09EB" w:rsidR="00052083" w:rsidRPr="00E35D31" w:rsidRDefault="00052083" w:rsidP="00D04B55">
      <w:pPr>
        <w:rPr>
          <w:sz w:val="26"/>
          <w:szCs w:val="26"/>
        </w:rPr>
      </w:pPr>
      <w:r w:rsidRPr="00E35D31">
        <w:rPr>
          <w:sz w:val="26"/>
          <w:szCs w:val="26"/>
        </w:rPr>
        <w:t>Znamenski</w:t>
      </w:r>
      <w:r w:rsidR="00030E25" w:rsidRPr="00E35D31">
        <w:rPr>
          <w:sz w:val="26"/>
          <w:szCs w:val="26"/>
        </w:rPr>
        <w:t>, Andrei A, 2007. Chapter 5, Shamanism Goes Global, The Beauty of the Primitive: Shamanism and Western Imagination Oxford Scholarship Online http://www.oxfordscholarship.com/view/10.1093/acprof:oso/9780195172317.001.0001/acprof-9780195172317-chapter-5</w:t>
      </w:r>
    </w:p>
    <w:sectPr w:rsidR="00052083" w:rsidRPr="00E35D3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64631" w14:textId="77777777" w:rsidR="00D77D57" w:rsidRDefault="00D77D57" w:rsidP="00F877DD">
      <w:r>
        <w:separator/>
      </w:r>
    </w:p>
  </w:endnote>
  <w:endnote w:type="continuationSeparator" w:id="0">
    <w:p w14:paraId="4773E5CF" w14:textId="77777777" w:rsidR="00D77D57" w:rsidRDefault="00D77D57" w:rsidP="00F877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0C278" w14:textId="1F1E8A75" w:rsidR="00F877DD" w:rsidRDefault="00F877DD" w:rsidP="00F877DD">
    <w:pPr>
      <w:pStyle w:val="Footer"/>
      <w:rPr>
        <w:color w:val="4472C4" w:themeColor="accent1"/>
      </w:rPr>
    </w:pPr>
    <w:r>
      <w:rPr>
        <w:color w:val="4472C4" w:themeColor="accent1"/>
      </w:rPr>
      <w:t xml:space="preserve">Janet Mackinnon Theories </w:t>
    </w:r>
    <w:r w:rsidR="00E823C6">
      <w:rPr>
        <w:color w:val="4472C4" w:themeColor="accent1"/>
      </w:rPr>
      <w:t xml:space="preserve">&amp; </w:t>
    </w:r>
    <w:r>
      <w:rPr>
        <w:color w:val="4472C4" w:themeColor="accent1"/>
      </w:rPr>
      <w:t xml:space="preserve">Methodologies for the Study of Ancient Religions  </w:t>
    </w:r>
    <w:r w:rsidR="00F33472">
      <w:rPr>
        <w:color w:val="4472C4" w:themeColor="accent1"/>
      </w:rPr>
      <w:t>Eliade Review</w:t>
    </w:r>
    <w:r w:rsidR="00E823C6">
      <w:rPr>
        <w:color w:val="4472C4" w:themeColor="accent1"/>
      </w:rPr>
      <w:t xml:space="preserve"> 1/19</w:t>
    </w:r>
    <w:r w:rsidR="00F33472">
      <w:rPr>
        <w:color w:val="4472C4" w:themeColor="accent1"/>
      </w:rPr>
      <w:t xml:space="preserve"> </w:t>
    </w: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19D90C96" w14:textId="77777777" w:rsidR="00F877DD" w:rsidRDefault="00F877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5DA79" w14:textId="77777777" w:rsidR="00D77D57" w:rsidRDefault="00D77D57" w:rsidP="00F877DD">
      <w:r>
        <w:separator/>
      </w:r>
    </w:p>
  </w:footnote>
  <w:footnote w:type="continuationSeparator" w:id="0">
    <w:p w14:paraId="0D2CE208" w14:textId="77777777" w:rsidR="00D77D57" w:rsidRDefault="00D77D57" w:rsidP="00F877D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96A"/>
    <w:rsid w:val="00021F91"/>
    <w:rsid w:val="00030E25"/>
    <w:rsid w:val="00035482"/>
    <w:rsid w:val="00042C78"/>
    <w:rsid w:val="000442AB"/>
    <w:rsid w:val="00044E9B"/>
    <w:rsid w:val="00052083"/>
    <w:rsid w:val="00076230"/>
    <w:rsid w:val="000812A5"/>
    <w:rsid w:val="000B7732"/>
    <w:rsid w:val="000B787E"/>
    <w:rsid w:val="000F7DE7"/>
    <w:rsid w:val="00110ED2"/>
    <w:rsid w:val="00111458"/>
    <w:rsid w:val="0011480F"/>
    <w:rsid w:val="00136B9D"/>
    <w:rsid w:val="00164600"/>
    <w:rsid w:val="00175274"/>
    <w:rsid w:val="00190ABD"/>
    <w:rsid w:val="001A050B"/>
    <w:rsid w:val="001C5B5D"/>
    <w:rsid w:val="00272714"/>
    <w:rsid w:val="002A579E"/>
    <w:rsid w:val="002B543C"/>
    <w:rsid w:val="002E7DB8"/>
    <w:rsid w:val="00304B16"/>
    <w:rsid w:val="00315B0A"/>
    <w:rsid w:val="00317018"/>
    <w:rsid w:val="00332C80"/>
    <w:rsid w:val="0033419D"/>
    <w:rsid w:val="00342016"/>
    <w:rsid w:val="003556DD"/>
    <w:rsid w:val="00362068"/>
    <w:rsid w:val="00364C4F"/>
    <w:rsid w:val="00380808"/>
    <w:rsid w:val="003844EB"/>
    <w:rsid w:val="003969D4"/>
    <w:rsid w:val="003F016E"/>
    <w:rsid w:val="00404B82"/>
    <w:rsid w:val="00416539"/>
    <w:rsid w:val="0047058E"/>
    <w:rsid w:val="004B0D8B"/>
    <w:rsid w:val="004D762C"/>
    <w:rsid w:val="004F4DAD"/>
    <w:rsid w:val="0051696A"/>
    <w:rsid w:val="00553479"/>
    <w:rsid w:val="005604DC"/>
    <w:rsid w:val="00591FD6"/>
    <w:rsid w:val="005A14B5"/>
    <w:rsid w:val="005D2513"/>
    <w:rsid w:val="005D6623"/>
    <w:rsid w:val="005E717B"/>
    <w:rsid w:val="0060416E"/>
    <w:rsid w:val="006143B8"/>
    <w:rsid w:val="00624CF3"/>
    <w:rsid w:val="006665A1"/>
    <w:rsid w:val="0068117A"/>
    <w:rsid w:val="0069547F"/>
    <w:rsid w:val="006B6EA9"/>
    <w:rsid w:val="006C0CA0"/>
    <w:rsid w:val="006E2497"/>
    <w:rsid w:val="00710D6E"/>
    <w:rsid w:val="00732F5C"/>
    <w:rsid w:val="007440BA"/>
    <w:rsid w:val="007555BE"/>
    <w:rsid w:val="00764219"/>
    <w:rsid w:val="007A7432"/>
    <w:rsid w:val="007E6B41"/>
    <w:rsid w:val="008059AF"/>
    <w:rsid w:val="00836800"/>
    <w:rsid w:val="0087029C"/>
    <w:rsid w:val="008E23EA"/>
    <w:rsid w:val="008F2228"/>
    <w:rsid w:val="00901A5B"/>
    <w:rsid w:val="00932343"/>
    <w:rsid w:val="00937E21"/>
    <w:rsid w:val="009670C7"/>
    <w:rsid w:val="00967BAE"/>
    <w:rsid w:val="009B1F67"/>
    <w:rsid w:val="009B238F"/>
    <w:rsid w:val="009C4F4A"/>
    <w:rsid w:val="009C51C0"/>
    <w:rsid w:val="009F4822"/>
    <w:rsid w:val="00A052E2"/>
    <w:rsid w:val="00A16FC3"/>
    <w:rsid w:val="00A27CEA"/>
    <w:rsid w:val="00A5677D"/>
    <w:rsid w:val="00A86CDD"/>
    <w:rsid w:val="00A91147"/>
    <w:rsid w:val="00A94E8C"/>
    <w:rsid w:val="00A966C3"/>
    <w:rsid w:val="00AB2ECE"/>
    <w:rsid w:val="00AB45ED"/>
    <w:rsid w:val="00AC3DB8"/>
    <w:rsid w:val="00AC5CFE"/>
    <w:rsid w:val="00B0028D"/>
    <w:rsid w:val="00B07483"/>
    <w:rsid w:val="00B251F6"/>
    <w:rsid w:val="00B578E6"/>
    <w:rsid w:val="00B60370"/>
    <w:rsid w:val="00B7170D"/>
    <w:rsid w:val="00B94C44"/>
    <w:rsid w:val="00BA0C7C"/>
    <w:rsid w:val="00BC2FD8"/>
    <w:rsid w:val="00BD3916"/>
    <w:rsid w:val="00BD7B32"/>
    <w:rsid w:val="00BE491D"/>
    <w:rsid w:val="00C03D8A"/>
    <w:rsid w:val="00C05BE2"/>
    <w:rsid w:val="00C532FA"/>
    <w:rsid w:val="00C73E25"/>
    <w:rsid w:val="00C962D0"/>
    <w:rsid w:val="00CC5B91"/>
    <w:rsid w:val="00CD0193"/>
    <w:rsid w:val="00CE0074"/>
    <w:rsid w:val="00CE1B95"/>
    <w:rsid w:val="00D04B55"/>
    <w:rsid w:val="00D10F97"/>
    <w:rsid w:val="00D32B80"/>
    <w:rsid w:val="00D72FE1"/>
    <w:rsid w:val="00D77D57"/>
    <w:rsid w:val="00D9130F"/>
    <w:rsid w:val="00DD2427"/>
    <w:rsid w:val="00DF6234"/>
    <w:rsid w:val="00DF7FFC"/>
    <w:rsid w:val="00E00905"/>
    <w:rsid w:val="00E35D31"/>
    <w:rsid w:val="00E613CC"/>
    <w:rsid w:val="00E64FF4"/>
    <w:rsid w:val="00E823C6"/>
    <w:rsid w:val="00E84709"/>
    <w:rsid w:val="00E91AD7"/>
    <w:rsid w:val="00EE0E20"/>
    <w:rsid w:val="00F04F7B"/>
    <w:rsid w:val="00F06CB7"/>
    <w:rsid w:val="00F137AD"/>
    <w:rsid w:val="00F33472"/>
    <w:rsid w:val="00F3528F"/>
    <w:rsid w:val="00F67A1A"/>
    <w:rsid w:val="00F72311"/>
    <w:rsid w:val="00F74678"/>
    <w:rsid w:val="00F855FD"/>
    <w:rsid w:val="00F877DD"/>
    <w:rsid w:val="00F96D34"/>
    <w:rsid w:val="00FD5884"/>
    <w:rsid w:val="00FE5E4F"/>
    <w:rsid w:val="00FF6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1BD24"/>
  <w15:chartTrackingRefBased/>
  <w15:docId w15:val="{8205A641-8844-48E4-B2B9-9F5EDCC49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4B5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7DD"/>
    <w:pPr>
      <w:tabs>
        <w:tab w:val="center" w:pos="4513"/>
        <w:tab w:val="right" w:pos="9026"/>
      </w:tabs>
    </w:pPr>
  </w:style>
  <w:style w:type="character" w:customStyle="1" w:styleId="HeaderChar">
    <w:name w:val="Header Char"/>
    <w:basedOn w:val="DefaultParagraphFont"/>
    <w:link w:val="Header"/>
    <w:uiPriority w:val="99"/>
    <w:rsid w:val="00F877D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877DD"/>
    <w:pPr>
      <w:tabs>
        <w:tab w:val="center" w:pos="4513"/>
        <w:tab w:val="right" w:pos="9026"/>
      </w:tabs>
    </w:pPr>
  </w:style>
  <w:style w:type="character" w:customStyle="1" w:styleId="FooterChar">
    <w:name w:val="Footer Char"/>
    <w:basedOn w:val="DefaultParagraphFont"/>
    <w:link w:val="Footer"/>
    <w:uiPriority w:val="99"/>
    <w:rsid w:val="00F877DD"/>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94C44"/>
    <w:rPr>
      <w:color w:val="0563C1" w:themeColor="hyperlink"/>
      <w:u w:val="single"/>
    </w:rPr>
  </w:style>
  <w:style w:type="character" w:styleId="UnresolvedMention">
    <w:name w:val="Unresolved Mention"/>
    <w:basedOn w:val="DefaultParagraphFont"/>
    <w:uiPriority w:val="99"/>
    <w:semiHidden/>
    <w:unhideWhenUsed/>
    <w:rsid w:val="00B94C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6869909">
      <w:bodyDiv w:val="1"/>
      <w:marLeft w:val="0"/>
      <w:marRight w:val="0"/>
      <w:marTop w:val="0"/>
      <w:marBottom w:val="0"/>
      <w:divBdr>
        <w:top w:val="none" w:sz="0" w:space="0" w:color="auto"/>
        <w:left w:val="none" w:sz="0" w:space="0" w:color="auto"/>
        <w:bottom w:val="none" w:sz="0" w:space="0" w:color="auto"/>
        <w:right w:val="none" w:sz="0" w:space="0" w:color="auto"/>
      </w:divBdr>
      <w:divsChild>
        <w:div w:id="957376754">
          <w:marLeft w:val="0"/>
          <w:marRight w:val="0"/>
          <w:marTop w:val="0"/>
          <w:marBottom w:val="360"/>
          <w:divBdr>
            <w:top w:val="none" w:sz="0" w:space="0" w:color="auto"/>
            <w:left w:val="none" w:sz="0" w:space="0" w:color="auto"/>
            <w:bottom w:val="none" w:sz="0" w:space="0" w:color="auto"/>
            <w:right w:val="none" w:sz="0" w:space="0" w:color="auto"/>
          </w:divBdr>
        </w:div>
      </w:divsChild>
    </w:div>
    <w:div w:id="210090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2759/hsr.38.2013.3.59-75"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4</Pages>
  <Words>1520</Words>
  <Characters>8669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Cafe Rocco</dc:creator>
  <cp:keywords/>
  <dc:description/>
  <cp:lastModifiedBy>Cafe Rocco</cp:lastModifiedBy>
  <cp:revision>21</cp:revision>
  <dcterms:created xsi:type="dcterms:W3CDTF">2018-12-27T15:52:00Z</dcterms:created>
  <dcterms:modified xsi:type="dcterms:W3CDTF">2019-01-18T11:24:00Z</dcterms:modified>
</cp:coreProperties>
</file>