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Pr="000D04DC" w:rsidRDefault="00012B16">
      <w:pPr>
        <w:rPr>
          <w:sz w:val="40"/>
          <w:szCs w:val="40"/>
        </w:rPr>
      </w:pPr>
      <w:r w:rsidRPr="000D04DC">
        <w:rPr>
          <w:noProof/>
          <w:sz w:val="40"/>
          <w:szCs w:val="40"/>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0D04DC" w:rsidRDefault="00563B58" w:rsidP="0040668F">
      <w:pPr>
        <w:rPr>
          <w:rFonts w:ascii="Times New Roman" w:hAnsi="Times New Roman" w:cs="Times New Roman"/>
          <w:sz w:val="40"/>
          <w:szCs w:val="40"/>
        </w:rPr>
      </w:pPr>
    </w:p>
    <w:p w14:paraId="1ED29290" w14:textId="77777777" w:rsidR="00F927A1" w:rsidRPr="000D04DC" w:rsidRDefault="00F927A1" w:rsidP="00FF7EBB">
      <w:pPr>
        <w:overflowPunct/>
        <w:autoSpaceDE/>
        <w:autoSpaceDN/>
        <w:adjustRightInd/>
        <w:textAlignment w:val="auto"/>
        <w:rPr>
          <w:rFonts w:ascii="Times New Roman" w:hAnsi="Times New Roman"/>
          <w:b/>
          <w:bCs/>
          <w:color w:val="auto"/>
          <w:sz w:val="40"/>
          <w:szCs w:val="40"/>
        </w:rPr>
      </w:pPr>
      <w:r w:rsidRPr="000D04DC">
        <w:rPr>
          <w:rFonts w:ascii="Times New Roman" w:hAnsi="Times New Roman" w:cs="Times New Roman"/>
          <w:b/>
          <w:color w:val="auto"/>
          <w:sz w:val="40"/>
          <w:szCs w:val="40"/>
        </w:rPr>
        <w:t xml:space="preserve">GRADUATE CERTIFICATE in </w:t>
      </w:r>
      <w:r w:rsidRPr="000D04DC">
        <w:rPr>
          <w:rFonts w:ascii="Times New Roman" w:hAnsi="Times New Roman"/>
          <w:b/>
          <w:bCs/>
          <w:color w:val="auto"/>
          <w:sz w:val="40"/>
          <w:szCs w:val="40"/>
        </w:rPr>
        <w:t>Consolidation of Social Work Practice</w:t>
      </w:r>
    </w:p>
    <w:p w14:paraId="0F4D6E7D" w14:textId="7C8C0132" w:rsidR="0085230E" w:rsidRPr="000D04DC" w:rsidRDefault="0085230E" w:rsidP="00FF7EBB">
      <w:pPr>
        <w:overflowPunct/>
        <w:autoSpaceDE/>
        <w:autoSpaceDN/>
        <w:adjustRightInd/>
        <w:ind w:right="-957"/>
        <w:textAlignment w:val="auto"/>
        <w:rPr>
          <w:rFonts w:ascii="Times New Roman" w:hAnsi="Times New Roman" w:cs="Times New Roman"/>
          <w:b/>
          <w:color w:val="auto"/>
          <w:sz w:val="40"/>
          <w:szCs w:val="40"/>
        </w:rPr>
      </w:pPr>
      <w:r w:rsidRPr="000D04DC">
        <w:rPr>
          <w:rFonts w:ascii="Times New Roman" w:hAnsi="Times New Roman" w:cs="Times New Roman"/>
          <w:b/>
          <w:color w:val="auto"/>
          <w:sz w:val="40"/>
          <w:szCs w:val="40"/>
        </w:rPr>
        <w:t>LEVEL 6 - 60 Credits</w:t>
      </w:r>
    </w:p>
    <w:p w14:paraId="2216C5B7" w14:textId="5A138451" w:rsidR="00706BB5" w:rsidRPr="000D04DC" w:rsidRDefault="00706BB5" w:rsidP="00FF7EBB">
      <w:pPr>
        <w:overflowPunct/>
        <w:autoSpaceDE/>
        <w:autoSpaceDN/>
        <w:adjustRightInd/>
        <w:ind w:right="-957"/>
        <w:textAlignment w:val="auto"/>
        <w:rPr>
          <w:rFonts w:ascii="Times New Roman" w:hAnsi="Times New Roman" w:cs="Times New Roman"/>
          <w:b/>
          <w:color w:val="auto"/>
          <w:sz w:val="40"/>
          <w:szCs w:val="40"/>
        </w:rPr>
      </w:pPr>
      <w:r w:rsidRPr="000D04DC">
        <w:rPr>
          <w:rFonts w:ascii="Times New Roman" w:hAnsi="Times New Roman" w:cs="Times New Roman"/>
          <w:b/>
          <w:color w:val="auto"/>
          <w:sz w:val="40"/>
          <w:szCs w:val="40"/>
        </w:rPr>
        <w:t>BMPF6044</w:t>
      </w:r>
    </w:p>
    <w:p w14:paraId="28947286" w14:textId="77777777" w:rsidR="00F927A1" w:rsidRPr="000D04DC" w:rsidRDefault="00F927A1" w:rsidP="00FF7EBB">
      <w:pPr>
        <w:overflowPunct/>
        <w:autoSpaceDE/>
        <w:autoSpaceDN/>
        <w:adjustRightInd/>
        <w:ind w:right="-957"/>
        <w:textAlignment w:val="auto"/>
        <w:rPr>
          <w:rFonts w:ascii="Times New Roman" w:hAnsi="Times New Roman" w:cs="Times New Roman"/>
          <w:b/>
          <w:color w:val="auto"/>
          <w:sz w:val="40"/>
          <w:szCs w:val="40"/>
        </w:rPr>
      </w:pPr>
    </w:p>
    <w:p w14:paraId="61FA5299" w14:textId="77777777" w:rsidR="00F927A1" w:rsidRPr="000D04DC" w:rsidRDefault="00F927A1" w:rsidP="00F927A1">
      <w:pPr>
        <w:overflowPunct/>
        <w:autoSpaceDE/>
        <w:autoSpaceDN/>
        <w:adjustRightInd/>
        <w:ind w:right="-957"/>
        <w:textAlignment w:val="auto"/>
        <w:rPr>
          <w:rFonts w:ascii="Times New Roman" w:hAnsi="Times New Roman" w:cs="Times New Roman"/>
          <w:b/>
          <w:color w:val="auto"/>
          <w:sz w:val="40"/>
          <w:szCs w:val="40"/>
        </w:rPr>
      </w:pPr>
    </w:p>
    <w:p w14:paraId="5B3FA234" w14:textId="77777777" w:rsidR="00F927A1" w:rsidRPr="000D04DC" w:rsidRDefault="0085230E" w:rsidP="00F927A1">
      <w:pPr>
        <w:overflowPunct/>
        <w:autoSpaceDE/>
        <w:autoSpaceDN/>
        <w:adjustRightInd/>
        <w:ind w:right="-957"/>
        <w:textAlignment w:val="auto"/>
        <w:rPr>
          <w:rFonts w:ascii="Times New Roman" w:hAnsi="Times New Roman" w:cs="Times New Roman"/>
          <w:b/>
          <w:color w:val="auto"/>
          <w:sz w:val="40"/>
          <w:szCs w:val="40"/>
        </w:rPr>
      </w:pPr>
      <w:r w:rsidRPr="000D04DC">
        <w:rPr>
          <w:rFonts w:ascii="Times New Roman" w:hAnsi="Times New Roman" w:cs="Times New Roman"/>
          <w:b/>
          <w:color w:val="auto"/>
          <w:sz w:val="40"/>
          <w:szCs w:val="40"/>
        </w:rPr>
        <w:t xml:space="preserve">LEARNER </w:t>
      </w:r>
      <w:r w:rsidR="00F927A1" w:rsidRPr="000D04DC">
        <w:rPr>
          <w:rFonts w:ascii="Times New Roman" w:hAnsi="Times New Roman" w:cs="Times New Roman"/>
          <w:b/>
          <w:color w:val="auto"/>
          <w:sz w:val="40"/>
          <w:szCs w:val="40"/>
        </w:rPr>
        <w:t>PORTFOLIO</w:t>
      </w:r>
    </w:p>
    <w:p w14:paraId="333E90F0" w14:textId="62DD2FD5" w:rsidR="00F927A1" w:rsidRPr="000D04DC" w:rsidRDefault="00F927A1">
      <w:pPr>
        <w:overflowPunct/>
        <w:autoSpaceDE/>
        <w:autoSpaceDN/>
        <w:adjustRightInd/>
        <w:ind w:right="-957"/>
        <w:textAlignment w:val="auto"/>
        <w:rPr>
          <w:rFonts w:ascii="Times New Roman" w:hAnsi="Times New Roman" w:cs="Times New Roman"/>
          <w:b/>
          <w:bCs/>
          <w:color w:val="auto"/>
          <w:sz w:val="40"/>
          <w:szCs w:val="40"/>
        </w:rPr>
      </w:pPr>
      <w:r w:rsidRPr="000D04DC">
        <w:rPr>
          <w:rFonts w:ascii="Times New Roman" w:hAnsi="Times New Roman" w:cs="Times New Roman"/>
          <w:b/>
          <w:bCs/>
          <w:color w:val="auto"/>
          <w:sz w:val="40"/>
          <w:szCs w:val="40"/>
        </w:rPr>
        <w:t>(PORTH AGORED and U</w:t>
      </w:r>
      <w:r w:rsidR="6E4F6729" w:rsidRPr="000D04DC">
        <w:rPr>
          <w:rFonts w:ascii="Times New Roman" w:hAnsi="Times New Roman" w:cs="Times New Roman"/>
          <w:b/>
          <w:bCs/>
          <w:color w:val="auto"/>
          <w:sz w:val="40"/>
          <w:szCs w:val="40"/>
        </w:rPr>
        <w:t>NIVERSITY OF WALES TRINITY SAINT DAVID</w:t>
      </w:r>
      <w:r w:rsidRPr="000D04DC">
        <w:rPr>
          <w:rFonts w:ascii="Times New Roman" w:hAnsi="Times New Roman" w:cs="Times New Roman"/>
          <w:b/>
          <w:bCs/>
          <w:color w:val="auto"/>
          <w:sz w:val="40"/>
          <w:szCs w:val="40"/>
        </w:rPr>
        <w:t>)</w:t>
      </w:r>
    </w:p>
    <w:p w14:paraId="024B1E2F" w14:textId="77777777" w:rsidR="0085230E" w:rsidRPr="000D04DC" w:rsidRDefault="0085230E" w:rsidP="00F927A1">
      <w:pPr>
        <w:overflowPunct/>
        <w:autoSpaceDE/>
        <w:autoSpaceDN/>
        <w:adjustRightInd/>
        <w:ind w:right="-957"/>
        <w:textAlignment w:val="auto"/>
        <w:rPr>
          <w:rFonts w:ascii="Times New Roman" w:hAnsi="Times New Roman" w:cs="Times New Roman"/>
          <w:b/>
          <w:color w:val="auto"/>
          <w:sz w:val="40"/>
          <w:szCs w:val="40"/>
        </w:rPr>
      </w:pPr>
    </w:p>
    <w:p w14:paraId="16D1A022" w14:textId="77777777" w:rsidR="0085230E" w:rsidRPr="000D04DC" w:rsidRDefault="0085230E" w:rsidP="00F927A1">
      <w:pPr>
        <w:overflowPunct/>
        <w:autoSpaceDE/>
        <w:autoSpaceDN/>
        <w:adjustRightInd/>
        <w:ind w:right="-957"/>
        <w:textAlignment w:val="auto"/>
        <w:rPr>
          <w:rFonts w:ascii="Times New Roman" w:hAnsi="Times New Roman" w:cs="Times New Roman"/>
          <w:b/>
          <w:color w:val="auto"/>
          <w:sz w:val="40"/>
          <w:szCs w:val="40"/>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0D04DC" w14:paraId="68CAA39D" w14:textId="77777777" w:rsidTr="005D3F07">
        <w:tc>
          <w:tcPr>
            <w:tcW w:w="10368" w:type="dxa"/>
            <w:shd w:val="clear" w:color="auto" w:fill="auto"/>
          </w:tcPr>
          <w:p w14:paraId="02F8EE88" w14:textId="767EECA9" w:rsidR="00986B43" w:rsidRPr="000D04DC"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0D04DC">
              <w:rPr>
                <w:rFonts w:ascii="Times New Roman" w:hAnsi="Times New Roman" w:cs="Times New Roman"/>
                <w:b/>
                <w:color w:val="auto"/>
                <w:sz w:val="40"/>
                <w:szCs w:val="40"/>
              </w:rPr>
              <w:t>Learner’s name:</w:t>
            </w:r>
            <w:r w:rsidR="00247265" w:rsidRPr="000D04DC">
              <w:rPr>
                <w:rFonts w:ascii="Times New Roman" w:hAnsi="Times New Roman" w:cs="Times New Roman"/>
                <w:b/>
                <w:color w:val="auto"/>
                <w:sz w:val="40"/>
                <w:szCs w:val="40"/>
              </w:rPr>
              <w:t xml:space="preserve"> </w:t>
            </w:r>
            <w:r w:rsidR="000D04DC" w:rsidRPr="000D04DC">
              <w:rPr>
                <w:rFonts w:ascii="Times New Roman" w:hAnsi="Times New Roman" w:cs="Times New Roman"/>
                <w:color w:val="auto"/>
                <w:sz w:val="40"/>
                <w:szCs w:val="40"/>
              </w:rPr>
              <w:t>Elizabeth Lloyd</w:t>
            </w:r>
            <w:r w:rsidR="000D04DC" w:rsidRPr="000D04DC">
              <w:rPr>
                <w:rFonts w:ascii="Times New Roman" w:hAnsi="Times New Roman" w:cs="Times New Roman"/>
                <w:b/>
                <w:color w:val="auto"/>
                <w:sz w:val="40"/>
                <w:szCs w:val="40"/>
              </w:rPr>
              <w:t xml:space="preserve"> </w:t>
            </w:r>
          </w:p>
          <w:p w14:paraId="0B6CD0DB" w14:textId="689515B5" w:rsidR="009C337F" w:rsidRPr="000D04DC"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571E40DA" w:rsidR="009C337F" w:rsidRPr="000D04DC" w:rsidRDefault="009C337F" w:rsidP="005D3F07">
            <w:pPr>
              <w:overflowPunct/>
              <w:autoSpaceDE/>
              <w:autoSpaceDN/>
              <w:adjustRightInd/>
              <w:ind w:right="-957"/>
              <w:textAlignment w:val="auto"/>
              <w:rPr>
                <w:rFonts w:ascii="Times New Roman" w:hAnsi="Times New Roman" w:cs="Times New Roman"/>
                <w:color w:val="auto"/>
                <w:sz w:val="40"/>
                <w:szCs w:val="40"/>
              </w:rPr>
            </w:pPr>
            <w:r w:rsidRPr="000D04DC">
              <w:rPr>
                <w:rFonts w:ascii="Times New Roman" w:hAnsi="Times New Roman" w:cs="Times New Roman"/>
                <w:b/>
                <w:color w:val="auto"/>
                <w:sz w:val="40"/>
                <w:szCs w:val="40"/>
              </w:rPr>
              <w:t>Email address:</w:t>
            </w:r>
            <w:r w:rsidR="000D04DC" w:rsidRPr="000D04DC">
              <w:rPr>
                <w:rFonts w:ascii="Times New Roman" w:hAnsi="Times New Roman" w:cs="Times New Roman"/>
                <w:color w:val="auto"/>
                <w:sz w:val="40"/>
                <w:szCs w:val="40"/>
              </w:rPr>
              <w:t>2329229@student.uwtsd.ac.uk,</w:t>
            </w:r>
            <w:r w:rsidR="000D04DC" w:rsidRPr="000D04DC">
              <w:rPr>
                <w:rFonts w:ascii="Times New Roman" w:hAnsi="Times New Roman" w:cs="Times New Roman"/>
                <w:b/>
                <w:color w:val="auto"/>
                <w:sz w:val="40"/>
                <w:szCs w:val="40"/>
              </w:rPr>
              <w:t xml:space="preserve"> </w:t>
            </w:r>
            <w:r w:rsidR="000D04DC" w:rsidRPr="000D04DC">
              <w:rPr>
                <w:rFonts w:ascii="Times New Roman" w:hAnsi="Times New Roman" w:cs="Times New Roman"/>
                <w:color w:val="auto"/>
                <w:sz w:val="40"/>
                <w:szCs w:val="40"/>
              </w:rPr>
              <w:t>lizzy.lloyd@wrexham.gov.uk</w:t>
            </w:r>
          </w:p>
          <w:p w14:paraId="6E167DC0" w14:textId="245038EA" w:rsidR="000D04DC" w:rsidRPr="000D04DC" w:rsidRDefault="000D04DC" w:rsidP="005D3F07">
            <w:pPr>
              <w:overflowPunct/>
              <w:autoSpaceDE/>
              <w:autoSpaceDN/>
              <w:adjustRightInd/>
              <w:ind w:right="-957"/>
              <w:textAlignment w:val="auto"/>
              <w:rPr>
                <w:rFonts w:ascii="Times New Roman" w:hAnsi="Times New Roman" w:cs="Times New Roman"/>
                <w:color w:val="auto"/>
                <w:sz w:val="40"/>
                <w:szCs w:val="40"/>
              </w:rPr>
            </w:pPr>
            <w:r w:rsidRPr="000D04DC">
              <w:rPr>
                <w:rFonts w:ascii="Times New Roman" w:hAnsi="Times New Roman" w:cs="Times New Roman"/>
                <w:color w:val="auto"/>
                <w:sz w:val="40"/>
                <w:szCs w:val="40"/>
              </w:rPr>
              <w:t>And kakporll@yahoo.co.uk</w:t>
            </w:r>
          </w:p>
          <w:p w14:paraId="22E38809" w14:textId="77777777" w:rsidR="00986B43" w:rsidRPr="000D04DC"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3B68E45D" w:rsidR="00F927A1" w:rsidRPr="000D04DC"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0D04DC">
              <w:rPr>
                <w:rFonts w:ascii="Times New Roman" w:hAnsi="Times New Roman" w:cs="Times New Roman"/>
                <w:b/>
                <w:color w:val="auto"/>
                <w:sz w:val="40"/>
                <w:szCs w:val="40"/>
              </w:rPr>
              <w:t>Learner’s University Registration</w:t>
            </w:r>
            <w:r w:rsidR="00F927A1" w:rsidRPr="000D04DC">
              <w:rPr>
                <w:rFonts w:ascii="Times New Roman" w:hAnsi="Times New Roman" w:cs="Times New Roman"/>
                <w:b/>
                <w:color w:val="auto"/>
                <w:sz w:val="40"/>
                <w:szCs w:val="40"/>
              </w:rPr>
              <w:t xml:space="preserve"> Number:</w:t>
            </w:r>
            <w:r w:rsidR="000D04DC" w:rsidRPr="000D04DC">
              <w:rPr>
                <w:rFonts w:ascii="Times New Roman" w:hAnsi="Times New Roman" w:cs="Times New Roman"/>
                <w:b/>
                <w:color w:val="auto"/>
                <w:sz w:val="40"/>
                <w:szCs w:val="40"/>
              </w:rPr>
              <w:t>2329229</w:t>
            </w:r>
          </w:p>
          <w:p w14:paraId="622FD17A" w14:textId="77777777" w:rsidR="0085230E" w:rsidRPr="000D04DC"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048C9EAF" w:rsidR="0085230E" w:rsidRPr="000D04DC" w:rsidRDefault="00706BB5" w:rsidP="005D3F07">
            <w:pPr>
              <w:overflowPunct/>
              <w:autoSpaceDE/>
              <w:autoSpaceDN/>
              <w:adjustRightInd/>
              <w:ind w:right="-957"/>
              <w:textAlignment w:val="auto"/>
              <w:rPr>
                <w:rFonts w:ascii="Times New Roman" w:hAnsi="Times New Roman" w:cs="Times New Roman"/>
                <w:b/>
                <w:color w:val="auto"/>
                <w:sz w:val="40"/>
                <w:szCs w:val="40"/>
              </w:rPr>
            </w:pPr>
            <w:r w:rsidRPr="000D04DC">
              <w:rPr>
                <w:rFonts w:ascii="Times New Roman" w:hAnsi="Times New Roman" w:cs="Times New Roman"/>
                <w:b/>
                <w:color w:val="auto"/>
                <w:sz w:val="40"/>
                <w:szCs w:val="40"/>
              </w:rPr>
              <w:t xml:space="preserve">Cohort: </w:t>
            </w:r>
            <w:r w:rsidR="00B037B0" w:rsidRPr="000D04DC">
              <w:rPr>
                <w:rFonts w:ascii="Times New Roman" w:hAnsi="Times New Roman" w:cs="Times New Roman"/>
                <w:b/>
                <w:color w:val="auto"/>
                <w:sz w:val="40"/>
                <w:szCs w:val="40"/>
              </w:rPr>
              <w:t>21</w:t>
            </w:r>
            <w:r w:rsidR="00AE6231" w:rsidRPr="000D04DC">
              <w:rPr>
                <w:rFonts w:ascii="Times New Roman" w:hAnsi="Times New Roman" w:cs="Times New Roman"/>
                <w:b/>
                <w:color w:val="auto"/>
                <w:sz w:val="40"/>
                <w:szCs w:val="40"/>
              </w:rPr>
              <w:t xml:space="preserve"> onwards</w:t>
            </w:r>
          </w:p>
        </w:tc>
      </w:tr>
    </w:tbl>
    <w:p w14:paraId="40F3C009" w14:textId="77777777" w:rsidR="00F927A1" w:rsidRPr="000D04DC" w:rsidRDefault="008420E1" w:rsidP="00986B43">
      <w:pPr>
        <w:overflowPunct/>
        <w:autoSpaceDE/>
        <w:autoSpaceDN/>
        <w:adjustRightInd/>
        <w:ind w:right="-957"/>
        <w:textAlignment w:val="auto"/>
        <w:rPr>
          <w:rFonts w:ascii="Times New Roman" w:hAnsi="Times New Roman" w:cs="Times New Roman"/>
          <w:b/>
          <w:color w:val="auto"/>
          <w:sz w:val="40"/>
          <w:szCs w:val="40"/>
        </w:rPr>
      </w:pPr>
      <w:r w:rsidRPr="000D04DC">
        <w:rPr>
          <w:rFonts w:ascii="Times New Roman" w:hAnsi="Times New Roman" w:cs="Times New Roman"/>
          <w:b/>
          <w:color w:val="auto"/>
          <w:sz w:val="40"/>
          <w:szCs w:val="40"/>
        </w:rPr>
        <w:t xml:space="preserve"> </w:t>
      </w:r>
    </w:p>
    <w:p w14:paraId="621AF8BA" w14:textId="77777777" w:rsidR="00F927A1" w:rsidRPr="000D04DC" w:rsidRDefault="00F927A1" w:rsidP="00F927A1">
      <w:pPr>
        <w:overflowPunct/>
        <w:autoSpaceDE/>
        <w:autoSpaceDN/>
        <w:adjustRightInd/>
        <w:textAlignment w:val="auto"/>
        <w:rPr>
          <w:rFonts w:ascii="Times New Roman" w:hAnsi="Times New Roman" w:cs="Times New Roman"/>
          <w:color w:val="auto"/>
          <w:sz w:val="40"/>
          <w:szCs w:val="40"/>
        </w:rPr>
      </w:pPr>
    </w:p>
    <w:p w14:paraId="3FC4E125" w14:textId="77777777" w:rsidR="00F927A1" w:rsidRPr="000D04DC" w:rsidRDefault="00F927A1" w:rsidP="00F927A1">
      <w:pPr>
        <w:overflowPunct/>
        <w:autoSpaceDE/>
        <w:autoSpaceDN/>
        <w:adjustRightInd/>
        <w:ind w:right="-957"/>
        <w:textAlignment w:val="auto"/>
        <w:rPr>
          <w:rFonts w:ascii="Times New Roman" w:hAnsi="Times New Roman" w:cs="Times New Roman"/>
          <w:b/>
          <w:color w:val="auto"/>
          <w:sz w:val="40"/>
          <w:szCs w:val="40"/>
        </w:rPr>
      </w:pPr>
    </w:p>
    <w:p w14:paraId="025CB5FE" w14:textId="1EB157DC" w:rsidR="00E559CE" w:rsidRPr="000D04DC" w:rsidRDefault="00E83F91" w:rsidP="005B3A2D">
      <w:pPr>
        <w:jc w:val="center"/>
        <w:rPr>
          <w:b/>
          <w:sz w:val="40"/>
          <w:szCs w:val="40"/>
        </w:rPr>
      </w:pPr>
      <w:r w:rsidRPr="000D04DC">
        <w:rPr>
          <w:b/>
          <w:sz w:val="40"/>
          <w:szCs w:val="40"/>
        </w:rPr>
        <w:br w:type="page"/>
      </w:r>
    </w:p>
    <w:p w14:paraId="1D68DA91" w14:textId="77777777" w:rsidR="00D3203C" w:rsidRPr="000D04DC" w:rsidRDefault="00D3203C" w:rsidP="00EE5BC3">
      <w:pPr>
        <w:jc w:val="center"/>
        <w:rPr>
          <w:b/>
          <w:sz w:val="40"/>
          <w:szCs w:val="40"/>
        </w:rPr>
      </w:pPr>
    </w:p>
    <w:p w14:paraId="5A670606" w14:textId="63DC81B5" w:rsidR="00F546D1" w:rsidRPr="000D04DC" w:rsidRDefault="007374EF" w:rsidP="00EE5BC3">
      <w:pPr>
        <w:jc w:val="center"/>
        <w:rPr>
          <w:sz w:val="40"/>
          <w:szCs w:val="40"/>
        </w:rPr>
      </w:pPr>
      <w:r w:rsidRPr="000D04DC">
        <w:rPr>
          <w:b/>
          <w:sz w:val="40"/>
          <w:szCs w:val="40"/>
        </w:rPr>
        <w:t>Task 3</w:t>
      </w:r>
    </w:p>
    <w:p w14:paraId="3D5F0C24" w14:textId="77777777" w:rsidR="00F546D1" w:rsidRPr="000D04DC" w:rsidRDefault="00F546D1" w:rsidP="00EE5BC3">
      <w:pPr>
        <w:jc w:val="center"/>
        <w:rPr>
          <w:b/>
          <w:sz w:val="40"/>
          <w:szCs w:val="40"/>
        </w:rPr>
      </w:pPr>
    </w:p>
    <w:p w14:paraId="02619381" w14:textId="77777777" w:rsidR="00A12F22" w:rsidRPr="000D04DC" w:rsidRDefault="00E559CE" w:rsidP="00EE5BC3">
      <w:pPr>
        <w:jc w:val="center"/>
        <w:rPr>
          <w:b/>
          <w:color w:val="auto"/>
          <w:sz w:val="28"/>
          <w:szCs w:val="28"/>
        </w:rPr>
      </w:pPr>
      <w:r w:rsidRPr="000D04DC">
        <w:rPr>
          <w:b/>
          <w:color w:val="auto"/>
          <w:sz w:val="28"/>
          <w:szCs w:val="28"/>
        </w:rPr>
        <w:t>Safeguarding and working in complex situations</w:t>
      </w:r>
      <w:r w:rsidR="00002C7A" w:rsidRPr="000D04DC">
        <w:rPr>
          <w:b/>
          <w:color w:val="auto"/>
          <w:sz w:val="28"/>
          <w:szCs w:val="28"/>
        </w:rPr>
        <w:t xml:space="preserve"> – Case Study</w:t>
      </w:r>
    </w:p>
    <w:p w14:paraId="746467D8" w14:textId="77777777" w:rsidR="007C5ABE" w:rsidRPr="000D04DC" w:rsidRDefault="007C5ABE" w:rsidP="0093018C">
      <w:pPr>
        <w:rPr>
          <w:b/>
          <w:color w:val="auto"/>
          <w:sz w:val="28"/>
          <w:szCs w:val="28"/>
        </w:rPr>
      </w:pPr>
    </w:p>
    <w:p w14:paraId="4AF0BB36" w14:textId="77777777" w:rsidR="00D0503D" w:rsidRPr="000D04DC" w:rsidRDefault="00D0503D" w:rsidP="0093018C">
      <w:pPr>
        <w:rPr>
          <w:b/>
          <w:color w:val="auto"/>
          <w:sz w:val="28"/>
          <w:szCs w:val="28"/>
        </w:rPr>
      </w:pPr>
      <w:r w:rsidRPr="000D04DC">
        <w:rPr>
          <w:b/>
          <w:color w:val="auto"/>
          <w:sz w:val="28"/>
          <w:szCs w:val="28"/>
        </w:rPr>
        <w:t>Guidance</w:t>
      </w:r>
      <w:r w:rsidR="00084DA6" w:rsidRPr="000D04DC">
        <w:rPr>
          <w:b/>
          <w:color w:val="auto"/>
          <w:sz w:val="28"/>
          <w:szCs w:val="28"/>
        </w:rPr>
        <w:t>;</w:t>
      </w:r>
    </w:p>
    <w:p w14:paraId="104AED32" w14:textId="7E0942CD" w:rsidR="007C5ABE" w:rsidRPr="000D04DC" w:rsidRDefault="00084DA6">
      <w:pPr>
        <w:jc w:val="both"/>
        <w:rPr>
          <w:i/>
          <w:iCs/>
          <w:sz w:val="28"/>
          <w:szCs w:val="28"/>
        </w:rPr>
      </w:pPr>
      <w:r w:rsidRPr="000D04DC">
        <w:rPr>
          <w:i/>
          <w:iCs/>
          <w:sz w:val="28"/>
          <w:szCs w:val="28"/>
        </w:rPr>
        <w:t xml:space="preserve">Please ensure that you </w:t>
      </w:r>
      <w:r w:rsidR="00F45521" w:rsidRPr="000D04DC">
        <w:rPr>
          <w:i/>
          <w:iCs/>
          <w:sz w:val="28"/>
          <w:szCs w:val="28"/>
        </w:rPr>
        <w:t>meet</w:t>
      </w:r>
      <w:r w:rsidRPr="000D04DC">
        <w:rPr>
          <w:i/>
          <w:iCs/>
          <w:sz w:val="28"/>
          <w:szCs w:val="28"/>
        </w:rPr>
        <w:t xml:space="preserve"> the </w:t>
      </w:r>
      <w:r w:rsidR="00AA7960" w:rsidRPr="000D04DC">
        <w:rPr>
          <w:i/>
          <w:iCs/>
          <w:sz w:val="28"/>
          <w:szCs w:val="28"/>
        </w:rPr>
        <w:t xml:space="preserve">National Occupational Standards and assigned </w:t>
      </w:r>
      <w:r w:rsidRPr="000D04DC">
        <w:rPr>
          <w:i/>
          <w:iCs/>
          <w:sz w:val="28"/>
          <w:szCs w:val="28"/>
        </w:rPr>
        <w:t>Learning Outcomes for this task</w:t>
      </w:r>
      <w:r w:rsidR="00AA7960" w:rsidRPr="000D04DC">
        <w:rPr>
          <w:i/>
          <w:iCs/>
          <w:sz w:val="28"/>
          <w:szCs w:val="28"/>
        </w:rPr>
        <w:t xml:space="preserve"> (s</w:t>
      </w:r>
      <w:r w:rsidRPr="000D04DC">
        <w:rPr>
          <w:i/>
          <w:iCs/>
          <w:sz w:val="28"/>
          <w:szCs w:val="28"/>
        </w:rPr>
        <w:t xml:space="preserve">ee appendix </w:t>
      </w:r>
      <w:r w:rsidR="6D1B720D" w:rsidRPr="000D04DC">
        <w:rPr>
          <w:i/>
          <w:iCs/>
          <w:sz w:val="28"/>
          <w:szCs w:val="28"/>
        </w:rPr>
        <w:t>5 and 6 of the handbook</w:t>
      </w:r>
      <w:r w:rsidR="00AA7960" w:rsidRPr="000D04DC">
        <w:rPr>
          <w:i/>
          <w:iCs/>
          <w:sz w:val="28"/>
          <w:szCs w:val="28"/>
        </w:rPr>
        <w:t>)</w:t>
      </w:r>
      <w:r w:rsidR="007374EF" w:rsidRPr="000D04DC">
        <w:rPr>
          <w:i/>
          <w:iCs/>
          <w:sz w:val="28"/>
          <w:szCs w:val="28"/>
        </w:rPr>
        <w:t>.</w:t>
      </w:r>
      <w:r w:rsidR="00540EEC" w:rsidRPr="000D04DC">
        <w:rPr>
          <w:i/>
          <w:iCs/>
          <w:sz w:val="28"/>
          <w:szCs w:val="28"/>
        </w:rPr>
        <w:t xml:space="preserve"> </w:t>
      </w:r>
    </w:p>
    <w:p w14:paraId="257A6431" w14:textId="77777777" w:rsidR="008B28E7" w:rsidRPr="000D04DC" w:rsidRDefault="008B28E7" w:rsidP="00FF7EBB">
      <w:pPr>
        <w:jc w:val="both"/>
        <w:rPr>
          <w:b/>
          <w:color w:val="auto"/>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0D04DC" w14:paraId="2E129DEE" w14:textId="77777777" w:rsidTr="7B2CF1A9">
        <w:tc>
          <w:tcPr>
            <w:tcW w:w="10031" w:type="dxa"/>
            <w:shd w:val="clear" w:color="auto" w:fill="auto"/>
          </w:tcPr>
          <w:p w14:paraId="63627B26" w14:textId="64A7A177" w:rsidR="006872A0" w:rsidRPr="000D04DC" w:rsidRDefault="006872A0" w:rsidP="00064063">
            <w:pPr>
              <w:jc w:val="both"/>
              <w:rPr>
                <w:b/>
                <w:sz w:val="28"/>
                <w:szCs w:val="28"/>
              </w:rPr>
            </w:pPr>
            <w:r w:rsidRPr="000D04DC">
              <w:rPr>
                <w:b/>
                <w:sz w:val="28"/>
                <w:szCs w:val="28"/>
              </w:rPr>
              <w:t>Question</w:t>
            </w:r>
            <w:r w:rsidR="007A628F" w:rsidRPr="000D04DC">
              <w:rPr>
                <w:b/>
                <w:sz w:val="28"/>
                <w:szCs w:val="28"/>
              </w:rPr>
              <w:t>:</w:t>
            </w:r>
          </w:p>
          <w:p w14:paraId="541B485B" w14:textId="4CB44B06" w:rsidR="00C77FA5" w:rsidRPr="000D04DC" w:rsidRDefault="000A584A">
            <w:pPr>
              <w:jc w:val="both"/>
              <w:rPr>
                <w:sz w:val="28"/>
                <w:szCs w:val="28"/>
              </w:rPr>
            </w:pPr>
            <w:r w:rsidRPr="000D04DC">
              <w:rPr>
                <w:sz w:val="28"/>
                <w:szCs w:val="28"/>
              </w:rPr>
              <w:t xml:space="preserve">Complete a critically reflective case study </w:t>
            </w:r>
            <w:r w:rsidR="00D0503D" w:rsidRPr="000D04DC">
              <w:rPr>
                <w:sz w:val="28"/>
                <w:szCs w:val="28"/>
              </w:rPr>
              <w:t>based</w:t>
            </w:r>
            <w:r w:rsidRPr="000D04DC">
              <w:rPr>
                <w:sz w:val="28"/>
                <w:szCs w:val="28"/>
              </w:rPr>
              <w:t xml:space="preserve"> on</w:t>
            </w:r>
            <w:r w:rsidR="00696A88" w:rsidRPr="000D04DC">
              <w:rPr>
                <w:sz w:val="28"/>
                <w:szCs w:val="28"/>
              </w:rPr>
              <w:t xml:space="preserve"> </w:t>
            </w:r>
            <w:r w:rsidR="00411EF7" w:rsidRPr="000D04DC">
              <w:rPr>
                <w:sz w:val="28"/>
                <w:szCs w:val="28"/>
              </w:rPr>
              <w:t>an assessment</w:t>
            </w:r>
            <w:r w:rsidR="007F312E" w:rsidRPr="000D04DC">
              <w:rPr>
                <w:sz w:val="28"/>
                <w:szCs w:val="28"/>
              </w:rPr>
              <w:t xml:space="preserve"> </w:t>
            </w:r>
            <w:r w:rsidR="007C5ABE" w:rsidRPr="000D04DC">
              <w:rPr>
                <w:sz w:val="28"/>
                <w:szCs w:val="28"/>
              </w:rPr>
              <w:t xml:space="preserve">that you have </w:t>
            </w:r>
            <w:r w:rsidRPr="000D04DC">
              <w:rPr>
                <w:sz w:val="28"/>
                <w:szCs w:val="28"/>
              </w:rPr>
              <w:t xml:space="preserve">undertaken with </w:t>
            </w:r>
            <w:r w:rsidR="00D0503D" w:rsidRPr="000D04DC">
              <w:rPr>
                <w:sz w:val="28"/>
                <w:szCs w:val="28"/>
              </w:rPr>
              <w:t>others,</w:t>
            </w:r>
            <w:r w:rsidR="00D0503D" w:rsidRPr="000D04DC">
              <w:rPr>
                <w:b/>
                <w:bCs/>
                <w:sz w:val="28"/>
                <w:szCs w:val="28"/>
              </w:rPr>
              <w:t xml:space="preserve"> </w:t>
            </w:r>
            <w:r w:rsidR="00D0503D" w:rsidRPr="000D04DC">
              <w:rPr>
                <w:sz w:val="28"/>
                <w:szCs w:val="28"/>
              </w:rPr>
              <w:t>in</w:t>
            </w:r>
            <w:r w:rsidR="0002440E" w:rsidRPr="000D04DC">
              <w:rPr>
                <w:sz w:val="28"/>
                <w:szCs w:val="28"/>
              </w:rPr>
              <w:t xml:space="preserve"> your own area of work</w:t>
            </w:r>
            <w:r w:rsidR="00D0503D" w:rsidRPr="000D04DC">
              <w:rPr>
                <w:sz w:val="28"/>
                <w:szCs w:val="28"/>
              </w:rPr>
              <w:t xml:space="preserve">, </w:t>
            </w:r>
            <w:r w:rsidR="00587923" w:rsidRPr="000D04DC">
              <w:rPr>
                <w:sz w:val="28"/>
                <w:szCs w:val="28"/>
              </w:rPr>
              <w:t>c</w:t>
            </w:r>
            <w:r w:rsidR="008B28E7" w:rsidRPr="000D04DC">
              <w:rPr>
                <w:sz w:val="28"/>
                <w:szCs w:val="28"/>
              </w:rPr>
              <w:t>oncerning the safeguarding of either an adult or a child</w:t>
            </w:r>
            <w:r w:rsidRPr="000D04DC">
              <w:rPr>
                <w:sz w:val="28"/>
                <w:szCs w:val="28"/>
              </w:rPr>
              <w:t xml:space="preserve">. </w:t>
            </w:r>
            <w:r w:rsidR="00216563" w:rsidRPr="000D04DC">
              <w:rPr>
                <w:sz w:val="28"/>
                <w:szCs w:val="28"/>
              </w:rPr>
              <w:t xml:space="preserve">You must demonstrate how </w:t>
            </w:r>
            <w:r w:rsidR="00F34C86" w:rsidRPr="000D04DC">
              <w:rPr>
                <w:sz w:val="28"/>
                <w:szCs w:val="28"/>
              </w:rPr>
              <w:t xml:space="preserve">the case relates to or could relate to safeguarding </w:t>
            </w:r>
            <w:r w:rsidR="00216563" w:rsidRPr="000D04DC">
              <w:rPr>
                <w:sz w:val="28"/>
                <w:szCs w:val="28"/>
              </w:rPr>
              <w:t>legislation, policies</w:t>
            </w:r>
            <w:r w:rsidR="00F34C86" w:rsidRPr="000D04DC">
              <w:rPr>
                <w:sz w:val="28"/>
                <w:szCs w:val="28"/>
              </w:rPr>
              <w:t>, strategies and procedures</w:t>
            </w:r>
            <w:r w:rsidR="7AAB400D" w:rsidRPr="000D04DC">
              <w:rPr>
                <w:sz w:val="28"/>
                <w:szCs w:val="28"/>
              </w:rPr>
              <w:t xml:space="preserve"> </w:t>
            </w:r>
            <w:r w:rsidR="623F2A43" w:rsidRPr="000D04DC">
              <w:rPr>
                <w:sz w:val="28"/>
                <w:szCs w:val="28"/>
              </w:rPr>
              <w:t>(</w:t>
            </w:r>
            <w:r w:rsidR="7AAB400D" w:rsidRPr="000D04DC">
              <w:rPr>
                <w:sz w:val="28"/>
                <w:szCs w:val="28"/>
              </w:rPr>
              <w:t>i</w:t>
            </w:r>
            <w:r w:rsidR="623F2A43" w:rsidRPr="000D04DC">
              <w:rPr>
                <w:sz w:val="28"/>
                <w:szCs w:val="28"/>
              </w:rPr>
              <w:t xml:space="preserve">ncluding </w:t>
            </w:r>
            <w:r w:rsidR="322513AD" w:rsidRPr="000D04DC">
              <w:rPr>
                <w:sz w:val="28"/>
                <w:szCs w:val="28"/>
              </w:rPr>
              <w:t>d</w:t>
            </w:r>
            <w:r w:rsidR="7E97696C" w:rsidRPr="000D04DC">
              <w:rPr>
                <w:sz w:val="28"/>
                <w:szCs w:val="28"/>
              </w:rPr>
              <w:t xml:space="preserve">emonstrating an understanding of </w:t>
            </w:r>
            <w:r w:rsidR="623F2A43" w:rsidRPr="000D04DC">
              <w:rPr>
                <w:sz w:val="28"/>
                <w:szCs w:val="28"/>
              </w:rPr>
              <w:t>the</w:t>
            </w:r>
            <w:r w:rsidR="350F702B" w:rsidRPr="000D04DC">
              <w:rPr>
                <w:sz w:val="28"/>
                <w:szCs w:val="28"/>
              </w:rPr>
              <w:t xml:space="preserve"> </w:t>
            </w:r>
            <w:r w:rsidR="3B2446CA" w:rsidRPr="000D04DC">
              <w:rPr>
                <w:rFonts w:eastAsia="Arial"/>
                <w:color w:val="000000" w:themeColor="text1"/>
                <w:sz w:val="28"/>
                <w:szCs w:val="28"/>
              </w:rPr>
              <w:t xml:space="preserve">interface </w:t>
            </w:r>
            <w:r w:rsidR="534A9052" w:rsidRPr="000D04DC">
              <w:rPr>
                <w:rFonts w:eastAsia="Arial"/>
                <w:color w:val="000000" w:themeColor="text1"/>
                <w:sz w:val="28"/>
                <w:szCs w:val="28"/>
              </w:rPr>
              <w:t>between social services provision in Wales with the United Kingdom, the European Union</w:t>
            </w:r>
            <w:r w:rsidR="007A628F" w:rsidRPr="000D04DC">
              <w:rPr>
                <w:rFonts w:eastAsia="Arial"/>
                <w:color w:val="000000" w:themeColor="text1"/>
                <w:sz w:val="28"/>
                <w:szCs w:val="28"/>
              </w:rPr>
              <w:t xml:space="preserve"> (EU)</w:t>
            </w:r>
            <w:r w:rsidR="534A9052" w:rsidRPr="000D04DC">
              <w:rPr>
                <w:rFonts w:eastAsia="Arial"/>
                <w:color w:val="000000" w:themeColor="text1"/>
                <w:sz w:val="28"/>
                <w:szCs w:val="28"/>
              </w:rPr>
              <w:t xml:space="preserve"> and outside the EU</w:t>
            </w:r>
            <w:r w:rsidR="623F2A43" w:rsidRPr="000D04DC">
              <w:rPr>
                <w:rFonts w:eastAsia="Arial"/>
                <w:color w:val="000000" w:themeColor="text1"/>
                <w:sz w:val="28"/>
                <w:szCs w:val="28"/>
              </w:rPr>
              <w:t>)</w:t>
            </w:r>
            <w:r w:rsidR="00411EF7" w:rsidRPr="000D04DC">
              <w:rPr>
                <w:sz w:val="28"/>
                <w:szCs w:val="28"/>
              </w:rPr>
              <w:t>.</w:t>
            </w:r>
            <w:r w:rsidR="00354B6D" w:rsidRPr="000D04DC">
              <w:rPr>
                <w:sz w:val="28"/>
                <w:szCs w:val="28"/>
              </w:rPr>
              <w:t xml:space="preserve"> </w:t>
            </w:r>
            <w:r w:rsidR="102A3950" w:rsidRPr="000D04DC">
              <w:rPr>
                <w:sz w:val="28"/>
                <w:szCs w:val="28"/>
              </w:rPr>
              <w:t>You</w:t>
            </w:r>
            <w:r w:rsidR="00354B6D" w:rsidRPr="000D04DC">
              <w:rPr>
                <w:sz w:val="28"/>
                <w:szCs w:val="28"/>
              </w:rPr>
              <w:t xml:space="preserve"> must</w:t>
            </w:r>
            <w:r w:rsidR="00411EF7" w:rsidRPr="000D04DC">
              <w:rPr>
                <w:sz w:val="28"/>
                <w:szCs w:val="28"/>
              </w:rPr>
              <w:t xml:space="preserve"> </w:t>
            </w:r>
            <w:r w:rsidR="00354B6D" w:rsidRPr="000D04DC">
              <w:rPr>
                <w:sz w:val="28"/>
                <w:szCs w:val="28"/>
              </w:rPr>
              <w:t>demonstrate your understanding of</w:t>
            </w:r>
            <w:r w:rsidR="00F34C86" w:rsidRPr="000D04DC">
              <w:rPr>
                <w:sz w:val="28"/>
                <w:szCs w:val="28"/>
              </w:rPr>
              <w:t xml:space="preserve"> </w:t>
            </w:r>
            <w:r w:rsidR="00411EF7" w:rsidRPr="000D04DC">
              <w:rPr>
                <w:sz w:val="28"/>
                <w:szCs w:val="28"/>
              </w:rPr>
              <w:t xml:space="preserve">the </w:t>
            </w:r>
            <w:r w:rsidR="00216563" w:rsidRPr="000D04DC">
              <w:rPr>
                <w:sz w:val="28"/>
                <w:szCs w:val="28"/>
              </w:rPr>
              <w:t xml:space="preserve">integration of </w:t>
            </w:r>
            <w:r w:rsidR="6A854C79" w:rsidRPr="000D04DC">
              <w:rPr>
                <w:sz w:val="28"/>
                <w:szCs w:val="28"/>
              </w:rPr>
              <w:t>analysis in asses</w:t>
            </w:r>
            <w:r w:rsidR="0F77E214" w:rsidRPr="000D04DC">
              <w:rPr>
                <w:sz w:val="28"/>
                <w:szCs w:val="28"/>
              </w:rPr>
              <w:t>sment, collabo</w:t>
            </w:r>
            <w:r w:rsidR="6A854C79" w:rsidRPr="000D04DC">
              <w:rPr>
                <w:sz w:val="28"/>
                <w:szCs w:val="28"/>
              </w:rPr>
              <w:t>rative work</w:t>
            </w:r>
            <w:r w:rsidR="0F77E214" w:rsidRPr="000D04DC">
              <w:rPr>
                <w:sz w:val="28"/>
                <w:szCs w:val="28"/>
              </w:rPr>
              <w:t>ing</w:t>
            </w:r>
            <w:r w:rsidR="6A854C79" w:rsidRPr="000D04DC">
              <w:rPr>
                <w:sz w:val="28"/>
                <w:szCs w:val="28"/>
              </w:rPr>
              <w:t xml:space="preserve"> a</w:t>
            </w:r>
            <w:r w:rsidR="0F77E214" w:rsidRPr="000D04DC">
              <w:rPr>
                <w:sz w:val="28"/>
                <w:szCs w:val="28"/>
              </w:rPr>
              <w:t xml:space="preserve">nd </w:t>
            </w:r>
            <w:r w:rsidR="6A854C79" w:rsidRPr="000D04DC">
              <w:rPr>
                <w:sz w:val="28"/>
                <w:szCs w:val="28"/>
              </w:rPr>
              <w:t>professional</w:t>
            </w:r>
            <w:r w:rsidR="00F34C86" w:rsidRPr="000D04DC">
              <w:rPr>
                <w:sz w:val="28"/>
                <w:szCs w:val="28"/>
              </w:rPr>
              <w:t xml:space="preserve"> </w:t>
            </w:r>
            <w:r w:rsidR="00216563" w:rsidRPr="000D04DC">
              <w:rPr>
                <w:sz w:val="28"/>
                <w:szCs w:val="28"/>
              </w:rPr>
              <w:t>judgements</w:t>
            </w:r>
            <w:r w:rsidR="0F77E214" w:rsidRPr="000D04DC">
              <w:rPr>
                <w:sz w:val="28"/>
                <w:szCs w:val="28"/>
              </w:rPr>
              <w:t xml:space="preserve"> in increasingly complex situations </w:t>
            </w:r>
            <w:r w:rsidR="00E5498A" w:rsidRPr="000D04DC">
              <w:rPr>
                <w:sz w:val="28"/>
                <w:szCs w:val="28"/>
              </w:rPr>
              <w:t>and</w:t>
            </w:r>
            <w:r w:rsidR="1D6670C0" w:rsidRPr="000D04DC">
              <w:rPr>
                <w:sz w:val="28"/>
                <w:szCs w:val="28"/>
              </w:rPr>
              <w:t xml:space="preserve"> </w:t>
            </w:r>
            <w:r w:rsidR="39C47EB7" w:rsidRPr="000D04DC">
              <w:rPr>
                <w:sz w:val="28"/>
                <w:szCs w:val="28"/>
              </w:rPr>
              <w:t>the</w:t>
            </w:r>
            <w:r w:rsidR="25F327FB" w:rsidRPr="000D04DC">
              <w:rPr>
                <w:sz w:val="28"/>
                <w:szCs w:val="28"/>
              </w:rPr>
              <w:t xml:space="preserve"> </w:t>
            </w:r>
            <w:r w:rsidR="00F34C86" w:rsidRPr="000D04DC">
              <w:rPr>
                <w:sz w:val="28"/>
                <w:szCs w:val="28"/>
              </w:rPr>
              <w:t>use of social work theories</w:t>
            </w:r>
            <w:r w:rsidR="756EEE2D" w:rsidRPr="000D04DC">
              <w:rPr>
                <w:sz w:val="28"/>
                <w:szCs w:val="28"/>
              </w:rPr>
              <w:t>.</w:t>
            </w:r>
            <w:r w:rsidR="00216563" w:rsidRPr="000D04DC">
              <w:rPr>
                <w:sz w:val="28"/>
                <w:szCs w:val="28"/>
              </w:rPr>
              <w:t xml:space="preserve"> </w:t>
            </w:r>
            <w:r w:rsidR="756EEE2D" w:rsidRPr="000D04DC">
              <w:rPr>
                <w:sz w:val="28"/>
                <w:szCs w:val="28"/>
              </w:rPr>
              <w:t>You</w:t>
            </w:r>
            <w:r w:rsidR="00216563" w:rsidRPr="000D04DC">
              <w:rPr>
                <w:sz w:val="28"/>
                <w:szCs w:val="28"/>
              </w:rPr>
              <w:t xml:space="preserve"> </w:t>
            </w:r>
            <w:r w:rsidR="00E5498A" w:rsidRPr="000D04DC">
              <w:rPr>
                <w:sz w:val="28"/>
                <w:szCs w:val="28"/>
              </w:rPr>
              <w:t xml:space="preserve">must </w:t>
            </w:r>
            <w:r w:rsidR="00F030D4" w:rsidRPr="000D04DC">
              <w:rPr>
                <w:sz w:val="28"/>
                <w:szCs w:val="28"/>
              </w:rPr>
              <w:t>refer to</w:t>
            </w:r>
            <w:r w:rsidR="00216563" w:rsidRPr="000D04DC">
              <w:rPr>
                <w:sz w:val="28"/>
                <w:szCs w:val="28"/>
              </w:rPr>
              <w:t xml:space="preserve"> </w:t>
            </w:r>
            <w:r w:rsidR="00F34C86" w:rsidRPr="000D04DC">
              <w:rPr>
                <w:sz w:val="28"/>
                <w:szCs w:val="28"/>
              </w:rPr>
              <w:t>the specific dimensions of working in Wales</w:t>
            </w:r>
            <w:r w:rsidR="00411EF7" w:rsidRPr="000D04DC">
              <w:rPr>
                <w:sz w:val="28"/>
                <w:szCs w:val="28"/>
              </w:rPr>
              <w:t xml:space="preserve">. </w:t>
            </w:r>
          </w:p>
          <w:p w14:paraId="2F8A7CA5" w14:textId="6EDC9DFB" w:rsidR="008D5999" w:rsidRPr="000D04DC" w:rsidRDefault="008D5999" w:rsidP="00064063">
            <w:pPr>
              <w:jc w:val="both"/>
              <w:rPr>
                <w:sz w:val="28"/>
                <w:szCs w:val="28"/>
              </w:rPr>
            </w:pPr>
          </w:p>
          <w:p w14:paraId="20A5906F" w14:textId="77777777" w:rsidR="008D5999" w:rsidRPr="000D04DC" w:rsidRDefault="008D5999" w:rsidP="00064063">
            <w:pPr>
              <w:jc w:val="both"/>
              <w:rPr>
                <w:sz w:val="28"/>
                <w:szCs w:val="28"/>
              </w:rPr>
            </w:pPr>
          </w:p>
          <w:p w14:paraId="51AF4546" w14:textId="476CB9AF" w:rsidR="00D3203C" w:rsidRPr="000D04DC" w:rsidRDefault="00045C40" w:rsidP="00FF7EBB">
            <w:pPr>
              <w:jc w:val="both"/>
              <w:rPr>
                <w:i/>
                <w:sz w:val="28"/>
                <w:szCs w:val="28"/>
              </w:rPr>
            </w:pPr>
            <w:r w:rsidRPr="000D04DC">
              <w:rPr>
                <w:i/>
                <w:sz w:val="28"/>
                <w:szCs w:val="28"/>
              </w:rPr>
              <w:t xml:space="preserve">4000 </w:t>
            </w:r>
            <w:r w:rsidR="008B28E7" w:rsidRPr="000D04DC">
              <w:rPr>
                <w:i/>
                <w:sz w:val="28"/>
                <w:szCs w:val="28"/>
              </w:rPr>
              <w:t>words</w:t>
            </w:r>
            <w:r w:rsidR="008B28E7" w:rsidRPr="000D04DC">
              <w:rPr>
                <w:sz w:val="28"/>
                <w:szCs w:val="28"/>
              </w:rPr>
              <w:t xml:space="preserve"> </w:t>
            </w:r>
            <w:r w:rsidR="008B28E7" w:rsidRPr="000D04DC">
              <w:rPr>
                <w:i/>
                <w:sz w:val="28"/>
                <w:szCs w:val="28"/>
              </w:rPr>
              <w:t>(+/- 10%: include your actual word count at the end of each section)</w:t>
            </w:r>
            <w:r w:rsidR="007A628F" w:rsidRPr="000D04DC">
              <w:rPr>
                <w:i/>
                <w:sz w:val="28"/>
                <w:szCs w:val="28"/>
              </w:rPr>
              <w:t>.</w:t>
            </w:r>
          </w:p>
          <w:p w14:paraId="701D8D4D" w14:textId="38C2B218" w:rsidR="00D3203C" w:rsidRPr="000D04DC" w:rsidRDefault="00D3203C" w:rsidP="00FF7EBB">
            <w:pPr>
              <w:jc w:val="both"/>
              <w:rPr>
                <w:i/>
                <w:sz w:val="28"/>
                <w:szCs w:val="28"/>
              </w:rPr>
            </w:pPr>
          </w:p>
          <w:p w14:paraId="20370495" w14:textId="79B79501" w:rsidR="00D3203C" w:rsidRPr="000D04DC" w:rsidRDefault="00D3203C" w:rsidP="00FF7EBB">
            <w:pPr>
              <w:jc w:val="both"/>
              <w:rPr>
                <w:i/>
                <w:sz w:val="28"/>
                <w:szCs w:val="28"/>
              </w:rPr>
            </w:pPr>
          </w:p>
          <w:p w14:paraId="12DC2F24" w14:textId="24094196" w:rsidR="00D3203C" w:rsidRPr="000D04DC" w:rsidRDefault="00D3203C" w:rsidP="00FF7EBB">
            <w:pPr>
              <w:jc w:val="both"/>
              <w:rPr>
                <w:i/>
                <w:sz w:val="28"/>
                <w:szCs w:val="28"/>
              </w:rPr>
            </w:pPr>
          </w:p>
          <w:p w14:paraId="1225D23D" w14:textId="4FFF3138" w:rsidR="00D3203C" w:rsidRPr="000D04DC" w:rsidRDefault="00D3203C" w:rsidP="00FF7EBB">
            <w:pPr>
              <w:jc w:val="both"/>
              <w:rPr>
                <w:i/>
                <w:sz w:val="28"/>
                <w:szCs w:val="28"/>
              </w:rPr>
            </w:pPr>
          </w:p>
          <w:p w14:paraId="0C1020FE" w14:textId="3BD2E0DE" w:rsidR="00D3203C" w:rsidRDefault="00D3203C" w:rsidP="00FF7EBB">
            <w:pPr>
              <w:jc w:val="both"/>
              <w:rPr>
                <w:i/>
                <w:sz w:val="28"/>
                <w:szCs w:val="28"/>
              </w:rPr>
            </w:pPr>
          </w:p>
          <w:p w14:paraId="24096FF4" w14:textId="5F6F1B39" w:rsidR="00356534" w:rsidRDefault="00356534" w:rsidP="00FF7EBB">
            <w:pPr>
              <w:jc w:val="both"/>
              <w:rPr>
                <w:i/>
                <w:sz w:val="28"/>
                <w:szCs w:val="28"/>
              </w:rPr>
            </w:pPr>
          </w:p>
          <w:p w14:paraId="447433B2" w14:textId="1170CC5D" w:rsidR="00356534" w:rsidRDefault="00356534" w:rsidP="00FF7EBB">
            <w:pPr>
              <w:jc w:val="both"/>
              <w:rPr>
                <w:i/>
                <w:sz w:val="28"/>
                <w:szCs w:val="28"/>
              </w:rPr>
            </w:pPr>
          </w:p>
          <w:p w14:paraId="2F5CD60A" w14:textId="2B5A53BB" w:rsidR="00356534" w:rsidRDefault="00356534" w:rsidP="00FF7EBB">
            <w:pPr>
              <w:jc w:val="both"/>
              <w:rPr>
                <w:i/>
                <w:sz w:val="28"/>
                <w:szCs w:val="28"/>
              </w:rPr>
            </w:pPr>
          </w:p>
          <w:p w14:paraId="434AF517" w14:textId="02C053A5" w:rsidR="00356534" w:rsidRDefault="00356534" w:rsidP="00FF7EBB">
            <w:pPr>
              <w:jc w:val="both"/>
              <w:rPr>
                <w:i/>
                <w:sz w:val="28"/>
                <w:szCs w:val="28"/>
              </w:rPr>
            </w:pPr>
          </w:p>
          <w:p w14:paraId="27558535" w14:textId="4ECDE27B" w:rsidR="00356534" w:rsidRDefault="00356534" w:rsidP="00FF7EBB">
            <w:pPr>
              <w:jc w:val="both"/>
              <w:rPr>
                <w:i/>
                <w:sz w:val="28"/>
                <w:szCs w:val="28"/>
              </w:rPr>
            </w:pPr>
          </w:p>
          <w:p w14:paraId="4B7668E4" w14:textId="2A52A9BF" w:rsidR="00356534" w:rsidRDefault="00356534" w:rsidP="00FF7EBB">
            <w:pPr>
              <w:jc w:val="both"/>
              <w:rPr>
                <w:i/>
                <w:sz w:val="28"/>
                <w:szCs w:val="28"/>
              </w:rPr>
            </w:pPr>
          </w:p>
          <w:p w14:paraId="4046CD24" w14:textId="53B30514" w:rsidR="00356534" w:rsidRDefault="00356534" w:rsidP="00FF7EBB">
            <w:pPr>
              <w:jc w:val="both"/>
              <w:rPr>
                <w:i/>
                <w:sz w:val="28"/>
                <w:szCs w:val="28"/>
              </w:rPr>
            </w:pPr>
          </w:p>
          <w:p w14:paraId="15D6C29C" w14:textId="088CEF7C" w:rsidR="00356534" w:rsidRDefault="00356534" w:rsidP="00FF7EBB">
            <w:pPr>
              <w:jc w:val="both"/>
              <w:rPr>
                <w:i/>
                <w:sz w:val="28"/>
                <w:szCs w:val="28"/>
              </w:rPr>
            </w:pPr>
          </w:p>
          <w:p w14:paraId="21CC2CE8" w14:textId="3CDD4193" w:rsidR="00356534" w:rsidRDefault="00356534" w:rsidP="00FF7EBB">
            <w:pPr>
              <w:jc w:val="both"/>
              <w:rPr>
                <w:i/>
                <w:sz w:val="28"/>
                <w:szCs w:val="28"/>
              </w:rPr>
            </w:pPr>
          </w:p>
          <w:p w14:paraId="0F29697D" w14:textId="12FC435C" w:rsidR="00356534" w:rsidRDefault="00356534" w:rsidP="00FF7EBB">
            <w:pPr>
              <w:jc w:val="both"/>
              <w:rPr>
                <w:i/>
                <w:sz w:val="28"/>
                <w:szCs w:val="28"/>
              </w:rPr>
            </w:pPr>
          </w:p>
          <w:p w14:paraId="5AC8429A" w14:textId="77777777" w:rsidR="00356534" w:rsidRDefault="00356534" w:rsidP="00356534">
            <w:pPr>
              <w:jc w:val="center"/>
              <w:rPr>
                <w:b/>
                <w:sz w:val="40"/>
                <w:szCs w:val="40"/>
              </w:rPr>
            </w:pPr>
          </w:p>
          <w:p w14:paraId="4FAFF199" w14:textId="77777777" w:rsidR="00356534" w:rsidRDefault="00356534" w:rsidP="00356534">
            <w:pPr>
              <w:spacing w:line="480" w:lineRule="auto"/>
              <w:jc w:val="both"/>
              <w:rPr>
                <w:sz w:val="28"/>
                <w:szCs w:val="28"/>
              </w:rPr>
            </w:pPr>
            <w:r>
              <w:rPr>
                <w:sz w:val="28"/>
                <w:szCs w:val="28"/>
              </w:rPr>
              <w:t>This document critically reflects on a case study assessment I conducted for an adult requiring an evaluation of care and support needs within an adult social care setting. The assessment was performed in collaboration with a senior colleague and focused on an older individual and their caregiver residing in Wales. The assessment explores how the circumstances relate to various safeguarding policies, the Social Services and Wellbeing (Wales) Act 2014 (SSWBA), Wales Safeguarding Procedure 2019 (WSP2019), and the Mental Capacity Act 2005 (MCA), along with policies regarding the Welsh language, self-neglect, and hoarding. It enhances the understanding of the distinctions and boundaries within social services provisions, particularly regarding Wales and the United Kingdom, as well as the fundamental interpretations of the Human Rights Act 1998.</w:t>
            </w:r>
          </w:p>
          <w:p w14:paraId="2BD46AC0" w14:textId="77777777" w:rsidR="00356534" w:rsidRDefault="00356534" w:rsidP="00356534">
            <w:pPr>
              <w:spacing w:line="480" w:lineRule="auto"/>
              <w:jc w:val="both"/>
              <w:rPr>
                <w:b/>
                <w:sz w:val="28"/>
                <w:szCs w:val="28"/>
              </w:rPr>
            </w:pPr>
            <w:r>
              <w:rPr>
                <w:sz w:val="28"/>
                <w:szCs w:val="28"/>
              </w:rPr>
              <w:t>Finally, this reflection delves into the integration of assessment analysis and collaborative working, highlighting the significance of professional judgment and the application of relevant social work theories and skills.</w:t>
            </w:r>
          </w:p>
          <w:p w14:paraId="0F101E5F" w14:textId="77777777" w:rsidR="00356534" w:rsidRDefault="00356534" w:rsidP="00356534">
            <w:pPr>
              <w:spacing w:line="480" w:lineRule="auto"/>
              <w:jc w:val="both"/>
              <w:rPr>
                <w:b/>
                <w:sz w:val="28"/>
                <w:szCs w:val="28"/>
              </w:rPr>
            </w:pPr>
          </w:p>
          <w:p w14:paraId="7869D516" w14:textId="77777777" w:rsidR="00356534" w:rsidRDefault="00356534" w:rsidP="00356534">
            <w:pPr>
              <w:spacing w:line="480" w:lineRule="auto"/>
              <w:jc w:val="both"/>
              <w:rPr>
                <w:b/>
                <w:sz w:val="28"/>
                <w:szCs w:val="28"/>
                <w:u w:val="single"/>
              </w:rPr>
            </w:pPr>
          </w:p>
          <w:p w14:paraId="0F209E23" w14:textId="77777777" w:rsidR="00356534" w:rsidRDefault="00356534" w:rsidP="00356534">
            <w:pPr>
              <w:spacing w:line="480" w:lineRule="auto"/>
              <w:jc w:val="both"/>
              <w:rPr>
                <w:sz w:val="28"/>
                <w:szCs w:val="28"/>
              </w:rPr>
            </w:pPr>
          </w:p>
          <w:p w14:paraId="711C8441" w14:textId="77777777" w:rsidR="00356534" w:rsidRDefault="00356534" w:rsidP="00356534">
            <w:pPr>
              <w:spacing w:line="480" w:lineRule="auto"/>
              <w:jc w:val="both"/>
              <w:rPr>
                <w:sz w:val="28"/>
                <w:szCs w:val="28"/>
              </w:rPr>
            </w:pPr>
          </w:p>
          <w:p w14:paraId="715F62FA" w14:textId="067F3B65" w:rsidR="00356534" w:rsidRDefault="00356534" w:rsidP="00356534">
            <w:pPr>
              <w:spacing w:line="480" w:lineRule="auto"/>
              <w:jc w:val="both"/>
              <w:rPr>
                <w:sz w:val="28"/>
                <w:szCs w:val="28"/>
              </w:rPr>
            </w:pPr>
            <w:r>
              <w:rPr>
                <w:sz w:val="28"/>
                <w:szCs w:val="28"/>
              </w:rPr>
              <w:lastRenderedPageBreak/>
              <w:t xml:space="preserve">Safeguarding encompasses the measures undertaken to prevent and protect both children and adults from experiences of abuse or neglect. It represents a commitment to creating a secure environment that prioritizes their safety and well-being. It involves educating individuals about recognising the signs and risks associated with such situations and promoting the overall well-being of those at risk (Social Care Wales, 2020). The SSWBA replaces the Care Act of 2014 and establishes the legal framework for delivering care and support to adults and children living in Wales, as applicable to the case study. The act aims to enhance the overall quality of care system in Wales (Welsh Government, 2024).  Part 7 section (131) of SSWBA requires practitioners to safeguard adults and children at risk and under sections 126 to 128 and 130 to follow the safeguarding guidelines (Welsh Government, 2024).  The </w:t>
            </w:r>
            <w:r w:rsidRPr="00D00B0E">
              <w:rPr>
                <w:sz w:val="28"/>
                <w:szCs w:val="28"/>
              </w:rPr>
              <w:t xml:space="preserve">Care Act of 2014 </w:t>
            </w:r>
            <w:r>
              <w:rPr>
                <w:sz w:val="28"/>
                <w:szCs w:val="28"/>
              </w:rPr>
              <w:t xml:space="preserve">is applicable in England. The crucial principles of SSWBA are to promote individual voice and choice of services, prevention and early intervention services, promoting well-being goals (Social Care Wales, 2017) and working together with individuals, carers, and agencies involved (Welsh Government, 2019). </w:t>
            </w:r>
          </w:p>
          <w:p w14:paraId="73650ED9" w14:textId="77777777" w:rsidR="00356534" w:rsidRDefault="00356534" w:rsidP="00356534">
            <w:pPr>
              <w:spacing w:line="480" w:lineRule="auto"/>
              <w:jc w:val="both"/>
              <w:rPr>
                <w:sz w:val="28"/>
                <w:szCs w:val="28"/>
              </w:rPr>
            </w:pPr>
            <w:r>
              <w:rPr>
                <w:sz w:val="28"/>
                <w:szCs w:val="28"/>
              </w:rPr>
              <w:t xml:space="preserve">The SSWBA fundamentally aligns with the European Convention on Human Rights (1950), which expressly prohibits unfair and detrimental practices. This includes the treatment of individuals in a manner that is cruel or humiliating (Social Care Wales, 2017). Xx Wales Safeguarding Board </w:t>
            </w:r>
            <w:r w:rsidRPr="00D00B0E">
              <w:rPr>
                <w:sz w:val="28"/>
                <w:szCs w:val="28"/>
              </w:rPr>
              <w:t xml:space="preserve">(2024) </w:t>
            </w:r>
            <w:r>
              <w:rPr>
                <w:sz w:val="28"/>
                <w:szCs w:val="28"/>
              </w:rPr>
              <w:t xml:space="preserve">detailed that </w:t>
            </w:r>
            <w:r>
              <w:rPr>
                <w:sz w:val="28"/>
                <w:szCs w:val="28"/>
              </w:rPr>
              <w:lastRenderedPageBreak/>
              <w:t xml:space="preserve">professionals must consider associated laws when supporting adults. Examples are MCA, WSP2019, the United Nations Principles of Older People (1991), the Human Rights Act (1998), the Violence against Women, Domestic Abuse and Sexual Violence (Wales) Act 2015, and the Well-being and Future Generations Act 2015.  </w:t>
            </w:r>
          </w:p>
          <w:p w14:paraId="493D8B0A" w14:textId="3DAC0CB1" w:rsidR="00356534" w:rsidRDefault="00356534" w:rsidP="00356534">
            <w:pPr>
              <w:spacing w:line="480" w:lineRule="auto"/>
              <w:jc w:val="both"/>
              <w:rPr>
                <w:sz w:val="28"/>
                <w:szCs w:val="28"/>
              </w:rPr>
            </w:pPr>
            <w:r>
              <w:rPr>
                <w:sz w:val="28"/>
                <w:szCs w:val="28"/>
              </w:rPr>
              <w:t>The term "adult at risk," as defined by section 126(1) of the SSWBA, is “an adult who is experiencing or at risk of abuse or neglect</w:t>
            </w:r>
            <w:r w:rsidR="00F47D77">
              <w:rPr>
                <w:sz w:val="28"/>
                <w:szCs w:val="28"/>
              </w:rPr>
              <w:t>”</w:t>
            </w:r>
            <w:r>
              <w:rPr>
                <w:sz w:val="28"/>
                <w:szCs w:val="28"/>
              </w:rPr>
              <w:t xml:space="preserve"> and who cannot safeguard themselves due </w:t>
            </w:r>
            <w:r w:rsidR="00F47D77">
              <w:rPr>
                <w:sz w:val="28"/>
                <w:szCs w:val="28"/>
              </w:rPr>
              <w:t>to their care and support needs</w:t>
            </w:r>
            <w:r>
              <w:rPr>
                <w:sz w:val="28"/>
                <w:szCs w:val="28"/>
              </w:rPr>
              <w:t xml:space="preserve">. The WSP2019 emphasises that practitioners can intervene to protect an individual assessed to be in danger without waiting for actual incidents of abuse or neglect to occur. The XXX Safeguarding Board's (2024) report highlights crucial insights into the various factors contributing to abuse and neglect. It covers physical abuse, like “hitting or restricting someone; sexual abuse, encompassing any non-consensual sexual activity; psychological abuse, including threats, intimidation, or controlling behaviour; emotional abuse, such as humiliation or isolation; and financial abuse, which involves exploiting someone's financial resources”. These forms of abuse can deeply affect individuals, making it imperative to address and prevent them from upholding everyone's safety and well-being. </w:t>
            </w:r>
          </w:p>
          <w:p w14:paraId="19DF97A6" w14:textId="77777777" w:rsidR="00356534" w:rsidRDefault="00356534" w:rsidP="00356534">
            <w:pPr>
              <w:spacing w:line="480" w:lineRule="auto"/>
              <w:jc w:val="both"/>
              <w:rPr>
                <w:sz w:val="28"/>
                <w:szCs w:val="28"/>
              </w:rPr>
            </w:pPr>
          </w:p>
          <w:p w14:paraId="47439E34" w14:textId="77777777" w:rsidR="00356534" w:rsidRDefault="00356534" w:rsidP="00356534">
            <w:pPr>
              <w:spacing w:line="480" w:lineRule="auto"/>
              <w:jc w:val="both"/>
              <w:rPr>
                <w:sz w:val="28"/>
                <w:szCs w:val="28"/>
              </w:rPr>
            </w:pPr>
          </w:p>
          <w:p w14:paraId="06F788C1" w14:textId="4C2F9C48" w:rsidR="00356534" w:rsidRDefault="00356534" w:rsidP="00356534">
            <w:pPr>
              <w:spacing w:line="480" w:lineRule="auto"/>
              <w:jc w:val="both"/>
              <w:rPr>
                <w:sz w:val="28"/>
                <w:szCs w:val="28"/>
              </w:rPr>
            </w:pPr>
            <w:r w:rsidRPr="00B2738A">
              <w:rPr>
                <w:sz w:val="28"/>
                <w:szCs w:val="28"/>
              </w:rPr>
              <w:lastRenderedPageBreak/>
              <w:t>Clements (2019)</w:t>
            </w:r>
            <w:r>
              <w:rPr>
                <w:sz w:val="28"/>
                <w:szCs w:val="28"/>
              </w:rPr>
              <w:t xml:space="preserve"> emphasises that understanding safeguarding is vital for professionals to take proactive measures in reporting and supporting individuals in creating a safer and more supportive environment for all. These principles of safeguarding are embedded in the Care Acts 2014 and SSWBA. Safeguarding involves “protecting individuals' health, well-being, and rights</w:t>
            </w:r>
            <w:r w:rsidR="00F47D77">
              <w:rPr>
                <w:sz w:val="28"/>
                <w:szCs w:val="28"/>
              </w:rPr>
              <w:t>”</w:t>
            </w:r>
            <w:r>
              <w:rPr>
                <w:sz w:val="28"/>
                <w:szCs w:val="28"/>
              </w:rPr>
              <w:t xml:space="preserve"> while ensuring everyone can </w:t>
            </w:r>
            <w:r w:rsidR="00F47D77">
              <w:rPr>
                <w:sz w:val="28"/>
                <w:szCs w:val="28"/>
              </w:rPr>
              <w:t>“</w:t>
            </w:r>
            <w:r>
              <w:rPr>
                <w:sz w:val="28"/>
                <w:szCs w:val="28"/>
              </w:rPr>
              <w:t>live free from harm, abuse, and neglect” (Human Rights Act, 1998). For adults using social care services, this means protecting them from maltreatment and ensuring their well-being is promoted, considering their views, wishes, feelings and beliefs (SCIE, 2014).   </w:t>
            </w:r>
            <w:r>
              <w:rPr>
                <w:bCs/>
                <w:sz w:val="28"/>
                <w:szCs w:val="28"/>
              </w:rPr>
              <w:t xml:space="preserve">The WSP2019 outlines </w:t>
            </w:r>
            <w:r w:rsidR="005E0749">
              <w:rPr>
                <w:bCs/>
                <w:sz w:val="28"/>
                <w:szCs w:val="28"/>
              </w:rPr>
              <w:t xml:space="preserve">practitioners' essential roles and responsibilities </w:t>
            </w:r>
            <w:r>
              <w:rPr>
                <w:bCs/>
                <w:sz w:val="28"/>
                <w:szCs w:val="28"/>
              </w:rPr>
              <w:t>in protecting adults and children from abuse and neglect (</w:t>
            </w:r>
            <w:r>
              <w:rPr>
                <w:sz w:val="28"/>
                <w:szCs w:val="28"/>
              </w:rPr>
              <w:t>Social Care Wales, 2024). The Wales Safeguarding Board was established under section 134 of SSWBA to cooperate with other safeguarding boards, develop and review practices and procedures, make recommendations, work in partnership and ensure appropriate training (Rees et al., 2021).</w:t>
            </w:r>
          </w:p>
          <w:p w14:paraId="61461992" w14:textId="77777777" w:rsidR="00356534" w:rsidRDefault="00356534" w:rsidP="00356534">
            <w:pPr>
              <w:spacing w:line="480" w:lineRule="auto"/>
              <w:jc w:val="both"/>
              <w:rPr>
                <w:sz w:val="28"/>
                <w:szCs w:val="28"/>
              </w:rPr>
            </w:pPr>
          </w:p>
          <w:p w14:paraId="594FDE7D" w14:textId="77777777" w:rsidR="00356534" w:rsidRDefault="00356534" w:rsidP="00356534">
            <w:pPr>
              <w:spacing w:line="480" w:lineRule="auto"/>
              <w:jc w:val="both"/>
              <w:rPr>
                <w:sz w:val="28"/>
                <w:szCs w:val="28"/>
              </w:rPr>
            </w:pPr>
          </w:p>
          <w:p w14:paraId="68174331" w14:textId="77777777" w:rsidR="00356534" w:rsidRDefault="00356534" w:rsidP="00356534">
            <w:pPr>
              <w:spacing w:line="480" w:lineRule="auto"/>
              <w:jc w:val="both"/>
              <w:rPr>
                <w:sz w:val="28"/>
                <w:szCs w:val="28"/>
              </w:rPr>
            </w:pPr>
          </w:p>
          <w:p w14:paraId="54B82A88" w14:textId="3EE0775A" w:rsidR="00356534" w:rsidRDefault="00356534" w:rsidP="00356534">
            <w:pPr>
              <w:spacing w:line="480" w:lineRule="auto"/>
              <w:jc w:val="both"/>
              <w:rPr>
                <w:sz w:val="28"/>
                <w:szCs w:val="28"/>
              </w:rPr>
            </w:pPr>
          </w:p>
          <w:p w14:paraId="38449958" w14:textId="77777777" w:rsidR="00356534" w:rsidRDefault="00356534" w:rsidP="00356534">
            <w:pPr>
              <w:spacing w:line="480" w:lineRule="auto"/>
              <w:jc w:val="both"/>
              <w:rPr>
                <w:sz w:val="28"/>
                <w:szCs w:val="28"/>
              </w:rPr>
            </w:pPr>
          </w:p>
          <w:p w14:paraId="3ABB9B10" w14:textId="77777777" w:rsidR="00356534" w:rsidRDefault="00356534" w:rsidP="00356534">
            <w:pPr>
              <w:spacing w:line="480" w:lineRule="auto"/>
              <w:jc w:val="both"/>
              <w:rPr>
                <w:sz w:val="28"/>
                <w:szCs w:val="28"/>
              </w:rPr>
            </w:pPr>
            <w:r>
              <w:rPr>
                <w:sz w:val="28"/>
                <w:szCs w:val="28"/>
              </w:rPr>
              <w:lastRenderedPageBreak/>
              <w:t>The individuals referenced in this case study will be referred to as (4) the (citizens), (5) the (ex-partner), and (6) the (carers or family members) in order to maintain strict confidentiality regarding their identities. The Code of Professional Practice for Social Care Workers 2017 (COPP), Part 1, articulates that practitioners are obligated to respect and uphold the rights, privacy, and dignity of the individuals they support, including the caregivers and families of these individuals (Social Care Wales, 2022). Information received from (5) to advise that his ex-wife, (4), who is a 71-year-old female, lives alone and has had problems with compulsive hoarding and self-neglecting, not allowing anything to leave the house since COVID-19, (4)</w:t>
            </w:r>
            <w:r w:rsidRPr="00757121">
              <w:rPr>
                <w:sz w:val="28"/>
                <w:szCs w:val="28"/>
              </w:rPr>
              <w:t xml:space="preserve"> </w:t>
            </w:r>
            <w:r>
              <w:rPr>
                <w:sz w:val="28"/>
                <w:szCs w:val="28"/>
              </w:rPr>
              <w:t xml:space="preserve">is </w:t>
            </w:r>
            <w:r w:rsidRPr="00757121">
              <w:rPr>
                <w:sz w:val="28"/>
                <w:szCs w:val="28"/>
              </w:rPr>
              <w:t>self-isolation for a period of four years, demonstrating a reluctance to leave her residence, secured her doors, and deny access to her family members</w:t>
            </w:r>
            <w:r>
              <w:rPr>
                <w:sz w:val="28"/>
                <w:szCs w:val="28"/>
              </w:rPr>
              <w:t xml:space="preserve">. Over the years, (4) has let the property fall into disrepair and will not let anyone call or visit. Gas leak issues resulted in the gas supply being turned off and no running water on the property. Years ago, the lighting mains power circuit was restored so that (4) could have lights and use a microwave. During the electrical repairs, the property was observed to be filled with trash inside and out, and there were clear signs of a rodent infestation. Additionally, the cages in which dogs were kept in the kitchen were covered in hair and mess. The family suspect that the dogs have passed away, and their remains might still be on the property.  The overgrown garden led to frequent </w:t>
            </w:r>
            <w:r>
              <w:rPr>
                <w:sz w:val="28"/>
                <w:szCs w:val="28"/>
              </w:rPr>
              <w:lastRenderedPageBreak/>
              <w:t xml:space="preserve">complaints from the neighbours. The family offered to repair all pipes and ceilings, and the gas supply was declined by (4).  </w:t>
            </w:r>
            <w:proofErr w:type="spellStart"/>
            <w:r>
              <w:rPr>
                <w:sz w:val="28"/>
                <w:szCs w:val="28"/>
              </w:rPr>
              <w:t>Braye</w:t>
            </w:r>
            <w:proofErr w:type="spellEnd"/>
            <w:r>
              <w:rPr>
                <w:sz w:val="28"/>
                <w:szCs w:val="28"/>
              </w:rPr>
              <w:t xml:space="preserve"> et al. (2015) highlight that self-neglect happens when people cannot or will not care for themselves or their surroundings. This may be due to mental disorders, physical issues, social situations, or environmental factors. (Wales Safeguarding Board, 2025). Because of those factors, individuals may neglect their personal hygiene, health, nutrition, and environment, putting their safety and well-being at risk (SCIE, 2024). Self-neglect can also lead to poor living conditions, such as clutter and hoarding, and a refusal to seek professional help to reduce the dangers they face </w:t>
            </w:r>
            <w:r>
              <w:rPr>
                <w:bCs/>
                <w:sz w:val="28"/>
                <w:szCs w:val="28"/>
              </w:rPr>
              <w:t>(Barnett, 2016).</w:t>
            </w:r>
            <w:r>
              <w:rPr>
                <w:b/>
                <w:bCs/>
                <w:sz w:val="28"/>
                <w:szCs w:val="28"/>
              </w:rPr>
              <w:t xml:space="preserve"> </w:t>
            </w:r>
            <w:r>
              <w:rPr>
                <w:sz w:val="28"/>
                <w:szCs w:val="28"/>
              </w:rPr>
              <w:t>These issues can often stem from long-standing problems or recent changes in a person's life, such as loss, past trauma, and low self-esteem. People may respond to these issues with rationalization, shame, or denial. Professionals may become concerned about the degree of harm or risk related to certain behaviours (SCIE, 2014). This concern may conflict with the individual's perspective and their personal circumstances (</w:t>
            </w:r>
            <w:proofErr w:type="spellStart"/>
            <w:r>
              <w:rPr>
                <w:sz w:val="28"/>
                <w:szCs w:val="28"/>
              </w:rPr>
              <w:t>Braye</w:t>
            </w:r>
            <w:proofErr w:type="spellEnd"/>
            <w:r>
              <w:rPr>
                <w:sz w:val="28"/>
                <w:szCs w:val="28"/>
              </w:rPr>
              <w:t xml:space="preserve"> et al, 2014). </w:t>
            </w:r>
          </w:p>
          <w:p w14:paraId="4A388356" w14:textId="77777777" w:rsidR="00356534" w:rsidRDefault="00356534" w:rsidP="00356534">
            <w:pPr>
              <w:spacing w:line="480" w:lineRule="auto"/>
              <w:jc w:val="both"/>
              <w:rPr>
                <w:sz w:val="28"/>
                <w:szCs w:val="28"/>
                <w:lang w:bidi="en-GB"/>
              </w:rPr>
            </w:pPr>
          </w:p>
          <w:p w14:paraId="751361DD" w14:textId="71D752FA" w:rsidR="00356534" w:rsidRDefault="00356534" w:rsidP="00356534">
            <w:pPr>
              <w:spacing w:line="480" w:lineRule="auto"/>
              <w:jc w:val="both"/>
              <w:rPr>
                <w:sz w:val="28"/>
                <w:szCs w:val="28"/>
                <w:lang w:bidi="en-GB"/>
              </w:rPr>
            </w:pPr>
          </w:p>
          <w:p w14:paraId="6C97284B" w14:textId="77777777" w:rsidR="005E0749" w:rsidRDefault="005E0749" w:rsidP="00356534">
            <w:pPr>
              <w:spacing w:line="480" w:lineRule="auto"/>
              <w:jc w:val="both"/>
              <w:rPr>
                <w:sz w:val="28"/>
                <w:szCs w:val="28"/>
                <w:lang w:bidi="en-GB"/>
              </w:rPr>
            </w:pPr>
          </w:p>
          <w:p w14:paraId="039E6382" w14:textId="77777777" w:rsidR="00356534" w:rsidRDefault="00356534" w:rsidP="00356534">
            <w:pPr>
              <w:spacing w:line="480" w:lineRule="auto"/>
              <w:jc w:val="both"/>
              <w:rPr>
                <w:sz w:val="28"/>
                <w:szCs w:val="28"/>
                <w:lang w:bidi="en-GB"/>
              </w:rPr>
            </w:pPr>
          </w:p>
          <w:p w14:paraId="6E5C2E64" w14:textId="0F6218C3" w:rsidR="00356534" w:rsidRDefault="00356534" w:rsidP="00356534">
            <w:pPr>
              <w:spacing w:line="480" w:lineRule="auto"/>
              <w:jc w:val="both"/>
              <w:rPr>
                <w:color w:val="000000" w:themeColor="text1"/>
                <w:sz w:val="28"/>
                <w:szCs w:val="28"/>
              </w:rPr>
            </w:pPr>
            <w:r>
              <w:rPr>
                <w:sz w:val="28"/>
                <w:szCs w:val="28"/>
                <w:lang w:bidi="en-GB"/>
              </w:rPr>
              <w:lastRenderedPageBreak/>
              <w:t>I was designated to co-work with a senior colleague in the same team, which is in line with the Code of Safeguarding Practice, which established that practitioners are to work together to safeguard people (Welsh Government, 2024). We were responsible for conducting a needs assessment review of (4)’s care and support needs. The review was to ascertain whether (4) circumstances have changed, requiring information, advice, or assistance to address her well-being needs</w:t>
            </w:r>
            <w:r>
              <w:rPr>
                <w:sz w:val="28"/>
                <w:szCs w:val="28"/>
              </w:rPr>
              <w:t>.  This aligns with the SSWBA, which requires local authorities in Wales to assess and review individuals' circumstances. As a result, I carry out “what matters” conversations with (4), including (6), and liaise with the organisation involved in resolving</w:t>
            </w:r>
            <w:r>
              <w:rPr>
                <w:color w:val="000000" w:themeColor="text1"/>
                <w:sz w:val="28"/>
                <w:szCs w:val="28"/>
              </w:rPr>
              <w:t xml:space="preserve"> her outcomes. This collaborative effort aims to create a plan that reduces risks and identifies </w:t>
            </w:r>
            <w:r w:rsidR="005E0749">
              <w:rPr>
                <w:color w:val="000000" w:themeColor="text1"/>
                <w:sz w:val="28"/>
                <w:szCs w:val="28"/>
              </w:rPr>
              <w:t>(4)</w:t>
            </w:r>
            <w:r>
              <w:rPr>
                <w:color w:val="000000" w:themeColor="text1"/>
                <w:sz w:val="28"/>
                <w:szCs w:val="28"/>
              </w:rPr>
              <w:t xml:space="preserve"> needs through a co-production approach. The co-production process, according to Social Care Wales (2022), promotes active engagement between equal partners in designing and delivering services. </w:t>
            </w:r>
            <w:r w:rsidRPr="00D83F34">
              <w:rPr>
                <w:color w:val="000000" w:themeColor="text1"/>
                <w:sz w:val="28"/>
                <w:szCs w:val="28"/>
              </w:rPr>
              <w:t xml:space="preserve">It effectively enhances understanding of </w:t>
            </w:r>
            <w:r>
              <w:rPr>
                <w:color w:val="000000" w:themeColor="text1"/>
                <w:sz w:val="28"/>
                <w:szCs w:val="28"/>
              </w:rPr>
              <w:t>individuals' challenges</w:t>
            </w:r>
            <w:r w:rsidRPr="00D83F34">
              <w:rPr>
                <w:color w:val="000000" w:themeColor="text1"/>
                <w:sz w:val="28"/>
                <w:szCs w:val="28"/>
              </w:rPr>
              <w:t xml:space="preserve"> and is guided by (SSWBA). </w:t>
            </w:r>
            <w:r>
              <w:rPr>
                <w:color w:val="000000" w:themeColor="text1"/>
                <w:sz w:val="28"/>
                <w:szCs w:val="28"/>
              </w:rPr>
              <w:t xml:space="preserve"> I considered merging three assessment models, which consist of a questioning, procedural and exchange model, to better understand </w:t>
            </w:r>
            <w:r w:rsidR="00A44644">
              <w:rPr>
                <w:color w:val="000000" w:themeColor="text1"/>
                <w:sz w:val="28"/>
                <w:szCs w:val="28"/>
              </w:rPr>
              <w:t>(4) circumstances</w:t>
            </w:r>
            <w:r>
              <w:rPr>
                <w:color w:val="000000" w:themeColor="text1"/>
                <w:sz w:val="28"/>
                <w:szCs w:val="28"/>
              </w:rPr>
              <w:t xml:space="preserve"> (Smale et al.</w:t>
            </w:r>
            <w:r w:rsidR="00A44644">
              <w:rPr>
                <w:color w:val="000000" w:themeColor="text1"/>
                <w:sz w:val="28"/>
                <w:szCs w:val="28"/>
              </w:rPr>
              <w:t>.</w:t>
            </w:r>
            <w:r>
              <w:rPr>
                <w:color w:val="000000" w:themeColor="text1"/>
                <w:sz w:val="28"/>
                <w:szCs w:val="28"/>
              </w:rPr>
              <w:t xml:space="preserve"> 1993). This model allows me to find factual historical and present information from agencies, the individual as an expert in her own life and the use of an information checklist.  </w:t>
            </w:r>
          </w:p>
          <w:p w14:paraId="616CAD0F" w14:textId="009F34AA" w:rsidR="00356534" w:rsidRPr="00D83F34" w:rsidRDefault="00356534" w:rsidP="00356534">
            <w:pPr>
              <w:spacing w:line="480" w:lineRule="auto"/>
              <w:jc w:val="both"/>
              <w:rPr>
                <w:color w:val="000000" w:themeColor="text1"/>
                <w:sz w:val="28"/>
                <w:szCs w:val="28"/>
              </w:rPr>
            </w:pPr>
            <w:r w:rsidRPr="00D83F34">
              <w:rPr>
                <w:color w:val="000000" w:themeColor="text1"/>
                <w:sz w:val="28"/>
                <w:szCs w:val="28"/>
              </w:rPr>
              <w:lastRenderedPageBreak/>
              <w:t xml:space="preserve">According to NICE (2022), practitioners can achieve more comprehensive and effective </w:t>
            </w:r>
            <w:r w:rsidR="000C6145">
              <w:rPr>
                <w:color w:val="000000" w:themeColor="text1"/>
                <w:sz w:val="28"/>
                <w:szCs w:val="28"/>
              </w:rPr>
              <w:t xml:space="preserve">assessment </w:t>
            </w:r>
            <w:r w:rsidRPr="00D83F34">
              <w:rPr>
                <w:color w:val="000000" w:themeColor="text1"/>
                <w:sz w:val="28"/>
                <w:szCs w:val="28"/>
              </w:rPr>
              <w:t xml:space="preserve">outcomes by </w:t>
            </w:r>
            <w:r>
              <w:rPr>
                <w:color w:val="000000" w:themeColor="text1"/>
                <w:sz w:val="28"/>
                <w:szCs w:val="28"/>
              </w:rPr>
              <w:t xml:space="preserve">engaging individuals in decision-making </w:t>
            </w:r>
            <w:r w:rsidRPr="00D83F34">
              <w:rPr>
                <w:color w:val="000000" w:themeColor="text1"/>
                <w:sz w:val="28"/>
                <w:szCs w:val="28"/>
              </w:rPr>
              <w:t>regarding their lives</w:t>
            </w:r>
            <w:r>
              <w:rPr>
                <w:color w:val="000000" w:themeColor="text1"/>
                <w:sz w:val="28"/>
                <w:szCs w:val="28"/>
              </w:rPr>
              <w:t xml:space="preserve"> and understanding each person's unique situation. This approach helps individuals take charge of their care and support needs. They gain more influence and control over what they receive </w:t>
            </w:r>
            <w:r w:rsidRPr="00D83F34">
              <w:rPr>
                <w:color w:val="000000" w:themeColor="text1"/>
                <w:sz w:val="28"/>
                <w:szCs w:val="28"/>
              </w:rPr>
              <w:t>(Social Care Wales, 2017).</w:t>
            </w:r>
          </w:p>
          <w:p w14:paraId="213806AC" w14:textId="77777777" w:rsidR="00356534" w:rsidRDefault="00356534" w:rsidP="00356534">
            <w:pPr>
              <w:spacing w:line="480" w:lineRule="auto"/>
              <w:jc w:val="both"/>
              <w:rPr>
                <w:sz w:val="28"/>
                <w:szCs w:val="28"/>
              </w:rPr>
            </w:pPr>
            <w:r>
              <w:rPr>
                <w:sz w:val="28"/>
                <w:szCs w:val="28"/>
              </w:rPr>
              <w:t xml:space="preserve"> I liaised with various organisations, including General Practitioners (GP), mental health and xxx environmental protection services and xxx legal team, and xxx Police, gathering information and clarity of their roles to mitigate the risks.  This effort is consistent with the principles outlined in "Working Together to Safeguard People" (2016), which emphasize the responsibilities of professionals working together to safeguard vulnerable individuals.</w:t>
            </w:r>
            <w:r>
              <w:rPr>
                <w:color w:val="FF0000"/>
                <w:sz w:val="28"/>
                <w:szCs w:val="28"/>
              </w:rPr>
              <w:t xml:space="preserve"> </w:t>
            </w:r>
            <w:r>
              <w:rPr>
                <w:sz w:val="28"/>
                <w:szCs w:val="28"/>
                <w:lang w:bidi="en-GB"/>
              </w:rPr>
              <w:t>I accessed (4) the safeguarding report XXX database system, which is password-protected in line with the Data Protection Act 2018. This act outlines guidelines for securely handling people's information and data in the UK (Government UK, 2024).</w:t>
            </w:r>
            <w:r>
              <w:rPr>
                <w:sz w:val="28"/>
                <w:szCs w:val="28"/>
              </w:rPr>
              <w:t xml:space="preserve">  </w:t>
            </w:r>
          </w:p>
          <w:p w14:paraId="7D64AF60" w14:textId="77777777" w:rsidR="00356534" w:rsidRDefault="00356534" w:rsidP="00356534">
            <w:pPr>
              <w:spacing w:line="480" w:lineRule="auto"/>
              <w:jc w:val="both"/>
              <w:rPr>
                <w:sz w:val="28"/>
                <w:szCs w:val="28"/>
              </w:rPr>
            </w:pPr>
            <w:r>
              <w:rPr>
                <w:sz w:val="28"/>
                <w:szCs w:val="28"/>
              </w:rPr>
              <w:t>Before</w:t>
            </w:r>
            <w:r w:rsidRPr="00973B5A">
              <w:rPr>
                <w:sz w:val="28"/>
                <w:szCs w:val="28"/>
              </w:rPr>
              <w:t xml:space="preserve"> my initial conversation with (4), I re</w:t>
            </w:r>
            <w:r>
              <w:rPr>
                <w:sz w:val="28"/>
                <w:szCs w:val="28"/>
              </w:rPr>
              <w:t>viewed the data system to identify</w:t>
            </w:r>
            <w:r w:rsidRPr="00973B5A">
              <w:rPr>
                <w:sz w:val="28"/>
                <w:szCs w:val="28"/>
              </w:rPr>
              <w:t xml:space="preserve"> that (4) had indicated a preference for communicating and receiving services in English</w:t>
            </w:r>
            <w:r>
              <w:rPr>
                <w:sz w:val="28"/>
                <w:szCs w:val="28"/>
              </w:rPr>
              <w:t>.</w:t>
            </w:r>
            <w:r w:rsidRPr="00973B5A">
              <w:rPr>
                <w:sz w:val="28"/>
                <w:szCs w:val="28"/>
              </w:rPr>
              <w:t xml:space="preserve"> This action </w:t>
            </w:r>
            <w:r>
              <w:rPr>
                <w:sz w:val="28"/>
                <w:szCs w:val="28"/>
              </w:rPr>
              <w:t>aligns</w:t>
            </w:r>
            <w:r w:rsidRPr="00973B5A">
              <w:rPr>
                <w:sz w:val="28"/>
                <w:szCs w:val="28"/>
              </w:rPr>
              <w:t xml:space="preserve"> with the Welsh Government's ‘Active Offer’ principle, which mandates that professionals proactively offer and provide services in Welsh without requiring individuals to request them. This is consistent with the </w:t>
            </w:r>
            <w:r w:rsidRPr="00973B5A">
              <w:rPr>
                <w:sz w:val="28"/>
                <w:szCs w:val="28"/>
              </w:rPr>
              <w:lastRenderedPageBreak/>
              <w:t xml:space="preserve">Welsh Language (Wales) Measure (2011).  The document "More Than Just Words: A Strategic Framework for </w:t>
            </w:r>
            <w:r>
              <w:rPr>
                <w:sz w:val="28"/>
                <w:szCs w:val="28"/>
              </w:rPr>
              <w:t>the Welsh Language for Health and Social Services to actively deliver services in the Welsh language</w:t>
            </w:r>
            <w:r w:rsidRPr="00973B5A">
              <w:rPr>
                <w:sz w:val="28"/>
                <w:szCs w:val="28"/>
              </w:rPr>
              <w:t xml:space="preserve">. Welsh is recognized as a crucial component of delivering </w:t>
            </w:r>
            <w:r>
              <w:rPr>
                <w:sz w:val="28"/>
                <w:szCs w:val="28"/>
              </w:rPr>
              <w:t>person-centred</w:t>
            </w:r>
            <w:r w:rsidRPr="00973B5A">
              <w:rPr>
                <w:sz w:val="28"/>
                <w:szCs w:val="28"/>
              </w:rPr>
              <w:t xml:space="preserve"> care </w:t>
            </w:r>
            <w:r>
              <w:rPr>
                <w:sz w:val="28"/>
                <w:szCs w:val="28"/>
              </w:rPr>
              <w:t>and rights-based services to meet individual needs</w:t>
            </w:r>
            <w:r w:rsidRPr="00973B5A">
              <w:rPr>
                <w:sz w:val="28"/>
                <w:szCs w:val="28"/>
              </w:rPr>
              <w:t xml:space="preserve"> (Care Inspectorate Wales, 2024</w:t>
            </w:r>
            <w:r>
              <w:rPr>
                <w:sz w:val="28"/>
                <w:szCs w:val="28"/>
              </w:rPr>
              <w:t xml:space="preserve">). My initial conversation with (4) was quite successful. I engaged in an extensive discussion with her, focusing on what was important to her. By doing so, I established a rapport, as effective relationships are essential for attaining a successful outcome and a core value of social work practice (SCIE, 2023). (4) </w:t>
            </w:r>
            <w:proofErr w:type="gramStart"/>
            <w:r>
              <w:rPr>
                <w:sz w:val="28"/>
                <w:szCs w:val="28"/>
              </w:rPr>
              <w:t>expressed</w:t>
            </w:r>
            <w:proofErr w:type="gramEnd"/>
            <w:r>
              <w:rPr>
                <w:sz w:val="28"/>
                <w:szCs w:val="28"/>
              </w:rPr>
              <w:t xml:space="preserve"> a desire for assistance maintaining her front garden and support for (6). This conversation aligns with SSWBA part 3, placing a duty on local authorities in Wales to assess individual needs and identify their outcomes. </w:t>
            </w:r>
          </w:p>
          <w:p w14:paraId="1AA8ED3D" w14:textId="77777777" w:rsidR="00356534" w:rsidRDefault="00356534" w:rsidP="00356534">
            <w:pPr>
              <w:spacing w:line="480" w:lineRule="auto"/>
              <w:jc w:val="both"/>
              <w:rPr>
                <w:sz w:val="28"/>
                <w:szCs w:val="28"/>
              </w:rPr>
            </w:pPr>
            <w:r>
              <w:rPr>
                <w:sz w:val="28"/>
                <w:szCs w:val="28"/>
              </w:rPr>
              <w:t xml:space="preserve">I jointly visited (4)’s property, gaining her consent, and the visual inspection of the property and garden observed an overgrown, cluttered porch, which suggests a potential self-neglecting and hoarding situation. Adults possess the fundamental right to make decisions regarding their own lives; consequently, interventions typically necessitate their consent unless they are determined to lack the mental capacity to do so WSP2019. This principle is consistent with the ethos of the SSWBA principle, which explains the significance of adult autonomy. During my subsequent engagement with (4), I encountered persistent </w:t>
            </w:r>
            <w:r>
              <w:rPr>
                <w:sz w:val="28"/>
                <w:szCs w:val="28"/>
              </w:rPr>
              <w:lastRenderedPageBreak/>
              <w:t>communication difficulties, as my phone calls and text messages went unanswered. Additionally, other professionals have expressed similar concerns about the lack of engagement</w:t>
            </w:r>
            <w:r w:rsidRPr="00761703">
              <w:rPr>
                <w:sz w:val="28"/>
                <w:szCs w:val="28"/>
              </w:rPr>
              <w:t xml:space="preserve">.  </w:t>
            </w:r>
          </w:p>
          <w:p w14:paraId="5DA1FE45" w14:textId="2C611098" w:rsidR="00356534" w:rsidRDefault="00356534" w:rsidP="00356534">
            <w:pPr>
              <w:spacing w:line="480" w:lineRule="auto"/>
              <w:jc w:val="both"/>
              <w:rPr>
                <w:sz w:val="28"/>
                <w:szCs w:val="28"/>
              </w:rPr>
            </w:pPr>
            <w:r>
              <w:rPr>
                <w:sz w:val="28"/>
                <w:szCs w:val="28"/>
              </w:rPr>
              <w:t xml:space="preserve">I used Gibbs's 1988 reflective model to analyse (4)’s non-engagement. This may stem from her difficulty in translating intentions into actions or following through on complex decisions. </w:t>
            </w:r>
            <w:proofErr w:type="spellStart"/>
            <w:r>
              <w:rPr>
                <w:sz w:val="28"/>
                <w:szCs w:val="28"/>
              </w:rPr>
              <w:t>Braye</w:t>
            </w:r>
            <w:proofErr w:type="spellEnd"/>
            <w:r>
              <w:rPr>
                <w:sz w:val="28"/>
                <w:szCs w:val="28"/>
              </w:rPr>
              <w:t xml:space="preserve"> et al. (2016) emphasize the need for professionals to recognize individual differences and understand the risks tied to lifestyle choices. </w:t>
            </w:r>
            <w:r>
              <w:rPr>
                <w:color w:val="000000" w:themeColor="text1"/>
                <w:sz w:val="28"/>
                <w:szCs w:val="28"/>
              </w:rPr>
              <w:t>It is crucial to balance the duty of care owed to individuals and respect for their autonomy</w:t>
            </w:r>
            <w:r w:rsidR="000C6145">
              <w:rPr>
                <w:color w:val="000000" w:themeColor="text1"/>
                <w:sz w:val="28"/>
                <w:szCs w:val="28"/>
              </w:rPr>
              <w:t xml:space="preserve"> and be non-judgemental</w:t>
            </w:r>
            <w:r>
              <w:rPr>
                <w:color w:val="000000" w:themeColor="text1"/>
                <w:sz w:val="28"/>
                <w:szCs w:val="28"/>
              </w:rPr>
              <w:t xml:space="preserve">. </w:t>
            </w:r>
            <w:r w:rsidR="000C6145">
              <w:rPr>
                <w:color w:val="000000" w:themeColor="text1"/>
                <w:sz w:val="28"/>
                <w:szCs w:val="28"/>
              </w:rPr>
              <w:t xml:space="preserve">By reflecting on and </w:t>
            </w:r>
            <w:proofErr w:type="spellStart"/>
            <w:r w:rsidR="000C6145">
              <w:rPr>
                <w:color w:val="000000" w:themeColor="text1"/>
                <w:sz w:val="28"/>
                <w:szCs w:val="28"/>
              </w:rPr>
              <w:t>analyzing</w:t>
            </w:r>
            <w:proofErr w:type="spellEnd"/>
            <w:r w:rsidR="000C6145">
              <w:rPr>
                <w:color w:val="000000" w:themeColor="text1"/>
                <w:sz w:val="28"/>
                <w:szCs w:val="28"/>
              </w:rPr>
              <w:t xml:space="preserve"> anti-oppression practices, I fostered open and honest communication with (4), primarily by discussing potential risks, being non-judgmental, and offering support services. However, (4) declined the services and expressed that she feels harassed by social services.</w:t>
            </w:r>
            <w:r>
              <w:rPr>
                <w:color w:val="000000" w:themeColor="text1"/>
                <w:sz w:val="28"/>
                <w:szCs w:val="28"/>
              </w:rPr>
              <w:t xml:space="preserve">  I reflected on my understanding of how my differing values and beliefs can influence my approach, which is essential for effectively combating oppression. Thompson (2016) highlights the challenges of addressing oppression and emphasizes the need for professionals to recognize their own biases. Preston-Shoot (2019) points out that professionals should consider balancing individual rights with the risk of harm when protecting individuals. He also notes that individuals may lack mental capacity and may hesitate to engage with professionals. If evidence of significant cognitive </w:t>
            </w:r>
            <w:r>
              <w:rPr>
                <w:color w:val="000000" w:themeColor="text1"/>
                <w:sz w:val="28"/>
                <w:szCs w:val="28"/>
              </w:rPr>
              <w:lastRenderedPageBreak/>
              <w:t xml:space="preserve">impairment and collaborative engagement with the individual fails, it may become necessary to consider compulsory forms of intervention while prioritizing the individual's best interests (Spencer-Lane, 2024). (4) </w:t>
            </w:r>
            <w:proofErr w:type="gramStart"/>
            <w:r>
              <w:rPr>
                <w:color w:val="000000" w:themeColor="text1"/>
                <w:sz w:val="28"/>
                <w:szCs w:val="28"/>
              </w:rPr>
              <w:t>has</w:t>
            </w:r>
            <w:proofErr w:type="gramEnd"/>
            <w:r>
              <w:rPr>
                <w:color w:val="000000" w:themeColor="text1"/>
                <w:sz w:val="28"/>
                <w:szCs w:val="28"/>
              </w:rPr>
              <w:t xml:space="preserve"> displayed infrequent communication and relies solely on receiving groceries through a small window at her property, provided by (6). The SSWBA stipulates that professionals must focus on citizens’ rights to express their preferences and maintain control over what matters to them and their freedom to make unwise decisions, as defined in MCA. This should be done by respecting their dignity and maximizing their independence per the Mental Health Act Code of Practice 2015.  </w:t>
            </w:r>
            <w:r w:rsidRPr="00CD181A">
              <w:rPr>
                <w:sz w:val="28"/>
                <w:szCs w:val="28"/>
              </w:rPr>
              <w:t>(</w:t>
            </w:r>
            <w:r w:rsidRPr="00457F98">
              <w:rPr>
                <w:color w:val="000000" w:themeColor="text1"/>
                <w:sz w:val="28"/>
                <w:szCs w:val="28"/>
              </w:rPr>
              <w:t xml:space="preserve">4) </w:t>
            </w:r>
            <w:proofErr w:type="gramStart"/>
            <w:r w:rsidRPr="00457F98">
              <w:rPr>
                <w:color w:val="000000" w:themeColor="text1"/>
                <w:sz w:val="28"/>
                <w:szCs w:val="28"/>
              </w:rPr>
              <w:t>pre</w:t>
            </w:r>
            <w:r>
              <w:rPr>
                <w:color w:val="000000" w:themeColor="text1"/>
                <w:sz w:val="28"/>
                <w:szCs w:val="28"/>
              </w:rPr>
              <w:t>viously</w:t>
            </w:r>
            <w:proofErr w:type="gramEnd"/>
            <w:r>
              <w:rPr>
                <w:color w:val="000000" w:themeColor="text1"/>
                <w:sz w:val="28"/>
                <w:szCs w:val="28"/>
              </w:rPr>
              <w:t xml:space="preserve"> received services from m</w:t>
            </w:r>
            <w:r w:rsidRPr="00457F98">
              <w:rPr>
                <w:color w:val="000000" w:themeColor="text1"/>
                <w:sz w:val="28"/>
                <w:szCs w:val="28"/>
              </w:rPr>
              <w:t>ental health services and has a documented history of agoraphobia</w:t>
            </w:r>
            <w:r>
              <w:rPr>
                <w:color w:val="000000" w:themeColor="text1"/>
                <w:sz w:val="28"/>
                <w:szCs w:val="28"/>
              </w:rPr>
              <w:t xml:space="preserve"> and mental and behavioural disorders</w:t>
            </w:r>
            <w:r w:rsidRPr="00457F98">
              <w:rPr>
                <w:color w:val="000000" w:themeColor="text1"/>
                <w:sz w:val="28"/>
                <w:szCs w:val="28"/>
              </w:rPr>
              <w:t>, which leads to an intense fear of specific situations and a tendency to avoid leaving her home. The issue of self-neglect, particularly in hoarding, presents significant challenges in health and social care (SCIE, 2024).   However, the preceding assessment confirmed that (4) possesse</w:t>
            </w:r>
            <w:r>
              <w:rPr>
                <w:color w:val="000000" w:themeColor="text1"/>
                <w:sz w:val="28"/>
                <w:szCs w:val="28"/>
              </w:rPr>
              <w:t>d the mental capacity to make decisions regarding</w:t>
            </w:r>
            <w:r w:rsidRPr="00457F98">
              <w:rPr>
                <w:color w:val="000000" w:themeColor="text1"/>
                <w:sz w:val="28"/>
                <w:szCs w:val="28"/>
              </w:rPr>
              <w:t xml:space="preserve"> her care and support needs, as </w:t>
            </w:r>
            <w:r>
              <w:rPr>
                <w:color w:val="000000" w:themeColor="text1"/>
                <w:sz w:val="28"/>
                <w:szCs w:val="28"/>
              </w:rPr>
              <w:t>a previous social worker determined</w:t>
            </w:r>
            <w:r w:rsidRPr="00457F98">
              <w:rPr>
                <w:color w:val="000000" w:themeColor="text1"/>
                <w:sz w:val="28"/>
                <w:szCs w:val="28"/>
              </w:rPr>
              <w:t xml:space="preserve">, in compliance with the MCA. In the absence of (4) being unable to decide for herself, Lasting Power of Attorney (LPA), where applicable, crucial legal documentation empowers a designated individual to make essential decisions on her behalf (Government UK, </w:t>
            </w:r>
            <w:r>
              <w:rPr>
                <w:color w:val="000000" w:themeColor="text1"/>
                <w:sz w:val="28"/>
                <w:szCs w:val="28"/>
              </w:rPr>
              <w:t xml:space="preserve">2025). This ensures (4) that her </w:t>
            </w:r>
            <w:r>
              <w:rPr>
                <w:color w:val="000000" w:themeColor="text1"/>
                <w:sz w:val="28"/>
                <w:szCs w:val="28"/>
              </w:rPr>
              <w:lastRenderedPageBreak/>
              <w:t>wishes are respected and upheld when she cannot advocate for herself</w:t>
            </w:r>
            <w:r w:rsidRPr="00457F98">
              <w:rPr>
                <w:color w:val="000000" w:themeColor="text1"/>
                <w:sz w:val="28"/>
                <w:szCs w:val="28"/>
              </w:rPr>
              <w:t xml:space="preserve"> (Social Care Wales, 2019). </w:t>
            </w:r>
            <w:r>
              <w:rPr>
                <w:color w:val="000000" w:themeColor="text1"/>
                <w:sz w:val="28"/>
                <w:szCs w:val="28"/>
              </w:rPr>
              <w:t xml:space="preserve">However, this is not the case, as she was believed to have the capacity to make her own decisions regarding her care and support needs (Government UK, 2024). </w:t>
            </w:r>
            <w:r>
              <w:rPr>
                <w:sz w:val="28"/>
                <w:szCs w:val="28"/>
              </w:rPr>
              <w:t>MCA legal frameworks clarify that individuals may lack the capacity to make important decisions “if they cannot understand pertinent information, retain it, use or weigh relevant information, and communicate their choices”.  Keeling, June, et al. (2021) emphasize that practitioners must recognize that an individual's mental competency is specific to a particular matter and context in time. The safeguarding measures are detailed in MCA Chapter 13 of the Code of Practice for the Mental Health Act 1983, which underwent amendments in 2016. This chapter establishes essential principles and guidelines for individuals who may lack the mental capacity to make informed decisions. During my conversations</w:t>
            </w:r>
            <w:r w:rsidRPr="005260F6">
              <w:rPr>
                <w:sz w:val="28"/>
                <w:szCs w:val="28"/>
              </w:rPr>
              <w:t xml:space="preserve"> with (4), and applying the presumption under the MCA principle, it was determined that (4) could make informed decisions regarding her finances, where to reside and how she wants to live, as there was no evidence indicating otherwise. These findings confirmed the earlier mental capacity assessment conducted by other professionals. Should it be determined that a person cannot make a specific decision, for instance, in (4) circumstances regarding her care and support, this may necessitate appointing someone legally to make decisions on her behalf, leading </w:t>
            </w:r>
            <w:r w:rsidRPr="005260F6">
              <w:rPr>
                <w:sz w:val="28"/>
                <w:szCs w:val="28"/>
              </w:rPr>
              <w:lastRenderedPageBreak/>
              <w:t xml:space="preserve">to a best interest decision.  In circumstances where an individual may experience fluctuating capacity, practitioners are required under the MCA to conduct assessments at various times to evaluate the individual capacity, as there may be instances where an individual can regain their mental capacity. The best interest decision-making process may need to involve (4)'s (Spencer-Lane, 2024). </w:t>
            </w:r>
            <w:r>
              <w:rPr>
                <w:sz w:val="28"/>
                <w:szCs w:val="28"/>
              </w:rPr>
              <w:t xml:space="preserve"> (4) </w:t>
            </w:r>
            <w:proofErr w:type="gramStart"/>
            <w:r>
              <w:rPr>
                <w:sz w:val="28"/>
                <w:szCs w:val="28"/>
              </w:rPr>
              <w:t>expressed</w:t>
            </w:r>
            <w:proofErr w:type="gramEnd"/>
            <w:r>
              <w:rPr>
                <w:sz w:val="28"/>
                <w:szCs w:val="28"/>
              </w:rPr>
              <w:t xml:space="preserve"> her privacy preference and articulated her perception of being subjected to harassment by XXXX Adults Social Care. One of the core values of social care workers is to ensure that “individual and carers' views and wishes are respected and that their rights and interests are promoted” (Social Care Wales, 2017).</w:t>
            </w:r>
          </w:p>
          <w:p w14:paraId="2AA4975A" w14:textId="77777777" w:rsidR="00356534" w:rsidRDefault="00356534" w:rsidP="00356534">
            <w:pPr>
              <w:spacing w:line="480" w:lineRule="auto"/>
              <w:jc w:val="both"/>
              <w:rPr>
                <w:sz w:val="28"/>
                <w:szCs w:val="28"/>
              </w:rPr>
            </w:pPr>
            <w:r>
              <w:rPr>
                <w:sz w:val="28"/>
                <w:szCs w:val="28"/>
              </w:rPr>
              <w:t>Respecting her views, she detailed how she would overcome any barriers she may face with various resources she could draw upon during the cold weather, when unwell or at risk of fire.  MCA professionals are to ensure every effort is made to promote the decision-making process and to promote autonomy (</w:t>
            </w:r>
            <w:proofErr w:type="spellStart"/>
            <w:r>
              <w:rPr>
                <w:sz w:val="28"/>
                <w:szCs w:val="28"/>
              </w:rPr>
              <w:t>Godefroy</w:t>
            </w:r>
            <w:proofErr w:type="spellEnd"/>
            <w:r>
              <w:rPr>
                <w:sz w:val="28"/>
                <w:szCs w:val="28"/>
              </w:rPr>
              <w:t xml:space="preserve"> 2015). The COPP stipulates that </w:t>
            </w:r>
            <w:r w:rsidRPr="0042162C">
              <w:rPr>
                <w:sz w:val="28"/>
                <w:szCs w:val="28"/>
              </w:rPr>
              <w:t xml:space="preserve">professionals are required to collaborate with individuals to balance their rights, responsibilities, and risks effectively.  </w:t>
            </w:r>
          </w:p>
          <w:p w14:paraId="074F1BF5" w14:textId="77777777" w:rsidR="00356534" w:rsidRDefault="00356534" w:rsidP="00356534">
            <w:pPr>
              <w:spacing w:line="480" w:lineRule="auto"/>
              <w:jc w:val="both"/>
              <w:rPr>
                <w:sz w:val="28"/>
                <w:szCs w:val="28"/>
              </w:rPr>
            </w:pPr>
            <w:r w:rsidRPr="0042162C">
              <w:rPr>
                <w:sz w:val="28"/>
                <w:szCs w:val="28"/>
              </w:rPr>
              <w:t xml:space="preserve">During my conversation with (4), I applied Systems Theory to determine </w:t>
            </w:r>
            <w:r>
              <w:rPr>
                <w:sz w:val="28"/>
                <w:szCs w:val="28"/>
              </w:rPr>
              <w:t>areas</w:t>
            </w:r>
            <w:r w:rsidRPr="0042162C">
              <w:rPr>
                <w:sz w:val="28"/>
                <w:szCs w:val="28"/>
              </w:rPr>
              <w:t xml:space="preserve"> </w:t>
            </w:r>
            <w:r>
              <w:rPr>
                <w:sz w:val="28"/>
                <w:szCs w:val="28"/>
              </w:rPr>
              <w:t xml:space="preserve">of positive and negative influence on </w:t>
            </w:r>
            <w:r w:rsidRPr="0042162C">
              <w:rPr>
                <w:sz w:val="28"/>
                <w:szCs w:val="28"/>
              </w:rPr>
              <w:t>her life. This approa</w:t>
            </w:r>
            <w:r>
              <w:rPr>
                <w:sz w:val="28"/>
                <w:szCs w:val="28"/>
              </w:rPr>
              <w:t>ch helped me uncover gaps in (4)’s</w:t>
            </w:r>
            <w:r w:rsidRPr="0042162C">
              <w:rPr>
                <w:sz w:val="28"/>
                <w:szCs w:val="28"/>
              </w:rPr>
              <w:t xml:space="preserve"> support network</w:t>
            </w:r>
            <w:r>
              <w:rPr>
                <w:sz w:val="28"/>
                <w:szCs w:val="28"/>
              </w:rPr>
              <w:t xml:space="preserve">s and sparked a conversation about her outcomes.  </w:t>
            </w:r>
            <w:r>
              <w:rPr>
                <w:sz w:val="28"/>
                <w:szCs w:val="28"/>
              </w:rPr>
              <w:lastRenderedPageBreak/>
              <w:t xml:space="preserve">Guy-Evans (2024) underscores the importance of this theory by illustrating how it prioritizes the understanding of individuals in relation to their unique environments and interpersonal connections. This perspective suggests that individuals are not isolated entities; rather, they are shaped by a variety of interconnected systems. These include the influence of community dynamics, the support and challenges posed by family interactions, and the broader social structures that govern their daily lives. By recognizing these multiple layers of influence, the theory advocates for a more holistic approach to understanding human behaviour and development. (4) Identified a ‘risk management plan’ </w:t>
            </w:r>
            <w:r w:rsidRPr="0042162C">
              <w:rPr>
                <w:sz w:val="28"/>
                <w:szCs w:val="28"/>
              </w:rPr>
              <w:t xml:space="preserve">that (6) has a duty to continue </w:t>
            </w:r>
            <w:r>
              <w:rPr>
                <w:sz w:val="28"/>
                <w:szCs w:val="28"/>
              </w:rPr>
              <w:t>delivering prescriptions, shopping, laundry, and meals, and (4) has a duty to contact</w:t>
            </w:r>
            <w:r w:rsidRPr="00A348A3">
              <w:rPr>
                <w:sz w:val="28"/>
                <w:szCs w:val="28"/>
              </w:rPr>
              <w:t xml:space="preserve"> the family daily.</w:t>
            </w:r>
            <w:r>
              <w:rPr>
                <w:color w:val="ED7D31" w:themeColor="accent2"/>
                <w:sz w:val="28"/>
                <w:szCs w:val="28"/>
              </w:rPr>
              <w:t xml:space="preserve"> </w:t>
            </w:r>
            <w:r>
              <w:rPr>
                <w:sz w:val="28"/>
                <w:szCs w:val="28"/>
              </w:rPr>
              <w:t xml:space="preserve"> I also offered (6) carer assessment and support; however, she declined and was happy to remain in this role. Under the SSWBA frameworks, local authorities must assess and support carers, including unpaid carers, and this could be a joint assessment to meet carers' needs.   </w:t>
            </w:r>
          </w:p>
          <w:p w14:paraId="00F04BB1" w14:textId="6689F385" w:rsidR="00356534" w:rsidRDefault="00356534" w:rsidP="00356534">
            <w:pPr>
              <w:spacing w:before="240" w:line="480" w:lineRule="auto"/>
              <w:jc w:val="both"/>
              <w:rPr>
                <w:sz w:val="28"/>
                <w:szCs w:val="28"/>
              </w:rPr>
            </w:pPr>
            <w:r>
              <w:rPr>
                <w:sz w:val="28"/>
                <w:szCs w:val="28"/>
              </w:rPr>
              <w:t xml:space="preserve">SSWBA Part 7, Section 128, there is a duty to report concerns, and Section 126 establishes a timeframe of 7 working days to conduct investigations, assessing whether there is a cause to believe that </w:t>
            </w:r>
            <w:r w:rsidR="00F47D77">
              <w:rPr>
                <w:sz w:val="28"/>
                <w:szCs w:val="28"/>
              </w:rPr>
              <w:t>“</w:t>
            </w:r>
            <w:r>
              <w:rPr>
                <w:sz w:val="28"/>
                <w:szCs w:val="28"/>
              </w:rPr>
              <w:t>an adult may be at risk of neglect or abuse</w:t>
            </w:r>
            <w:r w:rsidR="00F47D77">
              <w:rPr>
                <w:sz w:val="28"/>
                <w:szCs w:val="28"/>
              </w:rPr>
              <w:t>”</w:t>
            </w:r>
            <w:r>
              <w:rPr>
                <w:sz w:val="28"/>
                <w:szCs w:val="28"/>
              </w:rPr>
              <w:t xml:space="preserve">, or is unable to protect themselves, having care and support need and </w:t>
            </w:r>
            <w:r>
              <w:rPr>
                <w:sz w:val="28"/>
                <w:szCs w:val="28"/>
              </w:rPr>
              <w:lastRenderedPageBreak/>
              <w:t>based on those need unable to protect them. Local authorities are required to collaborate with other agencies that are associated with the individual involved. This approach ensures a multidisciplinary understanding of safeguarding procedures, emphasizes the importance of information sharing, and aims to achieve the best outcomes for the individual during the inquiry process (WSP2019). While carrying out enquiries regarding the safety of individuals, the act also requires compliance with the General Data Protection Regulation to obtain individual consent to share information.</w:t>
            </w:r>
          </w:p>
          <w:p w14:paraId="1D9475EF" w14:textId="77777777" w:rsidR="00356534" w:rsidRDefault="00356534" w:rsidP="00356534">
            <w:pPr>
              <w:spacing w:line="480" w:lineRule="auto"/>
              <w:jc w:val="both"/>
              <w:rPr>
                <w:sz w:val="28"/>
                <w:szCs w:val="28"/>
              </w:rPr>
            </w:pPr>
            <w:r w:rsidRPr="00BB4D52">
              <w:rPr>
                <w:sz w:val="28"/>
                <w:szCs w:val="28"/>
              </w:rPr>
              <w:t>I attended a multidisci</w:t>
            </w:r>
            <w:r>
              <w:rPr>
                <w:sz w:val="28"/>
                <w:szCs w:val="28"/>
              </w:rPr>
              <w:t xml:space="preserve">plinary strategy meeting. </w:t>
            </w:r>
            <w:r w:rsidRPr="00BB4D52">
              <w:rPr>
                <w:sz w:val="28"/>
                <w:szCs w:val="28"/>
              </w:rPr>
              <w:t xml:space="preserve"> Afterwards, I reflected during my supervision with my line manager, using Kolb's (1984) reflective practice cycle. This cycle involves experiencing an event, reflecting on what occurred to identify what was effective and what was not, learning from those insights, and applying them to future practices (Maclean and Harrison, 2015). In this reflective process, I recognized that I have been considering my experiences, identifying my emotions, and acknowledging gaps in my knowledge. This process led me to generate new ideas, brainstorm with my manager, and pinpoint areas that must be addressed and improved. </w:t>
            </w:r>
            <w:r w:rsidRPr="005B672E">
              <w:rPr>
                <w:sz w:val="28"/>
                <w:szCs w:val="28"/>
              </w:rPr>
              <w:t xml:space="preserve">Nickson et al. (2020) highlighted the importance of reflection for social work professionals. Engaging in case discussions allows workers to </w:t>
            </w:r>
            <w:proofErr w:type="spellStart"/>
            <w:r w:rsidRPr="005B672E">
              <w:rPr>
                <w:sz w:val="28"/>
                <w:szCs w:val="28"/>
              </w:rPr>
              <w:t>analyze</w:t>
            </w:r>
            <w:proofErr w:type="spellEnd"/>
            <w:r w:rsidRPr="005B672E">
              <w:rPr>
                <w:sz w:val="28"/>
                <w:szCs w:val="28"/>
              </w:rPr>
              <w:t xml:space="preserve"> their practices, identify areas for improvement, and ensure alignment with core values such as social justice and the dignity of individuals. </w:t>
            </w:r>
            <w:r w:rsidRPr="005B672E">
              <w:rPr>
                <w:sz w:val="28"/>
                <w:szCs w:val="28"/>
              </w:rPr>
              <w:lastRenderedPageBreak/>
              <w:t>By prioritizing reflection, social workers can enhance their effectiveness.</w:t>
            </w:r>
            <w:r>
              <w:rPr>
                <w:sz w:val="28"/>
                <w:szCs w:val="28"/>
              </w:rPr>
              <w:t xml:space="preserve"> I recognised that </w:t>
            </w:r>
            <w:r w:rsidRPr="00BB4D52">
              <w:rPr>
                <w:sz w:val="28"/>
                <w:szCs w:val="28"/>
              </w:rPr>
              <w:t>contacting (4) GP might shed more light on her recent a</w:t>
            </w:r>
            <w:r>
              <w:rPr>
                <w:sz w:val="28"/>
                <w:szCs w:val="28"/>
              </w:rPr>
              <w:t>ctivities.  GP reported that (4</w:t>
            </w:r>
            <w:r w:rsidRPr="00BB4D52">
              <w:rPr>
                <w:sz w:val="28"/>
                <w:szCs w:val="28"/>
              </w:rPr>
              <w:t>) recent</w:t>
            </w:r>
            <w:r>
              <w:rPr>
                <w:sz w:val="28"/>
                <w:szCs w:val="28"/>
              </w:rPr>
              <w:t xml:space="preserve">ly requested medication online and declined a face-to-face GP assessment. She explained that her family still continue to visit, and they do laundry, deliver shopping, take her medication, and take her rubbish. (4) </w:t>
            </w:r>
            <w:proofErr w:type="gramStart"/>
            <w:r>
              <w:rPr>
                <w:sz w:val="28"/>
                <w:szCs w:val="28"/>
              </w:rPr>
              <w:t>indicated</w:t>
            </w:r>
            <w:proofErr w:type="gramEnd"/>
            <w:r>
              <w:rPr>
                <w:sz w:val="28"/>
                <w:szCs w:val="28"/>
              </w:rPr>
              <w:t xml:space="preserve"> that she engages in various activities to keep herself occupied, including knitting and participating in online community interactions via Facebook. </w:t>
            </w:r>
          </w:p>
          <w:p w14:paraId="637D00E1" w14:textId="02DC44BF" w:rsidR="00356534" w:rsidRDefault="00356534" w:rsidP="00356534">
            <w:pPr>
              <w:spacing w:before="240" w:line="480" w:lineRule="auto"/>
              <w:jc w:val="both"/>
              <w:rPr>
                <w:sz w:val="28"/>
                <w:szCs w:val="28"/>
              </w:rPr>
            </w:pPr>
            <w:r>
              <w:rPr>
                <w:sz w:val="28"/>
                <w:szCs w:val="28"/>
              </w:rPr>
              <w:t>Upon (4) being assessed as having the capacity to decide to reside in a fully hoarded property</w:t>
            </w:r>
            <w:r w:rsidR="00E47BD0">
              <w:rPr>
                <w:sz w:val="28"/>
                <w:szCs w:val="28"/>
              </w:rPr>
              <w:t>, I initiated a multi-agency meeting, including (4)</w:t>
            </w:r>
            <w:r w:rsidR="00C31C54">
              <w:rPr>
                <w:sz w:val="28"/>
                <w:szCs w:val="28"/>
              </w:rPr>
              <w:t xml:space="preserve"> and (6) joining the meeting virtually</w:t>
            </w:r>
            <w:r w:rsidR="00E47BD0">
              <w:rPr>
                <w:sz w:val="28"/>
                <w:szCs w:val="28"/>
              </w:rPr>
              <w:t xml:space="preserve">, leading to a </w:t>
            </w:r>
            <w:r w:rsidR="00C31C54">
              <w:rPr>
                <w:sz w:val="28"/>
                <w:szCs w:val="28"/>
              </w:rPr>
              <w:t xml:space="preserve">collaborative decision regarding </w:t>
            </w:r>
            <w:r w:rsidR="00E47BD0">
              <w:rPr>
                <w:sz w:val="28"/>
                <w:szCs w:val="28"/>
              </w:rPr>
              <w:t xml:space="preserve">risk management plan </w:t>
            </w:r>
            <w:r w:rsidR="00C31C54">
              <w:rPr>
                <w:sz w:val="28"/>
                <w:szCs w:val="28"/>
              </w:rPr>
              <w:t>which</w:t>
            </w:r>
            <w:r w:rsidR="00E47BD0">
              <w:rPr>
                <w:sz w:val="28"/>
                <w:szCs w:val="28"/>
              </w:rPr>
              <w:t xml:space="preserve"> (4) was granted the autonomy </w:t>
            </w:r>
            <w:r w:rsidR="00C31C54">
              <w:rPr>
                <w:sz w:val="28"/>
                <w:szCs w:val="28"/>
              </w:rPr>
              <w:t xml:space="preserve">and with support from her carers </w:t>
            </w:r>
            <w:r w:rsidR="00E47BD0">
              <w:rPr>
                <w:sz w:val="28"/>
                <w:szCs w:val="28"/>
              </w:rPr>
              <w:t>t</w:t>
            </w:r>
            <w:r w:rsidR="00C31C54">
              <w:rPr>
                <w:sz w:val="28"/>
                <w:szCs w:val="28"/>
              </w:rPr>
              <w:t>o address her own needs</w:t>
            </w:r>
            <w:r>
              <w:rPr>
                <w:sz w:val="28"/>
                <w:szCs w:val="28"/>
              </w:rPr>
              <w:t>. The professional acknowledged the challenges faced</w:t>
            </w:r>
            <w:r w:rsidR="00E47BD0">
              <w:rPr>
                <w:sz w:val="28"/>
                <w:szCs w:val="28"/>
              </w:rPr>
              <w:t xml:space="preserve"> and </w:t>
            </w:r>
            <w:r w:rsidR="00C31C54">
              <w:rPr>
                <w:sz w:val="28"/>
                <w:szCs w:val="28"/>
              </w:rPr>
              <w:t>the complex decision to safeguard</w:t>
            </w:r>
            <w:r>
              <w:rPr>
                <w:sz w:val="28"/>
                <w:szCs w:val="28"/>
              </w:rPr>
              <w:t xml:space="preserve"> (4) and outlined specific actions to be taken. They note</w:t>
            </w:r>
            <w:r w:rsidR="00E47BD0">
              <w:rPr>
                <w:sz w:val="28"/>
                <w:szCs w:val="28"/>
              </w:rPr>
              <w:t>d that a warning marker has to be</w:t>
            </w:r>
            <w:r>
              <w:rPr>
                <w:sz w:val="28"/>
                <w:szCs w:val="28"/>
              </w:rPr>
              <w:t xml:space="preserve"> placed on the property for any attending crews. Obtaining a warrant to gain entry would be necessary if the property were social housing; however, this could infringe upon (4)'s “right to privacy” under Article 8 of the Human Rights Act (1998). </w:t>
            </w:r>
            <w:r w:rsidR="00444E0D">
              <w:rPr>
                <w:sz w:val="28"/>
                <w:szCs w:val="28"/>
              </w:rPr>
              <w:t xml:space="preserve">European Convention on Human Rights principles were </w:t>
            </w:r>
            <w:r w:rsidR="00241238">
              <w:rPr>
                <w:sz w:val="28"/>
                <w:szCs w:val="28"/>
              </w:rPr>
              <w:t>incorporate into</w:t>
            </w:r>
            <w:r w:rsidR="00444E0D">
              <w:rPr>
                <w:sz w:val="28"/>
                <w:szCs w:val="28"/>
              </w:rPr>
              <w:t xml:space="preserve"> UK law</w:t>
            </w:r>
            <w:r w:rsidR="00241238">
              <w:rPr>
                <w:sz w:val="28"/>
                <w:szCs w:val="28"/>
              </w:rPr>
              <w:t>s</w:t>
            </w:r>
            <w:r w:rsidR="00444E0D">
              <w:rPr>
                <w:sz w:val="28"/>
                <w:szCs w:val="28"/>
              </w:rPr>
              <w:t xml:space="preserve"> and </w:t>
            </w:r>
            <w:r>
              <w:rPr>
                <w:sz w:val="28"/>
                <w:szCs w:val="28"/>
              </w:rPr>
              <w:lastRenderedPageBreak/>
              <w:t>public authorities</w:t>
            </w:r>
            <w:r w:rsidR="00241238">
              <w:rPr>
                <w:sz w:val="28"/>
                <w:szCs w:val="28"/>
              </w:rPr>
              <w:t xml:space="preserve"> in the </w:t>
            </w:r>
            <w:r w:rsidR="00E47BD0">
              <w:rPr>
                <w:sz w:val="28"/>
                <w:szCs w:val="28"/>
              </w:rPr>
              <w:t>UK are</w:t>
            </w:r>
            <w:r>
              <w:rPr>
                <w:sz w:val="28"/>
                <w:szCs w:val="28"/>
              </w:rPr>
              <w:t xml:space="preserve"> requ</w:t>
            </w:r>
            <w:r w:rsidR="00444E0D">
              <w:rPr>
                <w:sz w:val="28"/>
                <w:szCs w:val="28"/>
              </w:rPr>
              <w:t>ired to uphold individual rights</w:t>
            </w:r>
            <w:r w:rsidR="00241238">
              <w:rPr>
                <w:sz w:val="28"/>
                <w:szCs w:val="28"/>
              </w:rPr>
              <w:t xml:space="preserve"> (Human Rights Act 1998). </w:t>
            </w:r>
            <w:r>
              <w:rPr>
                <w:sz w:val="28"/>
                <w:szCs w:val="28"/>
              </w:rPr>
              <w:t>The dynamics of this case may change if evidence regarding (4)'s mental health emerges, as this would trigger an assessment under the Menta</w:t>
            </w:r>
            <w:r w:rsidR="00241238">
              <w:rPr>
                <w:sz w:val="28"/>
                <w:szCs w:val="28"/>
              </w:rPr>
              <w:t>l Health Act 1983 to protect (4) from</w:t>
            </w:r>
            <w:r>
              <w:rPr>
                <w:sz w:val="28"/>
                <w:szCs w:val="28"/>
              </w:rPr>
              <w:t xml:space="preserve"> potential risks of self-neglect. Suppose (4) is perceived to be at risk of self-neglect and unable to protect herself owing to having care and support needs, in that case, xxx local authority is expected to act within the powers granted to them, acting “fairly, proportionately, and rationally”, guided by the principles of the SSWBA, WSP2019,  MCA, and Mental Health Act (1983).</w:t>
            </w:r>
            <w:r>
              <w:rPr>
                <w:color w:val="FF0000"/>
                <w:sz w:val="28"/>
                <w:szCs w:val="28"/>
              </w:rPr>
              <w:t xml:space="preserve"> </w:t>
            </w:r>
            <w:r>
              <w:rPr>
                <w:sz w:val="28"/>
                <w:szCs w:val="28"/>
              </w:rPr>
              <w:t>Self-neglect does not necessarily trigger safeguarding inquiries under Section 126; each situation is assessed individually. Whether a safeguarding response is warranted depends on individuals' ability to protect themselves and manage their self-neglectful behaviours. There may eventually be instances in which individuals cannot maintain their well-being without external assistance.  Gibbons et al. (2006) described self-neglect as the “inability to maintain an acceptable standard of self-care</w:t>
            </w:r>
            <w:r w:rsidR="00F47D77">
              <w:rPr>
                <w:sz w:val="28"/>
                <w:szCs w:val="28"/>
              </w:rPr>
              <w:t>”, both socially and culturally</w:t>
            </w:r>
            <w:r>
              <w:rPr>
                <w:sz w:val="28"/>
                <w:szCs w:val="28"/>
              </w:rPr>
              <w:t xml:space="preserve">. Whether deliberate or inadvertent, these shortcomings can result in significant repercussions for both health and well-being. The obligation under section 126 of the SSWBA involves making inquiries to determine whether the authority should take action. The duty does not extend to mandating all action by the local authority; however, the legal basis for intervention can result in the Mental Health </w:t>
            </w:r>
            <w:r>
              <w:rPr>
                <w:sz w:val="28"/>
                <w:szCs w:val="28"/>
              </w:rPr>
              <w:lastRenderedPageBreak/>
              <w:t>Act 1983, which is inherent jurisdiction through the High Court and Environmental Protection Act 1990, which could be applicable in some cases.</w:t>
            </w:r>
          </w:p>
          <w:p w14:paraId="4ADCF04B" w14:textId="5958F250" w:rsidR="00356534" w:rsidRPr="00151858" w:rsidRDefault="00241238" w:rsidP="00356534">
            <w:pPr>
              <w:spacing w:before="240" w:line="480" w:lineRule="auto"/>
              <w:jc w:val="both"/>
              <w:rPr>
                <w:sz w:val="28"/>
                <w:szCs w:val="28"/>
              </w:rPr>
            </w:pPr>
            <w:r>
              <w:rPr>
                <w:sz w:val="28"/>
                <w:szCs w:val="28"/>
              </w:rPr>
              <w:t>Since</w:t>
            </w:r>
            <w:r w:rsidR="00B950C4">
              <w:rPr>
                <w:sz w:val="28"/>
                <w:szCs w:val="28"/>
              </w:rPr>
              <w:t xml:space="preserve"> (4) is about 71</w:t>
            </w:r>
            <w:r w:rsidR="00A44644">
              <w:rPr>
                <w:sz w:val="28"/>
                <w:szCs w:val="28"/>
              </w:rPr>
              <w:t xml:space="preserve"> years old, I considered</w:t>
            </w:r>
            <w:r>
              <w:rPr>
                <w:sz w:val="28"/>
                <w:szCs w:val="28"/>
              </w:rPr>
              <w:t xml:space="preserve"> the United Nations Principles for Older Persons, which </w:t>
            </w:r>
            <w:r w:rsidR="00A44644">
              <w:rPr>
                <w:sz w:val="28"/>
                <w:szCs w:val="28"/>
              </w:rPr>
              <w:t>principles were</w:t>
            </w:r>
            <w:r>
              <w:rPr>
                <w:sz w:val="28"/>
                <w:szCs w:val="28"/>
              </w:rPr>
              <w:t xml:space="preserve"> incorporated in the SSWBA and the Human Rights Act. The Older People's Commissioner for Wales has emphasized that Welsh legislation aligns with these UN principles, promoting </w:t>
            </w:r>
            <w:r w:rsidR="00F47D77">
              <w:rPr>
                <w:sz w:val="28"/>
                <w:szCs w:val="28"/>
              </w:rPr>
              <w:t>“</w:t>
            </w:r>
            <w:r>
              <w:rPr>
                <w:sz w:val="28"/>
                <w:szCs w:val="28"/>
              </w:rPr>
              <w:t>the rights, independence, and quality of life for older individuals</w:t>
            </w:r>
            <w:r w:rsidR="00F47D77">
              <w:rPr>
                <w:sz w:val="28"/>
                <w:szCs w:val="28"/>
              </w:rPr>
              <w:t>”</w:t>
            </w:r>
            <w:bookmarkStart w:id="0" w:name="_GoBack"/>
            <w:bookmarkEnd w:id="0"/>
            <w:r>
              <w:rPr>
                <w:sz w:val="28"/>
                <w:szCs w:val="28"/>
              </w:rPr>
              <w:t xml:space="preserve"> in Wales. This highlights the importance of not discriminating against older people based on their age, as they are protected under the Equality Act 2010, which ensures fair treatment for everyone. </w:t>
            </w:r>
            <w:proofErr w:type="spellStart"/>
            <w:r w:rsidR="00356534">
              <w:rPr>
                <w:sz w:val="28"/>
                <w:szCs w:val="28"/>
              </w:rPr>
              <w:t>Braye</w:t>
            </w:r>
            <w:proofErr w:type="spellEnd"/>
            <w:r w:rsidR="00356534">
              <w:rPr>
                <w:sz w:val="28"/>
                <w:szCs w:val="28"/>
              </w:rPr>
              <w:t xml:space="preserve"> et </w:t>
            </w:r>
            <w:r w:rsidR="000C5E7F">
              <w:rPr>
                <w:sz w:val="28"/>
                <w:szCs w:val="28"/>
              </w:rPr>
              <w:t>al. (2015) explained self-neglect as</w:t>
            </w:r>
            <w:r w:rsidR="00356534">
              <w:rPr>
                <w:sz w:val="28"/>
                <w:szCs w:val="28"/>
              </w:rPr>
              <w:t xml:space="preserve"> neglect of personal hygiene, nutrition, hydration, physical health,</w:t>
            </w:r>
            <w:r w:rsidR="000C5E7F">
              <w:rPr>
                <w:sz w:val="28"/>
                <w:szCs w:val="28"/>
              </w:rPr>
              <w:t xml:space="preserve"> and one's living environment and s</w:t>
            </w:r>
            <w:r w:rsidR="00356534">
              <w:rPr>
                <w:sz w:val="28"/>
                <w:szCs w:val="28"/>
              </w:rPr>
              <w:t>uch neglect po</w:t>
            </w:r>
            <w:r w:rsidR="000C5E7F">
              <w:rPr>
                <w:sz w:val="28"/>
                <w:szCs w:val="28"/>
              </w:rPr>
              <w:t xml:space="preserve">ses risks to safety, health, and </w:t>
            </w:r>
            <w:r w:rsidR="00356534">
              <w:rPr>
                <w:sz w:val="28"/>
                <w:szCs w:val="28"/>
              </w:rPr>
              <w:t xml:space="preserve">well-being. </w:t>
            </w:r>
            <w:r w:rsidR="000C5E7F">
              <w:rPr>
                <w:sz w:val="28"/>
                <w:szCs w:val="28"/>
              </w:rPr>
              <w:t>(4)</w:t>
            </w:r>
            <w:r w:rsidR="00D713E0">
              <w:rPr>
                <w:sz w:val="28"/>
                <w:szCs w:val="28"/>
              </w:rPr>
              <w:t>’s overgrown garden, hoarding items on the property, and declining support are</w:t>
            </w:r>
            <w:r w:rsidR="000C5E7F">
              <w:rPr>
                <w:sz w:val="28"/>
                <w:szCs w:val="28"/>
              </w:rPr>
              <w:t xml:space="preserve"> indicators.</w:t>
            </w:r>
            <w:r w:rsidR="00356534">
              <w:rPr>
                <w:sz w:val="28"/>
                <w:szCs w:val="28"/>
              </w:rPr>
              <w:t xml:space="preserve"> The Self-neglect Protocol process states that lack of engagement characterises</w:t>
            </w:r>
            <w:r w:rsidR="00356534" w:rsidRPr="00097001">
              <w:rPr>
                <w:sz w:val="28"/>
                <w:szCs w:val="28"/>
              </w:rPr>
              <w:t xml:space="preserve"> a significant barrier to obt</w:t>
            </w:r>
            <w:r w:rsidR="00356534">
              <w:rPr>
                <w:sz w:val="28"/>
                <w:szCs w:val="28"/>
              </w:rPr>
              <w:t>aining the necessary assistance (xxx Safeguarding Board, 2023). While various services are available to address (4)’s</w:t>
            </w:r>
            <w:r w:rsidR="00356534" w:rsidRPr="00097001">
              <w:rPr>
                <w:sz w:val="28"/>
                <w:szCs w:val="28"/>
              </w:rPr>
              <w:t xml:space="preserve"> health and well-being n</w:t>
            </w:r>
            <w:r w:rsidR="00356534">
              <w:rPr>
                <w:sz w:val="28"/>
                <w:szCs w:val="28"/>
              </w:rPr>
              <w:t>eeds, these services require (4)’s</w:t>
            </w:r>
            <w:r w:rsidR="00356534" w:rsidRPr="00097001">
              <w:rPr>
                <w:sz w:val="28"/>
                <w:szCs w:val="28"/>
              </w:rPr>
              <w:t xml:space="preserve"> collaboration</w:t>
            </w:r>
            <w:r w:rsidR="00356534">
              <w:rPr>
                <w:sz w:val="28"/>
                <w:szCs w:val="28"/>
              </w:rPr>
              <w:t xml:space="preserve"> to provide effective support</w:t>
            </w:r>
            <w:r w:rsidR="00356534" w:rsidRPr="00097001">
              <w:rPr>
                <w:sz w:val="28"/>
                <w:szCs w:val="28"/>
              </w:rPr>
              <w:t xml:space="preserve">. </w:t>
            </w:r>
          </w:p>
          <w:p w14:paraId="18FB46DD" w14:textId="72A5317A" w:rsidR="00356534" w:rsidRDefault="00356534" w:rsidP="00356534">
            <w:pPr>
              <w:spacing w:line="480" w:lineRule="auto"/>
              <w:jc w:val="both"/>
              <w:rPr>
                <w:sz w:val="28"/>
                <w:szCs w:val="28"/>
              </w:rPr>
            </w:pPr>
            <w:r>
              <w:rPr>
                <w:sz w:val="28"/>
                <w:szCs w:val="28"/>
              </w:rPr>
              <w:lastRenderedPageBreak/>
              <w:t>She clearly expresses her wishes and feelings</w:t>
            </w:r>
            <w:r w:rsidR="00D713E0">
              <w:rPr>
                <w:sz w:val="28"/>
                <w:szCs w:val="28"/>
              </w:rPr>
              <w:t>.</w:t>
            </w:r>
            <w:r w:rsidR="000C5E7F">
              <w:rPr>
                <w:sz w:val="28"/>
                <w:szCs w:val="28"/>
              </w:rPr>
              <w:t xml:space="preserve"> I</w:t>
            </w:r>
            <w:r>
              <w:rPr>
                <w:sz w:val="28"/>
                <w:szCs w:val="28"/>
              </w:rPr>
              <w:t xml:space="preserve"> evaluate her capacity concerning her self-neglecting hoarding behaviour and its impact on her and her family. The evaluation concluded that she is aware of the consequences of her actions and how they affect both herself and her family. Suppose the outcome is otherwise determined that (4) lacks insights into her circumstances owing to impairment of the brain and or mental health issues. In that case, this will necessitate referrals to specialists for </w:t>
            </w:r>
            <w:r w:rsidRPr="00E96988">
              <w:rPr>
                <w:sz w:val="28"/>
                <w:szCs w:val="28"/>
              </w:rPr>
              <w:t>therapeutic approaches.</w:t>
            </w:r>
            <w:r>
              <w:rPr>
                <w:sz w:val="28"/>
                <w:szCs w:val="28"/>
              </w:rPr>
              <w:t xml:space="preserve"> Mental health in relation to hoarding and self-neglecting </w:t>
            </w:r>
            <w:r w:rsidR="00C31C54">
              <w:rPr>
                <w:sz w:val="28"/>
                <w:szCs w:val="28"/>
              </w:rPr>
              <w:t>is</w:t>
            </w:r>
            <w:r>
              <w:rPr>
                <w:sz w:val="28"/>
                <w:szCs w:val="28"/>
              </w:rPr>
              <w:t xml:space="preserve"> recognized as a me</w:t>
            </w:r>
            <w:r w:rsidR="00085E37">
              <w:rPr>
                <w:sz w:val="28"/>
                <w:szCs w:val="28"/>
              </w:rPr>
              <w:t xml:space="preserve">ntal disorder in the (ICD-10, </w:t>
            </w:r>
            <w:r>
              <w:rPr>
                <w:sz w:val="28"/>
                <w:szCs w:val="28"/>
              </w:rPr>
              <w:t>2019).  The MCA Code of Practice (1983) states that a person's behaviour or circumstances can create uncertainty about their ability to make informed decisions. While (4) likely has the mental capacity in most areas of her life, her decision-making about hoarding may be affected.  It's important to note that no agency has verified the reported hoarded property because (4) will not allow anyone inside. Family members have shared this information, making it hard to assess the situation and determine if the clutter image level raises any concerns (</w:t>
            </w:r>
            <w:proofErr w:type="spellStart"/>
            <w:r>
              <w:rPr>
                <w:sz w:val="28"/>
                <w:szCs w:val="28"/>
              </w:rPr>
              <w:t>Culter</w:t>
            </w:r>
            <w:proofErr w:type="spellEnd"/>
            <w:r>
              <w:rPr>
                <w:sz w:val="28"/>
                <w:szCs w:val="28"/>
              </w:rPr>
              <w:t xml:space="preserve"> Grading scales </w:t>
            </w:r>
            <w:proofErr w:type="spellStart"/>
            <w:r>
              <w:rPr>
                <w:sz w:val="28"/>
                <w:szCs w:val="28"/>
              </w:rPr>
              <w:t>n.d.</w:t>
            </w:r>
            <w:proofErr w:type="spellEnd"/>
            <w:r>
              <w:rPr>
                <w:sz w:val="28"/>
                <w:szCs w:val="28"/>
              </w:rPr>
              <w:t xml:space="preserve">). </w:t>
            </w:r>
          </w:p>
          <w:p w14:paraId="7ADA490C" w14:textId="77777777" w:rsidR="00356534" w:rsidRDefault="00356534" w:rsidP="00356534">
            <w:pPr>
              <w:spacing w:line="480" w:lineRule="auto"/>
              <w:jc w:val="both"/>
              <w:rPr>
                <w:sz w:val="28"/>
                <w:szCs w:val="28"/>
              </w:rPr>
            </w:pPr>
            <w:r>
              <w:rPr>
                <w:sz w:val="28"/>
                <w:szCs w:val="28"/>
              </w:rPr>
              <w:t>Promoting and acknowledging that (4) has the right to independence, choice, and self-determination is vital. When communicating with (4), I consider reflective listening, which allows me to confirm my understanding and rephrase</w:t>
            </w:r>
            <w:r w:rsidRPr="00B11C7E">
              <w:rPr>
                <w:sz w:val="28"/>
                <w:szCs w:val="28"/>
              </w:rPr>
              <w:t xml:space="preserve"> information shared</w:t>
            </w:r>
            <w:r>
              <w:rPr>
                <w:sz w:val="28"/>
                <w:szCs w:val="28"/>
              </w:rPr>
              <w:t>,</w:t>
            </w:r>
            <w:r w:rsidRPr="00B11C7E">
              <w:rPr>
                <w:sz w:val="28"/>
                <w:szCs w:val="28"/>
              </w:rPr>
              <w:t xml:space="preserve"> reassuring </w:t>
            </w:r>
            <w:r>
              <w:rPr>
                <w:sz w:val="28"/>
                <w:szCs w:val="28"/>
              </w:rPr>
              <w:t xml:space="preserve">(4) that she was </w:t>
            </w:r>
            <w:r w:rsidRPr="00B11C7E">
              <w:rPr>
                <w:sz w:val="28"/>
                <w:szCs w:val="28"/>
              </w:rPr>
              <w:t xml:space="preserve">being understood and </w:t>
            </w:r>
            <w:r w:rsidRPr="00B11C7E">
              <w:rPr>
                <w:sz w:val="28"/>
                <w:szCs w:val="28"/>
              </w:rPr>
              <w:lastRenderedPageBreak/>
              <w:t>acknowledged</w:t>
            </w:r>
            <w:r>
              <w:rPr>
                <w:sz w:val="28"/>
                <w:szCs w:val="28"/>
              </w:rPr>
              <w:t xml:space="preserve"> (</w:t>
            </w:r>
            <w:proofErr w:type="spellStart"/>
            <w:r>
              <w:rPr>
                <w:sz w:val="28"/>
                <w:szCs w:val="28"/>
              </w:rPr>
              <w:t>Rodat</w:t>
            </w:r>
            <w:proofErr w:type="spellEnd"/>
            <w:r>
              <w:rPr>
                <w:sz w:val="28"/>
                <w:szCs w:val="28"/>
              </w:rPr>
              <w:t>, 2020).</w:t>
            </w:r>
            <w:r w:rsidRPr="00B11C7E">
              <w:rPr>
                <w:sz w:val="28"/>
                <w:szCs w:val="28"/>
              </w:rPr>
              <w:t xml:space="preserve">  </w:t>
            </w:r>
            <w:r>
              <w:rPr>
                <w:sz w:val="28"/>
                <w:szCs w:val="28"/>
              </w:rPr>
              <w:t xml:space="preserve">Feeling understood and heard can promote a sense of empowerment </w:t>
            </w:r>
            <w:r w:rsidRPr="00B11C7E">
              <w:rPr>
                <w:sz w:val="28"/>
                <w:szCs w:val="28"/>
              </w:rPr>
              <w:t>(</w:t>
            </w:r>
            <w:proofErr w:type="spellStart"/>
            <w:r>
              <w:rPr>
                <w:sz w:val="28"/>
                <w:szCs w:val="28"/>
              </w:rPr>
              <w:t>Ernstmeyer</w:t>
            </w:r>
            <w:proofErr w:type="spellEnd"/>
            <w:r>
              <w:rPr>
                <w:sz w:val="28"/>
                <w:szCs w:val="28"/>
              </w:rPr>
              <w:t xml:space="preserve"> and </w:t>
            </w:r>
            <w:proofErr w:type="spellStart"/>
            <w:r>
              <w:rPr>
                <w:sz w:val="28"/>
                <w:szCs w:val="28"/>
              </w:rPr>
              <w:t>Christman</w:t>
            </w:r>
            <w:proofErr w:type="spellEnd"/>
            <w:r>
              <w:rPr>
                <w:sz w:val="28"/>
                <w:szCs w:val="28"/>
              </w:rPr>
              <w:t>, 2022). Following that</w:t>
            </w:r>
            <w:r w:rsidRPr="002B5B66">
              <w:rPr>
                <w:sz w:val="28"/>
                <w:szCs w:val="28"/>
              </w:rPr>
              <w:t xml:space="preserve">, she cites that she </w:t>
            </w:r>
            <w:r>
              <w:rPr>
                <w:sz w:val="28"/>
                <w:szCs w:val="28"/>
              </w:rPr>
              <w:t xml:space="preserve">can fully understand the implications of living in the reported conditions and actively chooses not to engage in the process.  </w:t>
            </w:r>
          </w:p>
          <w:p w14:paraId="23315D7A" w14:textId="4058FFB6" w:rsidR="00356534" w:rsidRPr="0023101F" w:rsidRDefault="00356534" w:rsidP="00356534">
            <w:pPr>
              <w:spacing w:line="480" w:lineRule="auto"/>
              <w:jc w:val="both"/>
              <w:rPr>
                <w:sz w:val="28"/>
                <w:szCs w:val="28"/>
              </w:rPr>
            </w:pPr>
            <w:r>
              <w:rPr>
                <w:sz w:val="28"/>
                <w:szCs w:val="28"/>
              </w:rPr>
              <w:t>A collaborative and integrated approach allows agencies to work toge</w:t>
            </w:r>
            <w:r w:rsidR="00C31C54">
              <w:rPr>
                <w:sz w:val="28"/>
                <w:szCs w:val="28"/>
              </w:rPr>
              <w:t>ther, assess risks, and support complex</w:t>
            </w:r>
            <w:r>
              <w:rPr>
                <w:sz w:val="28"/>
                <w:szCs w:val="28"/>
              </w:rPr>
              <w:t xml:space="preserve"> </w:t>
            </w:r>
            <w:r w:rsidR="00C31C54">
              <w:rPr>
                <w:sz w:val="28"/>
                <w:szCs w:val="28"/>
              </w:rPr>
              <w:t>decision-making processes</w:t>
            </w:r>
            <w:r>
              <w:rPr>
                <w:sz w:val="28"/>
                <w:szCs w:val="28"/>
              </w:rPr>
              <w:t xml:space="preserve"> that lead to positive outcomes </w:t>
            </w:r>
            <w:r w:rsidR="00C31C54">
              <w:rPr>
                <w:sz w:val="28"/>
                <w:szCs w:val="28"/>
              </w:rPr>
              <w:t xml:space="preserve">for </w:t>
            </w:r>
            <w:r>
              <w:rPr>
                <w:sz w:val="28"/>
                <w:szCs w:val="28"/>
              </w:rPr>
              <w:t>(4). In a discussion with my mentor about the multi-agency meeting, I recognized the value of a strengths-based approach in the risk ma</w:t>
            </w:r>
            <w:r w:rsidR="00C31C54">
              <w:rPr>
                <w:sz w:val="28"/>
                <w:szCs w:val="28"/>
              </w:rPr>
              <w:t>nagement plan. For instance, (4)</w:t>
            </w:r>
            <w:r>
              <w:rPr>
                <w:sz w:val="28"/>
                <w:szCs w:val="28"/>
              </w:rPr>
              <w:t xml:space="preserve"> effectively communicates her needs, stays in contact with her supportive family, manages her finances independently, and shops and sells items online. The ongoing support from her family is essential to her success. Balmford authored an article in the Community Inform on August 29, 2023, discussing the issue of hoarding among adults. The article indicates that approximately 1.2 million people in the UK are affected by hoarding, which is described as a form of collecting items. Individuals who hoard tend to feel a strong emotional connection to the items they collect. </w:t>
            </w:r>
            <w:r w:rsidRPr="0023101F">
              <w:rPr>
                <w:sz w:val="28"/>
                <w:szCs w:val="28"/>
              </w:rPr>
              <w:t>A study across many homes in the UK established that 2.5 % – 6 % were affected by hoarding</w:t>
            </w:r>
            <w:r>
              <w:rPr>
                <w:sz w:val="28"/>
                <w:szCs w:val="28"/>
              </w:rPr>
              <w:t xml:space="preserve"> </w:t>
            </w:r>
            <w:r w:rsidRPr="0023101F">
              <w:rPr>
                <w:sz w:val="28"/>
                <w:szCs w:val="28"/>
              </w:rPr>
              <w:t>(Hoarding Disorders UK</w:t>
            </w:r>
            <w:r>
              <w:rPr>
                <w:sz w:val="28"/>
                <w:szCs w:val="28"/>
              </w:rPr>
              <w:t xml:space="preserve">, </w:t>
            </w:r>
            <w:r w:rsidRPr="0023101F">
              <w:rPr>
                <w:sz w:val="28"/>
                <w:szCs w:val="28"/>
              </w:rPr>
              <w:t>2014).</w:t>
            </w:r>
          </w:p>
          <w:p w14:paraId="37DBDE92" w14:textId="0FEE6F8F" w:rsidR="00356534" w:rsidRDefault="00356534" w:rsidP="00356534">
            <w:pPr>
              <w:spacing w:line="480" w:lineRule="auto"/>
              <w:jc w:val="both"/>
              <w:rPr>
                <w:sz w:val="28"/>
                <w:szCs w:val="28"/>
              </w:rPr>
            </w:pPr>
            <w:r>
              <w:rPr>
                <w:sz w:val="28"/>
                <w:szCs w:val="28"/>
              </w:rPr>
              <w:t xml:space="preserve">The intervention is necessary when a person's hoarding behaviour seriously threatens their health and safety.  According to the MCA Code of Practice </w:t>
            </w:r>
            <w:r w:rsidRPr="00702B17">
              <w:rPr>
                <w:sz w:val="28"/>
                <w:szCs w:val="28"/>
              </w:rPr>
              <w:t>2007</w:t>
            </w:r>
            <w:r w:rsidR="00A44644">
              <w:rPr>
                <w:sz w:val="28"/>
                <w:szCs w:val="28"/>
              </w:rPr>
              <w:t xml:space="preserve"> </w:t>
            </w:r>
            <w:r w:rsidR="00A44644">
              <w:rPr>
                <w:sz w:val="28"/>
                <w:szCs w:val="28"/>
              </w:rPr>
              <w:lastRenderedPageBreak/>
              <w:t xml:space="preserve">p. 52, </w:t>
            </w:r>
            <w:r>
              <w:rPr>
                <w:sz w:val="28"/>
                <w:szCs w:val="28"/>
              </w:rPr>
              <w:t>an individual's behaviour or circumstances may raise doubts about their ability to make a spec</w:t>
            </w:r>
            <w:r w:rsidR="00A44644">
              <w:rPr>
                <w:sz w:val="28"/>
                <w:szCs w:val="28"/>
              </w:rPr>
              <w:t>ific decision</w:t>
            </w:r>
            <w:r>
              <w:rPr>
                <w:sz w:val="28"/>
                <w:szCs w:val="28"/>
              </w:rPr>
              <w:t xml:space="preserve"> and if an </w:t>
            </w:r>
            <w:r w:rsidRPr="00761703">
              <w:rPr>
                <w:sz w:val="28"/>
                <w:szCs w:val="28"/>
              </w:rPr>
              <w:t xml:space="preserve">adult is deemed lacking in </w:t>
            </w:r>
            <w:r>
              <w:rPr>
                <w:sz w:val="28"/>
                <w:szCs w:val="28"/>
              </w:rPr>
              <w:t xml:space="preserve">mental </w:t>
            </w:r>
            <w:r w:rsidRPr="00761703">
              <w:rPr>
                <w:sz w:val="28"/>
                <w:szCs w:val="28"/>
              </w:rPr>
              <w:t>capacity or is</w:t>
            </w:r>
            <w:r>
              <w:rPr>
                <w:sz w:val="28"/>
                <w:szCs w:val="28"/>
              </w:rPr>
              <w:t xml:space="preserve"> under a criminal investigation, a</w:t>
            </w:r>
            <w:r w:rsidRPr="00761703">
              <w:rPr>
                <w:sz w:val="28"/>
                <w:szCs w:val="28"/>
              </w:rPr>
              <w:t xml:space="preserve"> magistrates' court may grant the police permission to enter </w:t>
            </w:r>
            <w:r>
              <w:rPr>
                <w:sz w:val="28"/>
                <w:szCs w:val="28"/>
              </w:rPr>
              <w:t xml:space="preserve">the </w:t>
            </w:r>
            <w:r w:rsidRPr="00761703">
              <w:rPr>
                <w:sz w:val="28"/>
                <w:szCs w:val="28"/>
              </w:rPr>
              <w:t>premises using reasonable force</w:t>
            </w:r>
            <w:r>
              <w:rPr>
                <w:sz w:val="28"/>
                <w:szCs w:val="28"/>
              </w:rPr>
              <w:t>.</w:t>
            </w:r>
            <w:r w:rsidRPr="00761703">
              <w:rPr>
                <w:sz w:val="28"/>
                <w:szCs w:val="28"/>
              </w:rPr>
              <w:t xml:space="preserve"> </w:t>
            </w:r>
            <w:r>
              <w:rPr>
                <w:sz w:val="28"/>
                <w:szCs w:val="28"/>
              </w:rPr>
              <w:t>An Approved Mental Health Professional must initiate this request,</w:t>
            </w:r>
            <w:r w:rsidRPr="00761703">
              <w:rPr>
                <w:sz w:val="28"/>
                <w:szCs w:val="28"/>
              </w:rPr>
              <w:t xml:space="preserve"> </w:t>
            </w:r>
            <w:r>
              <w:rPr>
                <w:sz w:val="28"/>
                <w:szCs w:val="28"/>
              </w:rPr>
              <w:t>which</w:t>
            </w:r>
            <w:r w:rsidRPr="00761703">
              <w:rPr>
                <w:sz w:val="28"/>
                <w:szCs w:val="28"/>
              </w:rPr>
              <w:t xml:space="preserve"> may involve relocating the adult to a place of safety</w:t>
            </w:r>
            <w:r>
              <w:rPr>
                <w:sz w:val="28"/>
                <w:szCs w:val="28"/>
              </w:rPr>
              <w:t xml:space="preserve"> (WSP</w:t>
            </w:r>
            <w:r w:rsidRPr="00761703">
              <w:rPr>
                <w:sz w:val="28"/>
                <w:szCs w:val="28"/>
              </w:rPr>
              <w:t xml:space="preserve">2019).  In contrast, if </w:t>
            </w:r>
            <w:r>
              <w:rPr>
                <w:sz w:val="28"/>
                <w:szCs w:val="28"/>
              </w:rPr>
              <w:t>adults possess</w:t>
            </w:r>
            <w:r w:rsidRPr="00761703">
              <w:rPr>
                <w:sz w:val="28"/>
                <w:szCs w:val="28"/>
              </w:rPr>
              <w:t xml:space="preserve"> the capacity to make decisions, they have the right to make choices that may seem unwise, as many adu</w:t>
            </w:r>
            <w:r>
              <w:rPr>
                <w:sz w:val="28"/>
                <w:szCs w:val="28"/>
              </w:rPr>
              <w:t xml:space="preserve">lts are entitled to take risks. </w:t>
            </w:r>
            <w:r w:rsidRPr="00761703">
              <w:rPr>
                <w:sz w:val="28"/>
                <w:szCs w:val="28"/>
              </w:rPr>
              <w:t>Respecting the individual's wishes, feelings, and rights remains paramount (Community Care, 2017).</w:t>
            </w:r>
            <w:r>
              <w:rPr>
                <w:sz w:val="28"/>
                <w:szCs w:val="28"/>
              </w:rPr>
              <w:t xml:space="preserve"> I have gained a better understanding of legislation and procedures for safeguarding people, factors to consider, and challenges professionals face balancing the individual's rights to privacy, self-care and the</w:t>
            </w:r>
            <w:r w:rsidRPr="002E21AE">
              <w:rPr>
                <w:sz w:val="28"/>
                <w:szCs w:val="28"/>
              </w:rPr>
              <w:t xml:space="preserve"> duty to int</w:t>
            </w:r>
            <w:r>
              <w:rPr>
                <w:sz w:val="28"/>
                <w:szCs w:val="28"/>
              </w:rPr>
              <w:t xml:space="preserve">ervene in cases of self-neglect hoarding. </w:t>
            </w:r>
          </w:p>
          <w:p w14:paraId="72B0E26E" w14:textId="1BEBC44D" w:rsidR="00356534" w:rsidRDefault="00356534" w:rsidP="00FF7EBB">
            <w:pPr>
              <w:jc w:val="both"/>
              <w:rPr>
                <w:i/>
                <w:sz w:val="28"/>
                <w:szCs w:val="28"/>
              </w:rPr>
            </w:pPr>
          </w:p>
          <w:p w14:paraId="3ED67FE9" w14:textId="4A162995" w:rsidR="00356534" w:rsidRPr="00356534" w:rsidRDefault="00356534" w:rsidP="00FF7EBB">
            <w:pPr>
              <w:jc w:val="both"/>
              <w:rPr>
                <w:b/>
                <w:sz w:val="28"/>
                <w:szCs w:val="28"/>
              </w:rPr>
            </w:pPr>
          </w:p>
          <w:p w14:paraId="4F461630" w14:textId="39B96392" w:rsidR="00356534" w:rsidRPr="00356534" w:rsidRDefault="00D713E0" w:rsidP="00FF7EBB">
            <w:pPr>
              <w:jc w:val="both"/>
              <w:rPr>
                <w:b/>
                <w:sz w:val="28"/>
                <w:szCs w:val="28"/>
              </w:rPr>
            </w:pPr>
            <w:r>
              <w:rPr>
                <w:b/>
                <w:sz w:val="28"/>
                <w:szCs w:val="28"/>
              </w:rPr>
              <w:t>Word counts: 4394</w:t>
            </w:r>
          </w:p>
          <w:p w14:paraId="43CA65F6" w14:textId="46B65686" w:rsidR="00D3203C" w:rsidRPr="000D04DC" w:rsidRDefault="00D3203C" w:rsidP="00FF7EBB">
            <w:pPr>
              <w:jc w:val="both"/>
              <w:rPr>
                <w:i/>
                <w:sz w:val="28"/>
                <w:szCs w:val="28"/>
              </w:rPr>
            </w:pPr>
          </w:p>
          <w:p w14:paraId="5C222972" w14:textId="259CE14B" w:rsidR="00D3203C" w:rsidRPr="000D04DC" w:rsidRDefault="00D3203C" w:rsidP="00FF7EBB">
            <w:pPr>
              <w:jc w:val="both"/>
              <w:rPr>
                <w:i/>
                <w:sz w:val="28"/>
                <w:szCs w:val="28"/>
              </w:rPr>
            </w:pPr>
          </w:p>
          <w:p w14:paraId="0E7BBCC9" w14:textId="77777777" w:rsidR="00D3203C" w:rsidRPr="000D04DC" w:rsidRDefault="00D3203C" w:rsidP="00FF7EBB">
            <w:pPr>
              <w:jc w:val="both"/>
              <w:rPr>
                <w:i/>
                <w:sz w:val="28"/>
                <w:szCs w:val="28"/>
              </w:rPr>
            </w:pPr>
          </w:p>
          <w:p w14:paraId="47F21B6A" w14:textId="007FFCCE" w:rsidR="007A628F" w:rsidRPr="000D04DC" w:rsidRDefault="007A628F" w:rsidP="00FF7EBB">
            <w:pPr>
              <w:jc w:val="both"/>
              <w:rPr>
                <w:sz w:val="28"/>
                <w:szCs w:val="28"/>
              </w:rPr>
            </w:pPr>
          </w:p>
        </w:tc>
      </w:tr>
    </w:tbl>
    <w:p w14:paraId="1B4186EF" w14:textId="77777777" w:rsidR="00D3442D" w:rsidRPr="000D04DC" w:rsidRDefault="00D3442D" w:rsidP="00D3442D">
      <w:pPr>
        <w:jc w:val="both"/>
        <w:rPr>
          <w:sz w:val="40"/>
          <w:szCs w:val="40"/>
        </w:rPr>
      </w:pPr>
    </w:p>
    <w:p w14:paraId="3BE23FA3" w14:textId="77777777" w:rsidR="00DD31C5" w:rsidRPr="000D04DC" w:rsidRDefault="00DD31C5" w:rsidP="00064063">
      <w:pPr>
        <w:ind w:firstLine="720"/>
        <w:jc w:val="both"/>
        <w:rPr>
          <w:b/>
          <w:sz w:val="40"/>
          <w:szCs w:val="40"/>
        </w:rPr>
      </w:pPr>
    </w:p>
    <w:p w14:paraId="71B02E9F" w14:textId="77777777" w:rsidR="00DD31C5" w:rsidRPr="000D04DC" w:rsidRDefault="00DD31C5" w:rsidP="00064063">
      <w:pPr>
        <w:ind w:firstLine="720"/>
        <w:jc w:val="both"/>
        <w:rPr>
          <w:b/>
          <w:sz w:val="40"/>
          <w:szCs w:val="40"/>
        </w:rPr>
      </w:pPr>
    </w:p>
    <w:p w14:paraId="7F4433FA" w14:textId="247A8309" w:rsidR="00CC135E" w:rsidRPr="000D04DC" w:rsidRDefault="00CC135E" w:rsidP="003B29BC">
      <w:pPr>
        <w:rPr>
          <w:color w:val="auto"/>
          <w:sz w:val="40"/>
          <w:szCs w:val="40"/>
        </w:rPr>
      </w:pPr>
    </w:p>
    <w:sectPr w:rsidR="00CC135E" w:rsidRPr="000D04D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1E875E" w14:textId="77777777" w:rsidR="00CE0B5E" w:rsidRDefault="00CE0B5E">
      <w:r>
        <w:separator/>
      </w:r>
    </w:p>
  </w:endnote>
  <w:endnote w:type="continuationSeparator" w:id="0">
    <w:p w14:paraId="48DF3BAE" w14:textId="77777777" w:rsidR="00CE0B5E" w:rsidRDefault="00CE0B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37B32D1" w:rsidR="00A5656A" w:rsidRDefault="00A5656A">
    <w:pPr>
      <w:pStyle w:val="Footer"/>
      <w:jc w:val="right"/>
    </w:pPr>
    <w:r>
      <w:fldChar w:fldCharType="begin"/>
    </w:r>
    <w:r>
      <w:instrText xml:space="preserve"> PAGE   \* MERGEFORMAT </w:instrText>
    </w:r>
    <w:r>
      <w:fldChar w:fldCharType="separate"/>
    </w:r>
    <w:r w:rsidR="00F47D77">
      <w:rPr>
        <w:noProof/>
      </w:rPr>
      <w:t>22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CA71C8" w14:textId="77777777" w:rsidR="00CE0B5E" w:rsidRDefault="00CE0B5E">
      <w:r>
        <w:separator/>
      </w:r>
    </w:p>
  </w:footnote>
  <w:footnote w:type="continuationSeparator" w:id="0">
    <w:p w14:paraId="3092F8CD" w14:textId="77777777" w:rsidR="00CE0B5E" w:rsidRDefault="00CE0B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5E37"/>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5E7F"/>
    <w:rsid w:val="000C6145"/>
    <w:rsid w:val="000C6892"/>
    <w:rsid w:val="000C6FFE"/>
    <w:rsid w:val="000D04DC"/>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238"/>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6534"/>
    <w:rsid w:val="00365DF9"/>
    <w:rsid w:val="0037066E"/>
    <w:rsid w:val="00372DB4"/>
    <w:rsid w:val="00373A36"/>
    <w:rsid w:val="0037419E"/>
    <w:rsid w:val="00375AF5"/>
    <w:rsid w:val="00375EF7"/>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4E0D"/>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3968"/>
    <w:rsid w:val="00557D77"/>
    <w:rsid w:val="00562EAA"/>
    <w:rsid w:val="00563B58"/>
    <w:rsid w:val="005640C4"/>
    <w:rsid w:val="0056684C"/>
    <w:rsid w:val="00574A0C"/>
    <w:rsid w:val="0057780F"/>
    <w:rsid w:val="00581E0A"/>
    <w:rsid w:val="00586D89"/>
    <w:rsid w:val="005877C8"/>
    <w:rsid w:val="00587923"/>
    <w:rsid w:val="00594F9F"/>
    <w:rsid w:val="005A18CC"/>
    <w:rsid w:val="005A1B4C"/>
    <w:rsid w:val="005A545C"/>
    <w:rsid w:val="005B271A"/>
    <w:rsid w:val="005B3A2D"/>
    <w:rsid w:val="005C1567"/>
    <w:rsid w:val="005C28D3"/>
    <w:rsid w:val="005C6CE5"/>
    <w:rsid w:val="005D3F07"/>
    <w:rsid w:val="005D4A1E"/>
    <w:rsid w:val="005D4F72"/>
    <w:rsid w:val="005E0749"/>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460C"/>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4644"/>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50C4"/>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3372"/>
    <w:rsid w:val="00C161FD"/>
    <w:rsid w:val="00C17C9F"/>
    <w:rsid w:val="00C23F17"/>
    <w:rsid w:val="00C246F2"/>
    <w:rsid w:val="00C26D0D"/>
    <w:rsid w:val="00C27C95"/>
    <w:rsid w:val="00C300D2"/>
    <w:rsid w:val="00C31C54"/>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0B5E"/>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13E0"/>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5EFB"/>
    <w:rsid w:val="00E15751"/>
    <w:rsid w:val="00E17160"/>
    <w:rsid w:val="00E17D41"/>
    <w:rsid w:val="00E231D1"/>
    <w:rsid w:val="00E3288D"/>
    <w:rsid w:val="00E35112"/>
    <w:rsid w:val="00E35BEC"/>
    <w:rsid w:val="00E41A6A"/>
    <w:rsid w:val="00E47BD0"/>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47D77"/>
    <w:rsid w:val="00F50847"/>
    <w:rsid w:val="00F53F27"/>
    <w:rsid w:val="00F546D1"/>
    <w:rsid w:val="00F60281"/>
    <w:rsid w:val="00F66272"/>
    <w:rsid w:val="00F709C0"/>
    <w:rsid w:val="00F81FEC"/>
    <w:rsid w:val="00F927A1"/>
    <w:rsid w:val="00F92E4D"/>
    <w:rsid w:val="00F95D08"/>
    <w:rsid w:val="00F9618C"/>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377FC5F-E623-4C83-9DB5-895A68BE5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23</Pages>
  <Words>4603</Words>
  <Characters>26261</Characters>
  <Application>Microsoft Office Word</Application>
  <DocSecurity>0</DocSecurity>
  <Lines>480</Lines>
  <Paragraphs>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Lizzy Lloyd</cp:lastModifiedBy>
  <cp:revision>15</cp:revision>
  <cp:lastPrinted>2020-02-11T19:20:00Z</cp:lastPrinted>
  <dcterms:created xsi:type="dcterms:W3CDTF">2024-09-19T12:49:00Z</dcterms:created>
  <dcterms:modified xsi:type="dcterms:W3CDTF">2025-02-18T15:11:00Z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935f77e9c024d0ae3f00ff028a4541b0e9d03c435e2248605c14a0f9b939c630</vt:lpwstr>
  </property>
</Properties>
</file>