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B5E2E6" w14:textId="53476FEC" w:rsidR="004C760B" w:rsidRDefault="004C760B" w:rsidP="004C760B">
      <w:pPr>
        <w:jc w:val="center"/>
        <w:rPr>
          <w:rFonts w:ascii="Arial" w:hAnsi="Arial" w:cs="Arial"/>
          <w:color w:val="000000" w:themeColor="text1"/>
          <w:sz w:val="24"/>
          <w:szCs w:val="24"/>
        </w:rPr>
      </w:pPr>
      <w:r>
        <w:rPr>
          <w:noProof/>
        </w:rPr>
        <w:drawing>
          <wp:inline distT="0" distB="0" distL="0" distR="0" wp14:anchorId="52AE529F" wp14:editId="77089191">
            <wp:extent cx="4972050" cy="1209675"/>
            <wp:effectExtent l="0" t="0" r="0" b="0"/>
            <wp:docPr id="555234785" name="Picture 1"/>
            <wp:cNvGraphicFramePr/>
            <a:graphic xmlns:a="http://schemas.openxmlformats.org/drawingml/2006/main">
              <a:graphicData uri="http://schemas.openxmlformats.org/drawingml/2006/picture">
                <pic:pic xmlns:pic="http://schemas.openxmlformats.org/drawingml/2006/picture">
                  <pic:nvPicPr>
                    <pic:cNvPr id="555234785" name="Picture 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972050" cy="1209675"/>
                    </a:xfrm>
                    <a:prstGeom prst="rect">
                      <a:avLst/>
                    </a:prstGeom>
                    <a:noFill/>
                    <a:ln>
                      <a:noFill/>
                    </a:ln>
                  </pic:spPr>
                </pic:pic>
              </a:graphicData>
            </a:graphic>
          </wp:inline>
        </w:drawing>
      </w:r>
    </w:p>
    <w:p w14:paraId="769D97FC" w14:textId="6AA0FA74" w:rsidR="004C760B" w:rsidRDefault="004C760B" w:rsidP="004C760B">
      <w:pPr>
        <w:jc w:val="center"/>
        <w:rPr>
          <w:rFonts w:ascii="Arial" w:hAnsi="Arial" w:cs="Arial"/>
          <w:color w:val="000000" w:themeColor="text1"/>
          <w:sz w:val="24"/>
          <w:szCs w:val="24"/>
        </w:rPr>
      </w:pPr>
    </w:p>
    <w:p w14:paraId="3CB5298E" w14:textId="77777777" w:rsidR="004C760B" w:rsidRDefault="004C760B" w:rsidP="004C760B">
      <w:pPr>
        <w:jc w:val="center"/>
        <w:rPr>
          <w:rFonts w:ascii="Arial" w:hAnsi="Arial" w:cs="Arial"/>
          <w:color w:val="000000" w:themeColor="text1"/>
          <w:sz w:val="24"/>
          <w:szCs w:val="24"/>
        </w:rPr>
      </w:pPr>
    </w:p>
    <w:p w14:paraId="4D8C10DD" w14:textId="77777777" w:rsidR="004C760B" w:rsidRPr="004C760B" w:rsidRDefault="004C760B" w:rsidP="004C760B">
      <w:pPr>
        <w:jc w:val="center"/>
        <w:rPr>
          <w:sz w:val="40"/>
          <w:szCs w:val="40"/>
        </w:rPr>
      </w:pPr>
      <w:r w:rsidRPr="004C760B">
        <w:rPr>
          <w:sz w:val="40"/>
          <w:szCs w:val="40"/>
        </w:rPr>
        <w:t>Master of Business Administration</w:t>
      </w:r>
    </w:p>
    <w:p w14:paraId="073DD23C" w14:textId="1A6693DA" w:rsidR="004C760B" w:rsidRDefault="004C760B" w:rsidP="004C760B">
      <w:pPr>
        <w:jc w:val="center"/>
        <w:rPr>
          <w:sz w:val="36"/>
          <w:szCs w:val="36"/>
        </w:rPr>
      </w:pPr>
      <w:r w:rsidRPr="004C760B">
        <w:rPr>
          <w:sz w:val="36"/>
          <w:szCs w:val="36"/>
        </w:rPr>
        <w:t xml:space="preserve">International Business </w:t>
      </w:r>
    </w:p>
    <w:p w14:paraId="510E461E" w14:textId="2226EBDA" w:rsidR="004C760B" w:rsidRDefault="004C760B" w:rsidP="004C760B">
      <w:pPr>
        <w:rPr>
          <w:sz w:val="36"/>
          <w:szCs w:val="36"/>
        </w:rPr>
      </w:pPr>
    </w:p>
    <w:p w14:paraId="4A32C9F6" w14:textId="77777777" w:rsidR="004C760B" w:rsidRDefault="004C760B" w:rsidP="004C760B">
      <w:pPr>
        <w:rPr>
          <w:sz w:val="28"/>
          <w:szCs w:val="28"/>
        </w:rPr>
      </w:pPr>
    </w:p>
    <w:p w14:paraId="7F31D1CC" w14:textId="77777777" w:rsidR="004C760B" w:rsidRDefault="004C760B" w:rsidP="004C760B">
      <w:pPr>
        <w:jc w:val="center"/>
        <w:rPr>
          <w:sz w:val="28"/>
          <w:szCs w:val="28"/>
        </w:rPr>
      </w:pPr>
    </w:p>
    <w:p w14:paraId="142F557B" w14:textId="555CF587" w:rsidR="004C760B" w:rsidRDefault="004C760B" w:rsidP="004C760B">
      <w:pPr>
        <w:jc w:val="center"/>
        <w:rPr>
          <w:rFonts w:ascii="Arial" w:hAnsi="Arial" w:cs="Arial"/>
          <w:color w:val="000000" w:themeColor="text1"/>
          <w:sz w:val="24"/>
          <w:szCs w:val="24"/>
        </w:rPr>
      </w:pPr>
    </w:p>
    <w:p w14:paraId="0B29A4AC" w14:textId="76DA232B" w:rsidR="004C760B" w:rsidRDefault="004C760B" w:rsidP="004C760B">
      <w:pPr>
        <w:rPr>
          <w:b/>
          <w:bCs/>
          <w:sz w:val="28"/>
          <w:szCs w:val="28"/>
        </w:rPr>
      </w:pPr>
      <w:r>
        <w:rPr>
          <w:b/>
          <w:bCs/>
          <w:sz w:val="28"/>
          <w:szCs w:val="28"/>
        </w:rPr>
        <w:t xml:space="preserve">Module name: </w:t>
      </w:r>
      <w:r w:rsidRPr="0030726C">
        <w:rPr>
          <w:sz w:val="32"/>
          <w:szCs w:val="32"/>
        </w:rPr>
        <w:t>Financial</w:t>
      </w:r>
      <w:r w:rsidRPr="0030726C">
        <w:rPr>
          <w:b/>
          <w:bCs/>
          <w:sz w:val="32"/>
          <w:szCs w:val="32"/>
        </w:rPr>
        <w:t xml:space="preserve"> </w:t>
      </w:r>
      <w:r w:rsidRPr="0030726C">
        <w:rPr>
          <w:sz w:val="32"/>
          <w:szCs w:val="32"/>
        </w:rPr>
        <w:t>Management</w:t>
      </w:r>
    </w:p>
    <w:p w14:paraId="758659E6" w14:textId="77777777" w:rsidR="004C760B" w:rsidRDefault="004C760B" w:rsidP="004C760B">
      <w:pPr>
        <w:rPr>
          <w:b/>
          <w:bCs/>
          <w:sz w:val="28"/>
          <w:szCs w:val="28"/>
        </w:rPr>
      </w:pPr>
    </w:p>
    <w:p w14:paraId="22883202" w14:textId="77777777" w:rsidR="004C760B" w:rsidRDefault="004C760B" w:rsidP="004C760B">
      <w:pPr>
        <w:rPr>
          <w:sz w:val="28"/>
          <w:szCs w:val="28"/>
        </w:rPr>
      </w:pPr>
    </w:p>
    <w:p w14:paraId="54E33BD8" w14:textId="2AA13327" w:rsidR="004C760B" w:rsidRDefault="004C760B" w:rsidP="004C760B">
      <w:pPr>
        <w:rPr>
          <w:sz w:val="28"/>
          <w:szCs w:val="28"/>
        </w:rPr>
      </w:pPr>
      <w:r>
        <w:rPr>
          <w:b/>
          <w:bCs/>
          <w:sz w:val="28"/>
          <w:szCs w:val="28"/>
        </w:rPr>
        <w:t>Module code</w:t>
      </w:r>
      <w:r>
        <w:rPr>
          <w:sz w:val="28"/>
          <w:szCs w:val="28"/>
        </w:rPr>
        <w:t>:</w:t>
      </w:r>
      <w:r w:rsidRPr="004C760B">
        <w:t xml:space="preserve"> </w:t>
      </w:r>
      <w:r w:rsidRPr="0030726C">
        <w:rPr>
          <w:sz w:val="28"/>
          <w:szCs w:val="28"/>
        </w:rPr>
        <w:t>LCMB7002</w:t>
      </w:r>
    </w:p>
    <w:p w14:paraId="60942AA4" w14:textId="2DFF9938" w:rsidR="004C760B" w:rsidRDefault="004C760B" w:rsidP="004C760B">
      <w:pPr>
        <w:rPr>
          <w:sz w:val="28"/>
          <w:szCs w:val="28"/>
        </w:rPr>
      </w:pPr>
      <w:r>
        <w:rPr>
          <w:b/>
          <w:bCs/>
          <w:sz w:val="28"/>
          <w:szCs w:val="28"/>
        </w:rPr>
        <w:t>Lecturer name</w:t>
      </w:r>
      <w:r>
        <w:rPr>
          <w:sz w:val="28"/>
          <w:szCs w:val="28"/>
        </w:rPr>
        <w:t>:</w:t>
      </w:r>
      <w:r w:rsidRPr="004C760B">
        <w:t xml:space="preserve"> </w:t>
      </w:r>
      <w:proofErr w:type="spellStart"/>
      <w:r w:rsidRPr="0030726C">
        <w:rPr>
          <w:sz w:val="32"/>
          <w:szCs w:val="32"/>
        </w:rPr>
        <w:t>Shengfeng</w:t>
      </w:r>
      <w:proofErr w:type="spellEnd"/>
      <w:r w:rsidRPr="004C760B">
        <w:rPr>
          <w:b/>
          <w:bCs/>
          <w:sz w:val="32"/>
          <w:szCs w:val="32"/>
        </w:rPr>
        <w:t xml:space="preserve"> </w:t>
      </w:r>
      <w:r w:rsidRPr="0030726C">
        <w:rPr>
          <w:sz w:val="32"/>
          <w:szCs w:val="32"/>
        </w:rPr>
        <w:t>Mei</w:t>
      </w:r>
    </w:p>
    <w:p w14:paraId="0F2EC247" w14:textId="3E33B42E" w:rsidR="004C760B" w:rsidRDefault="004C760B" w:rsidP="004C760B">
      <w:pPr>
        <w:rPr>
          <w:sz w:val="28"/>
          <w:szCs w:val="28"/>
        </w:rPr>
      </w:pPr>
      <w:r>
        <w:rPr>
          <w:sz w:val="28"/>
          <w:szCs w:val="28"/>
        </w:rPr>
        <w:t xml:space="preserve"> </w:t>
      </w:r>
    </w:p>
    <w:p w14:paraId="0FDFE919" w14:textId="77777777" w:rsidR="004C760B" w:rsidRDefault="004C760B" w:rsidP="004C760B">
      <w:pPr>
        <w:rPr>
          <w:sz w:val="28"/>
          <w:szCs w:val="28"/>
        </w:rPr>
      </w:pPr>
    </w:p>
    <w:p w14:paraId="1BFE2C9D" w14:textId="43844F1C" w:rsidR="004C760B" w:rsidRDefault="004C760B" w:rsidP="004C760B">
      <w:pPr>
        <w:rPr>
          <w:sz w:val="28"/>
          <w:szCs w:val="28"/>
        </w:rPr>
      </w:pPr>
      <w:r>
        <w:rPr>
          <w:b/>
          <w:bCs/>
          <w:sz w:val="28"/>
          <w:szCs w:val="28"/>
        </w:rPr>
        <w:t>Student name</w:t>
      </w:r>
      <w:r>
        <w:rPr>
          <w:sz w:val="28"/>
          <w:szCs w:val="28"/>
        </w:rPr>
        <w:t>: Kartikkumar Dharmendrabhai Raval</w:t>
      </w:r>
    </w:p>
    <w:p w14:paraId="01025649" w14:textId="01DE5EC1" w:rsidR="004C760B" w:rsidRDefault="004C760B" w:rsidP="004C760B">
      <w:pPr>
        <w:rPr>
          <w:sz w:val="28"/>
          <w:szCs w:val="28"/>
        </w:rPr>
      </w:pPr>
      <w:r>
        <w:rPr>
          <w:b/>
          <w:bCs/>
          <w:sz w:val="28"/>
          <w:szCs w:val="28"/>
        </w:rPr>
        <w:t>Student ID</w:t>
      </w:r>
      <w:r>
        <w:rPr>
          <w:sz w:val="28"/>
          <w:szCs w:val="28"/>
        </w:rPr>
        <w:t>: 2537202</w:t>
      </w:r>
    </w:p>
    <w:p w14:paraId="51B4DA6D" w14:textId="2F34BEEE" w:rsidR="004C760B" w:rsidRDefault="004C760B" w:rsidP="004C760B">
      <w:pPr>
        <w:rPr>
          <w:sz w:val="28"/>
          <w:szCs w:val="28"/>
        </w:rPr>
      </w:pPr>
    </w:p>
    <w:p w14:paraId="158D72C7" w14:textId="77777777" w:rsidR="004C760B" w:rsidRDefault="004C760B" w:rsidP="004C760B">
      <w:pPr>
        <w:rPr>
          <w:sz w:val="28"/>
          <w:szCs w:val="28"/>
        </w:rPr>
      </w:pPr>
    </w:p>
    <w:p w14:paraId="222C7260" w14:textId="05DECF52" w:rsidR="004C760B" w:rsidRDefault="004C760B" w:rsidP="004C760B">
      <w:pPr>
        <w:rPr>
          <w:sz w:val="28"/>
          <w:szCs w:val="28"/>
        </w:rPr>
      </w:pPr>
      <w:r>
        <w:rPr>
          <w:b/>
          <w:bCs/>
          <w:sz w:val="28"/>
          <w:szCs w:val="28"/>
        </w:rPr>
        <w:t>Word count</w:t>
      </w:r>
      <w:r>
        <w:rPr>
          <w:sz w:val="28"/>
          <w:szCs w:val="28"/>
        </w:rPr>
        <w:t>:5000(</w:t>
      </w:r>
      <m:oMath>
        <m:r>
          <w:rPr>
            <w:rFonts w:ascii="Cambria Math" w:hAnsi="Cambria Math"/>
            <w:sz w:val="28"/>
            <w:szCs w:val="28"/>
          </w:rPr>
          <m:t>±10%</m:t>
        </m:r>
      </m:oMath>
      <w:r>
        <w:rPr>
          <w:sz w:val="28"/>
          <w:szCs w:val="28"/>
        </w:rPr>
        <w:t>)</w:t>
      </w:r>
    </w:p>
    <w:p w14:paraId="1E2C8599" w14:textId="5B1D39E3" w:rsidR="004C760B" w:rsidRDefault="004C760B" w:rsidP="004C760B">
      <w:pPr>
        <w:rPr>
          <w:sz w:val="28"/>
          <w:szCs w:val="28"/>
        </w:rPr>
      </w:pPr>
      <w:r>
        <w:rPr>
          <w:b/>
          <w:bCs/>
          <w:sz w:val="28"/>
          <w:szCs w:val="28"/>
        </w:rPr>
        <w:t>Submission date</w:t>
      </w:r>
      <w:r>
        <w:rPr>
          <w:sz w:val="28"/>
          <w:szCs w:val="28"/>
        </w:rPr>
        <w:t xml:space="preserve">: </w:t>
      </w:r>
      <w:r w:rsidRPr="004C760B">
        <w:rPr>
          <w:sz w:val="28"/>
          <w:szCs w:val="28"/>
        </w:rPr>
        <w:t>Thursday 13th August 2026 by 2pm</w:t>
      </w:r>
    </w:p>
    <w:p w14:paraId="6A442850" w14:textId="77777777" w:rsidR="004C760B" w:rsidRDefault="004C760B" w:rsidP="004C760B">
      <w:pPr>
        <w:jc w:val="center"/>
        <w:rPr>
          <w:rFonts w:ascii="Arial" w:hAnsi="Arial" w:cs="Arial"/>
          <w:color w:val="000000" w:themeColor="text1"/>
          <w:sz w:val="24"/>
          <w:szCs w:val="24"/>
        </w:rPr>
      </w:pPr>
    </w:p>
    <w:p w14:paraId="49285B46" w14:textId="77777777" w:rsidR="004C760B" w:rsidRDefault="004C760B" w:rsidP="004C760B">
      <w:pPr>
        <w:jc w:val="center"/>
        <w:rPr>
          <w:rFonts w:ascii="Arial" w:hAnsi="Arial" w:cs="Arial"/>
          <w:color w:val="000000" w:themeColor="text1"/>
          <w:sz w:val="24"/>
          <w:szCs w:val="24"/>
        </w:rPr>
      </w:pPr>
    </w:p>
    <w:p w14:paraId="0C821DE9" w14:textId="77777777" w:rsidR="004C760B" w:rsidRDefault="004C760B" w:rsidP="004C760B">
      <w:pPr>
        <w:jc w:val="center"/>
        <w:rPr>
          <w:rFonts w:ascii="Arial" w:hAnsi="Arial" w:cs="Arial"/>
          <w:color w:val="000000" w:themeColor="text1"/>
          <w:sz w:val="24"/>
          <w:szCs w:val="24"/>
        </w:rPr>
      </w:pPr>
    </w:p>
    <w:p w14:paraId="137A49E2" w14:textId="77777777" w:rsidR="004C760B" w:rsidRDefault="004C760B" w:rsidP="004C760B">
      <w:pPr>
        <w:jc w:val="center"/>
        <w:rPr>
          <w:rFonts w:ascii="Arial" w:hAnsi="Arial" w:cs="Arial"/>
          <w:color w:val="000000" w:themeColor="text1"/>
          <w:sz w:val="24"/>
          <w:szCs w:val="24"/>
        </w:rPr>
      </w:pPr>
    </w:p>
    <w:p w14:paraId="6E877CEB" w14:textId="77777777" w:rsidR="004C760B" w:rsidRDefault="004C760B" w:rsidP="004C760B">
      <w:pPr>
        <w:jc w:val="center"/>
        <w:rPr>
          <w:rFonts w:ascii="Arial" w:hAnsi="Arial" w:cs="Arial"/>
          <w:color w:val="000000" w:themeColor="text1"/>
          <w:sz w:val="24"/>
          <w:szCs w:val="24"/>
        </w:rPr>
      </w:pPr>
    </w:p>
    <w:p w14:paraId="74338D60" w14:textId="77777777" w:rsidR="004C760B" w:rsidRDefault="004C760B" w:rsidP="004C760B">
      <w:pPr>
        <w:jc w:val="center"/>
        <w:rPr>
          <w:rFonts w:ascii="Arial" w:hAnsi="Arial" w:cs="Arial"/>
          <w:color w:val="000000" w:themeColor="text1"/>
          <w:sz w:val="24"/>
          <w:szCs w:val="24"/>
        </w:rPr>
      </w:pPr>
    </w:p>
    <w:p w14:paraId="001A018A" w14:textId="77777777" w:rsidR="004C760B" w:rsidRDefault="004C760B" w:rsidP="004C760B">
      <w:pPr>
        <w:jc w:val="center"/>
        <w:rPr>
          <w:rFonts w:ascii="Arial" w:hAnsi="Arial" w:cs="Arial"/>
          <w:color w:val="000000" w:themeColor="text1"/>
          <w:sz w:val="24"/>
          <w:szCs w:val="24"/>
        </w:rPr>
      </w:pPr>
    </w:p>
    <w:p w14:paraId="73111E7A" w14:textId="77777777" w:rsidR="004C760B" w:rsidRDefault="004C760B" w:rsidP="004C760B">
      <w:pPr>
        <w:jc w:val="center"/>
        <w:rPr>
          <w:rFonts w:ascii="Arial" w:hAnsi="Arial" w:cs="Arial"/>
          <w:color w:val="000000" w:themeColor="text1"/>
          <w:sz w:val="24"/>
          <w:szCs w:val="24"/>
        </w:rPr>
      </w:pPr>
    </w:p>
    <w:p w14:paraId="7711E5F6" w14:textId="77777777" w:rsidR="004C760B" w:rsidRDefault="004C760B" w:rsidP="004C760B">
      <w:pPr>
        <w:jc w:val="center"/>
        <w:rPr>
          <w:rFonts w:ascii="Arial" w:hAnsi="Arial" w:cs="Arial"/>
          <w:color w:val="000000" w:themeColor="text1"/>
          <w:sz w:val="24"/>
          <w:szCs w:val="24"/>
        </w:rPr>
      </w:pPr>
    </w:p>
    <w:p w14:paraId="72737A0A" w14:textId="77777777" w:rsidR="004C760B" w:rsidRDefault="004C760B" w:rsidP="004C760B">
      <w:pPr>
        <w:jc w:val="center"/>
        <w:rPr>
          <w:rFonts w:ascii="Arial" w:hAnsi="Arial" w:cs="Arial"/>
          <w:color w:val="000000" w:themeColor="text1"/>
          <w:sz w:val="24"/>
          <w:szCs w:val="24"/>
        </w:rPr>
      </w:pPr>
    </w:p>
    <w:p w14:paraId="3997B575" w14:textId="77777777" w:rsidR="004C760B" w:rsidRDefault="004C760B" w:rsidP="004C760B">
      <w:pPr>
        <w:jc w:val="center"/>
        <w:rPr>
          <w:rFonts w:ascii="Arial" w:hAnsi="Arial" w:cs="Arial"/>
          <w:color w:val="000000" w:themeColor="text1"/>
          <w:sz w:val="24"/>
          <w:szCs w:val="24"/>
        </w:rPr>
      </w:pPr>
    </w:p>
    <w:p w14:paraId="3C734CDF" w14:textId="77777777" w:rsidR="004C760B" w:rsidRDefault="004C760B" w:rsidP="004C760B">
      <w:pPr>
        <w:jc w:val="center"/>
        <w:rPr>
          <w:rFonts w:ascii="Arial" w:hAnsi="Arial" w:cs="Arial"/>
          <w:color w:val="000000" w:themeColor="text1"/>
          <w:sz w:val="24"/>
          <w:szCs w:val="24"/>
        </w:rPr>
      </w:pPr>
    </w:p>
    <w:p w14:paraId="23F02EC6" w14:textId="77777777" w:rsidR="004C760B" w:rsidRDefault="004C760B" w:rsidP="004C760B">
      <w:pPr>
        <w:jc w:val="center"/>
        <w:rPr>
          <w:rFonts w:ascii="Arial" w:hAnsi="Arial" w:cs="Arial"/>
          <w:color w:val="000000" w:themeColor="text1"/>
          <w:sz w:val="24"/>
          <w:szCs w:val="24"/>
        </w:rPr>
      </w:pPr>
    </w:p>
    <w:p w14:paraId="20C015F6" w14:textId="77777777" w:rsidR="004C760B" w:rsidRDefault="004C760B" w:rsidP="004C760B">
      <w:pPr>
        <w:jc w:val="center"/>
        <w:rPr>
          <w:rFonts w:ascii="Arial" w:hAnsi="Arial" w:cs="Arial"/>
          <w:color w:val="000000" w:themeColor="text1"/>
          <w:sz w:val="24"/>
          <w:szCs w:val="24"/>
        </w:rPr>
      </w:pPr>
    </w:p>
    <w:p w14:paraId="0C7AB3A1" w14:textId="77777777" w:rsidR="004C760B" w:rsidRDefault="004C760B" w:rsidP="004C760B">
      <w:pPr>
        <w:jc w:val="center"/>
        <w:rPr>
          <w:rFonts w:ascii="Arial" w:hAnsi="Arial" w:cs="Arial"/>
          <w:color w:val="000000" w:themeColor="text1"/>
          <w:sz w:val="24"/>
          <w:szCs w:val="24"/>
        </w:rPr>
      </w:pPr>
    </w:p>
    <w:p w14:paraId="67C8E8A3" w14:textId="77777777" w:rsidR="00711572" w:rsidRDefault="00711572" w:rsidP="00711572">
      <w:pPr>
        <w:rPr>
          <w:rFonts w:ascii="Arial" w:hAnsi="Arial" w:cs="Arial"/>
          <w:color w:val="000000" w:themeColor="text1"/>
          <w:sz w:val="24"/>
          <w:szCs w:val="24"/>
        </w:rPr>
      </w:pPr>
    </w:p>
    <w:p w14:paraId="35310E05" w14:textId="0DB7EDBE" w:rsidR="000C06A3" w:rsidRDefault="00B0039E" w:rsidP="00711572">
      <w:pPr>
        <w:jc w:val="center"/>
        <w:rPr>
          <w:rFonts w:ascii="Arial" w:hAnsi="Arial" w:cs="Arial"/>
          <w:b/>
          <w:bCs/>
          <w:color w:val="000000" w:themeColor="text1"/>
          <w:sz w:val="40"/>
          <w:szCs w:val="40"/>
        </w:rPr>
      </w:pPr>
      <w:r w:rsidRPr="00711572">
        <w:rPr>
          <w:rFonts w:ascii="Arial" w:hAnsi="Arial" w:cs="Arial"/>
          <w:b/>
          <w:bCs/>
          <w:color w:val="000000" w:themeColor="text1"/>
          <w:sz w:val="40"/>
          <w:szCs w:val="40"/>
        </w:rPr>
        <w:lastRenderedPageBreak/>
        <w:t>Contents</w:t>
      </w:r>
    </w:p>
    <w:p w14:paraId="64285BAD" w14:textId="77777777" w:rsidR="00711572" w:rsidRPr="00711572" w:rsidRDefault="00711572" w:rsidP="00711572">
      <w:pPr>
        <w:jc w:val="center"/>
        <w:rPr>
          <w:rFonts w:ascii="Arial" w:hAnsi="Arial" w:cs="Arial"/>
          <w:color w:val="000000" w:themeColor="text1"/>
          <w:sz w:val="40"/>
          <w:szCs w:val="40"/>
        </w:rPr>
      </w:pPr>
    </w:p>
    <w:p w14:paraId="35F398A7" w14:textId="72238A62" w:rsidR="000C06A3" w:rsidRPr="0030726C" w:rsidRDefault="00B0039E" w:rsidP="0030726C">
      <w:pPr>
        <w:pStyle w:val="ListParagraph"/>
        <w:numPr>
          <w:ilvl w:val="0"/>
          <w:numId w:val="2"/>
        </w:numPr>
        <w:spacing w:after="140"/>
        <w:rPr>
          <w:rFonts w:ascii="Arial" w:hAnsi="Arial" w:cs="Arial"/>
          <w:color w:val="000000" w:themeColor="text1"/>
          <w:sz w:val="24"/>
          <w:szCs w:val="24"/>
        </w:rPr>
      </w:pPr>
      <w:r w:rsidRPr="0030726C">
        <w:rPr>
          <w:rFonts w:ascii="Arial" w:hAnsi="Arial" w:cs="Arial"/>
          <w:color w:val="000000" w:themeColor="text1"/>
          <w:sz w:val="24"/>
          <w:szCs w:val="24"/>
        </w:rPr>
        <w:t>Task 1: Financial Health Check</w:t>
      </w:r>
    </w:p>
    <w:p w14:paraId="5D341968" w14:textId="6F3DD1F9" w:rsidR="000C06A3" w:rsidRPr="0030726C" w:rsidRDefault="00B0039E" w:rsidP="0030726C">
      <w:pPr>
        <w:pStyle w:val="ListParagraph"/>
        <w:numPr>
          <w:ilvl w:val="0"/>
          <w:numId w:val="2"/>
        </w:numPr>
        <w:spacing w:after="140"/>
        <w:rPr>
          <w:rFonts w:ascii="Arial" w:hAnsi="Arial" w:cs="Arial"/>
          <w:color w:val="000000" w:themeColor="text1"/>
          <w:sz w:val="24"/>
          <w:szCs w:val="24"/>
        </w:rPr>
      </w:pPr>
      <w:r w:rsidRPr="0030726C">
        <w:rPr>
          <w:rFonts w:ascii="Arial" w:hAnsi="Arial" w:cs="Arial"/>
          <w:color w:val="000000" w:themeColor="text1"/>
          <w:sz w:val="24"/>
          <w:szCs w:val="24"/>
        </w:rPr>
        <w:t>Task 2: Working Capital Management Analysis</w:t>
      </w:r>
    </w:p>
    <w:p w14:paraId="32BF8359" w14:textId="665846B9" w:rsidR="000C06A3" w:rsidRPr="0030726C" w:rsidRDefault="00B0039E" w:rsidP="0030726C">
      <w:pPr>
        <w:pStyle w:val="ListParagraph"/>
        <w:numPr>
          <w:ilvl w:val="0"/>
          <w:numId w:val="2"/>
        </w:numPr>
        <w:spacing w:after="140"/>
        <w:rPr>
          <w:rFonts w:ascii="Arial" w:hAnsi="Arial" w:cs="Arial"/>
          <w:color w:val="000000" w:themeColor="text1"/>
          <w:sz w:val="24"/>
          <w:szCs w:val="24"/>
        </w:rPr>
      </w:pPr>
      <w:r w:rsidRPr="0030726C">
        <w:rPr>
          <w:rFonts w:ascii="Arial" w:hAnsi="Arial" w:cs="Arial"/>
          <w:color w:val="000000" w:themeColor="text1"/>
          <w:sz w:val="24"/>
          <w:szCs w:val="24"/>
        </w:rPr>
        <w:t>Task 3: Strategic Financial Restructuring Plan</w:t>
      </w:r>
    </w:p>
    <w:p w14:paraId="781EBBA1" w14:textId="01108585" w:rsidR="000C06A3" w:rsidRPr="0030726C" w:rsidRDefault="00B0039E" w:rsidP="0030726C">
      <w:pPr>
        <w:pStyle w:val="ListParagraph"/>
        <w:numPr>
          <w:ilvl w:val="0"/>
          <w:numId w:val="2"/>
        </w:numPr>
        <w:spacing w:after="140"/>
        <w:rPr>
          <w:rFonts w:ascii="Arial" w:hAnsi="Arial" w:cs="Arial"/>
          <w:color w:val="000000" w:themeColor="text1"/>
          <w:sz w:val="24"/>
          <w:szCs w:val="24"/>
        </w:rPr>
      </w:pPr>
      <w:r w:rsidRPr="0030726C">
        <w:rPr>
          <w:rFonts w:ascii="Arial" w:hAnsi="Arial" w:cs="Arial"/>
          <w:color w:val="000000" w:themeColor="text1"/>
          <w:sz w:val="24"/>
          <w:szCs w:val="24"/>
        </w:rPr>
        <w:t>Task 4: Investment Appraisal and Capital Budgeting</w:t>
      </w:r>
    </w:p>
    <w:p w14:paraId="4E110892" w14:textId="2CA633DB" w:rsidR="000C06A3" w:rsidRDefault="00B0039E" w:rsidP="0030726C">
      <w:pPr>
        <w:pStyle w:val="ListParagraph"/>
        <w:numPr>
          <w:ilvl w:val="0"/>
          <w:numId w:val="2"/>
        </w:numPr>
        <w:spacing w:after="140"/>
        <w:rPr>
          <w:rFonts w:ascii="Arial" w:hAnsi="Arial" w:cs="Arial"/>
          <w:color w:val="000000" w:themeColor="text1"/>
          <w:sz w:val="24"/>
          <w:szCs w:val="24"/>
        </w:rPr>
      </w:pPr>
      <w:r w:rsidRPr="0030726C">
        <w:rPr>
          <w:rFonts w:ascii="Arial" w:hAnsi="Arial" w:cs="Arial"/>
          <w:color w:val="000000" w:themeColor="text1"/>
          <w:sz w:val="24"/>
          <w:szCs w:val="24"/>
        </w:rPr>
        <w:t>Task 5: Critical Reflection on AI Usage</w:t>
      </w:r>
    </w:p>
    <w:p w14:paraId="7F20231C" w14:textId="144E4752" w:rsidR="00137441" w:rsidRPr="0030726C" w:rsidRDefault="00137441" w:rsidP="0030726C">
      <w:pPr>
        <w:pStyle w:val="ListParagraph"/>
        <w:numPr>
          <w:ilvl w:val="0"/>
          <w:numId w:val="2"/>
        </w:numPr>
        <w:spacing w:after="140"/>
        <w:rPr>
          <w:rFonts w:ascii="Arial" w:hAnsi="Arial" w:cs="Arial"/>
          <w:color w:val="000000" w:themeColor="text1"/>
          <w:sz w:val="24"/>
          <w:szCs w:val="24"/>
        </w:rPr>
      </w:pPr>
      <w:r>
        <w:rPr>
          <w:rFonts w:ascii="Arial" w:hAnsi="Arial" w:cs="Arial"/>
          <w:color w:val="000000" w:themeColor="text1"/>
          <w:sz w:val="24"/>
          <w:szCs w:val="24"/>
        </w:rPr>
        <w:t>Appendi</w:t>
      </w:r>
      <w:r w:rsidR="008D35C5">
        <w:rPr>
          <w:rFonts w:ascii="Arial" w:hAnsi="Arial" w:cs="Arial"/>
          <w:color w:val="000000" w:themeColor="text1"/>
          <w:sz w:val="24"/>
          <w:szCs w:val="24"/>
        </w:rPr>
        <w:t>x</w:t>
      </w:r>
    </w:p>
    <w:p w14:paraId="7E82B741" w14:textId="10F0776F" w:rsidR="000C06A3" w:rsidRPr="0030726C" w:rsidRDefault="00B0039E" w:rsidP="0030726C">
      <w:pPr>
        <w:pStyle w:val="ListParagraph"/>
        <w:numPr>
          <w:ilvl w:val="0"/>
          <w:numId w:val="2"/>
        </w:numPr>
        <w:spacing w:after="140"/>
        <w:rPr>
          <w:rFonts w:ascii="Arial" w:hAnsi="Arial" w:cs="Arial"/>
          <w:color w:val="000000" w:themeColor="text1"/>
          <w:sz w:val="24"/>
          <w:szCs w:val="24"/>
        </w:rPr>
      </w:pPr>
      <w:r w:rsidRPr="0030726C">
        <w:rPr>
          <w:rFonts w:ascii="Arial" w:hAnsi="Arial" w:cs="Arial"/>
          <w:color w:val="000000" w:themeColor="text1"/>
          <w:sz w:val="24"/>
          <w:szCs w:val="24"/>
        </w:rPr>
        <w:t>References</w:t>
      </w:r>
    </w:p>
    <w:p w14:paraId="32560EF2" w14:textId="59FF5331" w:rsidR="000C06A3" w:rsidRDefault="000C06A3" w:rsidP="00711572">
      <w:pPr>
        <w:rPr>
          <w:rFonts w:ascii="Arial" w:hAnsi="Arial" w:cs="Arial"/>
          <w:color w:val="000000" w:themeColor="text1"/>
          <w:sz w:val="24"/>
          <w:szCs w:val="24"/>
        </w:rPr>
      </w:pPr>
    </w:p>
    <w:p w14:paraId="3327714B" w14:textId="0B3212B5" w:rsidR="00711572" w:rsidRDefault="00711572" w:rsidP="00711572">
      <w:pPr>
        <w:rPr>
          <w:rFonts w:ascii="Arial" w:hAnsi="Arial" w:cs="Arial"/>
          <w:color w:val="000000" w:themeColor="text1"/>
          <w:sz w:val="24"/>
          <w:szCs w:val="24"/>
        </w:rPr>
      </w:pPr>
    </w:p>
    <w:p w14:paraId="1B044FAC" w14:textId="0F712984" w:rsidR="00711572" w:rsidRDefault="00711572" w:rsidP="00711572">
      <w:pPr>
        <w:rPr>
          <w:rFonts w:ascii="Arial" w:hAnsi="Arial" w:cs="Arial"/>
          <w:color w:val="000000" w:themeColor="text1"/>
          <w:sz w:val="24"/>
          <w:szCs w:val="24"/>
        </w:rPr>
      </w:pPr>
    </w:p>
    <w:p w14:paraId="035270FE" w14:textId="0CC5710E" w:rsidR="00711572" w:rsidRDefault="00711572" w:rsidP="00711572">
      <w:pPr>
        <w:rPr>
          <w:rFonts w:ascii="Arial" w:hAnsi="Arial" w:cs="Arial"/>
          <w:color w:val="000000" w:themeColor="text1"/>
          <w:sz w:val="24"/>
          <w:szCs w:val="24"/>
        </w:rPr>
      </w:pPr>
    </w:p>
    <w:p w14:paraId="0D8EE315" w14:textId="3DAA618E" w:rsidR="00711572" w:rsidRDefault="00711572" w:rsidP="00711572">
      <w:pPr>
        <w:rPr>
          <w:rFonts w:ascii="Arial" w:hAnsi="Arial" w:cs="Arial"/>
          <w:color w:val="000000" w:themeColor="text1"/>
          <w:sz w:val="24"/>
          <w:szCs w:val="24"/>
        </w:rPr>
      </w:pPr>
    </w:p>
    <w:p w14:paraId="4C6D535F" w14:textId="1924504F" w:rsidR="00711572" w:rsidRDefault="00711572" w:rsidP="00711572">
      <w:pPr>
        <w:rPr>
          <w:rFonts w:ascii="Arial" w:hAnsi="Arial" w:cs="Arial"/>
          <w:color w:val="000000" w:themeColor="text1"/>
          <w:sz w:val="24"/>
          <w:szCs w:val="24"/>
        </w:rPr>
      </w:pPr>
    </w:p>
    <w:p w14:paraId="2129B6A6" w14:textId="5850D0E0" w:rsidR="00711572" w:rsidRDefault="00711572" w:rsidP="00711572">
      <w:pPr>
        <w:rPr>
          <w:rFonts w:ascii="Arial" w:hAnsi="Arial" w:cs="Arial"/>
          <w:color w:val="000000" w:themeColor="text1"/>
          <w:sz w:val="24"/>
          <w:szCs w:val="24"/>
        </w:rPr>
      </w:pPr>
    </w:p>
    <w:p w14:paraId="2F6A01A9" w14:textId="10CE7389" w:rsidR="00711572" w:rsidRDefault="00711572" w:rsidP="00711572">
      <w:pPr>
        <w:rPr>
          <w:rFonts w:ascii="Arial" w:hAnsi="Arial" w:cs="Arial"/>
          <w:color w:val="000000" w:themeColor="text1"/>
          <w:sz w:val="24"/>
          <w:szCs w:val="24"/>
        </w:rPr>
      </w:pPr>
    </w:p>
    <w:p w14:paraId="5B32F8A7" w14:textId="4D7A0D1D" w:rsidR="00711572" w:rsidRDefault="00711572" w:rsidP="00711572">
      <w:pPr>
        <w:rPr>
          <w:rFonts w:ascii="Arial" w:hAnsi="Arial" w:cs="Arial"/>
          <w:color w:val="000000" w:themeColor="text1"/>
          <w:sz w:val="24"/>
          <w:szCs w:val="24"/>
        </w:rPr>
      </w:pPr>
    </w:p>
    <w:p w14:paraId="5E55E155" w14:textId="1FB264E1" w:rsidR="00711572" w:rsidRDefault="00711572" w:rsidP="00711572">
      <w:pPr>
        <w:rPr>
          <w:rFonts w:ascii="Arial" w:hAnsi="Arial" w:cs="Arial"/>
          <w:color w:val="000000" w:themeColor="text1"/>
          <w:sz w:val="24"/>
          <w:szCs w:val="24"/>
        </w:rPr>
      </w:pPr>
    </w:p>
    <w:p w14:paraId="19D4CDE7" w14:textId="13EBD94F" w:rsidR="00711572" w:rsidRDefault="00711572" w:rsidP="00711572">
      <w:pPr>
        <w:rPr>
          <w:rFonts w:ascii="Arial" w:hAnsi="Arial" w:cs="Arial"/>
          <w:color w:val="000000" w:themeColor="text1"/>
          <w:sz w:val="24"/>
          <w:szCs w:val="24"/>
        </w:rPr>
      </w:pPr>
    </w:p>
    <w:p w14:paraId="59FC5CA0" w14:textId="417A576B" w:rsidR="00711572" w:rsidRDefault="00711572" w:rsidP="00711572">
      <w:pPr>
        <w:rPr>
          <w:rFonts w:ascii="Arial" w:hAnsi="Arial" w:cs="Arial"/>
          <w:color w:val="000000" w:themeColor="text1"/>
          <w:sz w:val="24"/>
          <w:szCs w:val="24"/>
        </w:rPr>
      </w:pPr>
    </w:p>
    <w:p w14:paraId="0D786FED" w14:textId="606A9895" w:rsidR="00711572" w:rsidRDefault="00711572" w:rsidP="00711572">
      <w:pPr>
        <w:rPr>
          <w:rFonts w:ascii="Arial" w:hAnsi="Arial" w:cs="Arial"/>
          <w:color w:val="000000" w:themeColor="text1"/>
          <w:sz w:val="24"/>
          <w:szCs w:val="24"/>
        </w:rPr>
      </w:pPr>
    </w:p>
    <w:p w14:paraId="746C82E3" w14:textId="01E63ADA" w:rsidR="00711572" w:rsidRDefault="00711572" w:rsidP="00711572">
      <w:pPr>
        <w:rPr>
          <w:rFonts w:ascii="Arial" w:hAnsi="Arial" w:cs="Arial"/>
          <w:color w:val="000000" w:themeColor="text1"/>
          <w:sz w:val="24"/>
          <w:szCs w:val="24"/>
        </w:rPr>
      </w:pPr>
    </w:p>
    <w:p w14:paraId="786C5E63" w14:textId="706DE7B6" w:rsidR="00711572" w:rsidRDefault="00711572" w:rsidP="00711572">
      <w:pPr>
        <w:rPr>
          <w:rFonts w:ascii="Arial" w:hAnsi="Arial" w:cs="Arial"/>
          <w:color w:val="000000" w:themeColor="text1"/>
          <w:sz w:val="24"/>
          <w:szCs w:val="24"/>
        </w:rPr>
      </w:pPr>
    </w:p>
    <w:p w14:paraId="435F29AD" w14:textId="34CEB5BA" w:rsidR="00711572" w:rsidRDefault="00711572" w:rsidP="00711572">
      <w:pPr>
        <w:rPr>
          <w:rFonts w:ascii="Arial" w:hAnsi="Arial" w:cs="Arial"/>
          <w:color w:val="000000" w:themeColor="text1"/>
          <w:sz w:val="24"/>
          <w:szCs w:val="24"/>
        </w:rPr>
      </w:pPr>
    </w:p>
    <w:p w14:paraId="791E7F47" w14:textId="2205B76A" w:rsidR="00711572" w:rsidRDefault="00711572" w:rsidP="00711572">
      <w:pPr>
        <w:rPr>
          <w:rFonts w:ascii="Arial" w:hAnsi="Arial" w:cs="Arial"/>
          <w:color w:val="000000" w:themeColor="text1"/>
          <w:sz w:val="24"/>
          <w:szCs w:val="24"/>
        </w:rPr>
      </w:pPr>
    </w:p>
    <w:p w14:paraId="505A1148" w14:textId="2A55E4B4" w:rsidR="00711572" w:rsidRDefault="00711572" w:rsidP="00711572">
      <w:pPr>
        <w:rPr>
          <w:rFonts w:ascii="Arial" w:hAnsi="Arial" w:cs="Arial"/>
          <w:color w:val="000000" w:themeColor="text1"/>
          <w:sz w:val="24"/>
          <w:szCs w:val="24"/>
        </w:rPr>
      </w:pPr>
    </w:p>
    <w:p w14:paraId="3C33964C" w14:textId="2219B156" w:rsidR="00711572" w:rsidRDefault="00711572" w:rsidP="00711572">
      <w:pPr>
        <w:rPr>
          <w:rFonts w:ascii="Arial" w:hAnsi="Arial" w:cs="Arial"/>
          <w:color w:val="000000" w:themeColor="text1"/>
          <w:sz w:val="24"/>
          <w:szCs w:val="24"/>
        </w:rPr>
      </w:pPr>
    </w:p>
    <w:p w14:paraId="4EB4EDE8" w14:textId="0E17C9EE" w:rsidR="00711572" w:rsidRDefault="00711572" w:rsidP="00711572">
      <w:pPr>
        <w:rPr>
          <w:rFonts w:ascii="Arial" w:hAnsi="Arial" w:cs="Arial"/>
          <w:color w:val="000000" w:themeColor="text1"/>
          <w:sz w:val="24"/>
          <w:szCs w:val="24"/>
        </w:rPr>
      </w:pPr>
    </w:p>
    <w:p w14:paraId="41AA7179" w14:textId="42D009C5" w:rsidR="00711572" w:rsidRDefault="00711572" w:rsidP="00711572">
      <w:pPr>
        <w:rPr>
          <w:rFonts w:ascii="Arial" w:hAnsi="Arial" w:cs="Arial"/>
          <w:color w:val="000000" w:themeColor="text1"/>
          <w:sz w:val="24"/>
          <w:szCs w:val="24"/>
        </w:rPr>
      </w:pPr>
    </w:p>
    <w:p w14:paraId="4213AA1A" w14:textId="077171A1" w:rsidR="00711572" w:rsidRDefault="00711572" w:rsidP="00711572">
      <w:pPr>
        <w:rPr>
          <w:rFonts w:ascii="Arial" w:hAnsi="Arial" w:cs="Arial"/>
          <w:color w:val="000000" w:themeColor="text1"/>
          <w:sz w:val="24"/>
          <w:szCs w:val="24"/>
        </w:rPr>
      </w:pPr>
    </w:p>
    <w:p w14:paraId="2620DA39" w14:textId="5560810A" w:rsidR="00711572" w:rsidRDefault="00711572" w:rsidP="00711572">
      <w:pPr>
        <w:rPr>
          <w:rFonts w:ascii="Arial" w:hAnsi="Arial" w:cs="Arial"/>
          <w:color w:val="000000" w:themeColor="text1"/>
          <w:sz w:val="24"/>
          <w:szCs w:val="24"/>
        </w:rPr>
      </w:pPr>
    </w:p>
    <w:p w14:paraId="72434FA5" w14:textId="1B53662E" w:rsidR="00711572" w:rsidRDefault="00711572" w:rsidP="00711572">
      <w:pPr>
        <w:rPr>
          <w:rFonts w:ascii="Arial" w:hAnsi="Arial" w:cs="Arial"/>
          <w:color w:val="000000" w:themeColor="text1"/>
          <w:sz w:val="24"/>
          <w:szCs w:val="24"/>
        </w:rPr>
      </w:pPr>
    </w:p>
    <w:p w14:paraId="6983A24A" w14:textId="79F5D7D5" w:rsidR="00711572" w:rsidRDefault="00711572" w:rsidP="00711572">
      <w:pPr>
        <w:rPr>
          <w:rFonts w:ascii="Arial" w:hAnsi="Arial" w:cs="Arial"/>
          <w:color w:val="000000" w:themeColor="text1"/>
          <w:sz w:val="24"/>
          <w:szCs w:val="24"/>
        </w:rPr>
      </w:pPr>
    </w:p>
    <w:p w14:paraId="6765F63F" w14:textId="4DA4B011" w:rsidR="00711572" w:rsidRDefault="00711572" w:rsidP="00711572">
      <w:pPr>
        <w:rPr>
          <w:rFonts w:ascii="Arial" w:hAnsi="Arial" w:cs="Arial"/>
          <w:color w:val="000000" w:themeColor="text1"/>
          <w:sz w:val="24"/>
          <w:szCs w:val="24"/>
        </w:rPr>
      </w:pPr>
    </w:p>
    <w:p w14:paraId="42036C92" w14:textId="1868E233" w:rsidR="00711572" w:rsidRDefault="00711572" w:rsidP="00711572">
      <w:pPr>
        <w:rPr>
          <w:rFonts w:ascii="Arial" w:hAnsi="Arial" w:cs="Arial"/>
          <w:color w:val="000000" w:themeColor="text1"/>
          <w:sz w:val="24"/>
          <w:szCs w:val="24"/>
        </w:rPr>
      </w:pPr>
    </w:p>
    <w:p w14:paraId="0ABA8B1C" w14:textId="317756B6" w:rsidR="00711572" w:rsidRDefault="00711572" w:rsidP="00711572">
      <w:pPr>
        <w:rPr>
          <w:rFonts w:ascii="Arial" w:hAnsi="Arial" w:cs="Arial"/>
          <w:color w:val="000000" w:themeColor="text1"/>
          <w:sz w:val="24"/>
          <w:szCs w:val="24"/>
        </w:rPr>
      </w:pPr>
    </w:p>
    <w:p w14:paraId="4A465E08" w14:textId="0892318D" w:rsidR="00711572" w:rsidRDefault="00711572" w:rsidP="00711572">
      <w:pPr>
        <w:rPr>
          <w:rFonts w:ascii="Arial" w:hAnsi="Arial" w:cs="Arial"/>
          <w:color w:val="000000" w:themeColor="text1"/>
          <w:sz w:val="24"/>
          <w:szCs w:val="24"/>
        </w:rPr>
      </w:pPr>
    </w:p>
    <w:p w14:paraId="6B839D20" w14:textId="332FC997" w:rsidR="00711572" w:rsidRDefault="00711572" w:rsidP="00711572">
      <w:pPr>
        <w:rPr>
          <w:rFonts w:ascii="Arial" w:hAnsi="Arial" w:cs="Arial"/>
          <w:color w:val="000000" w:themeColor="text1"/>
          <w:sz w:val="24"/>
          <w:szCs w:val="24"/>
        </w:rPr>
      </w:pPr>
    </w:p>
    <w:p w14:paraId="4B556E29" w14:textId="276FFF9A" w:rsidR="00711572" w:rsidRDefault="00711572" w:rsidP="00711572">
      <w:pPr>
        <w:rPr>
          <w:rFonts w:ascii="Arial" w:hAnsi="Arial" w:cs="Arial"/>
          <w:color w:val="000000" w:themeColor="text1"/>
          <w:sz w:val="24"/>
          <w:szCs w:val="24"/>
        </w:rPr>
      </w:pPr>
    </w:p>
    <w:p w14:paraId="0EAD6F38" w14:textId="2E907AA1" w:rsidR="00711572" w:rsidRDefault="00711572" w:rsidP="00711572">
      <w:pPr>
        <w:rPr>
          <w:rFonts w:ascii="Arial" w:hAnsi="Arial" w:cs="Arial"/>
          <w:color w:val="000000" w:themeColor="text1"/>
          <w:sz w:val="24"/>
          <w:szCs w:val="24"/>
        </w:rPr>
      </w:pPr>
    </w:p>
    <w:p w14:paraId="77BD50AC" w14:textId="34CCBCB0" w:rsidR="00711572" w:rsidRDefault="00711572" w:rsidP="00711572">
      <w:pPr>
        <w:rPr>
          <w:rFonts w:ascii="Arial" w:hAnsi="Arial" w:cs="Arial"/>
          <w:color w:val="000000" w:themeColor="text1"/>
          <w:sz w:val="24"/>
          <w:szCs w:val="24"/>
        </w:rPr>
      </w:pPr>
    </w:p>
    <w:p w14:paraId="2D6F7C7D" w14:textId="29078501" w:rsidR="00711572" w:rsidRDefault="00711572" w:rsidP="00711572">
      <w:pPr>
        <w:rPr>
          <w:rFonts w:ascii="Arial" w:hAnsi="Arial" w:cs="Arial"/>
          <w:color w:val="000000" w:themeColor="text1"/>
          <w:sz w:val="24"/>
          <w:szCs w:val="24"/>
        </w:rPr>
      </w:pPr>
    </w:p>
    <w:p w14:paraId="208636AE" w14:textId="77777777" w:rsidR="00711572" w:rsidRPr="00F3651D" w:rsidRDefault="00711572" w:rsidP="00711572">
      <w:pPr>
        <w:rPr>
          <w:rFonts w:ascii="Arial" w:hAnsi="Arial" w:cs="Arial"/>
          <w:color w:val="000000" w:themeColor="text1"/>
          <w:sz w:val="24"/>
          <w:szCs w:val="24"/>
        </w:rPr>
      </w:pPr>
    </w:p>
    <w:p w14:paraId="60E69E9E" w14:textId="0A5FEE5D" w:rsidR="0030726C" w:rsidRPr="0030726C" w:rsidRDefault="00B0039E">
      <w:pPr>
        <w:pStyle w:val="Heading1"/>
        <w:pBdr>
          <w:bottom w:val="single" w:sz="8" w:space="4" w:color="1F3B57"/>
        </w:pBdr>
        <w:spacing w:before="360" w:after="160"/>
        <w:rPr>
          <w:rFonts w:ascii="Arial" w:hAnsi="Arial" w:cs="Arial"/>
          <w:b/>
          <w:bCs/>
          <w:color w:val="000000" w:themeColor="text1"/>
          <w:sz w:val="24"/>
          <w:szCs w:val="24"/>
        </w:rPr>
      </w:pPr>
      <w:r w:rsidRPr="00F3651D">
        <w:rPr>
          <w:rFonts w:ascii="Arial" w:hAnsi="Arial" w:cs="Arial"/>
          <w:b/>
          <w:bCs/>
          <w:color w:val="000000" w:themeColor="text1"/>
          <w:sz w:val="24"/>
          <w:szCs w:val="24"/>
        </w:rPr>
        <w:lastRenderedPageBreak/>
        <w:t>Task 1: Financial Health Check</w:t>
      </w:r>
    </w:p>
    <w:p w14:paraId="44985768" w14:textId="1A56C3E5" w:rsidR="000C06A3" w:rsidRPr="00F3651D"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RCI Hospitality Holdings, Inc.</w:t>
      </w:r>
      <w:r w:rsidR="00711572">
        <w:rPr>
          <w:rFonts w:ascii="Arial" w:hAnsi="Arial" w:cs="Arial"/>
          <w:color w:val="000000" w:themeColor="text1"/>
          <w:sz w:val="24"/>
          <w:szCs w:val="24"/>
        </w:rPr>
        <w:t xml:space="preserve"> </w:t>
      </w:r>
      <w:r w:rsidRPr="00F3651D">
        <w:rPr>
          <w:rFonts w:ascii="Arial" w:hAnsi="Arial" w:cs="Arial"/>
          <w:color w:val="000000" w:themeColor="text1"/>
          <w:sz w:val="24"/>
          <w:szCs w:val="24"/>
        </w:rPr>
        <w:t>(Nasdaq:</w:t>
      </w:r>
      <w:r w:rsidR="00711572">
        <w:rPr>
          <w:rFonts w:ascii="Arial" w:hAnsi="Arial" w:cs="Arial"/>
          <w:color w:val="000000" w:themeColor="text1"/>
          <w:sz w:val="24"/>
          <w:szCs w:val="24"/>
        </w:rPr>
        <w:t xml:space="preserve"> </w:t>
      </w:r>
      <w:r w:rsidRPr="00F3651D">
        <w:rPr>
          <w:rFonts w:ascii="Arial" w:hAnsi="Arial" w:cs="Arial"/>
          <w:color w:val="000000" w:themeColor="text1"/>
          <w:sz w:val="24"/>
          <w:szCs w:val="24"/>
        </w:rPr>
        <w:t xml:space="preserve">RICK) is the leading US operator of adult nightclubs, trading as Rick's Cabaret, </w:t>
      </w:r>
      <w:proofErr w:type="spellStart"/>
      <w:r w:rsidRPr="00F3651D">
        <w:rPr>
          <w:rFonts w:ascii="Arial" w:hAnsi="Arial" w:cs="Arial"/>
          <w:color w:val="000000" w:themeColor="text1"/>
          <w:sz w:val="24"/>
          <w:szCs w:val="24"/>
        </w:rPr>
        <w:t>Tootsie's</w:t>
      </w:r>
      <w:proofErr w:type="spellEnd"/>
      <w:r w:rsidRPr="00F3651D">
        <w:rPr>
          <w:rFonts w:ascii="Arial" w:hAnsi="Arial" w:cs="Arial"/>
          <w:color w:val="000000" w:themeColor="text1"/>
          <w:sz w:val="24"/>
          <w:szCs w:val="24"/>
        </w:rPr>
        <w:t xml:space="preserve"> Cabaret, Jaguars Club and others, alongside its Bombshells Restaurants &amp; Bars sports-bar concept (RCI Hospitality Holdings,</w:t>
      </w:r>
      <w:r w:rsidR="00711572">
        <w:rPr>
          <w:rFonts w:ascii="Arial" w:hAnsi="Arial" w:cs="Arial"/>
          <w:color w:val="000000" w:themeColor="text1"/>
          <w:sz w:val="24"/>
          <w:szCs w:val="24"/>
        </w:rPr>
        <w:t xml:space="preserve"> </w:t>
      </w:r>
      <w:r w:rsidRPr="00F3651D">
        <w:rPr>
          <w:rFonts w:ascii="Arial" w:hAnsi="Arial" w:cs="Arial"/>
          <w:color w:val="000000" w:themeColor="text1"/>
          <w:sz w:val="24"/>
          <w:szCs w:val="24"/>
        </w:rPr>
        <w:t>Inc.,2024). As CFO, this financial health check reviews the Group's audited consolidated statements for fiscal years 2020 to 2024 (year end 30 September), drawing on the five 10-K filings supplied (RCI Hospitality Holdings, Inc., 2019, 2020, 2022, 2023, 2024) together with independent market and industry data.</w:t>
      </w:r>
    </w:p>
    <w:p w14:paraId="235E1C28"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t>Overview of financial performance</w:t>
      </w:r>
    </w:p>
    <w:p w14:paraId="18AD1F05" w14:textId="510F9ECF" w:rsidR="000C06A3" w:rsidRPr="00A702A5" w:rsidRDefault="00B0039E" w:rsidP="00A702A5">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Total revenue grew from $132.3m in FY2020, a pandemic-depressed low, to $295.6m in FY2024, a compound annual growth rate of approximately 22%, driven by unit expansion, same-store sales growth and acquisitions such as Baby Dolls-</w:t>
      </w:r>
      <w:proofErr w:type="spellStart"/>
      <w:r w:rsidRPr="00F3651D">
        <w:rPr>
          <w:rFonts w:ascii="Arial" w:hAnsi="Arial" w:cs="Arial"/>
          <w:color w:val="000000" w:themeColor="text1"/>
          <w:sz w:val="24"/>
          <w:szCs w:val="24"/>
        </w:rPr>
        <w:t>Chicas</w:t>
      </w:r>
      <w:proofErr w:type="spellEnd"/>
      <w:r w:rsidRPr="00F3651D">
        <w:rPr>
          <w:rFonts w:ascii="Arial" w:hAnsi="Arial" w:cs="Arial"/>
          <w:color w:val="000000" w:themeColor="text1"/>
          <w:sz w:val="24"/>
          <w:szCs w:val="24"/>
        </w:rPr>
        <w:t xml:space="preserve"> </w:t>
      </w:r>
      <w:proofErr w:type="spellStart"/>
      <w:r w:rsidRPr="00F3651D">
        <w:rPr>
          <w:rFonts w:ascii="Arial" w:hAnsi="Arial" w:cs="Arial"/>
          <w:color w:val="000000" w:themeColor="text1"/>
          <w:sz w:val="24"/>
          <w:szCs w:val="24"/>
        </w:rPr>
        <w:t>Locas</w:t>
      </w:r>
      <w:proofErr w:type="spellEnd"/>
      <w:r w:rsidRPr="00F3651D">
        <w:rPr>
          <w:rFonts w:ascii="Arial" w:hAnsi="Arial" w:cs="Arial"/>
          <w:color w:val="000000" w:themeColor="text1"/>
          <w:sz w:val="24"/>
          <w:szCs w:val="24"/>
        </w:rPr>
        <w:t xml:space="preserve"> and VCG Holding (RCI Hospitality Holdings, Inc., 2022, 2023). However, growth has not translated into proportionate profitability. Operating income surged from $2.7m in FY2020 to a peak of $71.5m in FY2022 before declining to $51.5m in FY2023 and just $18.8m in FY2024. Net income attributable to shareholders followed the same arc: from a $6.1m loss in FY2020, to $46.0m in FY2022, and back down to only $3.0m in FY2024. The FY2024 decline was driven principally by a $36.6m non-cash impairment and other charges relating to underperforming nightclub and </w:t>
      </w:r>
      <w:r w:rsidR="00A702A5">
        <w:rPr>
          <w:rFonts w:ascii="Arial" w:hAnsi="Arial" w:cs="Arial"/>
          <w:color w:val="000000" w:themeColor="text1"/>
          <w:sz w:val="24"/>
          <w:szCs w:val="24"/>
        </w:rPr>
        <w:t>B</w:t>
      </w:r>
      <w:r w:rsidRPr="00F3651D">
        <w:rPr>
          <w:rFonts w:ascii="Arial" w:hAnsi="Arial" w:cs="Arial"/>
          <w:color w:val="000000" w:themeColor="text1"/>
          <w:sz w:val="24"/>
          <w:szCs w:val="24"/>
        </w:rPr>
        <w:t>ombshell</w:t>
      </w:r>
      <w:r w:rsidR="00A702A5">
        <w:rPr>
          <w:rFonts w:ascii="Arial" w:hAnsi="Arial" w:cs="Arial"/>
          <w:color w:val="000000" w:themeColor="text1"/>
          <w:sz w:val="24"/>
          <w:szCs w:val="24"/>
        </w:rPr>
        <w:t xml:space="preserve"> </w:t>
      </w:r>
      <w:r w:rsidRPr="00F3651D">
        <w:rPr>
          <w:rFonts w:ascii="Arial" w:hAnsi="Arial" w:cs="Arial"/>
          <w:color w:val="000000" w:themeColor="text1"/>
          <w:sz w:val="24"/>
          <w:szCs w:val="24"/>
        </w:rPr>
        <w:t xml:space="preserve">locations, alongside rising interest expense on acquisition debt (RCI Hospitality Holdings, Inc., 2024). This pattern of volatile "peak-then-retreat" earnings, despite a stable top line, is the single most important trend in the five-year data set and is explored through ratio analysis </w:t>
      </w:r>
      <w:r w:rsidR="00A702A5">
        <w:rPr>
          <w:rFonts w:ascii="Arial" w:hAnsi="Arial" w:cs="Arial"/>
          <w:color w:val="000000" w:themeColor="text1"/>
          <w:sz w:val="24"/>
          <w:szCs w:val="24"/>
        </w:rPr>
        <w:t>which is in the appendi</w:t>
      </w:r>
      <w:r w:rsidR="006E343B">
        <w:rPr>
          <w:rFonts w:ascii="Arial" w:hAnsi="Arial" w:cs="Arial"/>
          <w:color w:val="000000" w:themeColor="text1"/>
          <w:sz w:val="24"/>
          <w:szCs w:val="24"/>
        </w:rPr>
        <w:t>x</w:t>
      </w:r>
      <w:r w:rsidR="00A702A5">
        <w:rPr>
          <w:rFonts w:ascii="Arial" w:hAnsi="Arial" w:cs="Arial"/>
          <w:color w:val="000000" w:themeColor="text1"/>
          <w:sz w:val="24"/>
          <w:szCs w:val="24"/>
        </w:rPr>
        <w:t xml:space="preserve"> Table1.</w:t>
      </w:r>
    </w:p>
    <w:p w14:paraId="448BC281" w14:textId="77777777" w:rsidR="000C06A3" w:rsidRPr="00F3651D"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The balance sheet has grown substantially, from total assets of $360.9m (FY2020) to $584.4m (FY2024), funded by a mixture of retained cash flow, mortgage-style property debt and, in FY2022, share issuance for acquisitions. Total equity rose from $152.3m to $263.1m over the period, but growth has slowed since FY2022 as the company diverted operating cash flow into an aggressive share buy-back programme (net purchases of treasury stock of $20.6m in FY2024 alone) rather than balance-sheet strengthening (RCI Hospitality Holdings, Inc., 2024).</w:t>
      </w:r>
    </w:p>
    <w:p w14:paraId="40B1B7D7"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t>Ratio analysis</w:t>
      </w:r>
    </w:p>
    <w:p w14:paraId="7CE678EF" w14:textId="62C33FBA" w:rsidR="000C06A3" w:rsidRPr="00F3651D" w:rsidRDefault="00B0039E">
      <w:pPr>
        <w:spacing w:after="200" w:line="276" w:lineRule="auto"/>
        <w:jc w:val="both"/>
        <w:rPr>
          <w:rFonts w:ascii="Arial" w:hAnsi="Arial" w:cs="Arial"/>
          <w:color w:val="000000" w:themeColor="text1"/>
          <w:sz w:val="24"/>
          <w:szCs w:val="24"/>
        </w:rPr>
      </w:pPr>
      <w:r w:rsidRPr="00A702A5">
        <w:rPr>
          <w:rFonts w:ascii="Arial" w:hAnsi="Arial" w:cs="Arial"/>
          <w:b/>
          <w:bCs/>
          <w:color w:val="000000" w:themeColor="text1"/>
          <w:sz w:val="24"/>
          <w:szCs w:val="24"/>
        </w:rPr>
        <w:t>Profitability</w:t>
      </w:r>
      <w:r w:rsidR="00A702A5" w:rsidRPr="00362B14">
        <w:rPr>
          <w:rFonts w:ascii="Arial" w:hAnsi="Arial" w:cs="Arial"/>
          <w:b/>
          <w:bCs/>
          <w:color w:val="000000" w:themeColor="text1"/>
          <w:sz w:val="24"/>
          <w:szCs w:val="24"/>
        </w:rPr>
        <w:t>:</w:t>
      </w:r>
      <w:r w:rsidR="00A702A5">
        <w:rPr>
          <w:rFonts w:ascii="Arial" w:hAnsi="Arial" w:cs="Arial"/>
          <w:color w:val="000000" w:themeColor="text1"/>
          <w:sz w:val="24"/>
          <w:szCs w:val="24"/>
        </w:rPr>
        <w:t xml:space="preserve"> </w:t>
      </w:r>
      <w:r w:rsidRPr="00F3651D">
        <w:rPr>
          <w:rFonts w:ascii="Arial" w:hAnsi="Arial" w:cs="Arial"/>
          <w:color w:val="000000" w:themeColor="text1"/>
          <w:sz w:val="24"/>
          <w:szCs w:val="24"/>
        </w:rPr>
        <w:t>Gross margin (revenue less direct cost of alcoholic beverages, food and service) has been remarkably stable, averaging 85.9% across FY2020-FY2024, reflecting RICK's high-margin, cash-based entertainment and beverage model. Operating margin is far more volatile: 2.1% (FY2020), 19.7% (FY2021), 26.7% (FY2022), 17.5% (FY2023) and 6.4% (FY2024). Return on equity mirrors this pattern, moving from -4.0% to 19.0% and back to 1.1%, while return on assets fell to just 0.5% in FY2024. The divergence between a stable gross margin and a volatile operating margin indicates that profitability swings are driven below the gross-profit line, principally by impairments, depreciation on an expanding property base and rising interest costs, rather than by weakening core unit economics.</w:t>
      </w:r>
    </w:p>
    <w:p w14:paraId="30BA741E" w14:textId="061977D2" w:rsidR="000C06A3" w:rsidRPr="00F3651D" w:rsidRDefault="00B0039E">
      <w:pPr>
        <w:spacing w:after="200" w:line="276" w:lineRule="auto"/>
        <w:jc w:val="both"/>
        <w:rPr>
          <w:rFonts w:ascii="Arial" w:hAnsi="Arial" w:cs="Arial"/>
          <w:color w:val="000000" w:themeColor="text1"/>
          <w:sz w:val="24"/>
          <w:szCs w:val="24"/>
        </w:rPr>
      </w:pPr>
      <w:r w:rsidRPr="00362B14">
        <w:rPr>
          <w:rFonts w:ascii="Arial" w:hAnsi="Arial" w:cs="Arial"/>
          <w:b/>
          <w:bCs/>
          <w:color w:val="000000" w:themeColor="text1"/>
          <w:sz w:val="24"/>
          <w:szCs w:val="24"/>
        </w:rPr>
        <w:lastRenderedPageBreak/>
        <w:t>Liquidity</w:t>
      </w:r>
      <w:r w:rsidR="00362B14">
        <w:rPr>
          <w:rFonts w:ascii="Arial" w:hAnsi="Arial" w:cs="Arial"/>
          <w:b/>
          <w:bCs/>
          <w:color w:val="000000" w:themeColor="text1"/>
          <w:sz w:val="24"/>
          <w:szCs w:val="24"/>
        </w:rPr>
        <w:t>:</w:t>
      </w:r>
      <w:r w:rsidRPr="00F3651D">
        <w:rPr>
          <w:rFonts w:ascii="Arial" w:hAnsi="Arial" w:cs="Arial"/>
          <w:color w:val="000000" w:themeColor="text1"/>
          <w:sz w:val="24"/>
          <w:szCs w:val="24"/>
        </w:rPr>
        <w:t xml:space="preserve"> The current ratio has oscillated between 0.78 (FY2023) and 2.30 (FY2021), settling at 0.98 in FY2024. The quick ratio (excluding inventory) follows a near-identical path, from 0.69 to 0.89. Working capital was negative in three of the five years (FY2020, FY2023 and FY2024), meaning current liabilities exceeded current assets. This is discussed further in the benchmark comparison below and in Task 2.</w:t>
      </w:r>
    </w:p>
    <w:p w14:paraId="7C057025" w14:textId="66A83370" w:rsidR="000C06A3" w:rsidRPr="00F3651D" w:rsidRDefault="00B0039E">
      <w:pPr>
        <w:spacing w:after="200" w:line="276" w:lineRule="auto"/>
        <w:jc w:val="both"/>
        <w:rPr>
          <w:rFonts w:ascii="Arial" w:hAnsi="Arial" w:cs="Arial"/>
          <w:color w:val="000000" w:themeColor="text1"/>
          <w:sz w:val="24"/>
          <w:szCs w:val="24"/>
        </w:rPr>
      </w:pPr>
      <w:r w:rsidRPr="00362B14">
        <w:rPr>
          <w:rFonts w:ascii="Arial" w:hAnsi="Arial" w:cs="Arial"/>
          <w:b/>
          <w:bCs/>
          <w:color w:val="000000" w:themeColor="text1"/>
          <w:sz w:val="24"/>
          <w:szCs w:val="24"/>
        </w:rPr>
        <w:t>Efficiency</w:t>
      </w:r>
      <w:r w:rsidR="00362B14" w:rsidRPr="00362B14">
        <w:rPr>
          <w:rFonts w:ascii="Arial" w:hAnsi="Arial" w:cs="Arial"/>
          <w:b/>
          <w:bCs/>
          <w:color w:val="000000" w:themeColor="text1"/>
          <w:sz w:val="24"/>
          <w:szCs w:val="24"/>
        </w:rPr>
        <w:t>:</w:t>
      </w:r>
      <w:r w:rsidRPr="00F3651D">
        <w:rPr>
          <w:rFonts w:ascii="Arial" w:hAnsi="Arial" w:cs="Arial"/>
          <w:color w:val="000000" w:themeColor="text1"/>
          <w:sz w:val="24"/>
          <w:szCs w:val="24"/>
        </w:rPr>
        <w:t xml:space="preserve"> Asset turnover has remained essentially flat, between 0.37x and 0.54x, showing that RICK converts an expanding, largely property-backed, asset base into revenue at a broadly consistent rate. Inventory days (32-45 days) and receivable days (7-19 days) are both low and stable, reflecting a predominantly cash-and-card, walk-in customer base with minimal trade debtors. Payable days have compressed from 90 days in FY2020 (when the company deliberately stretched suppliers during the Covid-19 liquidity shock) to around 50 days more recently. Because RICK holds very little inventory relative to its cost base and collects cash quickly, its cash conversion cycle is structurally negative throughout the period (between -1.7 and -26.9 days), meaning suppliers, in effect, finance a portion of day-to-day operations - a considerable structural strength.</w:t>
      </w:r>
    </w:p>
    <w:p w14:paraId="77AC460E" w14:textId="1D457A56" w:rsidR="000C06A3" w:rsidRPr="00F3651D" w:rsidRDefault="00B0039E">
      <w:pPr>
        <w:spacing w:after="200" w:line="276" w:lineRule="auto"/>
        <w:jc w:val="both"/>
        <w:rPr>
          <w:rFonts w:ascii="Arial" w:hAnsi="Arial" w:cs="Arial"/>
          <w:color w:val="000000" w:themeColor="text1"/>
          <w:sz w:val="24"/>
          <w:szCs w:val="24"/>
        </w:rPr>
      </w:pPr>
      <w:r w:rsidRPr="00362B14">
        <w:rPr>
          <w:rFonts w:ascii="Arial" w:hAnsi="Arial" w:cs="Arial"/>
          <w:b/>
          <w:bCs/>
          <w:color w:val="000000" w:themeColor="text1"/>
          <w:sz w:val="24"/>
          <w:szCs w:val="24"/>
        </w:rPr>
        <w:t>Gearing</w:t>
      </w:r>
      <w:r w:rsidR="00362B14" w:rsidRPr="00362B14">
        <w:rPr>
          <w:rFonts w:ascii="Arial" w:hAnsi="Arial" w:cs="Arial"/>
          <w:b/>
          <w:bCs/>
          <w:color w:val="000000" w:themeColor="text1"/>
          <w:sz w:val="24"/>
          <w:szCs w:val="24"/>
        </w:rPr>
        <w:t xml:space="preserve">: </w:t>
      </w:r>
      <w:r w:rsidRPr="00F3651D">
        <w:rPr>
          <w:rFonts w:ascii="Arial" w:hAnsi="Arial" w:cs="Arial"/>
          <w:color w:val="000000" w:themeColor="text1"/>
          <w:sz w:val="24"/>
          <w:szCs w:val="24"/>
        </w:rPr>
        <w:t>Gearing (total interest-bearing debt to equity) has risen from below parity in FY2019 to around 1.1x from FY2022 onward, reflecting debt-funded acquisitions and property purchases. Total liabilities represent 50-58% of total assets across the period. Interest cover is the clearest warning signal in the ratio set: it fell from a comfortable 5.98x in FY2022 to 3.23x in FY2023 and just 1.13x in FY2024 - operating income barely covered interest expense in the most recent year, a material deterioration in debt-servicing headroom that coincided with a near-doubling of gross interest expense since FY2021 (Brigham and Houston, 2021).</w:t>
      </w:r>
    </w:p>
    <w:p w14:paraId="270888CA" w14:textId="0E434ED2" w:rsidR="000C06A3" w:rsidRPr="00F3651D" w:rsidRDefault="00B0039E">
      <w:pPr>
        <w:spacing w:after="200" w:line="276" w:lineRule="auto"/>
        <w:jc w:val="both"/>
        <w:rPr>
          <w:rFonts w:ascii="Arial" w:hAnsi="Arial" w:cs="Arial"/>
          <w:color w:val="000000" w:themeColor="text1"/>
          <w:sz w:val="24"/>
          <w:szCs w:val="24"/>
        </w:rPr>
      </w:pPr>
      <w:r w:rsidRPr="00362B14">
        <w:rPr>
          <w:rFonts w:ascii="Arial" w:hAnsi="Arial" w:cs="Arial"/>
          <w:b/>
          <w:bCs/>
          <w:color w:val="000000" w:themeColor="text1"/>
          <w:sz w:val="24"/>
          <w:szCs w:val="24"/>
        </w:rPr>
        <w:t>Investment</w:t>
      </w:r>
      <w:r w:rsidR="00362B14" w:rsidRPr="00362B14">
        <w:rPr>
          <w:rFonts w:ascii="Arial" w:hAnsi="Arial" w:cs="Arial"/>
          <w:b/>
          <w:bCs/>
          <w:color w:val="000000" w:themeColor="text1"/>
          <w:sz w:val="24"/>
          <w:szCs w:val="24"/>
        </w:rPr>
        <w:t>:</w:t>
      </w:r>
      <w:r w:rsidR="00362B14">
        <w:rPr>
          <w:rFonts w:ascii="Arial" w:hAnsi="Arial" w:cs="Arial"/>
          <w:color w:val="000000" w:themeColor="text1"/>
          <w:sz w:val="24"/>
          <w:szCs w:val="24"/>
        </w:rPr>
        <w:t xml:space="preserve"> </w:t>
      </w:r>
      <w:r w:rsidRPr="00F3651D">
        <w:rPr>
          <w:rFonts w:ascii="Arial" w:hAnsi="Arial" w:cs="Arial"/>
          <w:color w:val="000000" w:themeColor="text1"/>
          <w:sz w:val="24"/>
          <w:szCs w:val="24"/>
        </w:rPr>
        <w:t xml:space="preserve">Basic and diluted EPS has swung from -$0.66 to $4.91 and back to $0.33. Despite this volatility, management progressively raised the dividend per share every year, from $0.13 to $0.25, resulting in a dividend </w:t>
      </w:r>
      <w:r w:rsidR="00362B14">
        <w:rPr>
          <w:rFonts w:ascii="Arial" w:hAnsi="Arial" w:cs="Arial"/>
          <w:color w:val="000000" w:themeColor="text1"/>
          <w:sz w:val="24"/>
          <w:szCs w:val="24"/>
        </w:rPr>
        <w:t xml:space="preserve">payoff </w:t>
      </w:r>
      <w:r w:rsidRPr="00F3651D">
        <w:rPr>
          <w:rFonts w:ascii="Arial" w:hAnsi="Arial" w:cs="Arial"/>
          <w:color w:val="000000" w:themeColor="text1"/>
          <w:sz w:val="24"/>
          <w:szCs w:val="24"/>
        </w:rPr>
        <w:t>ratio that spiked to over 75% of FY2024's depressed earnings - a level that is not sustainable if earnings do not recover, and a signal that the dividend is currently being supported by cash reserves and non-GAAP profitability (adjusted EPS of $4.72 in FY2024) rather than statutory earnings (RCI Hospitality Holdings, Inc., 2024). Book value per share nearly doubled, from $16.78 to $29.38, aided by a reduction in shares outstanding through buy-backs from 9.08m to 8.96m.</w:t>
      </w:r>
    </w:p>
    <w:p w14:paraId="0D74710C" w14:textId="05973BA1" w:rsidR="000C06A3" w:rsidRDefault="00B0039E">
      <w:pPr>
        <w:spacing w:after="200" w:line="276" w:lineRule="auto"/>
        <w:jc w:val="both"/>
        <w:rPr>
          <w:rFonts w:ascii="Arial" w:hAnsi="Arial" w:cs="Arial"/>
          <w:color w:val="000000" w:themeColor="text1"/>
          <w:sz w:val="24"/>
          <w:szCs w:val="24"/>
        </w:rPr>
      </w:pPr>
      <w:r w:rsidRPr="00362B14">
        <w:rPr>
          <w:rFonts w:ascii="Arial" w:hAnsi="Arial" w:cs="Arial"/>
          <w:b/>
          <w:bCs/>
          <w:color w:val="000000" w:themeColor="text1"/>
          <w:sz w:val="24"/>
          <w:szCs w:val="24"/>
        </w:rPr>
        <w:t>Cash flow</w:t>
      </w:r>
      <w:r w:rsidR="00362B14" w:rsidRPr="00362B14">
        <w:rPr>
          <w:rFonts w:ascii="Arial" w:hAnsi="Arial" w:cs="Arial"/>
          <w:b/>
          <w:bCs/>
          <w:color w:val="000000" w:themeColor="text1"/>
          <w:sz w:val="24"/>
          <w:szCs w:val="24"/>
        </w:rPr>
        <w:t>:</w:t>
      </w:r>
      <w:r w:rsidR="00362B14">
        <w:rPr>
          <w:rFonts w:ascii="Arial" w:hAnsi="Arial" w:cs="Arial"/>
          <w:color w:val="000000" w:themeColor="text1"/>
          <w:sz w:val="24"/>
          <w:szCs w:val="24"/>
        </w:rPr>
        <w:t xml:space="preserve"> </w:t>
      </w:r>
      <w:r w:rsidRPr="00F3651D">
        <w:rPr>
          <w:rFonts w:ascii="Arial" w:hAnsi="Arial" w:cs="Arial"/>
          <w:color w:val="000000" w:themeColor="text1"/>
          <w:sz w:val="24"/>
          <w:szCs w:val="24"/>
        </w:rPr>
        <w:t xml:space="preserve">Operating cash flow has been consistently positive and materially exceeds net income in every year except FY2021-FY2023, reflecting the add-back of substantial depreciation, amortisation and impairment charges; in FY2024 CFO of $55.9m was over eighteen times reported net income, underlining that statutory profit understates the Group's underlying cash-generating capacity. Free cash flow (CFO less capital expenditure) remained positive throughout, ranging from $9.9m (FY2020) to $40.5m (FY2022), providing the internal funding source for dividends, debt service and buy-backs (Pike, Neale and </w:t>
      </w:r>
      <w:proofErr w:type="spellStart"/>
      <w:r w:rsidRPr="00F3651D">
        <w:rPr>
          <w:rFonts w:ascii="Arial" w:hAnsi="Arial" w:cs="Arial"/>
          <w:color w:val="000000" w:themeColor="text1"/>
          <w:sz w:val="24"/>
          <w:szCs w:val="24"/>
        </w:rPr>
        <w:t>Linsley</w:t>
      </w:r>
      <w:proofErr w:type="spellEnd"/>
      <w:r w:rsidRPr="00F3651D">
        <w:rPr>
          <w:rFonts w:ascii="Arial" w:hAnsi="Arial" w:cs="Arial"/>
          <w:color w:val="000000" w:themeColor="text1"/>
          <w:sz w:val="24"/>
          <w:szCs w:val="24"/>
        </w:rPr>
        <w:t>, 2018).</w:t>
      </w:r>
    </w:p>
    <w:p w14:paraId="15D74DAF" w14:textId="7FCBDCE8" w:rsidR="00362B14" w:rsidRDefault="00362B14">
      <w:pPr>
        <w:spacing w:after="200" w:line="276" w:lineRule="auto"/>
        <w:jc w:val="both"/>
        <w:rPr>
          <w:rFonts w:ascii="Arial" w:hAnsi="Arial" w:cs="Arial"/>
          <w:color w:val="000000" w:themeColor="text1"/>
          <w:sz w:val="24"/>
          <w:szCs w:val="24"/>
        </w:rPr>
      </w:pPr>
    </w:p>
    <w:p w14:paraId="4AE6A22C" w14:textId="77777777" w:rsidR="00362B14" w:rsidRPr="00F3651D" w:rsidRDefault="00362B14">
      <w:pPr>
        <w:spacing w:after="200" w:line="276" w:lineRule="auto"/>
        <w:jc w:val="both"/>
        <w:rPr>
          <w:rFonts w:ascii="Arial" w:hAnsi="Arial" w:cs="Arial"/>
          <w:color w:val="000000" w:themeColor="text1"/>
          <w:sz w:val="24"/>
          <w:szCs w:val="24"/>
        </w:rPr>
      </w:pPr>
    </w:p>
    <w:p w14:paraId="47218DA9"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lastRenderedPageBreak/>
        <w:t>Trends, strengths and threats</w:t>
      </w:r>
    </w:p>
    <w:p w14:paraId="6D445DFD" w14:textId="1049A563" w:rsidR="000C06A3" w:rsidRPr="00F3651D"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Three strengths stand out: a resilient, high and stable gross margin business model that has not eroded even as revenue mix has shifted between alcohol, food and service lines; a structurally negative cash conversion cycle that reduces reliance on external working-capital finance; and dependable, positive free cash flow even in the weakest earnings year of the period. Three threats are equally clear: declining interest cover driven by rising acquisition-related debt and higher benchmark interest rates since 2022;</w:t>
      </w:r>
      <w:r w:rsidR="00362B14">
        <w:rPr>
          <w:rFonts w:ascii="Arial" w:hAnsi="Arial" w:cs="Arial"/>
          <w:color w:val="000000" w:themeColor="text1"/>
          <w:sz w:val="24"/>
          <w:szCs w:val="24"/>
        </w:rPr>
        <w:t xml:space="preserve"> </w:t>
      </w:r>
      <w:r w:rsidRPr="00F3651D">
        <w:rPr>
          <w:rFonts w:ascii="Arial" w:hAnsi="Arial" w:cs="Arial"/>
          <w:color w:val="000000" w:themeColor="text1"/>
          <w:sz w:val="24"/>
          <w:szCs w:val="24"/>
        </w:rPr>
        <w:t xml:space="preserve">a dividend </w:t>
      </w:r>
      <w:r w:rsidR="00362B14">
        <w:rPr>
          <w:rFonts w:ascii="Arial" w:hAnsi="Arial" w:cs="Arial"/>
          <w:color w:val="000000" w:themeColor="text1"/>
          <w:sz w:val="24"/>
          <w:szCs w:val="24"/>
        </w:rPr>
        <w:t>payoff</w:t>
      </w:r>
      <w:r w:rsidRPr="00F3651D">
        <w:rPr>
          <w:rFonts w:ascii="Arial" w:hAnsi="Arial" w:cs="Arial"/>
          <w:color w:val="000000" w:themeColor="text1"/>
          <w:sz w:val="24"/>
          <w:szCs w:val="24"/>
        </w:rPr>
        <w:t xml:space="preserve"> ratio that has become disconnected from statutory earnings and is being funded from balance-sheet cash rather than current-year profit; and earnings volatility linked to recurring impairment charges against nightclub and Bombshells locations, which raises questions about the quality of due diligence and the durability of returns on recent acquisitions (Damodaran, 2015). A fourth, related threat is customer-concentration and regulatory risk: the adult-entertainment segment is exposed to local licensing, zoning and "sin-tax" regimes that can restrict unit economics in ways not fully captured by conventional ratio analysis, and this risk is compounded by the reputational sensitivity of the sector to environmental, social and governance (ESG) scrutiny, discussed further in Task 3.</w:t>
      </w:r>
    </w:p>
    <w:p w14:paraId="72D6ABB1"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t>Benchmarking liquidity against the sector</w:t>
      </w:r>
    </w:p>
    <w:p w14:paraId="43168E0C" w14:textId="7D6F491D" w:rsidR="00E4730B" w:rsidRDefault="00B0039E" w:rsidP="001604C2">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 xml:space="preserve">RICK's current ratio of 0.98 (FY2024) sits close to the broader US restaurant-industry average of 0.78 reported for June 2024 (NetSuite, 2025, citing </w:t>
      </w:r>
      <w:proofErr w:type="spellStart"/>
      <w:r w:rsidRPr="00F3651D">
        <w:rPr>
          <w:rFonts w:ascii="Arial" w:hAnsi="Arial" w:cs="Arial"/>
          <w:color w:val="000000" w:themeColor="text1"/>
          <w:sz w:val="24"/>
          <w:szCs w:val="24"/>
        </w:rPr>
        <w:t>MacroTrends</w:t>
      </w:r>
      <w:proofErr w:type="spellEnd"/>
      <w:r w:rsidRPr="00F3651D">
        <w:rPr>
          <w:rFonts w:ascii="Arial" w:hAnsi="Arial" w:cs="Arial"/>
          <w:color w:val="000000" w:themeColor="text1"/>
          <w:sz w:val="24"/>
          <w:szCs w:val="24"/>
        </w:rPr>
        <w:t>), and above the 0.55 current ratio reported for RICK's own trailing-twelve-month position in mid-2026 data (StockAnalysis.com, 2026). Restaurant and hospitality operators typically run tight current ratios because inventory is low-value and perishable and revenue is collected same-day in cash, so a ratio below 1.0 is common and not automatically a distress signal, unlike in manufacturing or retail sectors that hold larger, less liquid stock (NetSuite, 2025). On this basis, RICK's FY2024 liquidity position is broadly in line with, or marginally better than, its immediate sector peers, but it is materially weaker than RICK's own FY2021 position (2.30x) and below the 1.4-2.0x range that restaurant targeted during the pandemic to preserve resilience (NetSuite, 2025). The quick ratio tells a similar story: at 0.89x, RICK is close to a 1:1 "acid test" benchmark widely regarded as prudent for service businesses (</w:t>
      </w:r>
      <w:proofErr w:type="spellStart"/>
      <w:r w:rsidRPr="00F3651D">
        <w:rPr>
          <w:rFonts w:ascii="Arial" w:hAnsi="Arial" w:cs="Arial"/>
          <w:color w:val="000000" w:themeColor="text1"/>
          <w:sz w:val="24"/>
          <w:szCs w:val="24"/>
        </w:rPr>
        <w:t>FullRatio</w:t>
      </w:r>
      <w:proofErr w:type="spellEnd"/>
      <w:r w:rsidRPr="00F3651D">
        <w:rPr>
          <w:rFonts w:ascii="Arial" w:hAnsi="Arial" w:cs="Arial"/>
          <w:color w:val="000000" w:themeColor="text1"/>
          <w:sz w:val="24"/>
          <w:szCs w:val="24"/>
        </w:rPr>
        <w:t>, 2026), though the gap between current and quick ratios is small because RICK, like most hospitality operators, holds minimal inventory. Overall, liquidity is adequate rather than strong, and the negative working capital position recorded in three of the last five years means the Group depends on continuous, uninterrupted operating cash generation - a vulnerability that is examined in depth in Task 2.</w:t>
      </w:r>
    </w:p>
    <w:p w14:paraId="3154DB57" w14:textId="1F6F718C" w:rsidR="004A1316" w:rsidRDefault="004A1316" w:rsidP="001604C2">
      <w:pPr>
        <w:spacing w:after="200" w:line="276" w:lineRule="auto"/>
        <w:jc w:val="both"/>
        <w:rPr>
          <w:rFonts w:ascii="Arial" w:hAnsi="Arial" w:cs="Arial"/>
          <w:color w:val="000000" w:themeColor="text1"/>
          <w:sz w:val="24"/>
          <w:szCs w:val="24"/>
        </w:rPr>
      </w:pPr>
    </w:p>
    <w:p w14:paraId="1163D2A4" w14:textId="3D949BB2" w:rsidR="004A1316" w:rsidRDefault="004A1316" w:rsidP="001604C2">
      <w:pPr>
        <w:spacing w:after="200" w:line="276" w:lineRule="auto"/>
        <w:jc w:val="both"/>
        <w:rPr>
          <w:rFonts w:ascii="Arial" w:hAnsi="Arial" w:cs="Arial"/>
          <w:color w:val="000000" w:themeColor="text1"/>
          <w:sz w:val="24"/>
          <w:szCs w:val="24"/>
        </w:rPr>
      </w:pPr>
    </w:p>
    <w:p w14:paraId="0925C566" w14:textId="09128358" w:rsidR="004A1316" w:rsidRDefault="004A1316" w:rsidP="001604C2">
      <w:pPr>
        <w:spacing w:after="200" w:line="276" w:lineRule="auto"/>
        <w:jc w:val="both"/>
        <w:rPr>
          <w:rFonts w:ascii="Arial" w:hAnsi="Arial" w:cs="Arial"/>
          <w:color w:val="000000" w:themeColor="text1"/>
          <w:sz w:val="24"/>
          <w:szCs w:val="24"/>
        </w:rPr>
      </w:pPr>
    </w:p>
    <w:p w14:paraId="26457DAB" w14:textId="77777777" w:rsidR="004A1316" w:rsidRPr="00F3651D" w:rsidRDefault="004A1316" w:rsidP="001604C2">
      <w:pPr>
        <w:spacing w:after="200" w:line="276" w:lineRule="auto"/>
        <w:jc w:val="both"/>
        <w:rPr>
          <w:rFonts w:ascii="Arial" w:hAnsi="Arial" w:cs="Arial"/>
          <w:color w:val="000000" w:themeColor="text1"/>
          <w:sz w:val="24"/>
          <w:szCs w:val="24"/>
        </w:rPr>
      </w:pPr>
    </w:p>
    <w:p w14:paraId="434E1492" w14:textId="77777777" w:rsidR="000C06A3" w:rsidRPr="00F3651D" w:rsidRDefault="00B0039E">
      <w:pPr>
        <w:pStyle w:val="Heading1"/>
        <w:pBdr>
          <w:bottom w:val="single" w:sz="8" w:space="4" w:color="1F3B57"/>
        </w:pBdr>
        <w:spacing w:before="360" w:after="160"/>
        <w:rPr>
          <w:rFonts w:ascii="Arial" w:hAnsi="Arial" w:cs="Arial"/>
          <w:color w:val="000000" w:themeColor="text1"/>
          <w:sz w:val="24"/>
          <w:szCs w:val="24"/>
        </w:rPr>
      </w:pPr>
      <w:r w:rsidRPr="00F3651D">
        <w:rPr>
          <w:rFonts w:ascii="Arial" w:hAnsi="Arial" w:cs="Arial"/>
          <w:b/>
          <w:bCs/>
          <w:color w:val="000000" w:themeColor="text1"/>
          <w:sz w:val="24"/>
          <w:szCs w:val="24"/>
        </w:rPr>
        <w:lastRenderedPageBreak/>
        <w:t>Task 2: Working Capital Management Analysis</w:t>
      </w:r>
    </w:p>
    <w:p w14:paraId="64BE19C0" w14:textId="77777777" w:rsidR="00E4730B" w:rsidRPr="00F3651D" w:rsidRDefault="00E4730B">
      <w:pPr>
        <w:spacing w:before="80" w:after="240"/>
        <w:jc w:val="center"/>
        <w:rPr>
          <w:rFonts w:ascii="Arial" w:hAnsi="Arial" w:cs="Arial"/>
          <w:color w:val="000000" w:themeColor="text1"/>
          <w:sz w:val="24"/>
          <w:szCs w:val="24"/>
        </w:rPr>
      </w:pPr>
    </w:p>
    <w:p w14:paraId="47AF9EA8"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t>The cash operating cycle</w:t>
      </w:r>
    </w:p>
    <w:p w14:paraId="376672A4" w14:textId="21627022" w:rsidR="000C06A3" w:rsidRPr="00F3651D"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The cash operating cycle, or cash conversion cycle (CCC), measures the number of days between paying cash out for inputs and receiving cash in from customers, and is calculated as inventory days plus receivable days less payable day (</w:t>
      </w:r>
      <w:proofErr w:type="spellStart"/>
      <w:r w:rsidRPr="00F3651D">
        <w:rPr>
          <w:rFonts w:ascii="Arial" w:hAnsi="Arial" w:cs="Arial"/>
          <w:color w:val="000000" w:themeColor="text1"/>
          <w:sz w:val="24"/>
          <w:szCs w:val="24"/>
        </w:rPr>
        <w:t>Atrill</w:t>
      </w:r>
      <w:proofErr w:type="spellEnd"/>
      <w:r w:rsidRPr="00F3651D">
        <w:rPr>
          <w:rFonts w:ascii="Arial" w:hAnsi="Arial" w:cs="Arial"/>
          <w:color w:val="000000" w:themeColor="text1"/>
          <w:sz w:val="24"/>
          <w:szCs w:val="24"/>
        </w:rPr>
        <w:t>, 2020). Applying this formula to RICK's five-year data (Figure 3) shows a cycle that is structurally negative throughout: -26.9 days in FY2020, narrowing to between -1.7 and -7.1 days in FY2021-FY2024. A negative CCC means the Group collects cash from customers and, in effect, uses supplier credit to fund inventory before it must pay suppliers - suppliers are financing part of day-to-day trading rather than RICK financing its own stock and debtors (</w:t>
      </w:r>
      <w:proofErr w:type="spellStart"/>
      <w:r w:rsidRPr="00F3651D">
        <w:rPr>
          <w:rFonts w:ascii="Arial" w:hAnsi="Arial" w:cs="Arial"/>
          <w:color w:val="000000" w:themeColor="text1"/>
          <w:sz w:val="24"/>
          <w:szCs w:val="24"/>
        </w:rPr>
        <w:t>Preve</w:t>
      </w:r>
      <w:proofErr w:type="spellEnd"/>
      <w:r w:rsidRPr="00F3651D">
        <w:rPr>
          <w:rFonts w:ascii="Arial" w:hAnsi="Arial" w:cs="Arial"/>
          <w:color w:val="000000" w:themeColor="text1"/>
          <w:sz w:val="24"/>
          <w:szCs w:val="24"/>
        </w:rPr>
        <w:t xml:space="preserve"> and </w:t>
      </w:r>
      <w:proofErr w:type="spellStart"/>
      <w:r w:rsidRPr="00F3651D">
        <w:rPr>
          <w:rFonts w:ascii="Arial" w:hAnsi="Arial" w:cs="Arial"/>
          <w:color w:val="000000" w:themeColor="text1"/>
          <w:sz w:val="24"/>
          <w:szCs w:val="24"/>
        </w:rPr>
        <w:t>Sarria</w:t>
      </w:r>
      <w:proofErr w:type="spellEnd"/>
      <w:r w:rsidRPr="00F3651D">
        <w:rPr>
          <w:rFonts w:ascii="Arial" w:hAnsi="Arial" w:cs="Arial"/>
          <w:color w:val="000000" w:themeColor="text1"/>
          <w:sz w:val="24"/>
          <w:szCs w:val="24"/>
        </w:rPr>
        <w:t>-Allende, 2010). This is a direct consequence of the business model: alcoholic beverages and food are purchased on 50-90 day</w:t>
      </w:r>
      <w:r w:rsidR="001604C2">
        <w:rPr>
          <w:rFonts w:ascii="Arial" w:hAnsi="Arial" w:cs="Arial"/>
          <w:color w:val="000000" w:themeColor="text1"/>
          <w:sz w:val="24"/>
          <w:szCs w:val="24"/>
        </w:rPr>
        <w:t>s</w:t>
      </w:r>
      <w:r w:rsidRPr="00F3651D">
        <w:rPr>
          <w:rFonts w:ascii="Arial" w:hAnsi="Arial" w:cs="Arial"/>
          <w:color w:val="000000" w:themeColor="text1"/>
          <w:sz w:val="24"/>
          <w:szCs w:val="24"/>
        </w:rPr>
        <w:t xml:space="preserve"> supplier terms, held in inventory for only 32-45 days, and sold to walk-in customers who pay predominantly by card or cash within days (receivable days of 7-19). Very few sectors enjoy this structural advantage, and it is one of the strongest features of RICK's working-capital position.</w:t>
      </w:r>
    </w:p>
    <w:p w14:paraId="7048CEB9" w14:textId="5874856B" w:rsidR="000C06A3" w:rsidRPr="00F3651D"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However, the trend line is a cause for concern rather than complacency. The cycle has been becoming less negative every year since FY2020 (from -26.9 to -1.7 days by FY2024), meaning the cushion that supplier finance provides is shrinking. This has been driven by two factors: payable days falling from 90.1 to 50.2 as the exceptional Covid-19-era stretching of creditors normalised, and inventory days edging up slightly as the store estate has grown and diversified into food-led Bombshell locations, which typically require higher stock levels than a beverage-led nightclub. If this convergence towards zero continues, RICK's working-capital funding advantage will disappear, increasing reliance on cash reserves or the revolving credit facility to bridge any timing gap between outgoings and receipts, at exactly the point when Task 1 showed interest cover falling toward 1.1x.</w:t>
      </w:r>
    </w:p>
    <w:p w14:paraId="342F848C" w14:textId="77777777" w:rsidR="000C06A3" w:rsidRPr="00F3651D"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Working-capital linkage to liquidity risk. Negative working capital (current liabilities exceeding current assets) was recorded in FY2020, FY2023 and FY2024. This is common, and not inherently dangerous, for cash-generative hospitality businesses with a negative CCC (NetSuite, 2025), because operating cash inflow substitutes for a current-asset buffer. The risk crystallises only if operating cash flow falls sharply - during a regulatory shutdown, a further round of impairments, or weaker discretionary consumer spending - at the same time as a large current-debt maturity falls due. In FY2024, the current portion of debt obligations was $18.9m against a cash balance of $32.4m, a manageable but not generous margin given falling interest cover.</w:t>
      </w:r>
    </w:p>
    <w:p w14:paraId="1DFCB3B9"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t>Recommended strategies to improve liquidity through working-capital reform</w:t>
      </w:r>
    </w:p>
    <w:p w14:paraId="028770EA" w14:textId="092F3523" w:rsidR="000C06A3" w:rsidRPr="00F3651D"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 xml:space="preserve">First, formalise inventory optimisation at the food-and-beverage-led Bombshell estate, using point-of-sale demand data to set unit-level minimum and maximum stock levels; even a five-day reduction in average inventory days would release approximately $0.6m of cash at FY2024 cost-of-sales levels. Second, renegotiate or extend supplier payment terms on centrally procured alcohol and food lines, using the Group's purchasing scale across more than 50 venues as </w:t>
      </w:r>
      <w:r w:rsidRPr="00F3651D">
        <w:rPr>
          <w:rFonts w:ascii="Arial" w:hAnsi="Arial" w:cs="Arial"/>
          <w:color w:val="000000" w:themeColor="text1"/>
          <w:sz w:val="24"/>
          <w:szCs w:val="24"/>
        </w:rPr>
        <w:lastRenderedPageBreak/>
        <w:t>leverage; every additional five days of payable terms is worth a further circa $0.6m of deferred cash outflow. Third, tighten receivables management on trade and events/VIP account balances through automated invoicing and card-on-file policies, compressing receivable days further from the already-low 6.9 days recorded in FY2024. Fourth, build a formal minimum-cash policy and undrawn revolver headroom target (for example, cash plus committed undrawn facilities equal to at least 60 days of operating expenditure) so the negative working-capital position is a deliberate, monitored strategy rather than an incidental outcome (Brigham and Houston, 2021). Fifth, tie future capital expenditure and acquisition approval to stricter hurdle rates and post-completion reviews, reducing the risk of cash being trapped in underperforming, subsequently impaired assets.</w:t>
      </w:r>
    </w:p>
    <w:p w14:paraId="21037709"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t>Short-term versus long-term financing options</w:t>
      </w:r>
    </w:p>
    <w:p w14:paraId="1CFA4654" w14:textId="77777777" w:rsidR="000C06A3" w:rsidRPr="00F3651D"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 xml:space="preserve">RICK currently finances its asset base with a mix of long-term, largely property-secured term debt (around $219m at FY2024, net of current portion) and a much smaller current portion of debt ($18.9m). Short-term financing - trade credit, revolving credit facilities and short-term bank loans - is cheaper and more flexible, and suits funding of self-liquidating, temporary working-capital needs such as seasonal beverage and inventory build-ups ahead of major events (Pike, Neale and </w:t>
      </w:r>
      <w:proofErr w:type="spellStart"/>
      <w:r w:rsidRPr="00F3651D">
        <w:rPr>
          <w:rFonts w:ascii="Arial" w:hAnsi="Arial" w:cs="Arial"/>
          <w:color w:val="000000" w:themeColor="text1"/>
          <w:sz w:val="24"/>
          <w:szCs w:val="24"/>
        </w:rPr>
        <w:t>Linsley</w:t>
      </w:r>
      <w:proofErr w:type="spellEnd"/>
      <w:r w:rsidRPr="00F3651D">
        <w:rPr>
          <w:rFonts w:ascii="Arial" w:hAnsi="Arial" w:cs="Arial"/>
          <w:color w:val="000000" w:themeColor="text1"/>
          <w:sz w:val="24"/>
          <w:szCs w:val="24"/>
        </w:rPr>
        <w:t>, 2018). Its principal disadvantage is refinancing (rollover) risk: short-term facilities must be renewed periodically, exposing the Group to interest-rate resets and to the possibility that a lender declines to renew during a downturn, precisely when cash is most needed. Long-term financing - the mortgage-style term loans RICK uses to fund freehold real estate and acquisitions - better matches the long economic life of nightclub and restaurant property assets to the maturity of the liability (the "matching principle"), reduces refinancing frequency, and locks in a known interest cost when rates are fixed. Its cost is typically higher, and it reduces balance-sheet flexibility once drawn, as seen in RICK's falling interest cover.</w:t>
      </w:r>
    </w:p>
    <w:p w14:paraId="4868B585" w14:textId="52F2D386" w:rsidR="000C06A3" w:rsidRDefault="00B0039E">
      <w:pPr>
        <w:spacing w:after="200" w:line="276" w:lineRule="auto"/>
        <w:jc w:val="both"/>
        <w:rPr>
          <w:rFonts w:ascii="Arial" w:hAnsi="Arial" w:cs="Arial"/>
          <w:color w:val="000000" w:themeColor="text1"/>
          <w:sz w:val="24"/>
          <w:szCs w:val="24"/>
        </w:rPr>
      </w:pPr>
      <w:r w:rsidRPr="001F5C0B">
        <w:rPr>
          <w:rFonts w:ascii="Arial" w:hAnsi="Arial" w:cs="Arial"/>
          <w:b/>
          <w:bCs/>
          <w:color w:val="000000" w:themeColor="text1"/>
          <w:sz w:val="24"/>
          <w:szCs w:val="24"/>
        </w:rPr>
        <w:t>Recommendation:</w:t>
      </w:r>
      <w:r w:rsidRPr="00F3651D">
        <w:rPr>
          <w:rFonts w:ascii="Arial" w:hAnsi="Arial" w:cs="Arial"/>
          <w:color w:val="000000" w:themeColor="text1"/>
          <w:sz w:val="24"/>
          <w:szCs w:val="24"/>
        </w:rPr>
        <w:t xml:space="preserve"> RICK should continue matching permanent, property-related and acquisition financing needs to long-term debt or equity, while using a revolving credit facility strictly for temporary, self-reversing working-capital swings such as event-driven inventory builds - not for funding the buy-back programme, which has recently drawn on cash that would otherwise widen the liquidity buffer. Given weakening interest cover, any further debt-funded acquisitions should be evaluated against a lower maximum gearing ceiling than has applied historically, and management should consider directing a larger share of free cash flow toward debt amortisation rather than treasury share purchases until interest cover is rebuilt comfortably above 3x.</w:t>
      </w:r>
    </w:p>
    <w:p w14:paraId="48A9A3AE" w14:textId="2EF9288C" w:rsidR="004A1316" w:rsidRDefault="004A1316">
      <w:pPr>
        <w:spacing w:after="200" w:line="276" w:lineRule="auto"/>
        <w:jc w:val="both"/>
        <w:rPr>
          <w:rFonts w:ascii="Arial" w:hAnsi="Arial" w:cs="Arial"/>
          <w:color w:val="000000" w:themeColor="text1"/>
          <w:sz w:val="24"/>
          <w:szCs w:val="24"/>
        </w:rPr>
      </w:pPr>
    </w:p>
    <w:p w14:paraId="279550A3" w14:textId="26434586" w:rsidR="004A1316" w:rsidRDefault="004A1316">
      <w:pPr>
        <w:spacing w:after="200" w:line="276" w:lineRule="auto"/>
        <w:jc w:val="both"/>
        <w:rPr>
          <w:rFonts w:ascii="Arial" w:hAnsi="Arial" w:cs="Arial"/>
          <w:color w:val="000000" w:themeColor="text1"/>
          <w:sz w:val="24"/>
          <w:szCs w:val="24"/>
        </w:rPr>
      </w:pPr>
    </w:p>
    <w:p w14:paraId="7DCEE404" w14:textId="050E7274" w:rsidR="004A1316" w:rsidRDefault="004A1316">
      <w:pPr>
        <w:spacing w:after="200" w:line="276" w:lineRule="auto"/>
        <w:jc w:val="both"/>
        <w:rPr>
          <w:rFonts w:ascii="Arial" w:hAnsi="Arial" w:cs="Arial"/>
          <w:color w:val="000000" w:themeColor="text1"/>
          <w:sz w:val="24"/>
          <w:szCs w:val="24"/>
        </w:rPr>
      </w:pPr>
    </w:p>
    <w:p w14:paraId="16498F81" w14:textId="1F1306A8" w:rsidR="004A1316" w:rsidRDefault="004A1316">
      <w:pPr>
        <w:spacing w:after="200" w:line="276" w:lineRule="auto"/>
        <w:jc w:val="both"/>
        <w:rPr>
          <w:rFonts w:ascii="Arial" w:hAnsi="Arial" w:cs="Arial"/>
          <w:color w:val="000000" w:themeColor="text1"/>
          <w:sz w:val="24"/>
          <w:szCs w:val="24"/>
        </w:rPr>
      </w:pPr>
    </w:p>
    <w:p w14:paraId="37F316C0" w14:textId="77777777" w:rsidR="004A1316" w:rsidRPr="00F3651D" w:rsidRDefault="004A1316">
      <w:pPr>
        <w:spacing w:after="200" w:line="276" w:lineRule="auto"/>
        <w:jc w:val="both"/>
        <w:rPr>
          <w:rFonts w:ascii="Arial" w:hAnsi="Arial" w:cs="Arial"/>
          <w:color w:val="000000" w:themeColor="text1"/>
          <w:sz w:val="24"/>
          <w:szCs w:val="24"/>
        </w:rPr>
      </w:pPr>
    </w:p>
    <w:p w14:paraId="74088136" w14:textId="77777777" w:rsidR="000C06A3" w:rsidRPr="00F3651D" w:rsidRDefault="00B0039E">
      <w:pPr>
        <w:pStyle w:val="Heading1"/>
        <w:pBdr>
          <w:bottom w:val="single" w:sz="8" w:space="4" w:color="1F3B57"/>
        </w:pBdr>
        <w:spacing w:before="360" w:after="160"/>
        <w:rPr>
          <w:rFonts w:ascii="Arial" w:hAnsi="Arial" w:cs="Arial"/>
          <w:color w:val="000000" w:themeColor="text1"/>
          <w:sz w:val="24"/>
          <w:szCs w:val="24"/>
        </w:rPr>
      </w:pPr>
      <w:r w:rsidRPr="00F3651D">
        <w:rPr>
          <w:rFonts w:ascii="Arial" w:hAnsi="Arial" w:cs="Arial"/>
          <w:b/>
          <w:bCs/>
          <w:color w:val="000000" w:themeColor="text1"/>
          <w:sz w:val="24"/>
          <w:szCs w:val="24"/>
        </w:rPr>
        <w:lastRenderedPageBreak/>
        <w:t>Task 3: Strategic Financial Restructuring Plan</w:t>
      </w:r>
    </w:p>
    <w:p w14:paraId="0551E2EA"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t>Recommended financial restructuring options</w:t>
      </w:r>
    </w:p>
    <w:p w14:paraId="317AECDF" w14:textId="0C152562" w:rsidR="000C06A3" w:rsidRPr="00F3651D"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Given the ratio evidence in Task 1 - falling interest cover (1.13x in FY2024), a dividend pay</w:t>
      </w:r>
      <w:r w:rsidR="006E343B">
        <w:rPr>
          <w:rFonts w:ascii="Arial" w:hAnsi="Arial" w:cs="Arial"/>
          <w:color w:val="000000" w:themeColor="text1"/>
          <w:sz w:val="24"/>
          <w:szCs w:val="24"/>
        </w:rPr>
        <w:t>off</w:t>
      </w:r>
      <w:r w:rsidRPr="00F3651D">
        <w:rPr>
          <w:rFonts w:ascii="Arial" w:hAnsi="Arial" w:cs="Arial"/>
          <w:color w:val="000000" w:themeColor="text1"/>
          <w:sz w:val="24"/>
          <w:szCs w:val="24"/>
        </w:rPr>
        <w:t xml:space="preserve"> ratio disconnected from statutory earnings, and recurring impairments against acquired venues - a purely organic, "do nothing" strategy is not advisable. Three restructuring options merit evaluation: divestiture, disciplined M&amp;A, and equity injection, considered alongside the debt-reduction measures recommended in Task 2.</w:t>
      </w:r>
    </w:p>
    <w:p w14:paraId="53DDF3E3" w14:textId="1A3989EA" w:rsidR="000C06A3" w:rsidRPr="00F3651D" w:rsidRDefault="00B0039E">
      <w:pPr>
        <w:spacing w:after="200" w:line="276" w:lineRule="auto"/>
        <w:jc w:val="both"/>
        <w:rPr>
          <w:rFonts w:ascii="Arial" w:hAnsi="Arial" w:cs="Arial"/>
          <w:color w:val="000000" w:themeColor="text1"/>
          <w:sz w:val="24"/>
          <w:szCs w:val="24"/>
        </w:rPr>
      </w:pPr>
      <w:r w:rsidRPr="00A40A75">
        <w:rPr>
          <w:rFonts w:ascii="Arial" w:hAnsi="Arial" w:cs="Arial"/>
          <w:b/>
          <w:bCs/>
          <w:color w:val="000000" w:themeColor="text1"/>
          <w:sz w:val="24"/>
          <w:szCs w:val="24"/>
        </w:rPr>
        <w:t>Divestiture</w:t>
      </w:r>
      <w:r w:rsidR="00A40A75" w:rsidRPr="00A40A75">
        <w:rPr>
          <w:rFonts w:ascii="Arial" w:hAnsi="Arial" w:cs="Arial"/>
          <w:b/>
          <w:bCs/>
          <w:color w:val="000000" w:themeColor="text1"/>
          <w:sz w:val="24"/>
          <w:szCs w:val="24"/>
        </w:rPr>
        <w:t>:</w:t>
      </w:r>
      <w:r w:rsidRPr="00F3651D">
        <w:rPr>
          <w:rFonts w:ascii="Arial" w:hAnsi="Arial" w:cs="Arial"/>
          <w:color w:val="000000" w:themeColor="text1"/>
          <w:sz w:val="24"/>
          <w:szCs w:val="24"/>
        </w:rPr>
        <w:t xml:space="preserve"> Management's own FY2024 impairment disclosures identify specific under-performing nightclub and Bombshell locations (RCI Hospitality Holdings, Inc., 2024). A targeted divestiture programme - selling or closing the weakest 5-10% of the estate by EBITDA margin - would crystallise cash from underperforming assets, remove them from future impairment risk, and allow management and capital to refocus on higher-return units. This mirrors the classic restructuring logic that portfolio pruning of value-destroying units raises the average return on the remaining asset base even where group revenue temporarily falls (Weston and Copeland, 1992). The FY2024 accounts already show a "Proceeds from sale of businesses and assets" cash inflow each year, indicating management has the operational capability to execute this in an orderly way.</w:t>
      </w:r>
    </w:p>
    <w:p w14:paraId="04E2333F" w14:textId="3EC96200" w:rsidR="000C06A3" w:rsidRPr="00F3651D" w:rsidRDefault="00B0039E">
      <w:pPr>
        <w:spacing w:after="200" w:line="276" w:lineRule="auto"/>
        <w:jc w:val="both"/>
        <w:rPr>
          <w:rFonts w:ascii="Arial" w:hAnsi="Arial" w:cs="Arial"/>
          <w:color w:val="000000" w:themeColor="text1"/>
          <w:sz w:val="24"/>
          <w:szCs w:val="24"/>
        </w:rPr>
      </w:pPr>
      <w:r w:rsidRPr="001E0E1C">
        <w:rPr>
          <w:rFonts w:ascii="Arial" w:hAnsi="Arial" w:cs="Arial"/>
          <w:b/>
          <w:bCs/>
          <w:color w:val="000000" w:themeColor="text1"/>
          <w:sz w:val="24"/>
          <w:szCs w:val="24"/>
        </w:rPr>
        <w:t>Mergers and bolt-on acquisitions</w:t>
      </w:r>
      <w:r w:rsidR="001E0E1C" w:rsidRPr="001E0E1C">
        <w:rPr>
          <w:rFonts w:ascii="Arial" w:hAnsi="Arial" w:cs="Arial"/>
          <w:b/>
          <w:bCs/>
          <w:color w:val="000000" w:themeColor="text1"/>
          <w:sz w:val="24"/>
          <w:szCs w:val="24"/>
        </w:rPr>
        <w:t>:</w:t>
      </w:r>
      <w:r w:rsidRPr="00F3651D">
        <w:rPr>
          <w:rFonts w:ascii="Arial" w:hAnsi="Arial" w:cs="Arial"/>
          <w:color w:val="000000" w:themeColor="text1"/>
          <w:sz w:val="24"/>
          <w:szCs w:val="24"/>
        </w:rPr>
        <w:t xml:space="preserve"> RICK's five-year history shows it has used acquisitions (for example the FY2022 and FY2023 purchases funded partly by new debt and share issuance) as its main growth lever. Given the deterioration in gearing and interest cover, the case for large, debt-funded acquisitions has weakened. A more disciplined approach - smaller, cash- or equity-funded bolt-on deals in the resilient sports-bar/Bombshells segment, subject to a higher minimum IRR hurdle and formal post-acquisition performance review - would preserve the strategic optionality of consolidation (the industry remains fragmented) while avoiding a repeat of the impairment cycle that has depressed FY2023-FY2024 earnings (Brealey, Myers and Allen, 2020).</w:t>
      </w:r>
    </w:p>
    <w:p w14:paraId="74D49AF3" w14:textId="6F5A8734" w:rsidR="000C06A3" w:rsidRDefault="00B0039E">
      <w:pPr>
        <w:spacing w:after="200" w:line="276" w:lineRule="auto"/>
        <w:jc w:val="both"/>
        <w:rPr>
          <w:rFonts w:ascii="Arial" w:hAnsi="Arial" w:cs="Arial"/>
          <w:color w:val="000000" w:themeColor="text1"/>
          <w:sz w:val="24"/>
          <w:szCs w:val="24"/>
        </w:rPr>
      </w:pPr>
      <w:r w:rsidRPr="001E0E1C">
        <w:rPr>
          <w:rFonts w:ascii="Arial" w:hAnsi="Arial" w:cs="Arial"/>
          <w:b/>
          <w:bCs/>
          <w:color w:val="000000" w:themeColor="text1"/>
          <w:sz w:val="24"/>
          <w:szCs w:val="24"/>
        </w:rPr>
        <w:t>Equity injection / capital structure rebalancing</w:t>
      </w:r>
      <w:r w:rsidR="001E0E1C" w:rsidRPr="001E0E1C">
        <w:rPr>
          <w:rFonts w:ascii="Arial" w:hAnsi="Arial" w:cs="Arial"/>
          <w:b/>
          <w:bCs/>
          <w:color w:val="000000" w:themeColor="text1"/>
          <w:sz w:val="24"/>
          <w:szCs w:val="24"/>
        </w:rPr>
        <w:t>:</w:t>
      </w:r>
      <w:r w:rsidRPr="00F3651D">
        <w:rPr>
          <w:rFonts w:ascii="Arial" w:hAnsi="Arial" w:cs="Arial"/>
          <w:color w:val="000000" w:themeColor="text1"/>
          <w:sz w:val="24"/>
          <w:szCs w:val="24"/>
        </w:rPr>
        <w:t xml:space="preserve"> Rather than a distressed equity raise the most realistic route is to redirect existing capital allocation: management announced a new five-year "Back to Basics" Capital Allocation Plan in December 2024 following the FY2024 results (RCI Hospitality Holdings, Inc., 2024). This is consistent with the restructuring logic recommended here - reducing net share buy-backs (which returned $20.6m to shareholders in FY2024, at a point when interest cover had fallen to 1.13x) and reallocating that cash to scheduled debt amortisation would mechanically de-lever the balance sheet without requiring a new, dilutive share issue. If leverage does not improve through cash-flow discipline, a modest primary equity issuance or a suspension of buy-backs (rather than the ordinary dividend, which management has been reluctant to cut) would be the least-cost signal to credit markets and support renewed borrowing headroom for the resumed growth phase of the capital allocation plan.</w:t>
      </w:r>
    </w:p>
    <w:p w14:paraId="74A06AEA" w14:textId="77777777" w:rsidR="004A1316" w:rsidRPr="00F3651D" w:rsidRDefault="004A1316">
      <w:pPr>
        <w:spacing w:after="200" w:line="276" w:lineRule="auto"/>
        <w:jc w:val="both"/>
        <w:rPr>
          <w:rFonts w:ascii="Arial" w:hAnsi="Arial" w:cs="Arial"/>
          <w:color w:val="000000" w:themeColor="text1"/>
          <w:sz w:val="24"/>
          <w:szCs w:val="24"/>
        </w:rPr>
      </w:pPr>
    </w:p>
    <w:p w14:paraId="1B495CC8"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lastRenderedPageBreak/>
        <w:t>Impact on shareholder value, debt structure and operational flexibility</w:t>
      </w:r>
    </w:p>
    <w:p w14:paraId="36319322" w14:textId="538A4CD0" w:rsidR="001B00A3" w:rsidRPr="00F3651D"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Divestiture of weak units would likely be modestly EPS-accretive in the following year (removing loss-making contribution and future impairment risk) even though headline revenue growth would slow, and it would reduce the deferred tax liability and lease-liability base tied to closed sites, improving both the current and quick ratios. A pause in buy-backs paired with debt paydown would reduce reported EPS growth in the short term (fewer shares are not being retired) but would rebuild interest cover, lower the cost of any future refinancing, and reduce the risk premium embedded in RICK's cost of capital - a trade-off consistent with capital-structure theory, under which the tax shield benefit of debt is offset beyond a certain point by rising financial-distress costs (Brigham and Houston, 2021). Operational flexibility would improve because a lower current portion of debt and a rebuilt cash buffer increase the Group's capacity to withstand a regulatory shock (for example, a licensing change affecting the adult-entertainment segment) without breaching covenant headroom.</w:t>
      </w:r>
    </w:p>
    <w:p w14:paraId="0B967FE3"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t>International and ethical considerations</w:t>
      </w:r>
    </w:p>
    <w:p w14:paraId="27B4CCB5" w14:textId="6F5B7183" w:rsidR="000C06A3" w:rsidRPr="00F3651D" w:rsidRDefault="00B0039E">
      <w:pPr>
        <w:spacing w:after="200" w:line="276" w:lineRule="auto"/>
        <w:jc w:val="both"/>
        <w:rPr>
          <w:rFonts w:ascii="Arial" w:hAnsi="Arial" w:cs="Arial"/>
          <w:color w:val="000000" w:themeColor="text1"/>
          <w:sz w:val="24"/>
          <w:szCs w:val="24"/>
        </w:rPr>
      </w:pPr>
      <w:r w:rsidRPr="00A40A75">
        <w:rPr>
          <w:rFonts w:ascii="Arial" w:hAnsi="Arial" w:cs="Arial"/>
          <w:b/>
          <w:bCs/>
          <w:color w:val="000000" w:themeColor="text1"/>
          <w:sz w:val="24"/>
          <w:szCs w:val="24"/>
        </w:rPr>
        <w:t>Taxation</w:t>
      </w:r>
      <w:r w:rsidR="00A40A75" w:rsidRPr="00A40A75">
        <w:rPr>
          <w:rFonts w:ascii="Arial" w:hAnsi="Arial" w:cs="Arial"/>
          <w:b/>
          <w:bCs/>
          <w:color w:val="000000" w:themeColor="text1"/>
          <w:sz w:val="24"/>
          <w:szCs w:val="24"/>
        </w:rPr>
        <w:t>:</w:t>
      </w:r>
      <w:r w:rsidRPr="00F3651D">
        <w:rPr>
          <w:rFonts w:ascii="Arial" w:hAnsi="Arial" w:cs="Arial"/>
          <w:color w:val="000000" w:themeColor="text1"/>
          <w:sz w:val="24"/>
          <w:szCs w:val="24"/>
        </w:rPr>
        <w:t xml:space="preserve"> RICK operates exclusively in the United States but is exposed to a patchwork of state and municipal "sin taxes" and alcohol excise duties, evidenced by the "excise tax on stock repurchases" line already appearing in the FY2024 accounts following the US federal 1% buy-back excise tax; any future international expansion (the Group has historically licensed the Rick's Cabaret brand in Latin America) would add cross-border transfer-pricing and withholding-tax complexity that should be assessed before further foreign licensing is pursued.</w:t>
      </w:r>
    </w:p>
    <w:p w14:paraId="5E1DF9CB" w14:textId="4C142C52" w:rsidR="000C06A3" w:rsidRPr="00F3651D" w:rsidRDefault="00B0039E">
      <w:pPr>
        <w:spacing w:after="200" w:line="276" w:lineRule="auto"/>
        <w:jc w:val="both"/>
        <w:rPr>
          <w:rFonts w:ascii="Arial" w:hAnsi="Arial" w:cs="Arial"/>
          <w:color w:val="000000" w:themeColor="text1"/>
          <w:sz w:val="24"/>
          <w:szCs w:val="24"/>
        </w:rPr>
      </w:pPr>
      <w:r w:rsidRPr="00A40A75">
        <w:rPr>
          <w:rFonts w:ascii="Arial" w:hAnsi="Arial" w:cs="Arial"/>
          <w:b/>
          <w:bCs/>
          <w:color w:val="000000" w:themeColor="text1"/>
          <w:sz w:val="24"/>
          <w:szCs w:val="24"/>
        </w:rPr>
        <w:t>Currency risk</w:t>
      </w:r>
      <w:r w:rsidR="00A40A75">
        <w:rPr>
          <w:rFonts w:ascii="Arial" w:hAnsi="Arial" w:cs="Arial"/>
          <w:b/>
          <w:bCs/>
          <w:color w:val="000000" w:themeColor="text1"/>
          <w:sz w:val="24"/>
          <w:szCs w:val="24"/>
        </w:rPr>
        <w:t>:</w:t>
      </w:r>
      <w:r w:rsidRPr="00F3651D">
        <w:rPr>
          <w:rFonts w:ascii="Arial" w:hAnsi="Arial" w:cs="Arial"/>
          <w:color w:val="000000" w:themeColor="text1"/>
          <w:sz w:val="24"/>
          <w:szCs w:val="24"/>
        </w:rPr>
        <w:t xml:space="preserve"> Because revenue and financing are almost entirely US-dollar denominated, RICK currently carries limited transactional currency risk; however, any international licensing income or foreign acquisition would introduce translation exposure that should be hedged or naturally offset with local-currency debt, consistent with matching principles applied to the domestic estate (Pike, Neale and </w:t>
      </w:r>
      <w:proofErr w:type="spellStart"/>
      <w:r w:rsidRPr="00F3651D">
        <w:rPr>
          <w:rFonts w:ascii="Arial" w:hAnsi="Arial" w:cs="Arial"/>
          <w:color w:val="000000" w:themeColor="text1"/>
          <w:sz w:val="24"/>
          <w:szCs w:val="24"/>
        </w:rPr>
        <w:t>Linsley</w:t>
      </w:r>
      <w:proofErr w:type="spellEnd"/>
      <w:r w:rsidRPr="00F3651D">
        <w:rPr>
          <w:rFonts w:ascii="Arial" w:hAnsi="Arial" w:cs="Arial"/>
          <w:color w:val="000000" w:themeColor="text1"/>
          <w:sz w:val="24"/>
          <w:szCs w:val="24"/>
        </w:rPr>
        <w:t>, 2018).</w:t>
      </w:r>
    </w:p>
    <w:p w14:paraId="3F04C9DF" w14:textId="0E697064" w:rsidR="000C06A3" w:rsidRPr="00F3651D" w:rsidRDefault="00B0039E">
      <w:pPr>
        <w:spacing w:after="200" w:line="276" w:lineRule="auto"/>
        <w:jc w:val="both"/>
        <w:rPr>
          <w:rFonts w:ascii="Arial" w:hAnsi="Arial" w:cs="Arial"/>
          <w:color w:val="000000" w:themeColor="text1"/>
          <w:sz w:val="24"/>
          <w:szCs w:val="24"/>
        </w:rPr>
      </w:pPr>
      <w:r w:rsidRPr="00A40A75">
        <w:rPr>
          <w:rFonts w:ascii="Arial" w:hAnsi="Arial" w:cs="Arial"/>
          <w:b/>
          <w:bCs/>
          <w:color w:val="000000" w:themeColor="text1"/>
          <w:sz w:val="24"/>
          <w:szCs w:val="24"/>
        </w:rPr>
        <w:t>Inflation</w:t>
      </w:r>
      <w:r w:rsidR="00A40A75" w:rsidRPr="00A40A75">
        <w:rPr>
          <w:rFonts w:ascii="Arial" w:hAnsi="Arial" w:cs="Arial"/>
          <w:b/>
          <w:bCs/>
          <w:color w:val="000000" w:themeColor="text1"/>
          <w:sz w:val="24"/>
          <w:szCs w:val="24"/>
        </w:rPr>
        <w:t>:</w:t>
      </w:r>
      <w:r w:rsidRPr="00F3651D">
        <w:rPr>
          <w:rFonts w:ascii="Arial" w:hAnsi="Arial" w:cs="Arial"/>
          <w:color w:val="000000" w:themeColor="text1"/>
          <w:sz w:val="24"/>
          <w:szCs w:val="24"/>
        </w:rPr>
        <w:t xml:space="preserve"> Rising food, beverage and labour costs (salaries and wages grew from $39.1m to $84.2m over the five years, faster than revenue in percentage terms in some years) directly compress the operating margin identified in Task 1; menu and cover-charge pricing power, and continued procurement scale, are the primary mitigants, but persistent inflation would further pressure the already-thin FY2024 interest cover if debt service costs rise in parallel.</w:t>
      </w:r>
    </w:p>
    <w:p w14:paraId="35C143C8" w14:textId="0EBE6F93" w:rsidR="000C06A3" w:rsidRPr="00F3651D" w:rsidRDefault="00B0039E">
      <w:pPr>
        <w:spacing w:after="200" w:line="276" w:lineRule="auto"/>
        <w:jc w:val="both"/>
        <w:rPr>
          <w:rFonts w:ascii="Arial" w:hAnsi="Arial" w:cs="Arial"/>
          <w:color w:val="000000" w:themeColor="text1"/>
          <w:sz w:val="24"/>
          <w:szCs w:val="24"/>
        </w:rPr>
      </w:pPr>
      <w:r w:rsidRPr="00A40A75">
        <w:rPr>
          <w:rFonts w:ascii="Arial" w:hAnsi="Arial" w:cs="Arial"/>
          <w:b/>
          <w:bCs/>
          <w:color w:val="000000" w:themeColor="text1"/>
          <w:sz w:val="24"/>
          <w:szCs w:val="24"/>
        </w:rPr>
        <w:t>CSR and ESG</w:t>
      </w:r>
      <w:r w:rsidR="00A40A75" w:rsidRPr="00A40A75">
        <w:rPr>
          <w:rFonts w:ascii="Arial" w:hAnsi="Arial" w:cs="Arial"/>
          <w:b/>
          <w:bCs/>
          <w:color w:val="000000" w:themeColor="text1"/>
          <w:sz w:val="24"/>
          <w:szCs w:val="24"/>
        </w:rPr>
        <w:t>:</w:t>
      </w:r>
      <w:r w:rsidRPr="00F3651D">
        <w:rPr>
          <w:rFonts w:ascii="Arial" w:hAnsi="Arial" w:cs="Arial"/>
          <w:color w:val="000000" w:themeColor="text1"/>
          <w:sz w:val="24"/>
          <w:szCs w:val="24"/>
        </w:rPr>
        <w:t xml:space="preserve"> RICK's core adult-entertainment segment carries above-average reputational and licensing risk; third-party ESG data providers rate the Group conservatively relative to hospitality peers (</w:t>
      </w:r>
      <w:proofErr w:type="spellStart"/>
      <w:r w:rsidRPr="00F3651D">
        <w:rPr>
          <w:rFonts w:ascii="Arial" w:hAnsi="Arial" w:cs="Arial"/>
          <w:color w:val="000000" w:themeColor="text1"/>
          <w:sz w:val="24"/>
          <w:szCs w:val="24"/>
        </w:rPr>
        <w:t>MarketScreener</w:t>
      </w:r>
      <w:proofErr w:type="spellEnd"/>
      <w:r w:rsidRPr="00F3651D">
        <w:rPr>
          <w:rFonts w:ascii="Arial" w:hAnsi="Arial" w:cs="Arial"/>
          <w:color w:val="000000" w:themeColor="text1"/>
          <w:sz w:val="24"/>
          <w:szCs w:val="24"/>
        </w:rPr>
        <w:t xml:space="preserve">, 2026; </w:t>
      </w:r>
      <w:proofErr w:type="spellStart"/>
      <w:r w:rsidRPr="00F3651D">
        <w:rPr>
          <w:rFonts w:ascii="Arial" w:hAnsi="Arial" w:cs="Arial"/>
          <w:color w:val="000000" w:themeColor="text1"/>
          <w:sz w:val="24"/>
          <w:szCs w:val="24"/>
        </w:rPr>
        <w:t>CSRHub</w:t>
      </w:r>
      <w:proofErr w:type="spellEnd"/>
      <w:r w:rsidRPr="00F3651D">
        <w:rPr>
          <w:rFonts w:ascii="Arial" w:hAnsi="Arial" w:cs="Arial"/>
          <w:color w:val="000000" w:themeColor="text1"/>
          <w:sz w:val="24"/>
          <w:szCs w:val="24"/>
        </w:rPr>
        <w:t>, 2026),</w:t>
      </w:r>
      <w:r w:rsidR="00A40A75">
        <w:rPr>
          <w:rFonts w:ascii="Arial" w:hAnsi="Arial" w:cs="Arial"/>
          <w:color w:val="000000" w:themeColor="text1"/>
          <w:sz w:val="24"/>
          <w:szCs w:val="24"/>
        </w:rPr>
        <w:t xml:space="preserve"> </w:t>
      </w:r>
      <w:r w:rsidRPr="00F3651D">
        <w:rPr>
          <w:rFonts w:ascii="Arial" w:hAnsi="Arial" w:cs="Arial"/>
          <w:color w:val="000000" w:themeColor="text1"/>
          <w:sz w:val="24"/>
          <w:szCs w:val="24"/>
        </w:rPr>
        <w:t>reflecting the inherent tension between the business model and mainstream ESG screening criteria. Ethically, restructuring decisions - particularly divestiture and any workforce reductions - should be governed by transparent employee-communication protocols and severance policy, and the Board should continue to disclose impairment and related-party transactions clearly to protect minority shareholders, consistent with good corporate-governance practice expected of a Nasdaq-listed issuer (Higgins, 2019).</w:t>
      </w:r>
    </w:p>
    <w:p w14:paraId="52522C57" w14:textId="77777777" w:rsidR="000C06A3" w:rsidRPr="00F3651D" w:rsidRDefault="00B0039E">
      <w:pPr>
        <w:pStyle w:val="Heading1"/>
        <w:pBdr>
          <w:bottom w:val="single" w:sz="8" w:space="4" w:color="1F3B57"/>
        </w:pBdr>
        <w:spacing w:before="360" w:after="160"/>
        <w:rPr>
          <w:rFonts w:ascii="Arial" w:hAnsi="Arial" w:cs="Arial"/>
          <w:color w:val="000000" w:themeColor="text1"/>
          <w:sz w:val="24"/>
          <w:szCs w:val="24"/>
        </w:rPr>
      </w:pPr>
      <w:r w:rsidRPr="00F3651D">
        <w:rPr>
          <w:rFonts w:ascii="Arial" w:hAnsi="Arial" w:cs="Arial"/>
          <w:b/>
          <w:bCs/>
          <w:color w:val="000000" w:themeColor="text1"/>
          <w:sz w:val="24"/>
          <w:szCs w:val="24"/>
        </w:rPr>
        <w:lastRenderedPageBreak/>
        <w:t>Task 4: Investment Appraisal and Capital Budgeting</w:t>
      </w:r>
    </w:p>
    <w:p w14:paraId="2C7C7093"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t>Methodology</w:t>
      </w:r>
    </w:p>
    <w:p w14:paraId="3CF77E83" w14:textId="77777777" w:rsidR="000C06A3" w:rsidRPr="00F3651D"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Three mutually exclusive projects are appraised, each requiring an initial investment of £50m with a five-year forecast life, an 8% discount rate, and straight-line depreciation to a zero residual value (£10m per annum). Five appraisal techniques are applied: payback period (PBP), accounting rate of return (ARR), net present value (NPV), profitability index (PI) and internal rate of return (IRR) (</w:t>
      </w:r>
      <w:proofErr w:type="spellStart"/>
      <w:r w:rsidRPr="00F3651D">
        <w:rPr>
          <w:rFonts w:ascii="Arial" w:hAnsi="Arial" w:cs="Arial"/>
          <w:color w:val="000000" w:themeColor="text1"/>
          <w:sz w:val="24"/>
          <w:szCs w:val="24"/>
        </w:rPr>
        <w:t>Atrill</w:t>
      </w:r>
      <w:proofErr w:type="spellEnd"/>
      <w:r w:rsidRPr="00F3651D">
        <w:rPr>
          <w:rFonts w:ascii="Arial" w:hAnsi="Arial" w:cs="Arial"/>
          <w:color w:val="000000" w:themeColor="text1"/>
          <w:sz w:val="24"/>
          <w:szCs w:val="24"/>
        </w:rPr>
        <w:t xml:space="preserve">, 2020; Brealey, Myers and Allen, 2020). Cash inflows are treated as net operating cash flows; accounting profit for ARR purposes is calculated as net cash inflow less annual depreciation, and ARR is expressed on average investment (initial investment divided by two), the more common UK convention (Pike, Neale and </w:t>
      </w:r>
      <w:proofErr w:type="spellStart"/>
      <w:r w:rsidRPr="00F3651D">
        <w:rPr>
          <w:rFonts w:ascii="Arial" w:hAnsi="Arial" w:cs="Arial"/>
          <w:color w:val="000000" w:themeColor="text1"/>
          <w:sz w:val="24"/>
          <w:szCs w:val="24"/>
        </w:rPr>
        <w:t>Linsley</w:t>
      </w:r>
      <w:proofErr w:type="spellEnd"/>
      <w:r w:rsidRPr="00F3651D">
        <w:rPr>
          <w:rFonts w:ascii="Arial" w:hAnsi="Arial" w:cs="Arial"/>
          <w:color w:val="000000" w:themeColor="text1"/>
          <w:sz w:val="24"/>
          <w:szCs w:val="24"/>
        </w:rPr>
        <w:t>, 2018).</w:t>
      </w:r>
    </w:p>
    <w:p w14:paraId="7DBD2986" w14:textId="6C63B1BB" w:rsidR="000C06A3" w:rsidRPr="00F3651D" w:rsidRDefault="00B0039E">
      <w:pPr>
        <w:spacing w:after="200" w:line="276" w:lineRule="auto"/>
        <w:jc w:val="both"/>
        <w:rPr>
          <w:rFonts w:ascii="Arial" w:hAnsi="Arial" w:cs="Arial"/>
          <w:color w:val="000000" w:themeColor="text1"/>
          <w:sz w:val="24"/>
          <w:szCs w:val="24"/>
        </w:rPr>
      </w:pPr>
      <w:r w:rsidRPr="00A40A75">
        <w:rPr>
          <w:rFonts w:ascii="Arial" w:hAnsi="Arial" w:cs="Arial"/>
          <w:b/>
          <w:bCs/>
          <w:color w:val="000000" w:themeColor="text1"/>
          <w:sz w:val="24"/>
          <w:szCs w:val="24"/>
        </w:rPr>
        <w:t>Payback period</w:t>
      </w:r>
      <w:r w:rsidR="00A40A75" w:rsidRPr="00A40A75">
        <w:rPr>
          <w:rFonts w:ascii="Arial" w:hAnsi="Arial" w:cs="Arial"/>
          <w:b/>
          <w:bCs/>
          <w:color w:val="000000" w:themeColor="text1"/>
          <w:sz w:val="24"/>
          <w:szCs w:val="24"/>
        </w:rPr>
        <w:t>:</w:t>
      </w:r>
      <w:r w:rsidRPr="00F3651D">
        <w:rPr>
          <w:rFonts w:ascii="Arial" w:hAnsi="Arial" w:cs="Arial"/>
          <w:color w:val="000000" w:themeColor="text1"/>
          <w:sz w:val="24"/>
          <w:szCs w:val="24"/>
        </w:rPr>
        <w:t xml:space="preserve"> Project A repays its £50m outlay after four full years plus a fraction of year five: cumulative inflows reach £46m by year four, leaving £4m to recover from a £8m year-five inflow, giving a payback of 4.50 years. Project B, with equal £11m annual inflows, needs £50m ÷ £11m = 4.55 years. Project C recovers £50m fastest, after £5m + £10m + £20m = £35m by year three, needing a further £15m from a £25m year-four inflow, giving 3 + 15/25 = 3.60 years. On payback alone, Project C is preferred, recovering capital roughly nine months sooner than A or B; all three, however, payback within the five-year project life, and payback ignores both the time value of money and any cash flows occurring after the payback point, so it should be used only as a risk screen, not as a primary decision rule (Brigham and Houston, 2021).</w:t>
      </w:r>
    </w:p>
    <w:p w14:paraId="5CEEF3E3" w14:textId="4DE5301B" w:rsidR="000C06A3" w:rsidRPr="00F3651D" w:rsidRDefault="00B0039E">
      <w:pPr>
        <w:spacing w:after="200" w:line="276" w:lineRule="auto"/>
        <w:jc w:val="both"/>
        <w:rPr>
          <w:rFonts w:ascii="Arial" w:hAnsi="Arial" w:cs="Arial"/>
          <w:color w:val="000000" w:themeColor="text1"/>
          <w:sz w:val="24"/>
          <w:szCs w:val="24"/>
        </w:rPr>
      </w:pPr>
      <w:r w:rsidRPr="00A40A75">
        <w:rPr>
          <w:rFonts w:ascii="Arial" w:hAnsi="Arial" w:cs="Arial"/>
          <w:b/>
          <w:bCs/>
          <w:color w:val="000000" w:themeColor="text1"/>
          <w:sz w:val="24"/>
          <w:szCs w:val="24"/>
        </w:rPr>
        <w:t>Accounting rate of return</w:t>
      </w:r>
      <w:r w:rsidR="00A40A75" w:rsidRPr="00A40A75">
        <w:rPr>
          <w:rFonts w:ascii="Arial" w:hAnsi="Arial" w:cs="Arial"/>
          <w:b/>
          <w:bCs/>
          <w:color w:val="000000" w:themeColor="text1"/>
          <w:sz w:val="24"/>
          <w:szCs w:val="24"/>
        </w:rPr>
        <w:t>:</w:t>
      </w:r>
      <w:r w:rsidRPr="00F3651D">
        <w:rPr>
          <w:rFonts w:ascii="Arial" w:hAnsi="Arial" w:cs="Arial"/>
          <w:color w:val="000000" w:themeColor="text1"/>
          <w:sz w:val="24"/>
          <w:szCs w:val="24"/>
        </w:rPr>
        <w:t xml:space="preserve"> Average annual accounting profit is total net cash inflow, less five years of £10m depreciation, divided by five. Project A generates total inflows of £54m, so average profit is (£54m - £50m)/5 = £0.8m, giving ARR on average investment (£25m) of 3.20%. Project B generates £55m total inflow, average profit £1.0m, ARR of 4.00%. Project C generates £65m total inflow, average profit £3.0m, ARR of 12.00%. Project C is again the clear winner, offering an accounting return roughly three to four times that of A or B, though ARR - like PBP - is a non-discounted measure and can be distorted by the depreciation policy chosen, which is why it is used here only as a supporting, not primary, criterion (Pike, Neale and </w:t>
      </w:r>
      <w:proofErr w:type="spellStart"/>
      <w:r w:rsidRPr="00F3651D">
        <w:rPr>
          <w:rFonts w:ascii="Arial" w:hAnsi="Arial" w:cs="Arial"/>
          <w:color w:val="000000" w:themeColor="text1"/>
          <w:sz w:val="24"/>
          <w:szCs w:val="24"/>
        </w:rPr>
        <w:t>Linsley</w:t>
      </w:r>
      <w:proofErr w:type="spellEnd"/>
      <w:r w:rsidRPr="00F3651D">
        <w:rPr>
          <w:rFonts w:ascii="Arial" w:hAnsi="Arial" w:cs="Arial"/>
          <w:color w:val="000000" w:themeColor="text1"/>
          <w:sz w:val="24"/>
          <w:szCs w:val="24"/>
        </w:rPr>
        <w:t>, 2018).</w:t>
      </w:r>
    </w:p>
    <w:p w14:paraId="560F2F32" w14:textId="20EE645D" w:rsidR="000C06A3" w:rsidRPr="00F3651D" w:rsidRDefault="00B0039E">
      <w:pPr>
        <w:spacing w:after="200" w:line="276" w:lineRule="auto"/>
        <w:jc w:val="both"/>
        <w:rPr>
          <w:rFonts w:ascii="Arial" w:hAnsi="Arial" w:cs="Arial"/>
          <w:color w:val="000000" w:themeColor="text1"/>
          <w:sz w:val="24"/>
          <w:szCs w:val="24"/>
        </w:rPr>
      </w:pPr>
      <w:r w:rsidRPr="00A40A75">
        <w:rPr>
          <w:rFonts w:ascii="Arial" w:hAnsi="Arial" w:cs="Arial"/>
          <w:b/>
          <w:bCs/>
          <w:color w:val="000000" w:themeColor="text1"/>
          <w:sz w:val="24"/>
          <w:szCs w:val="24"/>
        </w:rPr>
        <w:t>Net present value</w:t>
      </w:r>
      <w:r w:rsidR="00A40A75" w:rsidRPr="00A40A75">
        <w:rPr>
          <w:rFonts w:ascii="Arial" w:hAnsi="Arial" w:cs="Arial"/>
          <w:b/>
          <w:bCs/>
          <w:color w:val="000000" w:themeColor="text1"/>
          <w:sz w:val="24"/>
          <w:szCs w:val="24"/>
        </w:rPr>
        <w:t>:</w:t>
      </w:r>
      <w:r w:rsidRPr="00F3651D">
        <w:rPr>
          <w:rFonts w:ascii="Arial" w:hAnsi="Arial" w:cs="Arial"/>
          <w:color w:val="000000" w:themeColor="text1"/>
          <w:sz w:val="24"/>
          <w:szCs w:val="24"/>
        </w:rPr>
        <w:t xml:space="preserve"> Discounting each project's cash flows at 8% (Figure 5) gives NPV(A) = -£6.54m, NPV(B) = -£6.08m and NPV(C) = +£0.86m. Only Project C creates shareholder value at the Group's assumed 8% cost of capital; both A and B destroy value, despite generating positive undiscounted total cash flow, because their inflows are weighted toward earlier, lower amounts (A) or spread evenly at a level too low to clear the discount hurdle (B), while C is weighted toward the higher-value years three and four, benefiting less from discounting. NPV is the theoretically superior criterion because it uses all cash flows, reflects the time value of money, and is directly additive to shareholder wealth (Brealey, Myers and Allen, 2020).</w:t>
      </w:r>
    </w:p>
    <w:p w14:paraId="1F9261F0" w14:textId="63DBDEA0" w:rsidR="000C06A3" w:rsidRPr="00F3651D" w:rsidRDefault="00B0039E">
      <w:pPr>
        <w:spacing w:after="200" w:line="276" w:lineRule="auto"/>
        <w:jc w:val="both"/>
        <w:rPr>
          <w:rFonts w:ascii="Arial" w:hAnsi="Arial" w:cs="Arial"/>
          <w:color w:val="000000" w:themeColor="text1"/>
          <w:sz w:val="24"/>
          <w:szCs w:val="24"/>
        </w:rPr>
      </w:pPr>
      <w:r w:rsidRPr="00A40A75">
        <w:rPr>
          <w:rFonts w:ascii="Arial" w:hAnsi="Arial" w:cs="Arial"/>
          <w:b/>
          <w:bCs/>
          <w:color w:val="000000" w:themeColor="text1"/>
          <w:sz w:val="24"/>
          <w:szCs w:val="24"/>
        </w:rPr>
        <w:t>Profitability index</w:t>
      </w:r>
      <w:r w:rsidR="00A40A75" w:rsidRPr="00A40A75">
        <w:rPr>
          <w:rFonts w:ascii="Arial" w:hAnsi="Arial" w:cs="Arial"/>
          <w:b/>
          <w:bCs/>
          <w:color w:val="000000" w:themeColor="text1"/>
          <w:sz w:val="24"/>
          <w:szCs w:val="24"/>
        </w:rPr>
        <w:t>:</w:t>
      </w:r>
      <w:r w:rsidRPr="00F3651D">
        <w:rPr>
          <w:rFonts w:ascii="Arial" w:hAnsi="Arial" w:cs="Arial"/>
          <w:color w:val="000000" w:themeColor="text1"/>
          <w:sz w:val="24"/>
          <w:szCs w:val="24"/>
        </w:rPr>
        <w:t xml:space="preserve"> Dividing the present value of inflows by the initial outlay gives PI(A) = 0.869, PI(B) = 0.878 and PI(C) = 1.017. A PI above 1.0 confirms value creation; only Project C clears this threshold, consistent with its positive NPV. The PI additionally provides a "bang per pound </w:t>
      </w:r>
      <w:r w:rsidRPr="00F3651D">
        <w:rPr>
          <w:rFonts w:ascii="Arial" w:hAnsi="Arial" w:cs="Arial"/>
          <w:color w:val="000000" w:themeColor="text1"/>
          <w:sz w:val="24"/>
          <w:szCs w:val="24"/>
        </w:rPr>
        <w:lastRenderedPageBreak/>
        <w:t xml:space="preserve">invested" ranking that becomes decisive under the capital-rationing scenario addressed </w:t>
      </w:r>
      <w:r w:rsidR="006E343B">
        <w:rPr>
          <w:rFonts w:ascii="Arial" w:hAnsi="Arial" w:cs="Arial"/>
          <w:color w:val="000000" w:themeColor="text1"/>
          <w:sz w:val="24"/>
          <w:szCs w:val="24"/>
        </w:rPr>
        <w:t>in the appendix table4</w:t>
      </w:r>
      <w:r w:rsidRPr="00F3651D">
        <w:rPr>
          <w:rFonts w:ascii="Arial" w:hAnsi="Arial" w:cs="Arial"/>
          <w:color w:val="000000" w:themeColor="text1"/>
          <w:sz w:val="24"/>
          <w:szCs w:val="24"/>
        </w:rPr>
        <w:t>.</w:t>
      </w:r>
    </w:p>
    <w:p w14:paraId="4DC406AF" w14:textId="73163C54" w:rsidR="000C06A3" w:rsidRPr="00F3651D" w:rsidRDefault="000C06A3">
      <w:pPr>
        <w:spacing w:before="200" w:after="40"/>
        <w:jc w:val="center"/>
        <w:rPr>
          <w:rFonts w:ascii="Arial" w:hAnsi="Arial" w:cs="Arial"/>
          <w:color w:val="000000" w:themeColor="text1"/>
          <w:sz w:val="24"/>
          <w:szCs w:val="24"/>
        </w:rPr>
      </w:pPr>
    </w:p>
    <w:p w14:paraId="098D6CBE" w14:textId="4C51C00E" w:rsidR="000C06A3" w:rsidRPr="00F3651D" w:rsidRDefault="00B0039E">
      <w:pPr>
        <w:spacing w:after="200" w:line="276" w:lineRule="auto"/>
        <w:jc w:val="both"/>
        <w:rPr>
          <w:rFonts w:ascii="Arial" w:hAnsi="Arial" w:cs="Arial"/>
          <w:color w:val="000000" w:themeColor="text1"/>
          <w:sz w:val="24"/>
          <w:szCs w:val="24"/>
        </w:rPr>
      </w:pPr>
      <w:r w:rsidRPr="00A40A75">
        <w:rPr>
          <w:rFonts w:ascii="Arial" w:hAnsi="Arial" w:cs="Arial"/>
          <w:b/>
          <w:bCs/>
          <w:color w:val="000000" w:themeColor="text1"/>
          <w:sz w:val="24"/>
          <w:szCs w:val="24"/>
        </w:rPr>
        <w:t>Internal rate of return</w:t>
      </w:r>
      <w:r w:rsidR="00A40A75" w:rsidRPr="00A40A75">
        <w:rPr>
          <w:rFonts w:ascii="Arial" w:hAnsi="Arial" w:cs="Arial"/>
          <w:b/>
          <w:bCs/>
          <w:color w:val="000000" w:themeColor="text1"/>
          <w:sz w:val="24"/>
          <w:szCs w:val="24"/>
        </w:rPr>
        <w:t>:</w:t>
      </w:r>
      <w:r w:rsidRPr="00F3651D">
        <w:rPr>
          <w:rFonts w:ascii="Arial" w:hAnsi="Arial" w:cs="Arial"/>
          <w:color w:val="000000" w:themeColor="text1"/>
          <w:sz w:val="24"/>
          <w:szCs w:val="24"/>
        </w:rPr>
        <w:t xml:space="preserve"> IRR(A) = 2.72%, IRR(B) = 3.26%, IRR(C) = 8.59%. Comparing each against the 8% hurdle rate, only Project C's IRR exceeds the cost of capital, again confirming it is the only project that should be accepted on a stand-alone basis. The gap between C's IRR (8.59%) and the discount rate (8%) is narrow, so the recommendation is directionally clear but not overwhelming, and should be stress-tested for input sensitivity before final sign-off.</w:t>
      </w:r>
    </w:p>
    <w:p w14:paraId="11916B9B"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t>Recommendation and non-financial risk assessment</w:t>
      </w:r>
    </w:p>
    <w:p w14:paraId="12D9E4D2" w14:textId="77777777" w:rsidR="000C06A3" w:rsidRPr="00F3651D"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On every discounted and non-discounted measure, Project C dominates: it has the shortest payback, the highest ARR, the only positive NPV, the only PI above 1.0, and the only IRR above the hurdle rate. Project C's cash-flow profile - modest early inflows, a strong middle-period peak (years three and four), tailing off in year five - is consistent with the launch of a new venue format that requires a ramp-up period before reaching mature trading levels, which fits well with RICK's existing pattern of opening and stabilising new Bombshells and nightclub units over roughly 24-36 months. From a company-performance perspective, Project C's stronger cash generation would also help address the interest-cover weakness identified in Task 1 (1.13x in FY2024) more quickly than A or B, and its faster payback improves liquidity resilience, aligning with the working-capital priorities set out in Task 2.</w:t>
      </w:r>
    </w:p>
    <w:p w14:paraId="4C2C0B36" w14:textId="7741C20F" w:rsidR="000C06A3"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Non-financial risks nonetheless warrant explicit consideration before final approval. Political and regulatory risk is material for RICK given the licensing sensitivity of adult-entertainment venues in some US states and municipalities; a project whose cash flows depend on a single new-format rollout is more exposed to a local licensing refusal or zoning change than an established, diversified portfolio, and this risk should be reflected in a higher project-specific discount rate or explicit scenario analysis rather than the blanket 8% rate assumed here (Damodaran, 2015). Customer loyalty and brand risk should also be assessed: Project C's back-loaded cash flows imply reliance on a ramp-up in repeat custom, and any reputational event affecting the wider Rick's Cabaret or Bombshells brand could depress trading before the investment has been recovered, which is a particular concern given the ESG and reputational sensitivities discussed in Task 3. Execution risk (construction delay, licensing delay, or key-staff availability for a new opening) could also shift Project C's cash flows later, reducing NPV; given the narrow 0.59-percentage-point margin between IRR and the hurdle rate, even a one-year delay to the year-three and year-four peak inflows could turn NPV negative, so a formal sensitivity or break-even analysis is recommended before commitment. On balance, Project C is recommended, subject to (</w:t>
      </w:r>
      <w:proofErr w:type="spellStart"/>
      <w:r w:rsidRPr="00F3651D">
        <w:rPr>
          <w:rFonts w:ascii="Arial" w:hAnsi="Arial" w:cs="Arial"/>
          <w:color w:val="000000" w:themeColor="text1"/>
          <w:sz w:val="24"/>
          <w:szCs w:val="24"/>
        </w:rPr>
        <w:t>i</w:t>
      </w:r>
      <w:proofErr w:type="spellEnd"/>
      <w:r w:rsidRPr="00F3651D">
        <w:rPr>
          <w:rFonts w:ascii="Arial" w:hAnsi="Arial" w:cs="Arial"/>
          <w:color w:val="000000" w:themeColor="text1"/>
          <w:sz w:val="24"/>
          <w:szCs w:val="24"/>
        </w:rPr>
        <w:t>) a documented licensing and zoning pre-clearance for the target site(s), and (ii) a sensitivity test confirming NPV remains non-negative under a one-year delay or a 10% reduction in peak-year cash inflows.</w:t>
      </w:r>
    </w:p>
    <w:p w14:paraId="30BEA5A6" w14:textId="1CE58FDF" w:rsidR="00A40A75" w:rsidRDefault="00A40A75">
      <w:pPr>
        <w:spacing w:after="200" w:line="276" w:lineRule="auto"/>
        <w:jc w:val="both"/>
        <w:rPr>
          <w:rFonts w:ascii="Arial" w:hAnsi="Arial" w:cs="Arial"/>
          <w:color w:val="000000" w:themeColor="text1"/>
          <w:sz w:val="24"/>
          <w:szCs w:val="24"/>
        </w:rPr>
      </w:pPr>
    </w:p>
    <w:p w14:paraId="2DCD2B30" w14:textId="77777777" w:rsidR="00A40A75" w:rsidRPr="00F3651D" w:rsidRDefault="00A40A75">
      <w:pPr>
        <w:spacing w:after="200" w:line="276" w:lineRule="auto"/>
        <w:jc w:val="both"/>
        <w:rPr>
          <w:rFonts w:ascii="Arial" w:hAnsi="Arial" w:cs="Arial"/>
          <w:color w:val="000000" w:themeColor="text1"/>
          <w:sz w:val="24"/>
          <w:szCs w:val="24"/>
        </w:rPr>
      </w:pPr>
    </w:p>
    <w:p w14:paraId="50B6E81F"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lastRenderedPageBreak/>
        <w:t>Capital rationing with a £100m ceiling</w:t>
      </w:r>
    </w:p>
    <w:p w14:paraId="13F3C096" w14:textId="77777777" w:rsidR="000C06A3" w:rsidRPr="00F3651D"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 xml:space="preserve">With each project requiring exactly £50m, a maximum budget of £100m permits any two of the three projects to be undertaken together, or a single project leaving £50m uncommitted; projects cannot be partially funded (they are indivisible, "lumpy" investments), so simple ranking by PI, the standard capital-rationing technique for a single-period constraint with divisible projects, must be interpreted carefully here because none of the combinations can absorb the full £100m in a value-additive way (Pike, Neale and </w:t>
      </w:r>
      <w:proofErr w:type="spellStart"/>
      <w:r w:rsidRPr="00F3651D">
        <w:rPr>
          <w:rFonts w:ascii="Arial" w:hAnsi="Arial" w:cs="Arial"/>
          <w:color w:val="000000" w:themeColor="text1"/>
          <w:sz w:val="24"/>
          <w:szCs w:val="24"/>
        </w:rPr>
        <w:t>Linsley</w:t>
      </w:r>
      <w:proofErr w:type="spellEnd"/>
      <w:r w:rsidRPr="00F3651D">
        <w:rPr>
          <w:rFonts w:ascii="Arial" w:hAnsi="Arial" w:cs="Arial"/>
          <w:color w:val="000000" w:themeColor="text1"/>
          <w:sz w:val="24"/>
          <w:szCs w:val="24"/>
        </w:rPr>
        <w:t>, 2018). Combining any two projects gives: A+B = -£6.54m + -£6.08m = -£12.62m; A+C = -£6.54m + £0.86m = -£5.68m; B+C = -£6.08m + £0.86m = -£5.22m. Every two-project combination produces a negative combined NPV, because both A and B individually destroy value and adding a second negative-NPV project to C cannot be offset by C's modest £0.86m surplus. The value-maximising decision, even though it leaves £50m of the £100m ceiling unspent, is to accept Project C alone and decline both A and B; this generates combined NPV of +£0.86m, which is higher than any of the two-project combinations above (all negative) and also higher than accepting all three projects simultaneously, which is not permitted within the £100m ceiling in any case. This illustrates an important capital-rationing principle: under a hard budget constraint, the objective is to maximise total NPV for the capital actually committed, not to maximise the amount of capital deployed, and a firm should never accept a negative-NPV project purely to "use up" an available budget ceiling (Brigham and Houston, 2021). The remaining £50m of headroom should instead be held for future opportunities, applied to the debt-reduction programme recommended in Task 3, or reserved for a better-specified version of Project A or B (for example, with revised, more realistic cash-flow assumptions) rather than committed to either project as currently specified.</w:t>
      </w:r>
    </w:p>
    <w:p w14:paraId="092FED5F" w14:textId="77777777" w:rsidR="000C06A3" w:rsidRPr="00F3651D" w:rsidRDefault="00B0039E">
      <w:pPr>
        <w:pStyle w:val="Heading1"/>
        <w:pBdr>
          <w:bottom w:val="single" w:sz="8" w:space="4" w:color="1F3B57"/>
        </w:pBdr>
        <w:spacing w:before="360" w:after="160"/>
        <w:rPr>
          <w:rFonts w:ascii="Arial" w:hAnsi="Arial" w:cs="Arial"/>
          <w:color w:val="000000" w:themeColor="text1"/>
          <w:sz w:val="24"/>
          <w:szCs w:val="24"/>
        </w:rPr>
      </w:pPr>
      <w:r w:rsidRPr="00F3651D">
        <w:rPr>
          <w:rFonts w:ascii="Arial" w:hAnsi="Arial" w:cs="Arial"/>
          <w:b/>
          <w:bCs/>
          <w:color w:val="000000" w:themeColor="text1"/>
          <w:sz w:val="24"/>
          <w:szCs w:val="24"/>
        </w:rPr>
        <w:t>Task 5: Critical Reflection on AI Usage</w:t>
      </w:r>
    </w:p>
    <w:p w14:paraId="0EB215CE"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t>Tool disclosure</w:t>
      </w:r>
    </w:p>
    <w:p w14:paraId="60FB2D77" w14:textId="77777777" w:rsidR="000C06A3" w:rsidRPr="00F3651D" w:rsidRDefault="00B0039E">
      <w:pPr>
        <w:spacing w:after="200" w:line="276" w:lineRule="auto"/>
        <w:jc w:val="both"/>
        <w:rPr>
          <w:rFonts w:ascii="Arial" w:hAnsi="Arial" w:cs="Arial"/>
          <w:color w:val="000000" w:themeColor="text1"/>
          <w:sz w:val="24"/>
          <w:szCs w:val="24"/>
        </w:rPr>
      </w:pPr>
      <w:proofErr w:type="spellStart"/>
      <w:r w:rsidRPr="00F3651D">
        <w:rPr>
          <w:rFonts w:ascii="Arial" w:hAnsi="Arial" w:cs="Arial"/>
          <w:color w:val="000000" w:themeColor="text1"/>
          <w:sz w:val="24"/>
          <w:szCs w:val="24"/>
        </w:rPr>
        <w:t>Anthropic's</w:t>
      </w:r>
      <w:proofErr w:type="spellEnd"/>
      <w:r w:rsidRPr="00F3651D">
        <w:rPr>
          <w:rFonts w:ascii="Arial" w:hAnsi="Arial" w:cs="Arial"/>
          <w:color w:val="000000" w:themeColor="text1"/>
          <w:sz w:val="24"/>
          <w:szCs w:val="24"/>
        </w:rPr>
        <w:t xml:space="preserve"> Claude (an AI language-model assistant) was used at three stages of this report's development: (</w:t>
      </w:r>
      <w:proofErr w:type="spellStart"/>
      <w:r w:rsidRPr="00F3651D">
        <w:rPr>
          <w:rFonts w:ascii="Arial" w:hAnsi="Arial" w:cs="Arial"/>
          <w:color w:val="000000" w:themeColor="text1"/>
          <w:sz w:val="24"/>
          <w:szCs w:val="24"/>
        </w:rPr>
        <w:t>i</w:t>
      </w:r>
      <w:proofErr w:type="spellEnd"/>
      <w:r w:rsidRPr="00F3651D">
        <w:rPr>
          <w:rFonts w:ascii="Arial" w:hAnsi="Arial" w:cs="Arial"/>
          <w:color w:val="000000" w:themeColor="text1"/>
          <w:sz w:val="24"/>
          <w:szCs w:val="24"/>
        </w:rPr>
        <w:t>) extracting and tabulating line items from the five supplied RCI Hospitality Holdings 10-K filings (FY2019, FY2020, FY2022, FY2023, FY2024) using programmatic text extraction; (ii) performing the arithmetic for ratio analysis (Task 1), payback/ARR/NPV/PI/IRR calculations (Task 4), and generating the accompanying charts; and (iii) drafting narrative prose that interprets those calculated figures against academic and industry sources. Every numerical claim in this report was tied to a value taken directly from the primary source filings or from a cited secondary source, in line with an AI-use acknowledgement that no financial figure was invented independently of the underlying documents.</w:t>
      </w:r>
    </w:p>
    <w:p w14:paraId="1F0C1FD3"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t>Critical evaluation of AI output</w:t>
      </w:r>
    </w:p>
    <w:p w14:paraId="2FD31BAC" w14:textId="49328A71" w:rsidR="006E343B" w:rsidRPr="00F3651D"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 xml:space="preserve">AI-generated interpretations were verified in three ways. First, every ratio was recalculated independently using raw balance-sheet, income-statement and cash-flow figures transcribed directly from the 10-K text, rather than accepted as a pre-packaged AI summary, and cross-checked against RCI's own non-GAAP disclosures (for example, FY2024 free cash flow of $48.4m and adjusted EBITDA of $72.6m reported in the Group's own 4Q24 earnings release) to </w:t>
      </w:r>
      <w:r w:rsidRPr="00F3651D">
        <w:rPr>
          <w:rFonts w:ascii="Arial" w:hAnsi="Arial" w:cs="Arial"/>
          <w:color w:val="000000" w:themeColor="text1"/>
          <w:sz w:val="24"/>
          <w:szCs w:val="24"/>
        </w:rPr>
        <w:lastRenderedPageBreak/>
        <w:t>confirm internal consistency (RCI Hospitality Holdings, Inc., 2024). Second, the capital-budgeting outputs in Task 4 were checked using a second, independent calculation method (manual payback logic alongside a standard financial function for NPV and IRR) to confirm the two approaches agreed before the figures were written into the narrative - an important safeguard, since IRR in particular is prone to silent calculation error. Third, industry-benchmark claims (for example, the restaurant-sector current ratio of 0.78) were traced back to a named, dated source rather than accepted as an unattributed AI assertion, and figures that could not be corroborated from a credible source were either removed or explicitly flagged as an estimate. One early draft materially overstated Project B's IRR before recalculation; this was identified precisely because the two independent methods disagreed, illustrating why cross-checking, rather than single-pass AI output, is essential to avoid propagating a hallucinated figure into a board-level recommendation.</w:t>
      </w:r>
    </w:p>
    <w:p w14:paraId="04DB4C5A"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t>Contribution analysis</w:t>
      </w:r>
    </w:p>
    <w:p w14:paraId="6C0CC43A" w14:textId="77777777" w:rsidR="000C06A3" w:rsidRPr="00F3651D"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AI contributed structuring, first-draft calculation, and initial narrative drafting. The original critical judgement remains attributable to the author acting in the CFO role: the interpretation that RICK's stable gross margin alongside a volatile operating margin points to below-the-line drivers (impairment and interest, not core trading) rather than weakening unit economics; the strategic recommendation to rebalance capital allocation from buy-backs toward debt amortisation; the synthesis connecting Task 1's falling interest cover to Task 2's working-capital recommendations and Task 4's project selection; and the final restructuring and capital-rationing judgement in Tasks 3 and 4 are original analytical conclusions, using AI-produced calculations as an input rather than as the conclusion itself.</w:t>
      </w:r>
    </w:p>
    <w:p w14:paraId="40D0D35D" w14:textId="77777777" w:rsidR="000C06A3" w:rsidRPr="00F3651D" w:rsidRDefault="00B0039E">
      <w:pPr>
        <w:pStyle w:val="Heading2"/>
        <w:spacing w:before="240" w:after="120"/>
        <w:rPr>
          <w:rFonts w:ascii="Arial" w:hAnsi="Arial" w:cs="Arial"/>
          <w:color w:val="000000" w:themeColor="text1"/>
          <w:sz w:val="24"/>
          <w:szCs w:val="24"/>
        </w:rPr>
      </w:pPr>
      <w:r w:rsidRPr="00F3651D">
        <w:rPr>
          <w:rFonts w:ascii="Arial" w:hAnsi="Arial" w:cs="Arial"/>
          <w:b/>
          <w:bCs/>
          <w:color w:val="000000" w:themeColor="text1"/>
          <w:sz w:val="24"/>
          <w:szCs w:val="24"/>
        </w:rPr>
        <w:t>Ethical and professional reflection</w:t>
      </w:r>
    </w:p>
    <w:p w14:paraId="6105E326" w14:textId="50D9711F" w:rsidR="00FF5147" w:rsidRDefault="00B0039E">
      <w:pPr>
        <w:spacing w:after="200" w:line="276" w:lineRule="auto"/>
        <w:jc w:val="both"/>
        <w:rPr>
          <w:rFonts w:ascii="Arial" w:hAnsi="Arial" w:cs="Arial"/>
          <w:color w:val="000000" w:themeColor="text1"/>
          <w:sz w:val="24"/>
          <w:szCs w:val="24"/>
        </w:rPr>
      </w:pPr>
      <w:r w:rsidRPr="00F3651D">
        <w:rPr>
          <w:rFonts w:ascii="Arial" w:hAnsi="Arial" w:cs="Arial"/>
          <w:color w:val="000000" w:themeColor="text1"/>
          <w:sz w:val="24"/>
          <w:szCs w:val="24"/>
        </w:rPr>
        <w:t>Using AI in a finance function raises three linked ethical concerns. Transparency: any AI-assisted analysis presented to a board or investor audience should be clearly labelled as such, consistent with the disclosure approach adopted in this report, so that readers can apply appropriate scepticism and request underlying working papers. Data privacy: because the source documents here were public SEC filings, no confidentiality issue arose, but in a live corporate setting a CFO must ensure that non-public financial data is never processed through a public or non-enterprise AI tool without contractual data-protection and non-training guarantees. Over-reliance: the most significant risk is that a fluent, confidently written AI narrative can be mistaken for verified analysis; the recalculation and IRR cross-check described above exists specifically to guard against this, and executive-level financial decisions - particularly capital-allocation and restructuring calls of the kind made in Tasks 3 and 4 - should always retain a documented human sign-off step, since accountability for the recommendation, and its consequences, cannot be delegated to the tool that helped draft it (Higgins, 2019).</w:t>
      </w:r>
    </w:p>
    <w:p w14:paraId="41883D60" w14:textId="32F5FF92" w:rsidR="006E343B" w:rsidRDefault="006E343B" w:rsidP="00443FB5">
      <w:pPr>
        <w:spacing w:after="200" w:line="276" w:lineRule="auto"/>
        <w:rPr>
          <w:rFonts w:ascii="Arial" w:hAnsi="Arial" w:cs="Arial"/>
          <w:b/>
          <w:bCs/>
          <w:sz w:val="24"/>
          <w:szCs w:val="24"/>
        </w:rPr>
      </w:pPr>
    </w:p>
    <w:p w14:paraId="225A5ACF" w14:textId="77777777" w:rsidR="004A1316" w:rsidRDefault="004A1316" w:rsidP="00443FB5">
      <w:pPr>
        <w:spacing w:after="200" w:line="276" w:lineRule="auto"/>
        <w:rPr>
          <w:rFonts w:ascii="Arial" w:hAnsi="Arial" w:cs="Arial"/>
          <w:b/>
          <w:bCs/>
          <w:sz w:val="24"/>
          <w:szCs w:val="24"/>
        </w:rPr>
      </w:pPr>
    </w:p>
    <w:p w14:paraId="097A803A" w14:textId="77777777" w:rsidR="006E343B" w:rsidRDefault="006E343B" w:rsidP="00443FB5">
      <w:pPr>
        <w:spacing w:after="200" w:line="276" w:lineRule="auto"/>
        <w:rPr>
          <w:rFonts w:ascii="Arial" w:hAnsi="Arial" w:cs="Arial"/>
          <w:b/>
          <w:bCs/>
          <w:sz w:val="24"/>
          <w:szCs w:val="24"/>
        </w:rPr>
      </w:pPr>
    </w:p>
    <w:p w14:paraId="28FD6D2D" w14:textId="22A75BD3" w:rsidR="00A702A5" w:rsidRDefault="00FF5147" w:rsidP="00443FB5">
      <w:pPr>
        <w:spacing w:after="200" w:line="276" w:lineRule="auto"/>
        <w:rPr>
          <w:rFonts w:ascii="Arial" w:hAnsi="Arial" w:cs="Arial"/>
          <w:sz w:val="24"/>
          <w:szCs w:val="24"/>
        </w:rPr>
      </w:pPr>
      <w:r w:rsidRPr="006E343B">
        <w:rPr>
          <w:rFonts w:ascii="Arial" w:hAnsi="Arial" w:cs="Arial"/>
          <w:b/>
          <w:bCs/>
          <w:sz w:val="24"/>
          <w:szCs w:val="24"/>
        </w:rPr>
        <w:lastRenderedPageBreak/>
        <w:t>Appendi</w:t>
      </w:r>
      <w:r w:rsidR="006E343B" w:rsidRPr="006E343B">
        <w:rPr>
          <w:rFonts w:ascii="Arial" w:hAnsi="Arial" w:cs="Arial"/>
          <w:b/>
          <w:bCs/>
          <w:sz w:val="24"/>
          <w:szCs w:val="24"/>
        </w:rPr>
        <w:t>x</w:t>
      </w:r>
      <w:r>
        <w:rPr>
          <w:rFonts w:ascii="Arial" w:hAnsi="Arial" w:cs="Arial"/>
          <w:sz w:val="24"/>
          <w:szCs w:val="24"/>
        </w:rPr>
        <w:t>:</w:t>
      </w:r>
    </w:p>
    <w:p w14:paraId="0A127CE1" w14:textId="024D6F0D" w:rsidR="001B6B52" w:rsidRPr="001B6B52" w:rsidRDefault="001B6B52" w:rsidP="001B6B52">
      <w:pPr>
        <w:spacing w:before="80" w:after="240"/>
        <w:rPr>
          <w:rFonts w:ascii="Arial" w:hAnsi="Arial" w:cs="Arial"/>
          <w:color w:val="000000" w:themeColor="text1"/>
          <w:sz w:val="24"/>
          <w:szCs w:val="24"/>
        </w:rPr>
      </w:pPr>
      <w:r w:rsidRPr="0030726C">
        <w:rPr>
          <w:rFonts w:ascii="Arial" w:hAnsi="Arial" w:cs="Arial"/>
          <w:color w:val="000000" w:themeColor="text1"/>
          <w:sz w:val="24"/>
          <w:szCs w:val="24"/>
        </w:rPr>
        <w:t>Table 1: RCI Hospitality Holdings — Summary Income Statement, FY2020–FY2024 ($'000). Source RCI Hospitality Holdings, Inc. (2020, 2022, 2023, 2024).</w:t>
      </w:r>
    </w:p>
    <w:tbl>
      <w:tblPr>
        <w:tblStyle w:val="ListTable3-Accent2"/>
        <w:tblpPr w:leftFromText="180" w:rightFromText="180" w:vertAnchor="text" w:horzAnchor="margin" w:tblpXSpec="center" w:tblpY="129"/>
        <w:tblW w:w="10136" w:type="dxa"/>
        <w:tblLook w:val="0000" w:firstRow="0" w:lastRow="0" w:firstColumn="0" w:lastColumn="0" w:noHBand="0" w:noVBand="0"/>
      </w:tblPr>
      <w:tblGrid>
        <w:gridCol w:w="2816"/>
        <w:gridCol w:w="1464"/>
        <w:gridCol w:w="1464"/>
        <w:gridCol w:w="1464"/>
        <w:gridCol w:w="1464"/>
        <w:gridCol w:w="1464"/>
      </w:tblGrid>
      <w:tr w:rsidR="00FF5147" w:rsidRPr="00F3651D" w14:paraId="2FC5A45E" w14:textId="77777777" w:rsidTr="00FD77CE">
        <w:trPr>
          <w:cnfStyle w:val="000000100000" w:firstRow="0" w:lastRow="0" w:firstColumn="0" w:lastColumn="0" w:oddVBand="0" w:evenVBand="0" w:oddHBand="1" w:evenHBand="0" w:firstRowFirstColumn="0" w:firstRowLastColumn="0" w:lastRowFirstColumn="0" w:lastRowLastColumn="0"/>
          <w:trHeight w:val="249"/>
        </w:trPr>
        <w:tc>
          <w:tcPr>
            <w:cnfStyle w:val="000010000000" w:firstRow="0" w:lastRow="0" w:firstColumn="0" w:lastColumn="0" w:oddVBand="1" w:evenVBand="0" w:oddHBand="0" w:evenHBand="0" w:firstRowFirstColumn="0" w:firstRowLastColumn="0" w:lastRowFirstColumn="0" w:lastRowLastColumn="0"/>
            <w:tcW w:w="2816" w:type="dxa"/>
          </w:tcPr>
          <w:p w14:paraId="2AD985BD" w14:textId="77777777" w:rsidR="00FF5147" w:rsidRDefault="00FF5147" w:rsidP="00FD77CE">
            <w:pPr>
              <w:jc w:val="center"/>
              <w:rPr>
                <w:rFonts w:ascii="Arial" w:hAnsi="Arial" w:cs="Arial"/>
                <w:b/>
                <w:bCs/>
                <w:color w:val="000000" w:themeColor="text1"/>
                <w:sz w:val="24"/>
                <w:szCs w:val="24"/>
              </w:rPr>
            </w:pPr>
            <w:r w:rsidRPr="00F3651D">
              <w:rPr>
                <w:rFonts w:ascii="Arial" w:hAnsi="Arial" w:cs="Arial"/>
                <w:b/>
                <w:bCs/>
                <w:color w:val="000000" w:themeColor="text1"/>
                <w:sz w:val="24"/>
                <w:szCs w:val="24"/>
              </w:rPr>
              <w:t>$'000 (FYE 30 Sept)</w:t>
            </w:r>
          </w:p>
          <w:p w14:paraId="75EC6B5D" w14:textId="77777777" w:rsidR="00FF5147" w:rsidRPr="00F3651D" w:rsidRDefault="00FF5147" w:rsidP="00FD77CE">
            <w:pPr>
              <w:jc w:val="center"/>
              <w:rPr>
                <w:rFonts w:ascii="Arial" w:hAnsi="Arial" w:cs="Arial"/>
                <w:color w:val="000000" w:themeColor="text1"/>
                <w:sz w:val="24"/>
                <w:szCs w:val="24"/>
              </w:rPr>
            </w:pPr>
          </w:p>
        </w:tc>
        <w:tc>
          <w:tcPr>
            <w:tcW w:w="1464" w:type="dxa"/>
          </w:tcPr>
          <w:p w14:paraId="09DFC879" w14:textId="77777777" w:rsidR="00FF5147" w:rsidRPr="00F3651D" w:rsidRDefault="00FF5147" w:rsidP="00FD77CE">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3651D">
              <w:rPr>
                <w:rFonts w:ascii="Arial" w:hAnsi="Arial" w:cs="Arial"/>
                <w:b/>
                <w:bCs/>
                <w:color w:val="000000" w:themeColor="text1"/>
                <w:sz w:val="24"/>
                <w:szCs w:val="24"/>
              </w:rPr>
              <w:t>FY2020</w:t>
            </w:r>
          </w:p>
        </w:tc>
        <w:tc>
          <w:tcPr>
            <w:cnfStyle w:val="000010000000" w:firstRow="0" w:lastRow="0" w:firstColumn="0" w:lastColumn="0" w:oddVBand="1" w:evenVBand="0" w:oddHBand="0" w:evenHBand="0" w:firstRowFirstColumn="0" w:firstRowLastColumn="0" w:lastRowFirstColumn="0" w:lastRowLastColumn="0"/>
            <w:tcW w:w="1464" w:type="dxa"/>
          </w:tcPr>
          <w:p w14:paraId="691A7CD5" w14:textId="77777777" w:rsidR="00FF5147" w:rsidRPr="00F3651D" w:rsidRDefault="00FF5147" w:rsidP="00FD77CE">
            <w:pPr>
              <w:jc w:val="center"/>
              <w:rPr>
                <w:rFonts w:ascii="Arial" w:hAnsi="Arial" w:cs="Arial"/>
                <w:color w:val="000000" w:themeColor="text1"/>
                <w:sz w:val="24"/>
                <w:szCs w:val="24"/>
              </w:rPr>
            </w:pPr>
            <w:r w:rsidRPr="00F3651D">
              <w:rPr>
                <w:rFonts w:ascii="Arial" w:hAnsi="Arial" w:cs="Arial"/>
                <w:b/>
                <w:bCs/>
                <w:color w:val="000000" w:themeColor="text1"/>
                <w:sz w:val="24"/>
                <w:szCs w:val="24"/>
              </w:rPr>
              <w:t>FY2021</w:t>
            </w:r>
          </w:p>
        </w:tc>
        <w:tc>
          <w:tcPr>
            <w:tcW w:w="1464" w:type="dxa"/>
          </w:tcPr>
          <w:p w14:paraId="3833DE08" w14:textId="77777777" w:rsidR="00FF5147" w:rsidRPr="00F3651D" w:rsidRDefault="00FF5147" w:rsidP="00FD77CE">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3651D">
              <w:rPr>
                <w:rFonts w:ascii="Arial" w:hAnsi="Arial" w:cs="Arial"/>
                <w:b/>
                <w:bCs/>
                <w:color w:val="000000" w:themeColor="text1"/>
                <w:sz w:val="24"/>
                <w:szCs w:val="24"/>
              </w:rPr>
              <w:t>FY2022</w:t>
            </w:r>
          </w:p>
        </w:tc>
        <w:tc>
          <w:tcPr>
            <w:cnfStyle w:val="000010000000" w:firstRow="0" w:lastRow="0" w:firstColumn="0" w:lastColumn="0" w:oddVBand="1" w:evenVBand="0" w:oddHBand="0" w:evenHBand="0" w:firstRowFirstColumn="0" w:firstRowLastColumn="0" w:lastRowFirstColumn="0" w:lastRowLastColumn="0"/>
            <w:tcW w:w="1464" w:type="dxa"/>
          </w:tcPr>
          <w:p w14:paraId="38D9ACE7" w14:textId="77777777" w:rsidR="00FF5147" w:rsidRPr="00F3651D" w:rsidRDefault="00FF5147" w:rsidP="00FD77CE">
            <w:pPr>
              <w:jc w:val="center"/>
              <w:rPr>
                <w:rFonts w:ascii="Arial" w:hAnsi="Arial" w:cs="Arial"/>
                <w:color w:val="000000" w:themeColor="text1"/>
                <w:sz w:val="24"/>
                <w:szCs w:val="24"/>
              </w:rPr>
            </w:pPr>
            <w:r w:rsidRPr="00F3651D">
              <w:rPr>
                <w:rFonts w:ascii="Arial" w:hAnsi="Arial" w:cs="Arial"/>
                <w:b/>
                <w:bCs/>
                <w:color w:val="000000" w:themeColor="text1"/>
                <w:sz w:val="24"/>
                <w:szCs w:val="24"/>
              </w:rPr>
              <w:t>FY2023</w:t>
            </w:r>
          </w:p>
        </w:tc>
        <w:tc>
          <w:tcPr>
            <w:tcW w:w="1464" w:type="dxa"/>
          </w:tcPr>
          <w:p w14:paraId="11CAE526" w14:textId="77777777" w:rsidR="00FF5147" w:rsidRPr="00F3651D" w:rsidRDefault="00FF5147" w:rsidP="00FD77CE">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3651D">
              <w:rPr>
                <w:rFonts w:ascii="Arial" w:hAnsi="Arial" w:cs="Arial"/>
                <w:b/>
                <w:bCs/>
                <w:color w:val="000000" w:themeColor="text1"/>
                <w:sz w:val="24"/>
                <w:szCs w:val="24"/>
              </w:rPr>
              <w:t>FY2024</w:t>
            </w:r>
          </w:p>
        </w:tc>
      </w:tr>
      <w:tr w:rsidR="00FF5147" w:rsidRPr="00F3651D" w14:paraId="0B5BC9B3" w14:textId="77777777" w:rsidTr="00FD77CE">
        <w:trPr>
          <w:trHeight w:val="249"/>
        </w:trPr>
        <w:tc>
          <w:tcPr>
            <w:cnfStyle w:val="000010000000" w:firstRow="0" w:lastRow="0" w:firstColumn="0" w:lastColumn="0" w:oddVBand="1" w:evenVBand="0" w:oddHBand="0" w:evenHBand="0" w:firstRowFirstColumn="0" w:firstRowLastColumn="0" w:lastRowFirstColumn="0" w:lastRowLastColumn="0"/>
            <w:tcW w:w="2816" w:type="dxa"/>
          </w:tcPr>
          <w:p w14:paraId="4C3F8184" w14:textId="77777777" w:rsidR="00FF5147" w:rsidRDefault="00FF5147" w:rsidP="00FD77CE">
            <w:pPr>
              <w:rPr>
                <w:rFonts w:ascii="Arial" w:hAnsi="Arial" w:cs="Arial"/>
                <w:color w:val="000000" w:themeColor="text1"/>
                <w:sz w:val="24"/>
                <w:szCs w:val="24"/>
              </w:rPr>
            </w:pPr>
            <w:r w:rsidRPr="00F3651D">
              <w:rPr>
                <w:rFonts w:ascii="Arial" w:hAnsi="Arial" w:cs="Arial"/>
                <w:color w:val="000000" w:themeColor="text1"/>
                <w:sz w:val="24"/>
                <w:szCs w:val="24"/>
              </w:rPr>
              <w:t>Total revenue</w:t>
            </w:r>
          </w:p>
          <w:p w14:paraId="3B5876DA" w14:textId="77777777" w:rsidR="00FF5147" w:rsidRPr="00F3651D" w:rsidRDefault="00FF5147" w:rsidP="00FD77CE">
            <w:pPr>
              <w:rPr>
                <w:rFonts w:ascii="Arial" w:hAnsi="Arial" w:cs="Arial"/>
                <w:color w:val="000000" w:themeColor="text1"/>
                <w:sz w:val="24"/>
                <w:szCs w:val="24"/>
              </w:rPr>
            </w:pPr>
          </w:p>
        </w:tc>
        <w:tc>
          <w:tcPr>
            <w:tcW w:w="1464" w:type="dxa"/>
          </w:tcPr>
          <w:p w14:paraId="4BD45120" w14:textId="77777777" w:rsidR="00FF5147" w:rsidRPr="00F3651D" w:rsidRDefault="00FF5147" w:rsidP="00FD77C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132,327</w:t>
            </w:r>
          </w:p>
        </w:tc>
        <w:tc>
          <w:tcPr>
            <w:cnfStyle w:val="000010000000" w:firstRow="0" w:lastRow="0" w:firstColumn="0" w:lastColumn="0" w:oddVBand="1" w:evenVBand="0" w:oddHBand="0" w:evenHBand="0" w:firstRowFirstColumn="0" w:firstRowLastColumn="0" w:lastRowFirstColumn="0" w:lastRowLastColumn="0"/>
            <w:tcW w:w="1464" w:type="dxa"/>
          </w:tcPr>
          <w:p w14:paraId="2B3920DA" w14:textId="77777777" w:rsidR="00FF5147" w:rsidRPr="00F3651D" w:rsidRDefault="00FF5147"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195,258</w:t>
            </w:r>
          </w:p>
        </w:tc>
        <w:tc>
          <w:tcPr>
            <w:tcW w:w="1464" w:type="dxa"/>
          </w:tcPr>
          <w:p w14:paraId="49AE1812" w14:textId="77777777" w:rsidR="00FF5147" w:rsidRPr="00F3651D" w:rsidRDefault="00FF5147" w:rsidP="00FD77C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267,620</w:t>
            </w:r>
          </w:p>
        </w:tc>
        <w:tc>
          <w:tcPr>
            <w:cnfStyle w:val="000010000000" w:firstRow="0" w:lastRow="0" w:firstColumn="0" w:lastColumn="0" w:oddVBand="1" w:evenVBand="0" w:oddHBand="0" w:evenHBand="0" w:firstRowFirstColumn="0" w:firstRowLastColumn="0" w:lastRowFirstColumn="0" w:lastRowLastColumn="0"/>
            <w:tcW w:w="1464" w:type="dxa"/>
          </w:tcPr>
          <w:p w14:paraId="36DE5251" w14:textId="77777777" w:rsidR="00FF5147" w:rsidRPr="00F3651D" w:rsidRDefault="00FF5147"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293,790</w:t>
            </w:r>
          </w:p>
        </w:tc>
        <w:tc>
          <w:tcPr>
            <w:tcW w:w="1464" w:type="dxa"/>
          </w:tcPr>
          <w:p w14:paraId="0A08B6DC" w14:textId="77777777" w:rsidR="00FF5147" w:rsidRPr="00F3651D" w:rsidRDefault="00FF5147" w:rsidP="00FD77C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295,604</w:t>
            </w:r>
          </w:p>
        </w:tc>
      </w:tr>
      <w:tr w:rsidR="00FF5147" w:rsidRPr="00F3651D" w14:paraId="449C14C4" w14:textId="77777777" w:rsidTr="00FD77CE">
        <w:trPr>
          <w:cnfStyle w:val="000000100000" w:firstRow="0" w:lastRow="0" w:firstColumn="0" w:lastColumn="0" w:oddVBand="0" w:evenVBand="0" w:oddHBand="1" w:evenHBand="0" w:firstRowFirstColumn="0" w:firstRowLastColumn="0" w:lastRowFirstColumn="0" w:lastRowLastColumn="0"/>
          <w:trHeight w:val="249"/>
        </w:trPr>
        <w:tc>
          <w:tcPr>
            <w:cnfStyle w:val="000010000000" w:firstRow="0" w:lastRow="0" w:firstColumn="0" w:lastColumn="0" w:oddVBand="1" w:evenVBand="0" w:oddHBand="0" w:evenHBand="0" w:firstRowFirstColumn="0" w:firstRowLastColumn="0" w:lastRowFirstColumn="0" w:lastRowLastColumn="0"/>
            <w:tcW w:w="2816" w:type="dxa"/>
          </w:tcPr>
          <w:p w14:paraId="5B559F35" w14:textId="77777777" w:rsidR="00FF5147" w:rsidRDefault="00FF5147" w:rsidP="00FD77CE">
            <w:pPr>
              <w:rPr>
                <w:rFonts w:ascii="Arial" w:hAnsi="Arial" w:cs="Arial"/>
                <w:color w:val="000000" w:themeColor="text1"/>
                <w:sz w:val="24"/>
                <w:szCs w:val="24"/>
              </w:rPr>
            </w:pPr>
            <w:r w:rsidRPr="00F3651D">
              <w:rPr>
                <w:rFonts w:ascii="Arial" w:hAnsi="Arial" w:cs="Arial"/>
                <w:color w:val="000000" w:themeColor="text1"/>
                <w:sz w:val="24"/>
                <w:szCs w:val="24"/>
              </w:rPr>
              <w:t>Gross profit</w:t>
            </w:r>
          </w:p>
          <w:p w14:paraId="7EC9A385" w14:textId="77777777" w:rsidR="00FF5147" w:rsidRPr="00F3651D" w:rsidRDefault="00FF5147" w:rsidP="00FD77CE">
            <w:pPr>
              <w:rPr>
                <w:rFonts w:ascii="Arial" w:hAnsi="Arial" w:cs="Arial"/>
                <w:color w:val="000000" w:themeColor="text1"/>
                <w:sz w:val="24"/>
                <w:szCs w:val="24"/>
              </w:rPr>
            </w:pPr>
          </w:p>
        </w:tc>
        <w:tc>
          <w:tcPr>
            <w:tcW w:w="1464" w:type="dxa"/>
          </w:tcPr>
          <w:p w14:paraId="18931B68" w14:textId="77777777" w:rsidR="00FF5147" w:rsidRPr="00F3651D" w:rsidRDefault="00FF5147" w:rsidP="00FD77CE">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112,892</w:t>
            </w:r>
          </w:p>
        </w:tc>
        <w:tc>
          <w:tcPr>
            <w:cnfStyle w:val="000010000000" w:firstRow="0" w:lastRow="0" w:firstColumn="0" w:lastColumn="0" w:oddVBand="1" w:evenVBand="0" w:oddHBand="0" w:evenHBand="0" w:firstRowFirstColumn="0" w:firstRowLastColumn="0" w:lastRowFirstColumn="0" w:lastRowLastColumn="0"/>
            <w:tcW w:w="1464" w:type="dxa"/>
          </w:tcPr>
          <w:p w14:paraId="5E8F2272" w14:textId="77777777" w:rsidR="00FF5147" w:rsidRPr="00F3651D" w:rsidRDefault="00FF5147"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165,207</w:t>
            </w:r>
          </w:p>
        </w:tc>
        <w:tc>
          <w:tcPr>
            <w:tcW w:w="1464" w:type="dxa"/>
          </w:tcPr>
          <w:p w14:paraId="34295C10" w14:textId="77777777" w:rsidR="00FF5147" w:rsidRPr="00F3651D" w:rsidRDefault="00FF5147" w:rsidP="00FD77CE">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231,611</w:t>
            </w:r>
          </w:p>
        </w:tc>
        <w:tc>
          <w:tcPr>
            <w:cnfStyle w:val="000010000000" w:firstRow="0" w:lastRow="0" w:firstColumn="0" w:lastColumn="0" w:oddVBand="1" w:evenVBand="0" w:oddHBand="0" w:evenHBand="0" w:firstRowFirstColumn="0" w:firstRowLastColumn="0" w:lastRowFirstColumn="0" w:lastRowLastColumn="0"/>
            <w:tcW w:w="1464" w:type="dxa"/>
          </w:tcPr>
          <w:p w14:paraId="31BD93D3" w14:textId="77777777" w:rsidR="00FF5147" w:rsidRPr="00F3651D" w:rsidRDefault="00FF5147"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254,788</w:t>
            </w:r>
          </w:p>
        </w:tc>
        <w:tc>
          <w:tcPr>
            <w:tcW w:w="1464" w:type="dxa"/>
          </w:tcPr>
          <w:p w14:paraId="50DCE077" w14:textId="77777777" w:rsidR="00FF5147" w:rsidRPr="00F3651D" w:rsidRDefault="00FF5147" w:rsidP="00FD77CE">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254,619</w:t>
            </w:r>
          </w:p>
        </w:tc>
      </w:tr>
      <w:tr w:rsidR="00FF5147" w:rsidRPr="00F3651D" w14:paraId="570B5980" w14:textId="77777777" w:rsidTr="00FD77CE">
        <w:trPr>
          <w:trHeight w:val="513"/>
        </w:trPr>
        <w:tc>
          <w:tcPr>
            <w:cnfStyle w:val="000010000000" w:firstRow="0" w:lastRow="0" w:firstColumn="0" w:lastColumn="0" w:oddVBand="1" w:evenVBand="0" w:oddHBand="0" w:evenHBand="0" w:firstRowFirstColumn="0" w:firstRowLastColumn="0" w:lastRowFirstColumn="0" w:lastRowLastColumn="0"/>
            <w:tcW w:w="2816" w:type="dxa"/>
          </w:tcPr>
          <w:p w14:paraId="32D56D62" w14:textId="77777777" w:rsidR="00FF5147" w:rsidRPr="00F3651D" w:rsidRDefault="00FF5147" w:rsidP="00FD77CE">
            <w:pPr>
              <w:rPr>
                <w:rFonts w:ascii="Arial" w:hAnsi="Arial" w:cs="Arial"/>
                <w:color w:val="000000" w:themeColor="text1"/>
                <w:sz w:val="24"/>
                <w:szCs w:val="24"/>
              </w:rPr>
            </w:pPr>
            <w:r w:rsidRPr="00F3651D">
              <w:rPr>
                <w:rFonts w:ascii="Arial" w:hAnsi="Arial" w:cs="Arial"/>
                <w:color w:val="000000" w:themeColor="text1"/>
                <w:sz w:val="24"/>
                <w:szCs w:val="24"/>
              </w:rPr>
              <w:t>Operating income (EBIT)</w:t>
            </w:r>
          </w:p>
        </w:tc>
        <w:tc>
          <w:tcPr>
            <w:tcW w:w="1464" w:type="dxa"/>
          </w:tcPr>
          <w:p w14:paraId="40D21BB3" w14:textId="77777777" w:rsidR="00FF5147" w:rsidRPr="00F3651D" w:rsidRDefault="00FF5147" w:rsidP="00FD77C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2,746</w:t>
            </w:r>
          </w:p>
        </w:tc>
        <w:tc>
          <w:tcPr>
            <w:cnfStyle w:val="000010000000" w:firstRow="0" w:lastRow="0" w:firstColumn="0" w:lastColumn="0" w:oddVBand="1" w:evenVBand="0" w:oddHBand="0" w:evenHBand="0" w:firstRowFirstColumn="0" w:firstRowLastColumn="0" w:lastRowFirstColumn="0" w:lastRowLastColumn="0"/>
            <w:tcW w:w="1464" w:type="dxa"/>
          </w:tcPr>
          <w:p w14:paraId="577D665C" w14:textId="77777777" w:rsidR="00FF5147" w:rsidRPr="00F3651D" w:rsidRDefault="00FF5147"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38,548</w:t>
            </w:r>
          </w:p>
        </w:tc>
        <w:tc>
          <w:tcPr>
            <w:tcW w:w="1464" w:type="dxa"/>
          </w:tcPr>
          <w:p w14:paraId="00CCCA71" w14:textId="77777777" w:rsidR="00FF5147" w:rsidRPr="00F3651D" w:rsidRDefault="00FF5147" w:rsidP="00FD77C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71,459</w:t>
            </w:r>
          </w:p>
        </w:tc>
        <w:tc>
          <w:tcPr>
            <w:cnfStyle w:val="000010000000" w:firstRow="0" w:lastRow="0" w:firstColumn="0" w:lastColumn="0" w:oddVBand="1" w:evenVBand="0" w:oddHBand="0" w:evenHBand="0" w:firstRowFirstColumn="0" w:firstRowLastColumn="0" w:lastRowFirstColumn="0" w:lastRowLastColumn="0"/>
            <w:tcW w:w="1464" w:type="dxa"/>
          </w:tcPr>
          <w:p w14:paraId="4B7EFD8F" w14:textId="77777777" w:rsidR="00FF5147" w:rsidRPr="00F3651D" w:rsidRDefault="00FF5147"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51,484</w:t>
            </w:r>
          </w:p>
        </w:tc>
        <w:tc>
          <w:tcPr>
            <w:tcW w:w="1464" w:type="dxa"/>
          </w:tcPr>
          <w:p w14:paraId="61D22CBE" w14:textId="77777777" w:rsidR="00FF5147" w:rsidRPr="00F3651D" w:rsidRDefault="00FF5147" w:rsidP="00FD77C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18,805</w:t>
            </w:r>
          </w:p>
        </w:tc>
      </w:tr>
      <w:tr w:rsidR="00FF5147" w:rsidRPr="00F3651D" w14:paraId="680E4CB4" w14:textId="77777777" w:rsidTr="00FD77CE">
        <w:trPr>
          <w:cnfStyle w:val="000000100000" w:firstRow="0" w:lastRow="0" w:firstColumn="0" w:lastColumn="0" w:oddVBand="0" w:evenVBand="0" w:oddHBand="1" w:evenHBand="0" w:firstRowFirstColumn="0" w:firstRowLastColumn="0" w:lastRowFirstColumn="0" w:lastRowLastColumn="0"/>
          <w:trHeight w:val="249"/>
        </w:trPr>
        <w:tc>
          <w:tcPr>
            <w:cnfStyle w:val="000010000000" w:firstRow="0" w:lastRow="0" w:firstColumn="0" w:lastColumn="0" w:oddVBand="1" w:evenVBand="0" w:oddHBand="0" w:evenHBand="0" w:firstRowFirstColumn="0" w:firstRowLastColumn="0" w:lastRowFirstColumn="0" w:lastRowLastColumn="0"/>
            <w:tcW w:w="2816" w:type="dxa"/>
          </w:tcPr>
          <w:p w14:paraId="69757397" w14:textId="77777777" w:rsidR="00FF5147" w:rsidRDefault="00FF5147" w:rsidP="00FD77CE">
            <w:pPr>
              <w:rPr>
                <w:rFonts w:ascii="Arial" w:hAnsi="Arial" w:cs="Arial"/>
                <w:color w:val="000000" w:themeColor="text1"/>
                <w:sz w:val="24"/>
                <w:szCs w:val="24"/>
              </w:rPr>
            </w:pPr>
            <w:r w:rsidRPr="00F3651D">
              <w:rPr>
                <w:rFonts w:ascii="Arial" w:hAnsi="Arial" w:cs="Arial"/>
                <w:color w:val="000000" w:themeColor="text1"/>
                <w:sz w:val="24"/>
                <w:szCs w:val="24"/>
              </w:rPr>
              <w:t>Interest expense, net</w:t>
            </w:r>
          </w:p>
          <w:p w14:paraId="59E05DDE" w14:textId="77777777" w:rsidR="00FF5147" w:rsidRPr="00F3651D" w:rsidRDefault="00FF5147" w:rsidP="00FD77CE">
            <w:pPr>
              <w:rPr>
                <w:rFonts w:ascii="Arial" w:hAnsi="Arial" w:cs="Arial"/>
                <w:color w:val="000000" w:themeColor="text1"/>
                <w:sz w:val="24"/>
                <w:szCs w:val="24"/>
              </w:rPr>
            </w:pPr>
          </w:p>
        </w:tc>
        <w:tc>
          <w:tcPr>
            <w:tcW w:w="1464" w:type="dxa"/>
          </w:tcPr>
          <w:p w14:paraId="0F7DEAB6" w14:textId="77777777" w:rsidR="00FF5147" w:rsidRPr="00F3651D" w:rsidRDefault="00FF5147" w:rsidP="00FD77CE">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9,487</w:t>
            </w:r>
          </w:p>
        </w:tc>
        <w:tc>
          <w:tcPr>
            <w:cnfStyle w:val="000010000000" w:firstRow="0" w:lastRow="0" w:firstColumn="0" w:lastColumn="0" w:oddVBand="1" w:evenVBand="0" w:oddHBand="0" w:evenHBand="0" w:firstRowFirstColumn="0" w:firstRowLastColumn="0" w:lastRowFirstColumn="0" w:lastRowLastColumn="0"/>
            <w:tcW w:w="1464" w:type="dxa"/>
          </w:tcPr>
          <w:p w14:paraId="6CA21285" w14:textId="77777777" w:rsidR="00FF5147" w:rsidRPr="00F3651D" w:rsidRDefault="00FF5147"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9,739</w:t>
            </w:r>
          </w:p>
        </w:tc>
        <w:tc>
          <w:tcPr>
            <w:tcW w:w="1464" w:type="dxa"/>
          </w:tcPr>
          <w:p w14:paraId="20AD6052" w14:textId="77777777" w:rsidR="00FF5147" w:rsidRPr="00F3651D" w:rsidRDefault="00FF5147" w:rsidP="00FD77CE">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11,539</w:t>
            </w:r>
          </w:p>
        </w:tc>
        <w:tc>
          <w:tcPr>
            <w:cnfStyle w:val="000010000000" w:firstRow="0" w:lastRow="0" w:firstColumn="0" w:lastColumn="0" w:oddVBand="1" w:evenVBand="0" w:oddHBand="0" w:evenHBand="0" w:firstRowFirstColumn="0" w:firstRowLastColumn="0" w:lastRowFirstColumn="0" w:lastRowLastColumn="0"/>
            <w:tcW w:w="1464" w:type="dxa"/>
          </w:tcPr>
          <w:p w14:paraId="3654E1C3" w14:textId="77777777" w:rsidR="00FF5147" w:rsidRPr="00F3651D" w:rsidRDefault="00FF5147"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15,538</w:t>
            </w:r>
          </w:p>
        </w:tc>
        <w:tc>
          <w:tcPr>
            <w:tcW w:w="1464" w:type="dxa"/>
          </w:tcPr>
          <w:p w14:paraId="7165C39D" w14:textId="77777777" w:rsidR="00FF5147" w:rsidRPr="00F3651D" w:rsidRDefault="00FF5147" w:rsidP="00FD77CE">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16,197</w:t>
            </w:r>
          </w:p>
        </w:tc>
      </w:tr>
      <w:tr w:rsidR="00FF5147" w:rsidRPr="00F3651D" w14:paraId="14764B6F" w14:textId="77777777" w:rsidTr="00FD77CE">
        <w:trPr>
          <w:trHeight w:val="499"/>
        </w:trPr>
        <w:tc>
          <w:tcPr>
            <w:cnfStyle w:val="000010000000" w:firstRow="0" w:lastRow="0" w:firstColumn="0" w:lastColumn="0" w:oddVBand="1" w:evenVBand="0" w:oddHBand="0" w:evenHBand="0" w:firstRowFirstColumn="0" w:firstRowLastColumn="0" w:lastRowFirstColumn="0" w:lastRowLastColumn="0"/>
            <w:tcW w:w="2816" w:type="dxa"/>
          </w:tcPr>
          <w:p w14:paraId="07A17A2C" w14:textId="77777777" w:rsidR="00FF5147" w:rsidRPr="00F3651D" w:rsidRDefault="00FF5147" w:rsidP="00FD77CE">
            <w:pPr>
              <w:rPr>
                <w:rFonts w:ascii="Arial" w:hAnsi="Arial" w:cs="Arial"/>
                <w:color w:val="000000" w:themeColor="text1"/>
                <w:sz w:val="24"/>
                <w:szCs w:val="24"/>
              </w:rPr>
            </w:pPr>
            <w:r w:rsidRPr="00F3651D">
              <w:rPr>
                <w:rFonts w:ascii="Arial" w:hAnsi="Arial" w:cs="Arial"/>
                <w:color w:val="000000" w:themeColor="text1"/>
                <w:sz w:val="24"/>
                <w:szCs w:val="24"/>
              </w:rPr>
              <w:t>Net income attrib. to RCIHH</w:t>
            </w:r>
          </w:p>
        </w:tc>
        <w:tc>
          <w:tcPr>
            <w:tcW w:w="1464" w:type="dxa"/>
          </w:tcPr>
          <w:p w14:paraId="58D8A939" w14:textId="77777777" w:rsidR="00FF5147" w:rsidRPr="00F3651D" w:rsidRDefault="00FF5147" w:rsidP="00FD77C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(6,085)</w:t>
            </w:r>
          </w:p>
        </w:tc>
        <w:tc>
          <w:tcPr>
            <w:cnfStyle w:val="000010000000" w:firstRow="0" w:lastRow="0" w:firstColumn="0" w:lastColumn="0" w:oddVBand="1" w:evenVBand="0" w:oddHBand="0" w:evenHBand="0" w:firstRowFirstColumn="0" w:firstRowLastColumn="0" w:lastRowFirstColumn="0" w:lastRowLastColumn="0"/>
            <w:tcW w:w="1464" w:type="dxa"/>
          </w:tcPr>
          <w:p w14:paraId="0AE0D53D" w14:textId="77777777" w:rsidR="00FF5147" w:rsidRPr="00F3651D" w:rsidRDefault="00FF5147"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30,336</w:t>
            </w:r>
          </w:p>
        </w:tc>
        <w:tc>
          <w:tcPr>
            <w:tcW w:w="1464" w:type="dxa"/>
          </w:tcPr>
          <w:p w14:paraId="6E613D5B" w14:textId="77777777" w:rsidR="00FF5147" w:rsidRPr="00F3651D" w:rsidRDefault="00FF5147" w:rsidP="00FD77C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46,041</w:t>
            </w:r>
          </w:p>
        </w:tc>
        <w:tc>
          <w:tcPr>
            <w:cnfStyle w:val="000010000000" w:firstRow="0" w:lastRow="0" w:firstColumn="0" w:lastColumn="0" w:oddVBand="1" w:evenVBand="0" w:oddHBand="0" w:evenHBand="0" w:firstRowFirstColumn="0" w:firstRowLastColumn="0" w:lastRowFirstColumn="0" w:lastRowLastColumn="0"/>
            <w:tcW w:w="1464" w:type="dxa"/>
          </w:tcPr>
          <w:p w14:paraId="237BAEBE" w14:textId="77777777" w:rsidR="00FF5147" w:rsidRPr="00F3651D" w:rsidRDefault="00FF5147"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29,246</w:t>
            </w:r>
          </w:p>
        </w:tc>
        <w:tc>
          <w:tcPr>
            <w:tcW w:w="1464" w:type="dxa"/>
          </w:tcPr>
          <w:p w14:paraId="5AEB6B0A" w14:textId="77777777" w:rsidR="00FF5147" w:rsidRPr="00F3651D" w:rsidRDefault="00FF5147" w:rsidP="00FD77CE">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3,011</w:t>
            </w:r>
          </w:p>
        </w:tc>
      </w:tr>
      <w:tr w:rsidR="00FF5147" w:rsidRPr="00F3651D" w14:paraId="4F0E0BE0" w14:textId="77777777" w:rsidTr="00FD77CE">
        <w:trPr>
          <w:cnfStyle w:val="000000100000" w:firstRow="0" w:lastRow="0" w:firstColumn="0" w:lastColumn="0" w:oddVBand="0" w:evenVBand="0" w:oddHBand="1" w:evenHBand="0" w:firstRowFirstColumn="0" w:firstRowLastColumn="0" w:lastRowFirstColumn="0" w:lastRowLastColumn="0"/>
          <w:trHeight w:val="499"/>
        </w:trPr>
        <w:tc>
          <w:tcPr>
            <w:cnfStyle w:val="000010000000" w:firstRow="0" w:lastRow="0" w:firstColumn="0" w:lastColumn="0" w:oddVBand="1" w:evenVBand="0" w:oddHBand="0" w:evenHBand="0" w:firstRowFirstColumn="0" w:firstRowLastColumn="0" w:lastRowFirstColumn="0" w:lastRowLastColumn="0"/>
            <w:tcW w:w="2816" w:type="dxa"/>
          </w:tcPr>
          <w:p w14:paraId="19388AEA" w14:textId="77777777" w:rsidR="00FF5147" w:rsidRPr="00F3651D" w:rsidRDefault="00FF5147" w:rsidP="00FD77CE">
            <w:pPr>
              <w:rPr>
                <w:rFonts w:ascii="Arial" w:hAnsi="Arial" w:cs="Arial"/>
                <w:color w:val="000000" w:themeColor="text1"/>
                <w:sz w:val="24"/>
                <w:szCs w:val="24"/>
              </w:rPr>
            </w:pPr>
            <w:r w:rsidRPr="00F3651D">
              <w:rPr>
                <w:rFonts w:ascii="Arial" w:hAnsi="Arial" w:cs="Arial"/>
                <w:color w:val="000000" w:themeColor="text1"/>
                <w:sz w:val="24"/>
                <w:szCs w:val="24"/>
              </w:rPr>
              <w:t>EPS, basic &amp; diluted ($)</w:t>
            </w:r>
          </w:p>
        </w:tc>
        <w:tc>
          <w:tcPr>
            <w:tcW w:w="1464" w:type="dxa"/>
          </w:tcPr>
          <w:p w14:paraId="2935DF38" w14:textId="77777777" w:rsidR="00FF5147" w:rsidRPr="00F3651D" w:rsidRDefault="00FF5147" w:rsidP="00FD77CE">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(0.66)</w:t>
            </w:r>
          </w:p>
        </w:tc>
        <w:tc>
          <w:tcPr>
            <w:cnfStyle w:val="000010000000" w:firstRow="0" w:lastRow="0" w:firstColumn="0" w:lastColumn="0" w:oddVBand="1" w:evenVBand="0" w:oddHBand="0" w:evenHBand="0" w:firstRowFirstColumn="0" w:firstRowLastColumn="0" w:lastRowFirstColumn="0" w:lastRowLastColumn="0"/>
            <w:tcW w:w="1464" w:type="dxa"/>
          </w:tcPr>
          <w:p w14:paraId="12C12144" w14:textId="77777777" w:rsidR="00FF5147" w:rsidRPr="00F3651D" w:rsidRDefault="00FF5147"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3.37</w:t>
            </w:r>
          </w:p>
        </w:tc>
        <w:tc>
          <w:tcPr>
            <w:tcW w:w="1464" w:type="dxa"/>
          </w:tcPr>
          <w:p w14:paraId="1625F0D7" w14:textId="77777777" w:rsidR="00FF5147" w:rsidRPr="00F3651D" w:rsidRDefault="00FF5147" w:rsidP="00FD77CE">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4.91</w:t>
            </w:r>
          </w:p>
        </w:tc>
        <w:tc>
          <w:tcPr>
            <w:cnfStyle w:val="000010000000" w:firstRow="0" w:lastRow="0" w:firstColumn="0" w:lastColumn="0" w:oddVBand="1" w:evenVBand="0" w:oddHBand="0" w:evenHBand="0" w:firstRowFirstColumn="0" w:firstRowLastColumn="0" w:lastRowFirstColumn="0" w:lastRowLastColumn="0"/>
            <w:tcW w:w="1464" w:type="dxa"/>
          </w:tcPr>
          <w:p w14:paraId="4895385A" w14:textId="77777777" w:rsidR="00FF5147" w:rsidRPr="00F3651D" w:rsidRDefault="00FF5147"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3.13</w:t>
            </w:r>
          </w:p>
        </w:tc>
        <w:tc>
          <w:tcPr>
            <w:tcW w:w="1464" w:type="dxa"/>
          </w:tcPr>
          <w:p w14:paraId="1F9FC324" w14:textId="77777777" w:rsidR="00FF5147" w:rsidRPr="00F3651D" w:rsidRDefault="00FF5147" w:rsidP="00FD77CE">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3651D">
              <w:rPr>
                <w:rFonts w:ascii="Arial" w:hAnsi="Arial" w:cs="Arial"/>
                <w:color w:val="000000" w:themeColor="text1"/>
                <w:sz w:val="24"/>
                <w:szCs w:val="24"/>
              </w:rPr>
              <w:t>0.33</w:t>
            </w:r>
          </w:p>
        </w:tc>
      </w:tr>
    </w:tbl>
    <w:p w14:paraId="5A7B33AB" w14:textId="77777777" w:rsidR="00570D54" w:rsidRDefault="00570D54" w:rsidP="002F173B">
      <w:pPr>
        <w:spacing w:before="80" w:after="240"/>
        <w:rPr>
          <w:rFonts w:ascii="Arial" w:hAnsi="Arial" w:cs="Arial"/>
          <w:color w:val="000000" w:themeColor="text1"/>
          <w:sz w:val="24"/>
          <w:szCs w:val="24"/>
        </w:rPr>
      </w:pPr>
    </w:p>
    <w:p w14:paraId="3EC88277" w14:textId="2FCCAFA6" w:rsidR="002F173B" w:rsidRDefault="002F173B" w:rsidP="002F173B">
      <w:pPr>
        <w:spacing w:before="80" w:after="240"/>
        <w:rPr>
          <w:rFonts w:ascii="Arial" w:hAnsi="Arial" w:cs="Arial"/>
          <w:color w:val="000000" w:themeColor="text1"/>
          <w:sz w:val="24"/>
          <w:szCs w:val="24"/>
        </w:rPr>
      </w:pPr>
      <w:r w:rsidRPr="00995299">
        <w:rPr>
          <w:rFonts w:ascii="Arial" w:hAnsi="Arial" w:cs="Arial"/>
          <w:color w:val="000000" w:themeColor="text1"/>
          <w:sz w:val="24"/>
          <w:szCs w:val="24"/>
        </w:rPr>
        <w:t>Table 2: RCI Hospitality Holdings — Summary Ratio Analysis, FY2020–FY2024. Source: author's calculations from RCI Hospitality Holdings, Inc. 10-K filings (2020, 2022, 2023, 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900"/>
        <w:gridCol w:w="1292"/>
        <w:gridCol w:w="1292"/>
        <w:gridCol w:w="1292"/>
        <w:gridCol w:w="1292"/>
        <w:gridCol w:w="1292"/>
      </w:tblGrid>
      <w:tr w:rsidR="002F173B" w:rsidRPr="00F3651D" w14:paraId="74AE470B" w14:textId="77777777" w:rsidTr="00FD77CE">
        <w:trPr>
          <w:tblHeader/>
        </w:trPr>
        <w:tc>
          <w:tcPr>
            <w:tcW w:w="2900" w:type="dxa"/>
            <w:shd w:val="clear" w:color="auto" w:fill="1F3B57"/>
            <w:tcMar>
              <w:top w:w="60" w:type="dxa"/>
              <w:left w:w="100" w:type="dxa"/>
              <w:bottom w:w="60" w:type="dxa"/>
              <w:right w:w="100" w:type="dxa"/>
            </w:tcMar>
            <w:vAlign w:val="center"/>
          </w:tcPr>
          <w:p w14:paraId="15B4E36A"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b/>
                <w:bCs/>
                <w:color w:val="000000" w:themeColor="text1"/>
                <w:sz w:val="24"/>
                <w:szCs w:val="24"/>
              </w:rPr>
              <w:t>Ratio</w:t>
            </w:r>
          </w:p>
        </w:tc>
        <w:tc>
          <w:tcPr>
            <w:tcW w:w="1292" w:type="dxa"/>
            <w:shd w:val="clear" w:color="auto" w:fill="1F3B57"/>
            <w:tcMar>
              <w:top w:w="60" w:type="dxa"/>
              <w:left w:w="100" w:type="dxa"/>
              <w:bottom w:w="60" w:type="dxa"/>
              <w:right w:w="100" w:type="dxa"/>
            </w:tcMar>
            <w:vAlign w:val="center"/>
          </w:tcPr>
          <w:p w14:paraId="578516CC"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b/>
                <w:bCs/>
                <w:color w:val="000000" w:themeColor="text1"/>
                <w:sz w:val="24"/>
                <w:szCs w:val="24"/>
              </w:rPr>
              <w:t>FY2020</w:t>
            </w:r>
          </w:p>
        </w:tc>
        <w:tc>
          <w:tcPr>
            <w:tcW w:w="1292" w:type="dxa"/>
            <w:shd w:val="clear" w:color="auto" w:fill="1F3B57"/>
            <w:tcMar>
              <w:top w:w="60" w:type="dxa"/>
              <w:left w:w="100" w:type="dxa"/>
              <w:bottom w:w="60" w:type="dxa"/>
              <w:right w:w="100" w:type="dxa"/>
            </w:tcMar>
            <w:vAlign w:val="center"/>
          </w:tcPr>
          <w:p w14:paraId="27C88047"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b/>
                <w:bCs/>
                <w:color w:val="000000" w:themeColor="text1"/>
                <w:sz w:val="24"/>
                <w:szCs w:val="24"/>
              </w:rPr>
              <w:t>FY2021</w:t>
            </w:r>
          </w:p>
        </w:tc>
        <w:tc>
          <w:tcPr>
            <w:tcW w:w="1292" w:type="dxa"/>
            <w:shd w:val="clear" w:color="auto" w:fill="1F3B57"/>
            <w:tcMar>
              <w:top w:w="60" w:type="dxa"/>
              <w:left w:w="100" w:type="dxa"/>
              <w:bottom w:w="60" w:type="dxa"/>
              <w:right w:w="100" w:type="dxa"/>
            </w:tcMar>
            <w:vAlign w:val="center"/>
          </w:tcPr>
          <w:p w14:paraId="51EDFA69"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b/>
                <w:bCs/>
                <w:color w:val="000000" w:themeColor="text1"/>
                <w:sz w:val="24"/>
                <w:szCs w:val="24"/>
              </w:rPr>
              <w:t>FY2022</w:t>
            </w:r>
          </w:p>
        </w:tc>
        <w:tc>
          <w:tcPr>
            <w:tcW w:w="1292" w:type="dxa"/>
            <w:shd w:val="clear" w:color="auto" w:fill="1F3B57"/>
            <w:tcMar>
              <w:top w:w="60" w:type="dxa"/>
              <w:left w:w="100" w:type="dxa"/>
              <w:bottom w:w="60" w:type="dxa"/>
              <w:right w:w="100" w:type="dxa"/>
            </w:tcMar>
            <w:vAlign w:val="center"/>
          </w:tcPr>
          <w:p w14:paraId="31AC6716"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b/>
                <w:bCs/>
                <w:color w:val="000000" w:themeColor="text1"/>
                <w:sz w:val="24"/>
                <w:szCs w:val="24"/>
              </w:rPr>
              <w:t>FY2023</w:t>
            </w:r>
          </w:p>
        </w:tc>
        <w:tc>
          <w:tcPr>
            <w:tcW w:w="1292" w:type="dxa"/>
            <w:shd w:val="clear" w:color="auto" w:fill="1F3B57"/>
            <w:tcMar>
              <w:top w:w="60" w:type="dxa"/>
              <w:left w:w="100" w:type="dxa"/>
              <w:bottom w:w="60" w:type="dxa"/>
              <w:right w:w="100" w:type="dxa"/>
            </w:tcMar>
            <w:vAlign w:val="center"/>
          </w:tcPr>
          <w:p w14:paraId="3DFB81C5"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b/>
                <w:bCs/>
                <w:color w:val="000000" w:themeColor="text1"/>
                <w:sz w:val="24"/>
                <w:szCs w:val="24"/>
              </w:rPr>
              <w:t>FY2024</w:t>
            </w:r>
          </w:p>
        </w:tc>
      </w:tr>
      <w:tr w:rsidR="002F173B" w:rsidRPr="00F3651D" w14:paraId="2F912518" w14:textId="77777777" w:rsidTr="00FD77CE">
        <w:tc>
          <w:tcPr>
            <w:tcW w:w="2900" w:type="dxa"/>
            <w:shd w:val="clear" w:color="auto" w:fill="F2F5F8"/>
            <w:tcMar>
              <w:top w:w="50" w:type="dxa"/>
              <w:left w:w="100" w:type="dxa"/>
              <w:bottom w:w="50" w:type="dxa"/>
              <w:right w:w="100" w:type="dxa"/>
            </w:tcMar>
            <w:vAlign w:val="center"/>
          </w:tcPr>
          <w:p w14:paraId="5CE86116"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Gross margin %</w:t>
            </w:r>
          </w:p>
        </w:tc>
        <w:tc>
          <w:tcPr>
            <w:tcW w:w="1292" w:type="dxa"/>
            <w:shd w:val="clear" w:color="auto" w:fill="F2F5F8"/>
            <w:tcMar>
              <w:top w:w="50" w:type="dxa"/>
              <w:left w:w="100" w:type="dxa"/>
              <w:bottom w:w="50" w:type="dxa"/>
              <w:right w:w="100" w:type="dxa"/>
            </w:tcMar>
            <w:vAlign w:val="center"/>
          </w:tcPr>
          <w:p w14:paraId="59E17F01"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85.3</w:t>
            </w:r>
          </w:p>
        </w:tc>
        <w:tc>
          <w:tcPr>
            <w:tcW w:w="1292" w:type="dxa"/>
            <w:shd w:val="clear" w:color="auto" w:fill="F2F5F8"/>
            <w:tcMar>
              <w:top w:w="50" w:type="dxa"/>
              <w:left w:w="100" w:type="dxa"/>
              <w:bottom w:w="50" w:type="dxa"/>
              <w:right w:w="100" w:type="dxa"/>
            </w:tcMar>
            <w:vAlign w:val="center"/>
          </w:tcPr>
          <w:p w14:paraId="3AD2266D"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84.6</w:t>
            </w:r>
          </w:p>
        </w:tc>
        <w:tc>
          <w:tcPr>
            <w:tcW w:w="1292" w:type="dxa"/>
            <w:shd w:val="clear" w:color="auto" w:fill="F2F5F8"/>
            <w:tcMar>
              <w:top w:w="50" w:type="dxa"/>
              <w:left w:w="100" w:type="dxa"/>
              <w:bottom w:w="50" w:type="dxa"/>
              <w:right w:w="100" w:type="dxa"/>
            </w:tcMar>
            <w:vAlign w:val="center"/>
          </w:tcPr>
          <w:p w14:paraId="2B18EE01"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86.5</w:t>
            </w:r>
          </w:p>
        </w:tc>
        <w:tc>
          <w:tcPr>
            <w:tcW w:w="1292" w:type="dxa"/>
            <w:shd w:val="clear" w:color="auto" w:fill="F2F5F8"/>
            <w:tcMar>
              <w:top w:w="50" w:type="dxa"/>
              <w:left w:w="100" w:type="dxa"/>
              <w:bottom w:w="50" w:type="dxa"/>
              <w:right w:w="100" w:type="dxa"/>
            </w:tcMar>
            <w:vAlign w:val="center"/>
          </w:tcPr>
          <w:p w14:paraId="766F5DFF"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86.7</w:t>
            </w:r>
          </w:p>
        </w:tc>
        <w:tc>
          <w:tcPr>
            <w:tcW w:w="1292" w:type="dxa"/>
            <w:shd w:val="clear" w:color="auto" w:fill="F2F5F8"/>
            <w:tcMar>
              <w:top w:w="50" w:type="dxa"/>
              <w:left w:w="100" w:type="dxa"/>
              <w:bottom w:w="50" w:type="dxa"/>
              <w:right w:w="100" w:type="dxa"/>
            </w:tcMar>
            <w:vAlign w:val="center"/>
          </w:tcPr>
          <w:p w14:paraId="29760456"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86.1</w:t>
            </w:r>
          </w:p>
        </w:tc>
      </w:tr>
      <w:tr w:rsidR="002F173B" w:rsidRPr="00F3651D" w14:paraId="169FC302" w14:textId="77777777" w:rsidTr="00FD77CE">
        <w:tc>
          <w:tcPr>
            <w:tcW w:w="2900" w:type="dxa"/>
            <w:shd w:val="clear" w:color="auto" w:fill="FFFFFF"/>
            <w:tcMar>
              <w:top w:w="50" w:type="dxa"/>
              <w:left w:w="100" w:type="dxa"/>
              <w:bottom w:w="50" w:type="dxa"/>
              <w:right w:w="100" w:type="dxa"/>
            </w:tcMar>
            <w:vAlign w:val="center"/>
          </w:tcPr>
          <w:p w14:paraId="6E48D8FE"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Operating margin %</w:t>
            </w:r>
          </w:p>
        </w:tc>
        <w:tc>
          <w:tcPr>
            <w:tcW w:w="1292" w:type="dxa"/>
            <w:shd w:val="clear" w:color="auto" w:fill="FFFFFF"/>
            <w:tcMar>
              <w:top w:w="50" w:type="dxa"/>
              <w:left w:w="100" w:type="dxa"/>
              <w:bottom w:w="50" w:type="dxa"/>
              <w:right w:w="100" w:type="dxa"/>
            </w:tcMar>
            <w:vAlign w:val="center"/>
          </w:tcPr>
          <w:p w14:paraId="7BB968DA"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2.1</w:t>
            </w:r>
          </w:p>
        </w:tc>
        <w:tc>
          <w:tcPr>
            <w:tcW w:w="1292" w:type="dxa"/>
            <w:shd w:val="clear" w:color="auto" w:fill="FFFFFF"/>
            <w:tcMar>
              <w:top w:w="50" w:type="dxa"/>
              <w:left w:w="100" w:type="dxa"/>
              <w:bottom w:w="50" w:type="dxa"/>
              <w:right w:w="100" w:type="dxa"/>
            </w:tcMar>
            <w:vAlign w:val="center"/>
          </w:tcPr>
          <w:p w14:paraId="12F878A5"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19.7</w:t>
            </w:r>
          </w:p>
        </w:tc>
        <w:tc>
          <w:tcPr>
            <w:tcW w:w="1292" w:type="dxa"/>
            <w:shd w:val="clear" w:color="auto" w:fill="FFFFFF"/>
            <w:tcMar>
              <w:top w:w="50" w:type="dxa"/>
              <w:left w:w="100" w:type="dxa"/>
              <w:bottom w:w="50" w:type="dxa"/>
              <w:right w:w="100" w:type="dxa"/>
            </w:tcMar>
            <w:vAlign w:val="center"/>
          </w:tcPr>
          <w:p w14:paraId="613918BF"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26.7</w:t>
            </w:r>
          </w:p>
        </w:tc>
        <w:tc>
          <w:tcPr>
            <w:tcW w:w="1292" w:type="dxa"/>
            <w:shd w:val="clear" w:color="auto" w:fill="FFFFFF"/>
            <w:tcMar>
              <w:top w:w="50" w:type="dxa"/>
              <w:left w:w="100" w:type="dxa"/>
              <w:bottom w:w="50" w:type="dxa"/>
              <w:right w:w="100" w:type="dxa"/>
            </w:tcMar>
            <w:vAlign w:val="center"/>
          </w:tcPr>
          <w:p w14:paraId="66774A2D"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17.5</w:t>
            </w:r>
          </w:p>
        </w:tc>
        <w:tc>
          <w:tcPr>
            <w:tcW w:w="1292" w:type="dxa"/>
            <w:shd w:val="clear" w:color="auto" w:fill="FFFFFF"/>
            <w:tcMar>
              <w:top w:w="50" w:type="dxa"/>
              <w:left w:w="100" w:type="dxa"/>
              <w:bottom w:w="50" w:type="dxa"/>
              <w:right w:w="100" w:type="dxa"/>
            </w:tcMar>
            <w:vAlign w:val="center"/>
          </w:tcPr>
          <w:p w14:paraId="096584AE"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6.4</w:t>
            </w:r>
          </w:p>
        </w:tc>
      </w:tr>
      <w:tr w:rsidR="002F173B" w:rsidRPr="00F3651D" w14:paraId="1372C850" w14:textId="77777777" w:rsidTr="00FD77CE">
        <w:tc>
          <w:tcPr>
            <w:tcW w:w="2900" w:type="dxa"/>
            <w:shd w:val="clear" w:color="auto" w:fill="F2F5F8"/>
            <w:tcMar>
              <w:top w:w="50" w:type="dxa"/>
              <w:left w:w="100" w:type="dxa"/>
              <w:bottom w:w="50" w:type="dxa"/>
              <w:right w:w="100" w:type="dxa"/>
            </w:tcMar>
            <w:vAlign w:val="center"/>
          </w:tcPr>
          <w:p w14:paraId="0A08D542"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Net margin %</w:t>
            </w:r>
          </w:p>
        </w:tc>
        <w:tc>
          <w:tcPr>
            <w:tcW w:w="1292" w:type="dxa"/>
            <w:shd w:val="clear" w:color="auto" w:fill="F2F5F8"/>
            <w:tcMar>
              <w:top w:w="50" w:type="dxa"/>
              <w:left w:w="100" w:type="dxa"/>
              <w:bottom w:w="50" w:type="dxa"/>
              <w:right w:w="100" w:type="dxa"/>
            </w:tcMar>
            <w:vAlign w:val="center"/>
          </w:tcPr>
          <w:p w14:paraId="0FE9FAEE"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-4.6</w:t>
            </w:r>
          </w:p>
        </w:tc>
        <w:tc>
          <w:tcPr>
            <w:tcW w:w="1292" w:type="dxa"/>
            <w:shd w:val="clear" w:color="auto" w:fill="F2F5F8"/>
            <w:tcMar>
              <w:top w:w="50" w:type="dxa"/>
              <w:left w:w="100" w:type="dxa"/>
              <w:bottom w:w="50" w:type="dxa"/>
              <w:right w:w="100" w:type="dxa"/>
            </w:tcMar>
            <w:vAlign w:val="center"/>
          </w:tcPr>
          <w:p w14:paraId="1E4C278C"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15.5</w:t>
            </w:r>
          </w:p>
        </w:tc>
        <w:tc>
          <w:tcPr>
            <w:tcW w:w="1292" w:type="dxa"/>
            <w:shd w:val="clear" w:color="auto" w:fill="F2F5F8"/>
            <w:tcMar>
              <w:top w:w="50" w:type="dxa"/>
              <w:left w:w="100" w:type="dxa"/>
              <w:bottom w:w="50" w:type="dxa"/>
              <w:right w:w="100" w:type="dxa"/>
            </w:tcMar>
            <w:vAlign w:val="center"/>
          </w:tcPr>
          <w:p w14:paraId="6A95EA57"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17.2</w:t>
            </w:r>
          </w:p>
        </w:tc>
        <w:tc>
          <w:tcPr>
            <w:tcW w:w="1292" w:type="dxa"/>
            <w:shd w:val="clear" w:color="auto" w:fill="F2F5F8"/>
            <w:tcMar>
              <w:top w:w="50" w:type="dxa"/>
              <w:left w:w="100" w:type="dxa"/>
              <w:bottom w:w="50" w:type="dxa"/>
              <w:right w:w="100" w:type="dxa"/>
            </w:tcMar>
            <w:vAlign w:val="center"/>
          </w:tcPr>
          <w:p w14:paraId="144C0C8F"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10.0</w:t>
            </w:r>
          </w:p>
        </w:tc>
        <w:tc>
          <w:tcPr>
            <w:tcW w:w="1292" w:type="dxa"/>
            <w:shd w:val="clear" w:color="auto" w:fill="F2F5F8"/>
            <w:tcMar>
              <w:top w:w="50" w:type="dxa"/>
              <w:left w:w="100" w:type="dxa"/>
              <w:bottom w:w="50" w:type="dxa"/>
              <w:right w:w="100" w:type="dxa"/>
            </w:tcMar>
            <w:vAlign w:val="center"/>
          </w:tcPr>
          <w:p w14:paraId="448A9494"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1.0</w:t>
            </w:r>
          </w:p>
        </w:tc>
      </w:tr>
      <w:tr w:rsidR="002F173B" w:rsidRPr="00F3651D" w14:paraId="18FDFD95" w14:textId="77777777" w:rsidTr="00FD77CE">
        <w:tc>
          <w:tcPr>
            <w:tcW w:w="2900" w:type="dxa"/>
            <w:shd w:val="clear" w:color="auto" w:fill="FFFFFF"/>
            <w:tcMar>
              <w:top w:w="50" w:type="dxa"/>
              <w:left w:w="100" w:type="dxa"/>
              <w:bottom w:w="50" w:type="dxa"/>
              <w:right w:w="100" w:type="dxa"/>
            </w:tcMar>
            <w:vAlign w:val="center"/>
          </w:tcPr>
          <w:p w14:paraId="357B50AC"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Return on equity %</w:t>
            </w:r>
          </w:p>
        </w:tc>
        <w:tc>
          <w:tcPr>
            <w:tcW w:w="1292" w:type="dxa"/>
            <w:shd w:val="clear" w:color="auto" w:fill="FFFFFF"/>
            <w:tcMar>
              <w:top w:w="50" w:type="dxa"/>
              <w:left w:w="100" w:type="dxa"/>
              <w:bottom w:w="50" w:type="dxa"/>
              <w:right w:w="100" w:type="dxa"/>
            </w:tcMar>
            <w:vAlign w:val="center"/>
          </w:tcPr>
          <w:p w14:paraId="56D2A562"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-4.0</w:t>
            </w:r>
          </w:p>
        </w:tc>
        <w:tc>
          <w:tcPr>
            <w:tcW w:w="1292" w:type="dxa"/>
            <w:shd w:val="clear" w:color="auto" w:fill="FFFFFF"/>
            <w:tcMar>
              <w:top w:w="50" w:type="dxa"/>
              <w:left w:w="100" w:type="dxa"/>
              <w:bottom w:w="50" w:type="dxa"/>
              <w:right w:w="100" w:type="dxa"/>
            </w:tcMar>
            <w:vAlign w:val="center"/>
          </w:tcPr>
          <w:p w14:paraId="6A1F84B4"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16.9</w:t>
            </w:r>
          </w:p>
        </w:tc>
        <w:tc>
          <w:tcPr>
            <w:tcW w:w="1292" w:type="dxa"/>
            <w:shd w:val="clear" w:color="auto" w:fill="FFFFFF"/>
            <w:tcMar>
              <w:top w:w="50" w:type="dxa"/>
              <w:left w:w="100" w:type="dxa"/>
              <w:bottom w:w="50" w:type="dxa"/>
              <w:right w:w="100" w:type="dxa"/>
            </w:tcMar>
            <w:vAlign w:val="center"/>
          </w:tcPr>
          <w:p w14:paraId="5632E101"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19.0</w:t>
            </w:r>
          </w:p>
        </w:tc>
        <w:tc>
          <w:tcPr>
            <w:tcW w:w="1292" w:type="dxa"/>
            <w:shd w:val="clear" w:color="auto" w:fill="FFFFFF"/>
            <w:tcMar>
              <w:top w:w="50" w:type="dxa"/>
              <w:left w:w="100" w:type="dxa"/>
              <w:bottom w:w="50" w:type="dxa"/>
              <w:right w:w="100" w:type="dxa"/>
            </w:tcMar>
            <w:vAlign w:val="center"/>
          </w:tcPr>
          <w:p w14:paraId="78EEC79D"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10.4</w:t>
            </w:r>
          </w:p>
        </w:tc>
        <w:tc>
          <w:tcPr>
            <w:tcW w:w="1292" w:type="dxa"/>
            <w:shd w:val="clear" w:color="auto" w:fill="FFFFFF"/>
            <w:tcMar>
              <w:top w:w="50" w:type="dxa"/>
              <w:left w:w="100" w:type="dxa"/>
              <w:bottom w:w="50" w:type="dxa"/>
              <w:right w:w="100" w:type="dxa"/>
            </w:tcMar>
            <w:vAlign w:val="center"/>
          </w:tcPr>
          <w:p w14:paraId="7B6CD395"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1.1</w:t>
            </w:r>
          </w:p>
        </w:tc>
      </w:tr>
      <w:tr w:rsidR="002F173B" w:rsidRPr="00F3651D" w14:paraId="55C00A3A" w14:textId="77777777" w:rsidTr="00FD77CE">
        <w:tc>
          <w:tcPr>
            <w:tcW w:w="2900" w:type="dxa"/>
            <w:shd w:val="clear" w:color="auto" w:fill="F2F5F8"/>
            <w:tcMar>
              <w:top w:w="50" w:type="dxa"/>
              <w:left w:w="100" w:type="dxa"/>
              <w:bottom w:w="50" w:type="dxa"/>
              <w:right w:w="100" w:type="dxa"/>
            </w:tcMar>
            <w:vAlign w:val="center"/>
          </w:tcPr>
          <w:p w14:paraId="62F5F9BE"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Return on assets %</w:t>
            </w:r>
          </w:p>
        </w:tc>
        <w:tc>
          <w:tcPr>
            <w:tcW w:w="1292" w:type="dxa"/>
            <w:shd w:val="clear" w:color="auto" w:fill="F2F5F8"/>
            <w:tcMar>
              <w:top w:w="50" w:type="dxa"/>
              <w:left w:w="100" w:type="dxa"/>
              <w:bottom w:w="50" w:type="dxa"/>
              <w:right w:w="100" w:type="dxa"/>
            </w:tcMar>
            <w:vAlign w:val="center"/>
          </w:tcPr>
          <w:p w14:paraId="117AEC35"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-1.7</w:t>
            </w:r>
          </w:p>
        </w:tc>
        <w:tc>
          <w:tcPr>
            <w:tcW w:w="1292" w:type="dxa"/>
            <w:shd w:val="clear" w:color="auto" w:fill="F2F5F8"/>
            <w:tcMar>
              <w:top w:w="50" w:type="dxa"/>
              <w:left w:w="100" w:type="dxa"/>
              <w:bottom w:w="50" w:type="dxa"/>
              <w:right w:w="100" w:type="dxa"/>
            </w:tcMar>
            <w:vAlign w:val="center"/>
          </w:tcPr>
          <w:p w14:paraId="33C45C3C"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8.3</w:t>
            </w:r>
          </w:p>
        </w:tc>
        <w:tc>
          <w:tcPr>
            <w:tcW w:w="1292" w:type="dxa"/>
            <w:shd w:val="clear" w:color="auto" w:fill="F2F5F8"/>
            <w:tcMar>
              <w:top w:w="50" w:type="dxa"/>
              <w:left w:w="100" w:type="dxa"/>
              <w:bottom w:w="50" w:type="dxa"/>
              <w:right w:w="100" w:type="dxa"/>
            </w:tcMar>
            <w:vAlign w:val="center"/>
          </w:tcPr>
          <w:p w14:paraId="0F133F5E"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8.7</w:t>
            </w:r>
          </w:p>
        </w:tc>
        <w:tc>
          <w:tcPr>
            <w:tcW w:w="1292" w:type="dxa"/>
            <w:shd w:val="clear" w:color="auto" w:fill="F2F5F8"/>
            <w:tcMar>
              <w:top w:w="50" w:type="dxa"/>
              <w:left w:w="100" w:type="dxa"/>
              <w:bottom w:w="50" w:type="dxa"/>
              <w:right w:w="100" w:type="dxa"/>
            </w:tcMar>
            <w:vAlign w:val="center"/>
          </w:tcPr>
          <w:p w14:paraId="7072BD41"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4.8</w:t>
            </w:r>
          </w:p>
        </w:tc>
        <w:tc>
          <w:tcPr>
            <w:tcW w:w="1292" w:type="dxa"/>
            <w:shd w:val="clear" w:color="auto" w:fill="F2F5F8"/>
            <w:tcMar>
              <w:top w:w="50" w:type="dxa"/>
              <w:left w:w="100" w:type="dxa"/>
              <w:bottom w:w="50" w:type="dxa"/>
              <w:right w:w="100" w:type="dxa"/>
            </w:tcMar>
            <w:vAlign w:val="center"/>
          </w:tcPr>
          <w:p w14:paraId="7CD36B15"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0.5</w:t>
            </w:r>
          </w:p>
        </w:tc>
      </w:tr>
      <w:tr w:rsidR="002F173B" w:rsidRPr="00F3651D" w14:paraId="432BB07F" w14:textId="77777777" w:rsidTr="00FD77CE">
        <w:tc>
          <w:tcPr>
            <w:tcW w:w="2900" w:type="dxa"/>
            <w:shd w:val="clear" w:color="auto" w:fill="FFFFFF"/>
            <w:tcMar>
              <w:top w:w="50" w:type="dxa"/>
              <w:left w:w="100" w:type="dxa"/>
              <w:bottom w:w="50" w:type="dxa"/>
              <w:right w:w="100" w:type="dxa"/>
            </w:tcMar>
            <w:vAlign w:val="center"/>
          </w:tcPr>
          <w:p w14:paraId="435527D0"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Current ratio (x)</w:t>
            </w:r>
          </w:p>
        </w:tc>
        <w:tc>
          <w:tcPr>
            <w:tcW w:w="1292" w:type="dxa"/>
            <w:shd w:val="clear" w:color="auto" w:fill="FFFFFF"/>
            <w:tcMar>
              <w:top w:w="50" w:type="dxa"/>
              <w:left w:w="100" w:type="dxa"/>
              <w:bottom w:w="50" w:type="dxa"/>
              <w:right w:w="100" w:type="dxa"/>
            </w:tcMar>
            <w:vAlign w:val="center"/>
          </w:tcPr>
          <w:p w14:paraId="34E5411D"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0.84</w:t>
            </w:r>
          </w:p>
        </w:tc>
        <w:tc>
          <w:tcPr>
            <w:tcW w:w="1292" w:type="dxa"/>
            <w:shd w:val="clear" w:color="auto" w:fill="FFFFFF"/>
            <w:tcMar>
              <w:top w:w="50" w:type="dxa"/>
              <w:left w:w="100" w:type="dxa"/>
              <w:bottom w:w="50" w:type="dxa"/>
              <w:right w:w="100" w:type="dxa"/>
            </w:tcMar>
            <w:vAlign w:val="center"/>
          </w:tcPr>
          <w:p w14:paraId="59FFB440"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2.30</w:t>
            </w:r>
          </w:p>
        </w:tc>
        <w:tc>
          <w:tcPr>
            <w:tcW w:w="1292" w:type="dxa"/>
            <w:shd w:val="clear" w:color="auto" w:fill="FFFFFF"/>
            <w:tcMar>
              <w:top w:w="50" w:type="dxa"/>
              <w:left w:w="100" w:type="dxa"/>
              <w:bottom w:w="50" w:type="dxa"/>
              <w:right w:w="100" w:type="dxa"/>
            </w:tcMar>
            <w:vAlign w:val="center"/>
          </w:tcPr>
          <w:p w14:paraId="41B2D65D"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1.62</w:t>
            </w:r>
          </w:p>
        </w:tc>
        <w:tc>
          <w:tcPr>
            <w:tcW w:w="1292" w:type="dxa"/>
            <w:shd w:val="clear" w:color="auto" w:fill="FFFFFF"/>
            <w:tcMar>
              <w:top w:w="50" w:type="dxa"/>
              <w:left w:w="100" w:type="dxa"/>
              <w:bottom w:w="50" w:type="dxa"/>
              <w:right w:w="100" w:type="dxa"/>
            </w:tcMar>
            <w:vAlign w:val="center"/>
          </w:tcPr>
          <w:p w14:paraId="04D682D5"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0.78</w:t>
            </w:r>
          </w:p>
        </w:tc>
        <w:tc>
          <w:tcPr>
            <w:tcW w:w="1292" w:type="dxa"/>
            <w:shd w:val="clear" w:color="auto" w:fill="FFFFFF"/>
            <w:tcMar>
              <w:top w:w="50" w:type="dxa"/>
              <w:left w:w="100" w:type="dxa"/>
              <w:bottom w:w="50" w:type="dxa"/>
              <w:right w:w="100" w:type="dxa"/>
            </w:tcMar>
            <w:vAlign w:val="center"/>
          </w:tcPr>
          <w:p w14:paraId="3465DF13"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0.98</w:t>
            </w:r>
          </w:p>
        </w:tc>
      </w:tr>
      <w:tr w:rsidR="002F173B" w:rsidRPr="00F3651D" w14:paraId="2A3F96F3" w14:textId="77777777" w:rsidTr="00FD77CE">
        <w:tc>
          <w:tcPr>
            <w:tcW w:w="2900" w:type="dxa"/>
            <w:shd w:val="clear" w:color="auto" w:fill="F2F5F8"/>
            <w:tcMar>
              <w:top w:w="50" w:type="dxa"/>
              <w:left w:w="100" w:type="dxa"/>
              <w:bottom w:w="50" w:type="dxa"/>
              <w:right w:w="100" w:type="dxa"/>
            </w:tcMar>
            <w:vAlign w:val="center"/>
          </w:tcPr>
          <w:p w14:paraId="7E1ED4BF"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Quick ratio (x)</w:t>
            </w:r>
          </w:p>
        </w:tc>
        <w:tc>
          <w:tcPr>
            <w:tcW w:w="1292" w:type="dxa"/>
            <w:shd w:val="clear" w:color="auto" w:fill="F2F5F8"/>
            <w:tcMar>
              <w:top w:w="50" w:type="dxa"/>
              <w:left w:w="100" w:type="dxa"/>
              <w:bottom w:w="50" w:type="dxa"/>
              <w:right w:w="100" w:type="dxa"/>
            </w:tcMar>
            <w:vAlign w:val="center"/>
          </w:tcPr>
          <w:p w14:paraId="7FD490B4"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0.78</w:t>
            </w:r>
          </w:p>
        </w:tc>
        <w:tc>
          <w:tcPr>
            <w:tcW w:w="1292" w:type="dxa"/>
            <w:shd w:val="clear" w:color="auto" w:fill="F2F5F8"/>
            <w:tcMar>
              <w:top w:w="50" w:type="dxa"/>
              <w:left w:w="100" w:type="dxa"/>
              <w:bottom w:w="50" w:type="dxa"/>
              <w:right w:w="100" w:type="dxa"/>
            </w:tcMar>
            <w:vAlign w:val="center"/>
          </w:tcPr>
          <w:p w14:paraId="18C04A32"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2.18</w:t>
            </w:r>
          </w:p>
        </w:tc>
        <w:tc>
          <w:tcPr>
            <w:tcW w:w="1292" w:type="dxa"/>
            <w:shd w:val="clear" w:color="auto" w:fill="F2F5F8"/>
            <w:tcMar>
              <w:top w:w="50" w:type="dxa"/>
              <w:left w:w="100" w:type="dxa"/>
              <w:bottom w:w="50" w:type="dxa"/>
              <w:right w:w="100" w:type="dxa"/>
            </w:tcMar>
            <w:vAlign w:val="center"/>
          </w:tcPr>
          <w:p w14:paraId="23EB1CEF"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1.50</w:t>
            </w:r>
          </w:p>
        </w:tc>
        <w:tc>
          <w:tcPr>
            <w:tcW w:w="1292" w:type="dxa"/>
            <w:shd w:val="clear" w:color="auto" w:fill="F2F5F8"/>
            <w:tcMar>
              <w:top w:w="50" w:type="dxa"/>
              <w:left w:w="100" w:type="dxa"/>
              <w:bottom w:w="50" w:type="dxa"/>
              <w:right w:w="100" w:type="dxa"/>
            </w:tcMar>
            <w:vAlign w:val="center"/>
          </w:tcPr>
          <w:p w14:paraId="0DC1BC38"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0.69</w:t>
            </w:r>
          </w:p>
        </w:tc>
        <w:tc>
          <w:tcPr>
            <w:tcW w:w="1292" w:type="dxa"/>
            <w:shd w:val="clear" w:color="auto" w:fill="F2F5F8"/>
            <w:tcMar>
              <w:top w:w="50" w:type="dxa"/>
              <w:left w:w="100" w:type="dxa"/>
              <w:bottom w:w="50" w:type="dxa"/>
              <w:right w:w="100" w:type="dxa"/>
            </w:tcMar>
            <w:vAlign w:val="center"/>
          </w:tcPr>
          <w:p w14:paraId="5C5E5715"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0.89</w:t>
            </w:r>
          </w:p>
        </w:tc>
      </w:tr>
      <w:tr w:rsidR="002F173B" w:rsidRPr="00F3651D" w14:paraId="1DF221DE" w14:textId="77777777" w:rsidTr="00FD77CE">
        <w:tc>
          <w:tcPr>
            <w:tcW w:w="2900" w:type="dxa"/>
            <w:shd w:val="clear" w:color="auto" w:fill="FFFFFF"/>
            <w:tcMar>
              <w:top w:w="50" w:type="dxa"/>
              <w:left w:w="100" w:type="dxa"/>
              <w:bottom w:w="50" w:type="dxa"/>
              <w:right w:w="100" w:type="dxa"/>
            </w:tcMar>
            <w:vAlign w:val="center"/>
          </w:tcPr>
          <w:p w14:paraId="648EA558"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Cash ratio (x)</w:t>
            </w:r>
          </w:p>
        </w:tc>
        <w:tc>
          <w:tcPr>
            <w:tcW w:w="1292" w:type="dxa"/>
            <w:shd w:val="clear" w:color="auto" w:fill="FFFFFF"/>
            <w:tcMar>
              <w:top w:w="50" w:type="dxa"/>
              <w:left w:w="100" w:type="dxa"/>
              <w:bottom w:w="50" w:type="dxa"/>
              <w:right w:w="100" w:type="dxa"/>
            </w:tcMar>
            <w:vAlign w:val="center"/>
          </w:tcPr>
          <w:p w14:paraId="4F69FC3B"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0.42</w:t>
            </w:r>
          </w:p>
        </w:tc>
        <w:tc>
          <w:tcPr>
            <w:tcW w:w="1292" w:type="dxa"/>
            <w:shd w:val="clear" w:color="auto" w:fill="FFFFFF"/>
            <w:tcMar>
              <w:top w:w="50" w:type="dxa"/>
              <w:left w:w="100" w:type="dxa"/>
              <w:bottom w:w="50" w:type="dxa"/>
              <w:right w:w="100" w:type="dxa"/>
            </w:tcMar>
            <w:vAlign w:val="center"/>
          </w:tcPr>
          <w:p w14:paraId="2FFE466A"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1.55</w:t>
            </w:r>
          </w:p>
        </w:tc>
        <w:tc>
          <w:tcPr>
            <w:tcW w:w="1292" w:type="dxa"/>
            <w:shd w:val="clear" w:color="auto" w:fill="FFFFFF"/>
            <w:tcMar>
              <w:top w:w="50" w:type="dxa"/>
              <w:left w:w="100" w:type="dxa"/>
              <w:bottom w:w="50" w:type="dxa"/>
              <w:right w:w="100" w:type="dxa"/>
            </w:tcMar>
            <w:vAlign w:val="center"/>
          </w:tcPr>
          <w:p w14:paraId="48E02853"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1.14</w:t>
            </w:r>
          </w:p>
        </w:tc>
        <w:tc>
          <w:tcPr>
            <w:tcW w:w="1292" w:type="dxa"/>
            <w:shd w:val="clear" w:color="auto" w:fill="FFFFFF"/>
            <w:tcMar>
              <w:top w:w="50" w:type="dxa"/>
              <w:left w:w="100" w:type="dxa"/>
              <w:bottom w:w="50" w:type="dxa"/>
              <w:right w:w="100" w:type="dxa"/>
            </w:tcMar>
            <w:vAlign w:val="center"/>
          </w:tcPr>
          <w:p w14:paraId="5A77CD7F"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0.44</w:t>
            </w:r>
          </w:p>
        </w:tc>
        <w:tc>
          <w:tcPr>
            <w:tcW w:w="1292" w:type="dxa"/>
            <w:shd w:val="clear" w:color="auto" w:fill="FFFFFF"/>
            <w:tcMar>
              <w:top w:w="50" w:type="dxa"/>
              <w:left w:w="100" w:type="dxa"/>
              <w:bottom w:w="50" w:type="dxa"/>
              <w:right w:w="100" w:type="dxa"/>
            </w:tcMar>
            <w:vAlign w:val="center"/>
          </w:tcPr>
          <w:p w14:paraId="411356B5"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0.67</w:t>
            </w:r>
          </w:p>
        </w:tc>
      </w:tr>
      <w:tr w:rsidR="002F173B" w:rsidRPr="00F3651D" w14:paraId="30D5988B" w14:textId="77777777" w:rsidTr="00FD77CE">
        <w:tc>
          <w:tcPr>
            <w:tcW w:w="2900" w:type="dxa"/>
            <w:shd w:val="clear" w:color="auto" w:fill="F2F5F8"/>
            <w:tcMar>
              <w:top w:w="50" w:type="dxa"/>
              <w:left w:w="100" w:type="dxa"/>
              <w:bottom w:w="50" w:type="dxa"/>
              <w:right w:w="100" w:type="dxa"/>
            </w:tcMar>
            <w:vAlign w:val="center"/>
          </w:tcPr>
          <w:p w14:paraId="6D09F965"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Asset turnover (x)</w:t>
            </w:r>
          </w:p>
        </w:tc>
        <w:tc>
          <w:tcPr>
            <w:tcW w:w="1292" w:type="dxa"/>
            <w:shd w:val="clear" w:color="auto" w:fill="F2F5F8"/>
            <w:tcMar>
              <w:top w:w="50" w:type="dxa"/>
              <w:left w:w="100" w:type="dxa"/>
              <w:bottom w:w="50" w:type="dxa"/>
              <w:right w:w="100" w:type="dxa"/>
            </w:tcMar>
            <w:vAlign w:val="center"/>
          </w:tcPr>
          <w:p w14:paraId="32B176ED"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0.37</w:t>
            </w:r>
          </w:p>
        </w:tc>
        <w:tc>
          <w:tcPr>
            <w:tcW w:w="1292" w:type="dxa"/>
            <w:shd w:val="clear" w:color="auto" w:fill="F2F5F8"/>
            <w:tcMar>
              <w:top w:w="50" w:type="dxa"/>
              <w:left w:w="100" w:type="dxa"/>
              <w:bottom w:w="50" w:type="dxa"/>
              <w:right w:w="100" w:type="dxa"/>
            </w:tcMar>
            <w:vAlign w:val="center"/>
          </w:tcPr>
          <w:p w14:paraId="5D2C36D7"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0.54</w:t>
            </w:r>
          </w:p>
        </w:tc>
        <w:tc>
          <w:tcPr>
            <w:tcW w:w="1292" w:type="dxa"/>
            <w:shd w:val="clear" w:color="auto" w:fill="F2F5F8"/>
            <w:tcMar>
              <w:top w:w="50" w:type="dxa"/>
              <w:left w:w="100" w:type="dxa"/>
              <w:bottom w:w="50" w:type="dxa"/>
              <w:right w:w="100" w:type="dxa"/>
            </w:tcMar>
            <w:vAlign w:val="center"/>
          </w:tcPr>
          <w:p w14:paraId="0440C0A8"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0.50</w:t>
            </w:r>
          </w:p>
        </w:tc>
        <w:tc>
          <w:tcPr>
            <w:tcW w:w="1292" w:type="dxa"/>
            <w:shd w:val="clear" w:color="auto" w:fill="F2F5F8"/>
            <w:tcMar>
              <w:top w:w="50" w:type="dxa"/>
              <w:left w:w="100" w:type="dxa"/>
              <w:bottom w:w="50" w:type="dxa"/>
              <w:right w:w="100" w:type="dxa"/>
            </w:tcMar>
            <w:vAlign w:val="center"/>
          </w:tcPr>
          <w:p w14:paraId="432BABBF"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0.48</w:t>
            </w:r>
          </w:p>
        </w:tc>
        <w:tc>
          <w:tcPr>
            <w:tcW w:w="1292" w:type="dxa"/>
            <w:shd w:val="clear" w:color="auto" w:fill="F2F5F8"/>
            <w:tcMar>
              <w:top w:w="50" w:type="dxa"/>
              <w:left w:w="100" w:type="dxa"/>
              <w:bottom w:w="50" w:type="dxa"/>
              <w:right w:w="100" w:type="dxa"/>
            </w:tcMar>
            <w:vAlign w:val="center"/>
          </w:tcPr>
          <w:p w14:paraId="7D68997F"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0.51</w:t>
            </w:r>
          </w:p>
        </w:tc>
      </w:tr>
      <w:tr w:rsidR="002F173B" w:rsidRPr="00F3651D" w14:paraId="18AD739F" w14:textId="77777777" w:rsidTr="00FD77CE">
        <w:tc>
          <w:tcPr>
            <w:tcW w:w="2900" w:type="dxa"/>
            <w:shd w:val="clear" w:color="auto" w:fill="FFFFFF"/>
            <w:tcMar>
              <w:top w:w="50" w:type="dxa"/>
              <w:left w:w="100" w:type="dxa"/>
              <w:bottom w:w="50" w:type="dxa"/>
              <w:right w:w="100" w:type="dxa"/>
            </w:tcMar>
            <w:vAlign w:val="center"/>
          </w:tcPr>
          <w:p w14:paraId="0D49ECA2"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Cash conversion cycle (days)</w:t>
            </w:r>
          </w:p>
        </w:tc>
        <w:tc>
          <w:tcPr>
            <w:tcW w:w="1292" w:type="dxa"/>
            <w:shd w:val="clear" w:color="auto" w:fill="FFFFFF"/>
            <w:tcMar>
              <w:top w:w="50" w:type="dxa"/>
              <w:left w:w="100" w:type="dxa"/>
              <w:bottom w:w="50" w:type="dxa"/>
              <w:right w:w="100" w:type="dxa"/>
            </w:tcMar>
            <w:vAlign w:val="center"/>
          </w:tcPr>
          <w:p w14:paraId="6807B80C"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-26.9</w:t>
            </w:r>
          </w:p>
        </w:tc>
        <w:tc>
          <w:tcPr>
            <w:tcW w:w="1292" w:type="dxa"/>
            <w:shd w:val="clear" w:color="auto" w:fill="FFFFFF"/>
            <w:tcMar>
              <w:top w:w="50" w:type="dxa"/>
              <w:left w:w="100" w:type="dxa"/>
              <w:bottom w:w="50" w:type="dxa"/>
              <w:right w:w="100" w:type="dxa"/>
            </w:tcMar>
            <w:vAlign w:val="center"/>
          </w:tcPr>
          <w:p w14:paraId="0B2CA337"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-7.1</w:t>
            </w:r>
          </w:p>
        </w:tc>
        <w:tc>
          <w:tcPr>
            <w:tcW w:w="1292" w:type="dxa"/>
            <w:shd w:val="clear" w:color="auto" w:fill="FFFFFF"/>
            <w:tcMar>
              <w:top w:w="50" w:type="dxa"/>
              <w:left w:w="100" w:type="dxa"/>
              <w:bottom w:w="50" w:type="dxa"/>
              <w:right w:w="100" w:type="dxa"/>
            </w:tcMar>
            <w:vAlign w:val="center"/>
          </w:tcPr>
          <w:p w14:paraId="4A7E3C50"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-4.5</w:t>
            </w:r>
          </w:p>
        </w:tc>
        <w:tc>
          <w:tcPr>
            <w:tcW w:w="1292" w:type="dxa"/>
            <w:shd w:val="clear" w:color="auto" w:fill="FFFFFF"/>
            <w:tcMar>
              <w:top w:w="50" w:type="dxa"/>
              <w:left w:w="100" w:type="dxa"/>
              <w:bottom w:w="50" w:type="dxa"/>
              <w:right w:w="100" w:type="dxa"/>
            </w:tcMar>
            <w:vAlign w:val="center"/>
          </w:tcPr>
          <w:p w14:paraId="67DC9FE7"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-3.7</w:t>
            </w:r>
          </w:p>
        </w:tc>
        <w:tc>
          <w:tcPr>
            <w:tcW w:w="1292" w:type="dxa"/>
            <w:shd w:val="clear" w:color="auto" w:fill="FFFFFF"/>
            <w:tcMar>
              <w:top w:w="50" w:type="dxa"/>
              <w:left w:w="100" w:type="dxa"/>
              <w:bottom w:w="50" w:type="dxa"/>
              <w:right w:w="100" w:type="dxa"/>
            </w:tcMar>
            <w:vAlign w:val="center"/>
          </w:tcPr>
          <w:p w14:paraId="15EF4EC4"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-1.7</w:t>
            </w:r>
          </w:p>
        </w:tc>
      </w:tr>
      <w:tr w:rsidR="002F173B" w:rsidRPr="00F3651D" w14:paraId="67681473" w14:textId="77777777" w:rsidTr="00FD77CE">
        <w:tc>
          <w:tcPr>
            <w:tcW w:w="2900" w:type="dxa"/>
            <w:shd w:val="clear" w:color="auto" w:fill="F2F5F8"/>
            <w:tcMar>
              <w:top w:w="50" w:type="dxa"/>
              <w:left w:w="100" w:type="dxa"/>
              <w:bottom w:w="50" w:type="dxa"/>
              <w:right w:w="100" w:type="dxa"/>
            </w:tcMar>
            <w:vAlign w:val="center"/>
          </w:tcPr>
          <w:p w14:paraId="51395A00"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Debt / equity (x)</w:t>
            </w:r>
          </w:p>
        </w:tc>
        <w:tc>
          <w:tcPr>
            <w:tcW w:w="1292" w:type="dxa"/>
            <w:shd w:val="clear" w:color="auto" w:fill="F2F5F8"/>
            <w:tcMar>
              <w:top w:w="50" w:type="dxa"/>
              <w:left w:w="100" w:type="dxa"/>
              <w:bottom w:w="50" w:type="dxa"/>
              <w:right w:w="100" w:type="dxa"/>
            </w:tcMar>
            <w:vAlign w:val="center"/>
          </w:tcPr>
          <w:p w14:paraId="203E9788"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1.23</w:t>
            </w:r>
          </w:p>
        </w:tc>
        <w:tc>
          <w:tcPr>
            <w:tcW w:w="1292" w:type="dxa"/>
            <w:shd w:val="clear" w:color="auto" w:fill="F2F5F8"/>
            <w:tcMar>
              <w:top w:w="50" w:type="dxa"/>
              <w:left w:w="100" w:type="dxa"/>
              <w:bottom w:w="50" w:type="dxa"/>
              <w:right w:w="100" w:type="dxa"/>
            </w:tcMar>
            <w:vAlign w:val="center"/>
          </w:tcPr>
          <w:p w14:paraId="1C47F49B"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0.94</w:t>
            </w:r>
          </w:p>
        </w:tc>
        <w:tc>
          <w:tcPr>
            <w:tcW w:w="1292" w:type="dxa"/>
            <w:shd w:val="clear" w:color="auto" w:fill="F2F5F8"/>
            <w:tcMar>
              <w:top w:w="50" w:type="dxa"/>
              <w:left w:w="100" w:type="dxa"/>
              <w:bottom w:w="50" w:type="dxa"/>
              <w:right w:w="100" w:type="dxa"/>
            </w:tcMar>
            <w:vAlign w:val="center"/>
          </w:tcPr>
          <w:p w14:paraId="0F7F9AA1"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1.11</w:t>
            </w:r>
          </w:p>
        </w:tc>
        <w:tc>
          <w:tcPr>
            <w:tcW w:w="1292" w:type="dxa"/>
            <w:shd w:val="clear" w:color="auto" w:fill="F2F5F8"/>
            <w:tcMar>
              <w:top w:w="50" w:type="dxa"/>
              <w:left w:w="100" w:type="dxa"/>
              <w:bottom w:w="50" w:type="dxa"/>
              <w:right w:w="100" w:type="dxa"/>
            </w:tcMar>
            <w:vAlign w:val="center"/>
          </w:tcPr>
          <w:p w14:paraId="2D5BCE6F"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1.08</w:t>
            </w:r>
          </w:p>
        </w:tc>
        <w:tc>
          <w:tcPr>
            <w:tcW w:w="1292" w:type="dxa"/>
            <w:shd w:val="clear" w:color="auto" w:fill="F2F5F8"/>
            <w:tcMar>
              <w:top w:w="50" w:type="dxa"/>
              <w:left w:w="100" w:type="dxa"/>
              <w:bottom w:w="50" w:type="dxa"/>
              <w:right w:w="100" w:type="dxa"/>
            </w:tcMar>
            <w:vAlign w:val="center"/>
          </w:tcPr>
          <w:p w14:paraId="360B37CA"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1.11</w:t>
            </w:r>
          </w:p>
        </w:tc>
      </w:tr>
      <w:tr w:rsidR="002F173B" w:rsidRPr="00F3651D" w14:paraId="7BE7BBC8" w14:textId="77777777" w:rsidTr="00FD77CE">
        <w:tc>
          <w:tcPr>
            <w:tcW w:w="2900" w:type="dxa"/>
            <w:shd w:val="clear" w:color="auto" w:fill="FFFFFF"/>
            <w:tcMar>
              <w:top w:w="50" w:type="dxa"/>
              <w:left w:w="100" w:type="dxa"/>
              <w:bottom w:w="50" w:type="dxa"/>
              <w:right w:w="100" w:type="dxa"/>
            </w:tcMar>
            <w:vAlign w:val="center"/>
          </w:tcPr>
          <w:p w14:paraId="1EE57857"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Interest cover (x)</w:t>
            </w:r>
          </w:p>
        </w:tc>
        <w:tc>
          <w:tcPr>
            <w:tcW w:w="1292" w:type="dxa"/>
            <w:shd w:val="clear" w:color="auto" w:fill="FFFFFF"/>
            <w:tcMar>
              <w:top w:w="50" w:type="dxa"/>
              <w:left w:w="100" w:type="dxa"/>
              <w:bottom w:w="50" w:type="dxa"/>
              <w:right w:w="100" w:type="dxa"/>
            </w:tcMar>
            <w:vAlign w:val="center"/>
          </w:tcPr>
          <w:p w14:paraId="64465F0B"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0.28</w:t>
            </w:r>
          </w:p>
        </w:tc>
        <w:tc>
          <w:tcPr>
            <w:tcW w:w="1292" w:type="dxa"/>
            <w:shd w:val="clear" w:color="auto" w:fill="FFFFFF"/>
            <w:tcMar>
              <w:top w:w="50" w:type="dxa"/>
              <w:left w:w="100" w:type="dxa"/>
              <w:bottom w:w="50" w:type="dxa"/>
              <w:right w:w="100" w:type="dxa"/>
            </w:tcMar>
            <w:vAlign w:val="center"/>
          </w:tcPr>
          <w:p w14:paraId="7AB92719"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3.86</w:t>
            </w:r>
          </w:p>
        </w:tc>
        <w:tc>
          <w:tcPr>
            <w:tcW w:w="1292" w:type="dxa"/>
            <w:shd w:val="clear" w:color="auto" w:fill="FFFFFF"/>
            <w:tcMar>
              <w:top w:w="50" w:type="dxa"/>
              <w:left w:w="100" w:type="dxa"/>
              <w:bottom w:w="50" w:type="dxa"/>
              <w:right w:w="100" w:type="dxa"/>
            </w:tcMar>
            <w:vAlign w:val="center"/>
          </w:tcPr>
          <w:p w14:paraId="2C1DDED2"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5.98</w:t>
            </w:r>
          </w:p>
        </w:tc>
        <w:tc>
          <w:tcPr>
            <w:tcW w:w="1292" w:type="dxa"/>
            <w:shd w:val="clear" w:color="auto" w:fill="FFFFFF"/>
            <w:tcMar>
              <w:top w:w="50" w:type="dxa"/>
              <w:left w:w="100" w:type="dxa"/>
              <w:bottom w:w="50" w:type="dxa"/>
              <w:right w:w="100" w:type="dxa"/>
            </w:tcMar>
            <w:vAlign w:val="center"/>
          </w:tcPr>
          <w:p w14:paraId="10F9F822"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3.23</w:t>
            </w:r>
          </w:p>
        </w:tc>
        <w:tc>
          <w:tcPr>
            <w:tcW w:w="1292" w:type="dxa"/>
            <w:shd w:val="clear" w:color="auto" w:fill="FFFFFF"/>
            <w:tcMar>
              <w:top w:w="50" w:type="dxa"/>
              <w:left w:w="100" w:type="dxa"/>
              <w:bottom w:w="50" w:type="dxa"/>
              <w:right w:w="100" w:type="dxa"/>
            </w:tcMar>
            <w:vAlign w:val="center"/>
          </w:tcPr>
          <w:p w14:paraId="60B0DBA9"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1.13</w:t>
            </w:r>
          </w:p>
        </w:tc>
      </w:tr>
      <w:tr w:rsidR="002F173B" w:rsidRPr="00F3651D" w14:paraId="7EAB14C9" w14:textId="77777777" w:rsidTr="00FD77CE">
        <w:tc>
          <w:tcPr>
            <w:tcW w:w="2900" w:type="dxa"/>
            <w:shd w:val="clear" w:color="auto" w:fill="F2F5F8"/>
            <w:tcMar>
              <w:top w:w="50" w:type="dxa"/>
              <w:left w:w="100" w:type="dxa"/>
              <w:bottom w:w="50" w:type="dxa"/>
              <w:right w:w="100" w:type="dxa"/>
            </w:tcMar>
            <w:vAlign w:val="center"/>
          </w:tcPr>
          <w:p w14:paraId="041BDC40"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Dividend per share ($)</w:t>
            </w:r>
          </w:p>
        </w:tc>
        <w:tc>
          <w:tcPr>
            <w:tcW w:w="1292" w:type="dxa"/>
            <w:shd w:val="clear" w:color="auto" w:fill="F2F5F8"/>
            <w:tcMar>
              <w:top w:w="50" w:type="dxa"/>
              <w:left w:w="100" w:type="dxa"/>
              <w:bottom w:w="50" w:type="dxa"/>
              <w:right w:w="100" w:type="dxa"/>
            </w:tcMar>
            <w:vAlign w:val="center"/>
          </w:tcPr>
          <w:p w14:paraId="3BDD28A4"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0.14</w:t>
            </w:r>
          </w:p>
        </w:tc>
        <w:tc>
          <w:tcPr>
            <w:tcW w:w="1292" w:type="dxa"/>
            <w:shd w:val="clear" w:color="auto" w:fill="F2F5F8"/>
            <w:tcMar>
              <w:top w:w="50" w:type="dxa"/>
              <w:left w:w="100" w:type="dxa"/>
              <w:bottom w:w="50" w:type="dxa"/>
              <w:right w:w="100" w:type="dxa"/>
            </w:tcMar>
            <w:vAlign w:val="center"/>
          </w:tcPr>
          <w:p w14:paraId="2E6CE78F"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0.16</w:t>
            </w:r>
          </w:p>
        </w:tc>
        <w:tc>
          <w:tcPr>
            <w:tcW w:w="1292" w:type="dxa"/>
            <w:shd w:val="clear" w:color="auto" w:fill="F2F5F8"/>
            <w:tcMar>
              <w:top w:w="50" w:type="dxa"/>
              <w:left w:w="100" w:type="dxa"/>
              <w:bottom w:w="50" w:type="dxa"/>
              <w:right w:w="100" w:type="dxa"/>
            </w:tcMar>
            <w:vAlign w:val="center"/>
          </w:tcPr>
          <w:p w14:paraId="22FC1378"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0.19</w:t>
            </w:r>
          </w:p>
        </w:tc>
        <w:tc>
          <w:tcPr>
            <w:tcW w:w="1292" w:type="dxa"/>
            <w:shd w:val="clear" w:color="auto" w:fill="F2F5F8"/>
            <w:tcMar>
              <w:top w:w="50" w:type="dxa"/>
              <w:left w:w="100" w:type="dxa"/>
              <w:bottom w:w="50" w:type="dxa"/>
              <w:right w:w="100" w:type="dxa"/>
            </w:tcMar>
            <w:vAlign w:val="center"/>
          </w:tcPr>
          <w:p w14:paraId="3B83B71D"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0.23</w:t>
            </w:r>
          </w:p>
        </w:tc>
        <w:tc>
          <w:tcPr>
            <w:tcW w:w="1292" w:type="dxa"/>
            <w:shd w:val="clear" w:color="auto" w:fill="F2F5F8"/>
            <w:tcMar>
              <w:top w:w="50" w:type="dxa"/>
              <w:left w:w="100" w:type="dxa"/>
              <w:bottom w:w="50" w:type="dxa"/>
              <w:right w:w="100" w:type="dxa"/>
            </w:tcMar>
            <w:vAlign w:val="center"/>
          </w:tcPr>
          <w:p w14:paraId="4714A92E"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0.25</w:t>
            </w:r>
          </w:p>
        </w:tc>
      </w:tr>
      <w:tr w:rsidR="002F173B" w:rsidRPr="00F3651D" w14:paraId="6EC8CC06" w14:textId="77777777" w:rsidTr="00FD77CE">
        <w:tc>
          <w:tcPr>
            <w:tcW w:w="2900" w:type="dxa"/>
            <w:shd w:val="clear" w:color="auto" w:fill="FFFFFF"/>
            <w:tcMar>
              <w:top w:w="50" w:type="dxa"/>
              <w:left w:w="100" w:type="dxa"/>
              <w:bottom w:w="50" w:type="dxa"/>
              <w:right w:w="100" w:type="dxa"/>
            </w:tcMar>
            <w:vAlign w:val="center"/>
          </w:tcPr>
          <w:p w14:paraId="04496360"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 xml:space="preserve">Dividend </w:t>
            </w:r>
            <w:r>
              <w:rPr>
                <w:rFonts w:ascii="Arial" w:hAnsi="Arial" w:cs="Arial"/>
                <w:color w:val="000000" w:themeColor="text1"/>
                <w:sz w:val="24"/>
                <w:szCs w:val="24"/>
              </w:rPr>
              <w:t>payoff</w:t>
            </w:r>
            <w:r w:rsidRPr="00F3651D">
              <w:rPr>
                <w:rFonts w:ascii="Arial" w:hAnsi="Arial" w:cs="Arial"/>
                <w:color w:val="000000" w:themeColor="text1"/>
                <w:sz w:val="24"/>
                <w:szCs w:val="24"/>
              </w:rPr>
              <w:t xml:space="preserve"> ratio %</w:t>
            </w:r>
          </w:p>
        </w:tc>
        <w:tc>
          <w:tcPr>
            <w:tcW w:w="1292" w:type="dxa"/>
            <w:shd w:val="clear" w:color="auto" w:fill="FFFFFF"/>
            <w:tcMar>
              <w:top w:w="50" w:type="dxa"/>
              <w:left w:w="100" w:type="dxa"/>
              <w:bottom w:w="50" w:type="dxa"/>
              <w:right w:w="100" w:type="dxa"/>
            </w:tcMar>
            <w:vAlign w:val="center"/>
          </w:tcPr>
          <w:p w14:paraId="0E761333"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n/m</w:t>
            </w:r>
          </w:p>
        </w:tc>
        <w:tc>
          <w:tcPr>
            <w:tcW w:w="1292" w:type="dxa"/>
            <w:shd w:val="clear" w:color="auto" w:fill="FFFFFF"/>
            <w:tcMar>
              <w:top w:w="50" w:type="dxa"/>
              <w:left w:w="100" w:type="dxa"/>
              <w:bottom w:w="50" w:type="dxa"/>
              <w:right w:w="100" w:type="dxa"/>
            </w:tcMar>
            <w:vAlign w:val="center"/>
          </w:tcPr>
          <w:p w14:paraId="62CB3D47"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4.7</w:t>
            </w:r>
          </w:p>
        </w:tc>
        <w:tc>
          <w:tcPr>
            <w:tcW w:w="1292" w:type="dxa"/>
            <w:shd w:val="clear" w:color="auto" w:fill="FFFFFF"/>
            <w:tcMar>
              <w:top w:w="50" w:type="dxa"/>
              <w:left w:w="100" w:type="dxa"/>
              <w:bottom w:w="50" w:type="dxa"/>
              <w:right w:w="100" w:type="dxa"/>
            </w:tcMar>
            <w:vAlign w:val="center"/>
          </w:tcPr>
          <w:p w14:paraId="29FABE03"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3.9</w:t>
            </w:r>
          </w:p>
        </w:tc>
        <w:tc>
          <w:tcPr>
            <w:tcW w:w="1292" w:type="dxa"/>
            <w:shd w:val="clear" w:color="auto" w:fill="FFFFFF"/>
            <w:tcMar>
              <w:top w:w="50" w:type="dxa"/>
              <w:left w:w="100" w:type="dxa"/>
              <w:bottom w:w="50" w:type="dxa"/>
              <w:right w:w="100" w:type="dxa"/>
            </w:tcMar>
            <w:vAlign w:val="center"/>
          </w:tcPr>
          <w:p w14:paraId="13583E2D"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7.3</w:t>
            </w:r>
          </w:p>
        </w:tc>
        <w:tc>
          <w:tcPr>
            <w:tcW w:w="1292" w:type="dxa"/>
            <w:shd w:val="clear" w:color="auto" w:fill="FFFFFF"/>
            <w:tcMar>
              <w:top w:w="50" w:type="dxa"/>
              <w:left w:w="100" w:type="dxa"/>
              <w:bottom w:w="50" w:type="dxa"/>
              <w:right w:w="100" w:type="dxa"/>
            </w:tcMar>
            <w:vAlign w:val="center"/>
          </w:tcPr>
          <w:p w14:paraId="3B5609F5"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75.8</w:t>
            </w:r>
          </w:p>
        </w:tc>
      </w:tr>
      <w:tr w:rsidR="002F173B" w:rsidRPr="00F3651D" w14:paraId="5460C682" w14:textId="77777777" w:rsidTr="00FD77CE">
        <w:tc>
          <w:tcPr>
            <w:tcW w:w="2900" w:type="dxa"/>
            <w:shd w:val="clear" w:color="auto" w:fill="F2F5F8"/>
            <w:tcMar>
              <w:top w:w="50" w:type="dxa"/>
              <w:left w:w="100" w:type="dxa"/>
              <w:bottom w:w="50" w:type="dxa"/>
              <w:right w:w="100" w:type="dxa"/>
            </w:tcMar>
            <w:vAlign w:val="center"/>
          </w:tcPr>
          <w:p w14:paraId="28480216"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CFO ($'000)</w:t>
            </w:r>
          </w:p>
        </w:tc>
        <w:tc>
          <w:tcPr>
            <w:tcW w:w="1292" w:type="dxa"/>
            <w:shd w:val="clear" w:color="auto" w:fill="F2F5F8"/>
            <w:tcMar>
              <w:top w:w="50" w:type="dxa"/>
              <w:left w:w="100" w:type="dxa"/>
              <w:bottom w:w="50" w:type="dxa"/>
              <w:right w:w="100" w:type="dxa"/>
            </w:tcMar>
            <w:vAlign w:val="center"/>
          </w:tcPr>
          <w:p w14:paraId="6D84BBDD"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15,632</w:t>
            </w:r>
          </w:p>
        </w:tc>
        <w:tc>
          <w:tcPr>
            <w:tcW w:w="1292" w:type="dxa"/>
            <w:shd w:val="clear" w:color="auto" w:fill="F2F5F8"/>
            <w:tcMar>
              <w:top w:w="50" w:type="dxa"/>
              <w:left w:w="100" w:type="dxa"/>
              <w:bottom w:w="50" w:type="dxa"/>
              <w:right w:w="100" w:type="dxa"/>
            </w:tcMar>
            <w:vAlign w:val="center"/>
          </w:tcPr>
          <w:p w14:paraId="1827FE21"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41,991</w:t>
            </w:r>
          </w:p>
        </w:tc>
        <w:tc>
          <w:tcPr>
            <w:tcW w:w="1292" w:type="dxa"/>
            <w:shd w:val="clear" w:color="auto" w:fill="F2F5F8"/>
            <w:tcMar>
              <w:top w:w="50" w:type="dxa"/>
              <w:left w:w="100" w:type="dxa"/>
              <w:bottom w:w="50" w:type="dxa"/>
              <w:right w:w="100" w:type="dxa"/>
            </w:tcMar>
            <w:vAlign w:val="center"/>
          </w:tcPr>
          <w:p w14:paraId="514D00BE"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64,509</w:t>
            </w:r>
          </w:p>
        </w:tc>
        <w:tc>
          <w:tcPr>
            <w:tcW w:w="1292" w:type="dxa"/>
            <w:shd w:val="clear" w:color="auto" w:fill="F2F5F8"/>
            <w:tcMar>
              <w:top w:w="50" w:type="dxa"/>
              <w:left w:w="100" w:type="dxa"/>
              <w:bottom w:w="50" w:type="dxa"/>
              <w:right w:w="100" w:type="dxa"/>
            </w:tcMar>
            <w:vAlign w:val="center"/>
          </w:tcPr>
          <w:p w14:paraId="1222612D"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59,130</w:t>
            </w:r>
          </w:p>
        </w:tc>
        <w:tc>
          <w:tcPr>
            <w:tcW w:w="1292" w:type="dxa"/>
            <w:shd w:val="clear" w:color="auto" w:fill="F2F5F8"/>
            <w:tcMar>
              <w:top w:w="50" w:type="dxa"/>
              <w:left w:w="100" w:type="dxa"/>
              <w:bottom w:w="50" w:type="dxa"/>
              <w:right w:w="100" w:type="dxa"/>
            </w:tcMar>
            <w:vAlign w:val="center"/>
          </w:tcPr>
          <w:p w14:paraId="4BF6C141"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55,884</w:t>
            </w:r>
          </w:p>
        </w:tc>
      </w:tr>
      <w:tr w:rsidR="002F173B" w:rsidRPr="00F3651D" w14:paraId="15509164" w14:textId="77777777" w:rsidTr="00FD77CE">
        <w:tc>
          <w:tcPr>
            <w:tcW w:w="2900" w:type="dxa"/>
            <w:shd w:val="clear" w:color="auto" w:fill="FFFFFF"/>
            <w:tcMar>
              <w:top w:w="50" w:type="dxa"/>
              <w:left w:w="100" w:type="dxa"/>
              <w:bottom w:w="50" w:type="dxa"/>
              <w:right w:w="100" w:type="dxa"/>
            </w:tcMar>
            <w:vAlign w:val="center"/>
          </w:tcPr>
          <w:p w14:paraId="1FAC58A6"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Free cash flow ($'000)</w:t>
            </w:r>
          </w:p>
        </w:tc>
        <w:tc>
          <w:tcPr>
            <w:tcW w:w="1292" w:type="dxa"/>
            <w:shd w:val="clear" w:color="auto" w:fill="FFFFFF"/>
            <w:tcMar>
              <w:top w:w="50" w:type="dxa"/>
              <w:left w:w="100" w:type="dxa"/>
              <w:bottom w:w="50" w:type="dxa"/>
              <w:right w:w="100" w:type="dxa"/>
            </w:tcMar>
            <w:vAlign w:val="center"/>
          </w:tcPr>
          <w:p w14:paraId="31D18F9A"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9,896</w:t>
            </w:r>
          </w:p>
        </w:tc>
        <w:tc>
          <w:tcPr>
            <w:tcW w:w="1292" w:type="dxa"/>
            <w:shd w:val="clear" w:color="auto" w:fill="FFFFFF"/>
            <w:tcMar>
              <w:top w:w="50" w:type="dxa"/>
              <w:left w:w="100" w:type="dxa"/>
              <w:bottom w:w="50" w:type="dxa"/>
              <w:right w:w="100" w:type="dxa"/>
            </w:tcMar>
            <w:vAlign w:val="center"/>
          </w:tcPr>
          <w:p w14:paraId="4F7EE2BB"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28,480</w:t>
            </w:r>
          </w:p>
        </w:tc>
        <w:tc>
          <w:tcPr>
            <w:tcW w:w="1292" w:type="dxa"/>
            <w:shd w:val="clear" w:color="auto" w:fill="FFFFFF"/>
            <w:tcMar>
              <w:top w:w="50" w:type="dxa"/>
              <w:left w:w="100" w:type="dxa"/>
              <w:bottom w:w="50" w:type="dxa"/>
              <w:right w:w="100" w:type="dxa"/>
            </w:tcMar>
            <w:vAlign w:val="center"/>
          </w:tcPr>
          <w:p w14:paraId="51CD0D54"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40,506</w:t>
            </w:r>
          </w:p>
        </w:tc>
        <w:tc>
          <w:tcPr>
            <w:tcW w:w="1292" w:type="dxa"/>
            <w:shd w:val="clear" w:color="auto" w:fill="FFFFFF"/>
            <w:tcMar>
              <w:top w:w="50" w:type="dxa"/>
              <w:left w:w="100" w:type="dxa"/>
              <w:bottom w:w="50" w:type="dxa"/>
              <w:right w:w="100" w:type="dxa"/>
            </w:tcMar>
            <w:vAlign w:val="center"/>
          </w:tcPr>
          <w:p w14:paraId="428530D9"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18,746</w:t>
            </w:r>
          </w:p>
        </w:tc>
        <w:tc>
          <w:tcPr>
            <w:tcW w:w="1292" w:type="dxa"/>
            <w:shd w:val="clear" w:color="auto" w:fill="FFFFFF"/>
            <w:tcMar>
              <w:top w:w="50" w:type="dxa"/>
              <w:left w:w="100" w:type="dxa"/>
              <w:bottom w:w="50" w:type="dxa"/>
              <w:right w:w="100" w:type="dxa"/>
            </w:tcMar>
            <w:vAlign w:val="center"/>
          </w:tcPr>
          <w:p w14:paraId="0AAFCCCD"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31,284</w:t>
            </w:r>
          </w:p>
        </w:tc>
      </w:tr>
    </w:tbl>
    <w:p w14:paraId="64DC58DB" w14:textId="437A0216" w:rsidR="002F173B" w:rsidRDefault="002F173B">
      <w:pPr>
        <w:spacing w:after="200" w:line="276" w:lineRule="auto"/>
        <w:jc w:val="both"/>
        <w:rPr>
          <w:rFonts w:ascii="Arial" w:hAnsi="Arial" w:cs="Arial"/>
          <w:color w:val="000000" w:themeColor="text1"/>
          <w:sz w:val="24"/>
          <w:szCs w:val="24"/>
        </w:rPr>
      </w:pPr>
    </w:p>
    <w:p w14:paraId="3AAECD1A" w14:textId="77777777" w:rsidR="00570D54" w:rsidRPr="00FF5147" w:rsidRDefault="00570D54">
      <w:pPr>
        <w:spacing w:after="200" w:line="276" w:lineRule="auto"/>
        <w:jc w:val="both"/>
        <w:rPr>
          <w:rFonts w:ascii="Arial" w:hAnsi="Arial" w:cs="Arial"/>
          <w:color w:val="000000" w:themeColor="text1"/>
          <w:sz w:val="24"/>
          <w:szCs w:val="24"/>
        </w:rPr>
      </w:pPr>
    </w:p>
    <w:p w14:paraId="05F46C9D" w14:textId="77777777" w:rsidR="002F173B" w:rsidRPr="002F173B" w:rsidRDefault="002F173B" w:rsidP="002F173B">
      <w:pPr>
        <w:spacing w:before="80" w:after="240"/>
        <w:rPr>
          <w:rFonts w:ascii="Arial" w:hAnsi="Arial" w:cs="Arial"/>
          <w:color w:val="000000" w:themeColor="text1"/>
          <w:sz w:val="24"/>
          <w:szCs w:val="24"/>
        </w:rPr>
      </w:pPr>
      <w:r w:rsidRPr="002F173B">
        <w:rPr>
          <w:rFonts w:ascii="Arial" w:hAnsi="Arial" w:cs="Arial"/>
          <w:color w:val="000000" w:themeColor="text1"/>
          <w:sz w:val="24"/>
          <w:szCs w:val="24"/>
        </w:rPr>
        <w:t>Table 3: Project Cash Flow Profiles (£ millions).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60"/>
        <w:gridCol w:w="1300"/>
        <w:gridCol w:w="1300"/>
        <w:gridCol w:w="1300"/>
        <w:gridCol w:w="1300"/>
        <w:gridCol w:w="1300"/>
        <w:gridCol w:w="1300"/>
      </w:tblGrid>
      <w:tr w:rsidR="002F173B" w:rsidRPr="002F173B" w14:paraId="2A5950C3" w14:textId="77777777" w:rsidTr="00FD77CE">
        <w:trPr>
          <w:tblHeader/>
        </w:trPr>
        <w:tc>
          <w:tcPr>
            <w:tcW w:w="1560" w:type="dxa"/>
            <w:shd w:val="clear" w:color="auto" w:fill="1F3B57"/>
            <w:tcMar>
              <w:top w:w="60" w:type="dxa"/>
              <w:left w:w="100" w:type="dxa"/>
              <w:bottom w:w="60" w:type="dxa"/>
              <w:right w:w="100" w:type="dxa"/>
            </w:tcMar>
            <w:vAlign w:val="center"/>
          </w:tcPr>
          <w:p w14:paraId="0CF7656E" w14:textId="77777777" w:rsidR="002F173B" w:rsidRPr="002F173B" w:rsidRDefault="002F173B" w:rsidP="00FD77CE">
            <w:pPr>
              <w:rPr>
                <w:rFonts w:ascii="Arial" w:hAnsi="Arial" w:cs="Arial"/>
                <w:color w:val="000000" w:themeColor="text1"/>
                <w:sz w:val="24"/>
                <w:szCs w:val="24"/>
              </w:rPr>
            </w:pPr>
            <w:r w:rsidRPr="002F173B">
              <w:rPr>
                <w:rFonts w:ascii="Arial" w:hAnsi="Arial" w:cs="Arial"/>
                <w:b/>
                <w:bCs/>
                <w:color w:val="000000" w:themeColor="text1"/>
                <w:sz w:val="24"/>
                <w:szCs w:val="24"/>
              </w:rPr>
              <w:t>£m</w:t>
            </w:r>
          </w:p>
        </w:tc>
        <w:tc>
          <w:tcPr>
            <w:tcW w:w="1300" w:type="dxa"/>
            <w:shd w:val="clear" w:color="auto" w:fill="1F3B57"/>
            <w:tcMar>
              <w:top w:w="60" w:type="dxa"/>
              <w:left w:w="100" w:type="dxa"/>
              <w:bottom w:w="60" w:type="dxa"/>
              <w:right w:w="100" w:type="dxa"/>
            </w:tcMar>
            <w:vAlign w:val="center"/>
          </w:tcPr>
          <w:p w14:paraId="09FAEEC0" w14:textId="77777777" w:rsidR="002F173B" w:rsidRPr="002F173B" w:rsidRDefault="002F173B" w:rsidP="00FD77CE">
            <w:pPr>
              <w:rPr>
                <w:rFonts w:ascii="Arial" w:hAnsi="Arial" w:cs="Arial"/>
                <w:color w:val="000000" w:themeColor="text1"/>
                <w:sz w:val="24"/>
                <w:szCs w:val="24"/>
              </w:rPr>
            </w:pPr>
            <w:r w:rsidRPr="002F173B">
              <w:rPr>
                <w:rFonts w:ascii="Arial" w:hAnsi="Arial" w:cs="Arial"/>
                <w:b/>
                <w:bCs/>
                <w:color w:val="000000" w:themeColor="text1"/>
                <w:sz w:val="24"/>
                <w:szCs w:val="24"/>
              </w:rPr>
              <w:t>Year 0</w:t>
            </w:r>
          </w:p>
        </w:tc>
        <w:tc>
          <w:tcPr>
            <w:tcW w:w="1300" w:type="dxa"/>
            <w:shd w:val="clear" w:color="auto" w:fill="1F3B57"/>
            <w:tcMar>
              <w:top w:w="60" w:type="dxa"/>
              <w:left w:w="100" w:type="dxa"/>
              <w:bottom w:w="60" w:type="dxa"/>
              <w:right w:w="100" w:type="dxa"/>
            </w:tcMar>
            <w:vAlign w:val="center"/>
          </w:tcPr>
          <w:p w14:paraId="7AA601A8" w14:textId="77777777" w:rsidR="002F173B" w:rsidRPr="002F173B" w:rsidRDefault="002F173B" w:rsidP="00FD77CE">
            <w:pPr>
              <w:rPr>
                <w:rFonts w:ascii="Arial" w:hAnsi="Arial" w:cs="Arial"/>
                <w:color w:val="000000" w:themeColor="text1"/>
                <w:sz w:val="24"/>
                <w:szCs w:val="24"/>
              </w:rPr>
            </w:pPr>
            <w:r w:rsidRPr="002F173B">
              <w:rPr>
                <w:rFonts w:ascii="Arial" w:hAnsi="Arial" w:cs="Arial"/>
                <w:b/>
                <w:bCs/>
                <w:color w:val="000000" w:themeColor="text1"/>
                <w:sz w:val="24"/>
                <w:szCs w:val="24"/>
              </w:rPr>
              <w:t>Year 1</w:t>
            </w:r>
          </w:p>
        </w:tc>
        <w:tc>
          <w:tcPr>
            <w:tcW w:w="1300" w:type="dxa"/>
            <w:shd w:val="clear" w:color="auto" w:fill="1F3B57"/>
            <w:tcMar>
              <w:top w:w="60" w:type="dxa"/>
              <w:left w:w="100" w:type="dxa"/>
              <w:bottom w:w="60" w:type="dxa"/>
              <w:right w:w="100" w:type="dxa"/>
            </w:tcMar>
            <w:vAlign w:val="center"/>
          </w:tcPr>
          <w:p w14:paraId="4D9A75ED" w14:textId="77777777" w:rsidR="002F173B" w:rsidRPr="002F173B" w:rsidRDefault="002F173B" w:rsidP="00FD77CE">
            <w:pPr>
              <w:rPr>
                <w:rFonts w:ascii="Arial" w:hAnsi="Arial" w:cs="Arial"/>
                <w:color w:val="000000" w:themeColor="text1"/>
                <w:sz w:val="24"/>
                <w:szCs w:val="24"/>
              </w:rPr>
            </w:pPr>
            <w:r w:rsidRPr="002F173B">
              <w:rPr>
                <w:rFonts w:ascii="Arial" w:hAnsi="Arial" w:cs="Arial"/>
                <w:b/>
                <w:bCs/>
                <w:color w:val="000000" w:themeColor="text1"/>
                <w:sz w:val="24"/>
                <w:szCs w:val="24"/>
              </w:rPr>
              <w:t>Year 2</w:t>
            </w:r>
          </w:p>
        </w:tc>
        <w:tc>
          <w:tcPr>
            <w:tcW w:w="1300" w:type="dxa"/>
            <w:shd w:val="clear" w:color="auto" w:fill="1F3B57"/>
            <w:tcMar>
              <w:top w:w="60" w:type="dxa"/>
              <w:left w:w="100" w:type="dxa"/>
              <w:bottom w:w="60" w:type="dxa"/>
              <w:right w:w="100" w:type="dxa"/>
            </w:tcMar>
            <w:vAlign w:val="center"/>
          </w:tcPr>
          <w:p w14:paraId="39AAF484" w14:textId="77777777" w:rsidR="002F173B" w:rsidRPr="002F173B" w:rsidRDefault="002F173B" w:rsidP="00FD77CE">
            <w:pPr>
              <w:rPr>
                <w:rFonts w:ascii="Arial" w:hAnsi="Arial" w:cs="Arial"/>
                <w:color w:val="000000" w:themeColor="text1"/>
                <w:sz w:val="24"/>
                <w:szCs w:val="24"/>
              </w:rPr>
            </w:pPr>
            <w:r w:rsidRPr="002F173B">
              <w:rPr>
                <w:rFonts w:ascii="Arial" w:hAnsi="Arial" w:cs="Arial"/>
                <w:b/>
                <w:bCs/>
                <w:color w:val="000000" w:themeColor="text1"/>
                <w:sz w:val="24"/>
                <w:szCs w:val="24"/>
              </w:rPr>
              <w:t>Year 3</w:t>
            </w:r>
          </w:p>
        </w:tc>
        <w:tc>
          <w:tcPr>
            <w:tcW w:w="1300" w:type="dxa"/>
            <w:shd w:val="clear" w:color="auto" w:fill="1F3B57"/>
            <w:tcMar>
              <w:top w:w="60" w:type="dxa"/>
              <w:left w:w="100" w:type="dxa"/>
              <w:bottom w:w="60" w:type="dxa"/>
              <w:right w:w="100" w:type="dxa"/>
            </w:tcMar>
            <w:vAlign w:val="center"/>
          </w:tcPr>
          <w:p w14:paraId="6E73499C" w14:textId="77777777" w:rsidR="002F173B" w:rsidRPr="002F173B" w:rsidRDefault="002F173B" w:rsidP="00FD77CE">
            <w:pPr>
              <w:rPr>
                <w:rFonts w:ascii="Arial" w:hAnsi="Arial" w:cs="Arial"/>
                <w:color w:val="000000" w:themeColor="text1"/>
                <w:sz w:val="24"/>
                <w:szCs w:val="24"/>
              </w:rPr>
            </w:pPr>
            <w:r w:rsidRPr="002F173B">
              <w:rPr>
                <w:rFonts w:ascii="Arial" w:hAnsi="Arial" w:cs="Arial"/>
                <w:b/>
                <w:bCs/>
                <w:color w:val="000000" w:themeColor="text1"/>
                <w:sz w:val="24"/>
                <w:szCs w:val="24"/>
              </w:rPr>
              <w:t>Year 4</w:t>
            </w:r>
          </w:p>
        </w:tc>
        <w:tc>
          <w:tcPr>
            <w:tcW w:w="1300" w:type="dxa"/>
            <w:shd w:val="clear" w:color="auto" w:fill="1F3B57"/>
            <w:tcMar>
              <w:top w:w="60" w:type="dxa"/>
              <w:left w:w="100" w:type="dxa"/>
              <w:bottom w:w="60" w:type="dxa"/>
              <w:right w:w="100" w:type="dxa"/>
            </w:tcMar>
            <w:vAlign w:val="center"/>
          </w:tcPr>
          <w:p w14:paraId="57DBE7D2" w14:textId="77777777" w:rsidR="002F173B" w:rsidRPr="002F173B" w:rsidRDefault="002F173B" w:rsidP="00FD77CE">
            <w:pPr>
              <w:rPr>
                <w:rFonts w:ascii="Arial" w:hAnsi="Arial" w:cs="Arial"/>
                <w:color w:val="000000" w:themeColor="text1"/>
                <w:sz w:val="24"/>
                <w:szCs w:val="24"/>
              </w:rPr>
            </w:pPr>
            <w:r w:rsidRPr="002F173B">
              <w:rPr>
                <w:rFonts w:ascii="Arial" w:hAnsi="Arial" w:cs="Arial"/>
                <w:b/>
                <w:bCs/>
                <w:color w:val="000000" w:themeColor="text1"/>
                <w:sz w:val="24"/>
                <w:szCs w:val="24"/>
              </w:rPr>
              <w:t>Year 5</w:t>
            </w:r>
          </w:p>
        </w:tc>
      </w:tr>
      <w:tr w:rsidR="002F173B" w:rsidRPr="00F3651D" w14:paraId="0A4A3D37" w14:textId="77777777" w:rsidTr="00FD77CE">
        <w:tc>
          <w:tcPr>
            <w:tcW w:w="1560" w:type="dxa"/>
            <w:shd w:val="clear" w:color="auto" w:fill="F2F5F8"/>
            <w:tcMar>
              <w:top w:w="50" w:type="dxa"/>
              <w:left w:w="100" w:type="dxa"/>
              <w:bottom w:w="50" w:type="dxa"/>
              <w:right w:w="100" w:type="dxa"/>
            </w:tcMar>
            <w:vAlign w:val="center"/>
          </w:tcPr>
          <w:p w14:paraId="3F7C0AC7"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Project A</w:t>
            </w:r>
          </w:p>
        </w:tc>
        <w:tc>
          <w:tcPr>
            <w:tcW w:w="1300" w:type="dxa"/>
            <w:shd w:val="clear" w:color="auto" w:fill="F2F5F8"/>
            <w:tcMar>
              <w:top w:w="50" w:type="dxa"/>
              <w:left w:w="100" w:type="dxa"/>
              <w:bottom w:w="50" w:type="dxa"/>
              <w:right w:w="100" w:type="dxa"/>
            </w:tcMar>
            <w:vAlign w:val="center"/>
          </w:tcPr>
          <w:p w14:paraId="14B64824"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(50)</w:t>
            </w:r>
          </w:p>
        </w:tc>
        <w:tc>
          <w:tcPr>
            <w:tcW w:w="1300" w:type="dxa"/>
            <w:shd w:val="clear" w:color="auto" w:fill="F2F5F8"/>
            <w:tcMar>
              <w:top w:w="50" w:type="dxa"/>
              <w:left w:w="100" w:type="dxa"/>
              <w:bottom w:w="50" w:type="dxa"/>
              <w:right w:w="100" w:type="dxa"/>
            </w:tcMar>
            <w:vAlign w:val="center"/>
          </w:tcPr>
          <w:p w14:paraId="2FFA4A5F"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10</w:t>
            </w:r>
          </w:p>
        </w:tc>
        <w:tc>
          <w:tcPr>
            <w:tcW w:w="1300" w:type="dxa"/>
            <w:shd w:val="clear" w:color="auto" w:fill="F2F5F8"/>
            <w:tcMar>
              <w:top w:w="50" w:type="dxa"/>
              <w:left w:w="100" w:type="dxa"/>
              <w:bottom w:w="50" w:type="dxa"/>
              <w:right w:w="100" w:type="dxa"/>
            </w:tcMar>
            <w:vAlign w:val="center"/>
          </w:tcPr>
          <w:p w14:paraId="3003E851"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12</w:t>
            </w:r>
          </w:p>
        </w:tc>
        <w:tc>
          <w:tcPr>
            <w:tcW w:w="1300" w:type="dxa"/>
            <w:shd w:val="clear" w:color="auto" w:fill="F2F5F8"/>
            <w:tcMar>
              <w:top w:w="50" w:type="dxa"/>
              <w:left w:w="100" w:type="dxa"/>
              <w:bottom w:w="50" w:type="dxa"/>
              <w:right w:w="100" w:type="dxa"/>
            </w:tcMar>
            <w:vAlign w:val="center"/>
          </w:tcPr>
          <w:p w14:paraId="20F4420C"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14</w:t>
            </w:r>
          </w:p>
        </w:tc>
        <w:tc>
          <w:tcPr>
            <w:tcW w:w="1300" w:type="dxa"/>
            <w:shd w:val="clear" w:color="auto" w:fill="F2F5F8"/>
            <w:tcMar>
              <w:top w:w="50" w:type="dxa"/>
              <w:left w:w="100" w:type="dxa"/>
              <w:bottom w:w="50" w:type="dxa"/>
              <w:right w:w="100" w:type="dxa"/>
            </w:tcMar>
            <w:vAlign w:val="center"/>
          </w:tcPr>
          <w:p w14:paraId="559678EF"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10</w:t>
            </w:r>
          </w:p>
        </w:tc>
        <w:tc>
          <w:tcPr>
            <w:tcW w:w="1300" w:type="dxa"/>
            <w:shd w:val="clear" w:color="auto" w:fill="F2F5F8"/>
            <w:tcMar>
              <w:top w:w="50" w:type="dxa"/>
              <w:left w:w="100" w:type="dxa"/>
              <w:bottom w:w="50" w:type="dxa"/>
              <w:right w:w="100" w:type="dxa"/>
            </w:tcMar>
            <w:vAlign w:val="center"/>
          </w:tcPr>
          <w:p w14:paraId="08AA59F8"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8</w:t>
            </w:r>
          </w:p>
        </w:tc>
      </w:tr>
      <w:tr w:rsidR="002F173B" w:rsidRPr="00F3651D" w14:paraId="54EDC825" w14:textId="77777777" w:rsidTr="00FD77CE">
        <w:tc>
          <w:tcPr>
            <w:tcW w:w="1560" w:type="dxa"/>
            <w:shd w:val="clear" w:color="auto" w:fill="FFFFFF"/>
            <w:tcMar>
              <w:top w:w="50" w:type="dxa"/>
              <w:left w:w="100" w:type="dxa"/>
              <w:bottom w:w="50" w:type="dxa"/>
              <w:right w:w="100" w:type="dxa"/>
            </w:tcMar>
            <w:vAlign w:val="center"/>
          </w:tcPr>
          <w:p w14:paraId="5D1B0A58"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Project B</w:t>
            </w:r>
          </w:p>
        </w:tc>
        <w:tc>
          <w:tcPr>
            <w:tcW w:w="1300" w:type="dxa"/>
            <w:shd w:val="clear" w:color="auto" w:fill="FFFFFF"/>
            <w:tcMar>
              <w:top w:w="50" w:type="dxa"/>
              <w:left w:w="100" w:type="dxa"/>
              <w:bottom w:w="50" w:type="dxa"/>
              <w:right w:w="100" w:type="dxa"/>
            </w:tcMar>
            <w:vAlign w:val="center"/>
          </w:tcPr>
          <w:p w14:paraId="7168C7FA"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(50)</w:t>
            </w:r>
          </w:p>
        </w:tc>
        <w:tc>
          <w:tcPr>
            <w:tcW w:w="1300" w:type="dxa"/>
            <w:shd w:val="clear" w:color="auto" w:fill="FFFFFF"/>
            <w:tcMar>
              <w:top w:w="50" w:type="dxa"/>
              <w:left w:w="100" w:type="dxa"/>
              <w:bottom w:w="50" w:type="dxa"/>
              <w:right w:w="100" w:type="dxa"/>
            </w:tcMar>
            <w:vAlign w:val="center"/>
          </w:tcPr>
          <w:p w14:paraId="5BCCC53E"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11</w:t>
            </w:r>
          </w:p>
        </w:tc>
        <w:tc>
          <w:tcPr>
            <w:tcW w:w="1300" w:type="dxa"/>
            <w:shd w:val="clear" w:color="auto" w:fill="FFFFFF"/>
            <w:tcMar>
              <w:top w:w="50" w:type="dxa"/>
              <w:left w:w="100" w:type="dxa"/>
              <w:bottom w:w="50" w:type="dxa"/>
              <w:right w:w="100" w:type="dxa"/>
            </w:tcMar>
            <w:vAlign w:val="center"/>
          </w:tcPr>
          <w:p w14:paraId="59B7CC70"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11</w:t>
            </w:r>
          </w:p>
        </w:tc>
        <w:tc>
          <w:tcPr>
            <w:tcW w:w="1300" w:type="dxa"/>
            <w:shd w:val="clear" w:color="auto" w:fill="FFFFFF"/>
            <w:tcMar>
              <w:top w:w="50" w:type="dxa"/>
              <w:left w:w="100" w:type="dxa"/>
              <w:bottom w:w="50" w:type="dxa"/>
              <w:right w:w="100" w:type="dxa"/>
            </w:tcMar>
            <w:vAlign w:val="center"/>
          </w:tcPr>
          <w:p w14:paraId="7B2ADA9F"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11</w:t>
            </w:r>
          </w:p>
        </w:tc>
        <w:tc>
          <w:tcPr>
            <w:tcW w:w="1300" w:type="dxa"/>
            <w:shd w:val="clear" w:color="auto" w:fill="FFFFFF"/>
            <w:tcMar>
              <w:top w:w="50" w:type="dxa"/>
              <w:left w:w="100" w:type="dxa"/>
              <w:bottom w:w="50" w:type="dxa"/>
              <w:right w:w="100" w:type="dxa"/>
            </w:tcMar>
            <w:vAlign w:val="center"/>
          </w:tcPr>
          <w:p w14:paraId="36120238"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11</w:t>
            </w:r>
          </w:p>
        </w:tc>
        <w:tc>
          <w:tcPr>
            <w:tcW w:w="1300" w:type="dxa"/>
            <w:shd w:val="clear" w:color="auto" w:fill="FFFFFF"/>
            <w:tcMar>
              <w:top w:w="50" w:type="dxa"/>
              <w:left w:w="100" w:type="dxa"/>
              <w:bottom w:w="50" w:type="dxa"/>
              <w:right w:w="100" w:type="dxa"/>
            </w:tcMar>
            <w:vAlign w:val="center"/>
          </w:tcPr>
          <w:p w14:paraId="6BEBECF1"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11</w:t>
            </w:r>
          </w:p>
        </w:tc>
      </w:tr>
      <w:tr w:rsidR="002F173B" w:rsidRPr="00F3651D" w14:paraId="3D2D9C50" w14:textId="77777777" w:rsidTr="00FD77CE">
        <w:tc>
          <w:tcPr>
            <w:tcW w:w="1560" w:type="dxa"/>
            <w:shd w:val="clear" w:color="auto" w:fill="F2F5F8"/>
            <w:tcMar>
              <w:top w:w="50" w:type="dxa"/>
              <w:left w:w="100" w:type="dxa"/>
              <w:bottom w:w="50" w:type="dxa"/>
              <w:right w:w="100" w:type="dxa"/>
            </w:tcMar>
            <w:vAlign w:val="center"/>
          </w:tcPr>
          <w:p w14:paraId="4124112D"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Project C</w:t>
            </w:r>
          </w:p>
        </w:tc>
        <w:tc>
          <w:tcPr>
            <w:tcW w:w="1300" w:type="dxa"/>
            <w:shd w:val="clear" w:color="auto" w:fill="F2F5F8"/>
            <w:tcMar>
              <w:top w:w="50" w:type="dxa"/>
              <w:left w:w="100" w:type="dxa"/>
              <w:bottom w:w="50" w:type="dxa"/>
              <w:right w:w="100" w:type="dxa"/>
            </w:tcMar>
            <w:vAlign w:val="center"/>
          </w:tcPr>
          <w:p w14:paraId="1FB3CE1B"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(50)</w:t>
            </w:r>
          </w:p>
        </w:tc>
        <w:tc>
          <w:tcPr>
            <w:tcW w:w="1300" w:type="dxa"/>
            <w:shd w:val="clear" w:color="auto" w:fill="F2F5F8"/>
            <w:tcMar>
              <w:top w:w="50" w:type="dxa"/>
              <w:left w:w="100" w:type="dxa"/>
              <w:bottom w:w="50" w:type="dxa"/>
              <w:right w:w="100" w:type="dxa"/>
            </w:tcMar>
            <w:vAlign w:val="center"/>
          </w:tcPr>
          <w:p w14:paraId="4FF6A4B8"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5</w:t>
            </w:r>
          </w:p>
        </w:tc>
        <w:tc>
          <w:tcPr>
            <w:tcW w:w="1300" w:type="dxa"/>
            <w:shd w:val="clear" w:color="auto" w:fill="F2F5F8"/>
            <w:tcMar>
              <w:top w:w="50" w:type="dxa"/>
              <w:left w:w="100" w:type="dxa"/>
              <w:bottom w:w="50" w:type="dxa"/>
              <w:right w:w="100" w:type="dxa"/>
            </w:tcMar>
            <w:vAlign w:val="center"/>
          </w:tcPr>
          <w:p w14:paraId="441A088D"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10</w:t>
            </w:r>
          </w:p>
        </w:tc>
        <w:tc>
          <w:tcPr>
            <w:tcW w:w="1300" w:type="dxa"/>
            <w:shd w:val="clear" w:color="auto" w:fill="F2F5F8"/>
            <w:tcMar>
              <w:top w:w="50" w:type="dxa"/>
              <w:left w:w="100" w:type="dxa"/>
              <w:bottom w:w="50" w:type="dxa"/>
              <w:right w:w="100" w:type="dxa"/>
            </w:tcMar>
            <w:vAlign w:val="center"/>
          </w:tcPr>
          <w:p w14:paraId="35C6DDAB"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20</w:t>
            </w:r>
          </w:p>
        </w:tc>
        <w:tc>
          <w:tcPr>
            <w:tcW w:w="1300" w:type="dxa"/>
            <w:shd w:val="clear" w:color="auto" w:fill="F2F5F8"/>
            <w:tcMar>
              <w:top w:w="50" w:type="dxa"/>
              <w:left w:w="100" w:type="dxa"/>
              <w:bottom w:w="50" w:type="dxa"/>
              <w:right w:w="100" w:type="dxa"/>
            </w:tcMar>
            <w:vAlign w:val="center"/>
          </w:tcPr>
          <w:p w14:paraId="2932B7CC"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25</w:t>
            </w:r>
          </w:p>
        </w:tc>
        <w:tc>
          <w:tcPr>
            <w:tcW w:w="1300" w:type="dxa"/>
            <w:shd w:val="clear" w:color="auto" w:fill="F2F5F8"/>
            <w:tcMar>
              <w:top w:w="50" w:type="dxa"/>
              <w:left w:w="100" w:type="dxa"/>
              <w:bottom w:w="50" w:type="dxa"/>
              <w:right w:w="100" w:type="dxa"/>
            </w:tcMar>
            <w:vAlign w:val="center"/>
          </w:tcPr>
          <w:p w14:paraId="19C1DC50"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5</w:t>
            </w:r>
          </w:p>
        </w:tc>
      </w:tr>
    </w:tbl>
    <w:p w14:paraId="19D28C32" w14:textId="77777777" w:rsidR="002F173B" w:rsidRDefault="002F173B" w:rsidP="002F173B">
      <w:pPr>
        <w:rPr>
          <w:rFonts w:ascii="Arial" w:hAnsi="Arial" w:cs="Arial"/>
          <w:color w:val="000000" w:themeColor="text1"/>
          <w:sz w:val="24"/>
          <w:szCs w:val="24"/>
        </w:rPr>
      </w:pPr>
    </w:p>
    <w:p w14:paraId="3D59198E" w14:textId="656BD555" w:rsidR="002F173B" w:rsidRDefault="002F173B" w:rsidP="002F173B">
      <w:pPr>
        <w:rPr>
          <w:rFonts w:ascii="Arial" w:hAnsi="Arial" w:cs="Arial"/>
          <w:color w:val="000000" w:themeColor="text1"/>
          <w:sz w:val="24"/>
          <w:szCs w:val="24"/>
        </w:rPr>
      </w:pPr>
    </w:p>
    <w:p w14:paraId="5F55556A" w14:textId="77777777" w:rsidR="00570D54" w:rsidRDefault="00570D54" w:rsidP="002F173B">
      <w:pPr>
        <w:rPr>
          <w:rFonts w:ascii="Arial" w:hAnsi="Arial" w:cs="Arial"/>
          <w:color w:val="000000" w:themeColor="text1"/>
          <w:sz w:val="24"/>
          <w:szCs w:val="24"/>
        </w:rPr>
      </w:pPr>
    </w:p>
    <w:p w14:paraId="1EEA1B42" w14:textId="77777777" w:rsidR="002F173B" w:rsidRPr="002F173B" w:rsidRDefault="002F173B" w:rsidP="002F173B">
      <w:pPr>
        <w:spacing w:before="80" w:after="240"/>
        <w:rPr>
          <w:rFonts w:ascii="Arial" w:hAnsi="Arial" w:cs="Arial"/>
          <w:color w:val="000000" w:themeColor="text1"/>
          <w:sz w:val="24"/>
          <w:szCs w:val="24"/>
        </w:rPr>
      </w:pPr>
      <w:r w:rsidRPr="002F173B">
        <w:rPr>
          <w:rFonts w:ascii="Arial" w:hAnsi="Arial" w:cs="Arial"/>
          <w:color w:val="000000" w:themeColor="text1"/>
          <w:sz w:val="24"/>
          <w:szCs w:val="24"/>
        </w:rPr>
        <w:t>Table 4: Summary of Investment Appraisal Results.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960"/>
        <w:gridCol w:w="1600"/>
        <w:gridCol w:w="1600"/>
        <w:gridCol w:w="1600"/>
        <w:gridCol w:w="1600"/>
      </w:tblGrid>
      <w:tr w:rsidR="002F173B" w:rsidRPr="002F173B" w14:paraId="6245726B" w14:textId="77777777" w:rsidTr="00FD77CE">
        <w:trPr>
          <w:tblHeader/>
        </w:trPr>
        <w:tc>
          <w:tcPr>
            <w:tcW w:w="2960" w:type="dxa"/>
            <w:shd w:val="clear" w:color="auto" w:fill="1F3B57"/>
            <w:tcMar>
              <w:top w:w="60" w:type="dxa"/>
              <w:left w:w="100" w:type="dxa"/>
              <w:bottom w:w="60" w:type="dxa"/>
              <w:right w:w="100" w:type="dxa"/>
            </w:tcMar>
            <w:vAlign w:val="center"/>
          </w:tcPr>
          <w:p w14:paraId="1624700C" w14:textId="77777777" w:rsidR="002F173B" w:rsidRPr="002F173B" w:rsidRDefault="002F173B" w:rsidP="00FD77CE">
            <w:pPr>
              <w:rPr>
                <w:rFonts w:ascii="Arial" w:hAnsi="Arial" w:cs="Arial"/>
                <w:color w:val="000000" w:themeColor="text1"/>
                <w:sz w:val="24"/>
                <w:szCs w:val="24"/>
              </w:rPr>
            </w:pPr>
            <w:r w:rsidRPr="002F173B">
              <w:rPr>
                <w:rFonts w:ascii="Arial" w:hAnsi="Arial" w:cs="Arial"/>
                <w:b/>
                <w:bCs/>
                <w:color w:val="000000" w:themeColor="text1"/>
                <w:sz w:val="24"/>
                <w:szCs w:val="24"/>
              </w:rPr>
              <w:t>Criterion</w:t>
            </w:r>
          </w:p>
        </w:tc>
        <w:tc>
          <w:tcPr>
            <w:tcW w:w="1600" w:type="dxa"/>
            <w:shd w:val="clear" w:color="auto" w:fill="1F3B57"/>
            <w:tcMar>
              <w:top w:w="60" w:type="dxa"/>
              <w:left w:w="100" w:type="dxa"/>
              <w:bottom w:w="60" w:type="dxa"/>
              <w:right w:w="100" w:type="dxa"/>
            </w:tcMar>
            <w:vAlign w:val="center"/>
          </w:tcPr>
          <w:p w14:paraId="0EEB3143" w14:textId="77777777" w:rsidR="002F173B" w:rsidRPr="002F173B" w:rsidRDefault="002F173B" w:rsidP="00FD77CE">
            <w:pPr>
              <w:rPr>
                <w:rFonts w:ascii="Arial" w:hAnsi="Arial" w:cs="Arial"/>
                <w:color w:val="000000" w:themeColor="text1"/>
                <w:sz w:val="24"/>
                <w:szCs w:val="24"/>
              </w:rPr>
            </w:pPr>
            <w:r w:rsidRPr="002F173B">
              <w:rPr>
                <w:rFonts w:ascii="Arial" w:hAnsi="Arial" w:cs="Arial"/>
                <w:b/>
                <w:bCs/>
                <w:color w:val="000000" w:themeColor="text1"/>
                <w:sz w:val="24"/>
                <w:szCs w:val="24"/>
              </w:rPr>
              <w:t>Project A</w:t>
            </w:r>
          </w:p>
        </w:tc>
        <w:tc>
          <w:tcPr>
            <w:tcW w:w="1600" w:type="dxa"/>
            <w:shd w:val="clear" w:color="auto" w:fill="1F3B57"/>
            <w:tcMar>
              <w:top w:w="60" w:type="dxa"/>
              <w:left w:w="100" w:type="dxa"/>
              <w:bottom w:w="60" w:type="dxa"/>
              <w:right w:w="100" w:type="dxa"/>
            </w:tcMar>
            <w:vAlign w:val="center"/>
          </w:tcPr>
          <w:p w14:paraId="6FCD93F4" w14:textId="77777777" w:rsidR="002F173B" w:rsidRPr="002F173B" w:rsidRDefault="002F173B" w:rsidP="00FD77CE">
            <w:pPr>
              <w:rPr>
                <w:rFonts w:ascii="Arial" w:hAnsi="Arial" w:cs="Arial"/>
                <w:color w:val="000000" w:themeColor="text1"/>
                <w:sz w:val="24"/>
                <w:szCs w:val="24"/>
              </w:rPr>
            </w:pPr>
            <w:r w:rsidRPr="002F173B">
              <w:rPr>
                <w:rFonts w:ascii="Arial" w:hAnsi="Arial" w:cs="Arial"/>
                <w:b/>
                <w:bCs/>
                <w:color w:val="000000" w:themeColor="text1"/>
                <w:sz w:val="24"/>
                <w:szCs w:val="24"/>
              </w:rPr>
              <w:t>Project B</w:t>
            </w:r>
          </w:p>
        </w:tc>
        <w:tc>
          <w:tcPr>
            <w:tcW w:w="1600" w:type="dxa"/>
            <w:shd w:val="clear" w:color="auto" w:fill="1F3B57"/>
            <w:tcMar>
              <w:top w:w="60" w:type="dxa"/>
              <w:left w:w="100" w:type="dxa"/>
              <w:bottom w:w="60" w:type="dxa"/>
              <w:right w:w="100" w:type="dxa"/>
            </w:tcMar>
            <w:vAlign w:val="center"/>
          </w:tcPr>
          <w:p w14:paraId="3CB1F5D2" w14:textId="77777777" w:rsidR="002F173B" w:rsidRPr="002F173B" w:rsidRDefault="002F173B" w:rsidP="00FD77CE">
            <w:pPr>
              <w:rPr>
                <w:rFonts w:ascii="Arial" w:hAnsi="Arial" w:cs="Arial"/>
                <w:color w:val="000000" w:themeColor="text1"/>
                <w:sz w:val="24"/>
                <w:szCs w:val="24"/>
              </w:rPr>
            </w:pPr>
            <w:r w:rsidRPr="002F173B">
              <w:rPr>
                <w:rFonts w:ascii="Arial" w:hAnsi="Arial" w:cs="Arial"/>
                <w:b/>
                <w:bCs/>
                <w:color w:val="000000" w:themeColor="text1"/>
                <w:sz w:val="24"/>
                <w:szCs w:val="24"/>
              </w:rPr>
              <w:t>Project C</w:t>
            </w:r>
          </w:p>
        </w:tc>
        <w:tc>
          <w:tcPr>
            <w:tcW w:w="1600" w:type="dxa"/>
            <w:shd w:val="clear" w:color="auto" w:fill="1F3B57"/>
            <w:tcMar>
              <w:top w:w="60" w:type="dxa"/>
              <w:left w:w="100" w:type="dxa"/>
              <w:bottom w:w="60" w:type="dxa"/>
              <w:right w:w="100" w:type="dxa"/>
            </w:tcMar>
            <w:vAlign w:val="center"/>
          </w:tcPr>
          <w:p w14:paraId="12304EA3" w14:textId="77777777" w:rsidR="002F173B" w:rsidRPr="002F173B" w:rsidRDefault="002F173B" w:rsidP="00FD77CE">
            <w:pPr>
              <w:rPr>
                <w:rFonts w:ascii="Arial" w:hAnsi="Arial" w:cs="Arial"/>
                <w:color w:val="000000" w:themeColor="text1"/>
                <w:sz w:val="24"/>
                <w:szCs w:val="24"/>
              </w:rPr>
            </w:pPr>
            <w:r w:rsidRPr="002F173B">
              <w:rPr>
                <w:rFonts w:ascii="Arial" w:hAnsi="Arial" w:cs="Arial"/>
                <w:b/>
                <w:bCs/>
                <w:color w:val="000000" w:themeColor="text1"/>
                <w:sz w:val="24"/>
                <w:szCs w:val="24"/>
              </w:rPr>
              <w:t>Decision rule</w:t>
            </w:r>
          </w:p>
        </w:tc>
      </w:tr>
      <w:tr w:rsidR="002F173B" w:rsidRPr="00F3651D" w14:paraId="0361A6BB" w14:textId="77777777" w:rsidTr="00FD77CE">
        <w:tc>
          <w:tcPr>
            <w:tcW w:w="2960" w:type="dxa"/>
            <w:shd w:val="clear" w:color="auto" w:fill="F2F5F8"/>
            <w:tcMar>
              <w:top w:w="50" w:type="dxa"/>
              <w:left w:w="100" w:type="dxa"/>
              <w:bottom w:w="50" w:type="dxa"/>
              <w:right w:w="100" w:type="dxa"/>
            </w:tcMar>
            <w:vAlign w:val="center"/>
          </w:tcPr>
          <w:p w14:paraId="1D435D59"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Payback period (years)</w:t>
            </w:r>
          </w:p>
        </w:tc>
        <w:tc>
          <w:tcPr>
            <w:tcW w:w="1600" w:type="dxa"/>
            <w:shd w:val="clear" w:color="auto" w:fill="F2F5F8"/>
            <w:tcMar>
              <w:top w:w="50" w:type="dxa"/>
              <w:left w:w="100" w:type="dxa"/>
              <w:bottom w:w="50" w:type="dxa"/>
              <w:right w:w="100" w:type="dxa"/>
            </w:tcMar>
            <w:vAlign w:val="center"/>
          </w:tcPr>
          <w:p w14:paraId="3C60D714"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4.50</w:t>
            </w:r>
          </w:p>
        </w:tc>
        <w:tc>
          <w:tcPr>
            <w:tcW w:w="1600" w:type="dxa"/>
            <w:shd w:val="clear" w:color="auto" w:fill="F2F5F8"/>
            <w:tcMar>
              <w:top w:w="50" w:type="dxa"/>
              <w:left w:w="100" w:type="dxa"/>
              <w:bottom w:w="50" w:type="dxa"/>
              <w:right w:w="100" w:type="dxa"/>
            </w:tcMar>
            <w:vAlign w:val="center"/>
          </w:tcPr>
          <w:p w14:paraId="6A27F97F"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4.55</w:t>
            </w:r>
          </w:p>
        </w:tc>
        <w:tc>
          <w:tcPr>
            <w:tcW w:w="1600" w:type="dxa"/>
            <w:shd w:val="clear" w:color="auto" w:fill="F2F5F8"/>
            <w:tcMar>
              <w:top w:w="50" w:type="dxa"/>
              <w:left w:w="100" w:type="dxa"/>
              <w:bottom w:w="50" w:type="dxa"/>
              <w:right w:w="100" w:type="dxa"/>
            </w:tcMar>
            <w:vAlign w:val="center"/>
          </w:tcPr>
          <w:p w14:paraId="1A9B782C"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3.60</w:t>
            </w:r>
          </w:p>
        </w:tc>
        <w:tc>
          <w:tcPr>
            <w:tcW w:w="1600" w:type="dxa"/>
            <w:shd w:val="clear" w:color="auto" w:fill="F2F5F8"/>
            <w:tcMar>
              <w:top w:w="50" w:type="dxa"/>
              <w:left w:w="100" w:type="dxa"/>
              <w:bottom w:w="50" w:type="dxa"/>
              <w:right w:w="100" w:type="dxa"/>
            </w:tcMar>
            <w:vAlign w:val="center"/>
          </w:tcPr>
          <w:p w14:paraId="595DED33"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Shorter is better</w:t>
            </w:r>
          </w:p>
        </w:tc>
      </w:tr>
      <w:tr w:rsidR="002F173B" w:rsidRPr="00F3651D" w14:paraId="66CB1016" w14:textId="77777777" w:rsidTr="00FD77CE">
        <w:tc>
          <w:tcPr>
            <w:tcW w:w="2960" w:type="dxa"/>
            <w:shd w:val="clear" w:color="auto" w:fill="FFFFFF"/>
            <w:tcMar>
              <w:top w:w="50" w:type="dxa"/>
              <w:left w:w="100" w:type="dxa"/>
              <w:bottom w:w="50" w:type="dxa"/>
              <w:right w:w="100" w:type="dxa"/>
            </w:tcMar>
            <w:vAlign w:val="center"/>
          </w:tcPr>
          <w:p w14:paraId="5446084F"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ARR on average investment (%)</w:t>
            </w:r>
          </w:p>
        </w:tc>
        <w:tc>
          <w:tcPr>
            <w:tcW w:w="1600" w:type="dxa"/>
            <w:shd w:val="clear" w:color="auto" w:fill="FFFFFF"/>
            <w:tcMar>
              <w:top w:w="50" w:type="dxa"/>
              <w:left w:w="100" w:type="dxa"/>
              <w:bottom w:w="50" w:type="dxa"/>
              <w:right w:w="100" w:type="dxa"/>
            </w:tcMar>
            <w:vAlign w:val="center"/>
          </w:tcPr>
          <w:p w14:paraId="1DB99744"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3.20</w:t>
            </w:r>
          </w:p>
        </w:tc>
        <w:tc>
          <w:tcPr>
            <w:tcW w:w="1600" w:type="dxa"/>
            <w:shd w:val="clear" w:color="auto" w:fill="FFFFFF"/>
            <w:tcMar>
              <w:top w:w="50" w:type="dxa"/>
              <w:left w:w="100" w:type="dxa"/>
              <w:bottom w:w="50" w:type="dxa"/>
              <w:right w:w="100" w:type="dxa"/>
            </w:tcMar>
            <w:vAlign w:val="center"/>
          </w:tcPr>
          <w:p w14:paraId="73ECDA00"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4.00</w:t>
            </w:r>
          </w:p>
        </w:tc>
        <w:tc>
          <w:tcPr>
            <w:tcW w:w="1600" w:type="dxa"/>
            <w:shd w:val="clear" w:color="auto" w:fill="FFFFFF"/>
            <w:tcMar>
              <w:top w:w="50" w:type="dxa"/>
              <w:left w:w="100" w:type="dxa"/>
              <w:bottom w:w="50" w:type="dxa"/>
              <w:right w:w="100" w:type="dxa"/>
            </w:tcMar>
            <w:vAlign w:val="center"/>
          </w:tcPr>
          <w:p w14:paraId="60742B15"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12.00</w:t>
            </w:r>
          </w:p>
        </w:tc>
        <w:tc>
          <w:tcPr>
            <w:tcW w:w="1600" w:type="dxa"/>
            <w:shd w:val="clear" w:color="auto" w:fill="FFFFFF"/>
            <w:tcMar>
              <w:top w:w="50" w:type="dxa"/>
              <w:left w:w="100" w:type="dxa"/>
              <w:bottom w:w="50" w:type="dxa"/>
              <w:right w:w="100" w:type="dxa"/>
            </w:tcMar>
            <w:vAlign w:val="center"/>
          </w:tcPr>
          <w:p w14:paraId="63A5B2D9"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Higher is better</w:t>
            </w:r>
          </w:p>
        </w:tc>
      </w:tr>
      <w:tr w:rsidR="002F173B" w:rsidRPr="00F3651D" w14:paraId="571AB013" w14:textId="77777777" w:rsidTr="00FD77CE">
        <w:tc>
          <w:tcPr>
            <w:tcW w:w="2960" w:type="dxa"/>
            <w:shd w:val="clear" w:color="auto" w:fill="F2F5F8"/>
            <w:tcMar>
              <w:top w:w="50" w:type="dxa"/>
              <w:left w:w="100" w:type="dxa"/>
              <w:bottom w:w="50" w:type="dxa"/>
              <w:right w:w="100" w:type="dxa"/>
            </w:tcMar>
            <w:vAlign w:val="center"/>
          </w:tcPr>
          <w:p w14:paraId="1735135B"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NPV at 8% (£m)</w:t>
            </w:r>
          </w:p>
        </w:tc>
        <w:tc>
          <w:tcPr>
            <w:tcW w:w="1600" w:type="dxa"/>
            <w:shd w:val="clear" w:color="auto" w:fill="F2F5F8"/>
            <w:tcMar>
              <w:top w:w="50" w:type="dxa"/>
              <w:left w:w="100" w:type="dxa"/>
              <w:bottom w:w="50" w:type="dxa"/>
              <w:right w:w="100" w:type="dxa"/>
            </w:tcMar>
            <w:vAlign w:val="center"/>
          </w:tcPr>
          <w:p w14:paraId="6A344B18"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-6.54</w:t>
            </w:r>
          </w:p>
        </w:tc>
        <w:tc>
          <w:tcPr>
            <w:tcW w:w="1600" w:type="dxa"/>
            <w:shd w:val="clear" w:color="auto" w:fill="F2F5F8"/>
            <w:tcMar>
              <w:top w:w="50" w:type="dxa"/>
              <w:left w:w="100" w:type="dxa"/>
              <w:bottom w:w="50" w:type="dxa"/>
              <w:right w:w="100" w:type="dxa"/>
            </w:tcMar>
            <w:vAlign w:val="center"/>
          </w:tcPr>
          <w:p w14:paraId="7331CB08"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-6.08</w:t>
            </w:r>
          </w:p>
        </w:tc>
        <w:tc>
          <w:tcPr>
            <w:tcW w:w="1600" w:type="dxa"/>
            <w:shd w:val="clear" w:color="auto" w:fill="F2F5F8"/>
            <w:tcMar>
              <w:top w:w="50" w:type="dxa"/>
              <w:left w:w="100" w:type="dxa"/>
              <w:bottom w:w="50" w:type="dxa"/>
              <w:right w:w="100" w:type="dxa"/>
            </w:tcMar>
            <w:vAlign w:val="center"/>
          </w:tcPr>
          <w:p w14:paraId="5846E0A6"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+0.86</w:t>
            </w:r>
          </w:p>
        </w:tc>
        <w:tc>
          <w:tcPr>
            <w:tcW w:w="1600" w:type="dxa"/>
            <w:shd w:val="clear" w:color="auto" w:fill="F2F5F8"/>
            <w:tcMar>
              <w:top w:w="50" w:type="dxa"/>
              <w:left w:w="100" w:type="dxa"/>
              <w:bottom w:w="50" w:type="dxa"/>
              <w:right w:w="100" w:type="dxa"/>
            </w:tcMar>
            <w:vAlign w:val="center"/>
          </w:tcPr>
          <w:p w14:paraId="32252C21"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Accept if &gt; 0</w:t>
            </w:r>
          </w:p>
        </w:tc>
      </w:tr>
      <w:tr w:rsidR="002F173B" w:rsidRPr="00F3651D" w14:paraId="483EDAFC" w14:textId="77777777" w:rsidTr="00FD77CE">
        <w:tc>
          <w:tcPr>
            <w:tcW w:w="2960" w:type="dxa"/>
            <w:shd w:val="clear" w:color="auto" w:fill="FFFFFF"/>
            <w:tcMar>
              <w:top w:w="50" w:type="dxa"/>
              <w:left w:w="100" w:type="dxa"/>
              <w:bottom w:w="50" w:type="dxa"/>
              <w:right w:w="100" w:type="dxa"/>
            </w:tcMar>
            <w:vAlign w:val="center"/>
          </w:tcPr>
          <w:p w14:paraId="35E1AAAF"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Profitability Index (x)</w:t>
            </w:r>
          </w:p>
        </w:tc>
        <w:tc>
          <w:tcPr>
            <w:tcW w:w="1600" w:type="dxa"/>
            <w:shd w:val="clear" w:color="auto" w:fill="FFFFFF"/>
            <w:tcMar>
              <w:top w:w="50" w:type="dxa"/>
              <w:left w:w="100" w:type="dxa"/>
              <w:bottom w:w="50" w:type="dxa"/>
              <w:right w:w="100" w:type="dxa"/>
            </w:tcMar>
            <w:vAlign w:val="center"/>
          </w:tcPr>
          <w:p w14:paraId="2D5DD6FD"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0.869</w:t>
            </w:r>
          </w:p>
        </w:tc>
        <w:tc>
          <w:tcPr>
            <w:tcW w:w="1600" w:type="dxa"/>
            <w:shd w:val="clear" w:color="auto" w:fill="FFFFFF"/>
            <w:tcMar>
              <w:top w:w="50" w:type="dxa"/>
              <w:left w:w="100" w:type="dxa"/>
              <w:bottom w:w="50" w:type="dxa"/>
              <w:right w:w="100" w:type="dxa"/>
            </w:tcMar>
            <w:vAlign w:val="center"/>
          </w:tcPr>
          <w:p w14:paraId="040D7278"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0.878</w:t>
            </w:r>
          </w:p>
        </w:tc>
        <w:tc>
          <w:tcPr>
            <w:tcW w:w="1600" w:type="dxa"/>
            <w:shd w:val="clear" w:color="auto" w:fill="FFFFFF"/>
            <w:tcMar>
              <w:top w:w="50" w:type="dxa"/>
              <w:left w:w="100" w:type="dxa"/>
              <w:bottom w:w="50" w:type="dxa"/>
              <w:right w:w="100" w:type="dxa"/>
            </w:tcMar>
            <w:vAlign w:val="center"/>
          </w:tcPr>
          <w:p w14:paraId="12ED0ECF"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1.017</w:t>
            </w:r>
          </w:p>
        </w:tc>
        <w:tc>
          <w:tcPr>
            <w:tcW w:w="1600" w:type="dxa"/>
            <w:shd w:val="clear" w:color="auto" w:fill="FFFFFF"/>
            <w:tcMar>
              <w:top w:w="50" w:type="dxa"/>
              <w:left w:w="100" w:type="dxa"/>
              <w:bottom w:w="50" w:type="dxa"/>
              <w:right w:w="100" w:type="dxa"/>
            </w:tcMar>
            <w:vAlign w:val="center"/>
          </w:tcPr>
          <w:p w14:paraId="2B5DCAEE"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Accept if &gt; 1.0</w:t>
            </w:r>
          </w:p>
        </w:tc>
      </w:tr>
      <w:tr w:rsidR="002F173B" w:rsidRPr="00F3651D" w14:paraId="3DD9BE71" w14:textId="77777777" w:rsidTr="00FD77CE">
        <w:tc>
          <w:tcPr>
            <w:tcW w:w="2960" w:type="dxa"/>
            <w:shd w:val="clear" w:color="auto" w:fill="F2F5F8"/>
            <w:tcMar>
              <w:top w:w="50" w:type="dxa"/>
              <w:left w:w="100" w:type="dxa"/>
              <w:bottom w:w="50" w:type="dxa"/>
              <w:right w:w="100" w:type="dxa"/>
            </w:tcMar>
            <w:vAlign w:val="center"/>
          </w:tcPr>
          <w:p w14:paraId="2E63DD2D" w14:textId="77777777" w:rsidR="002F173B" w:rsidRPr="00F3651D" w:rsidRDefault="002F173B" w:rsidP="00FD77CE">
            <w:pPr>
              <w:rPr>
                <w:rFonts w:ascii="Arial" w:hAnsi="Arial" w:cs="Arial"/>
                <w:color w:val="000000" w:themeColor="text1"/>
                <w:sz w:val="24"/>
                <w:szCs w:val="24"/>
              </w:rPr>
            </w:pPr>
            <w:r w:rsidRPr="00F3651D">
              <w:rPr>
                <w:rFonts w:ascii="Arial" w:hAnsi="Arial" w:cs="Arial"/>
                <w:color w:val="000000" w:themeColor="text1"/>
                <w:sz w:val="24"/>
                <w:szCs w:val="24"/>
              </w:rPr>
              <w:t>IRR (%)</w:t>
            </w:r>
          </w:p>
        </w:tc>
        <w:tc>
          <w:tcPr>
            <w:tcW w:w="1600" w:type="dxa"/>
            <w:shd w:val="clear" w:color="auto" w:fill="F2F5F8"/>
            <w:tcMar>
              <w:top w:w="50" w:type="dxa"/>
              <w:left w:w="100" w:type="dxa"/>
              <w:bottom w:w="50" w:type="dxa"/>
              <w:right w:w="100" w:type="dxa"/>
            </w:tcMar>
            <w:vAlign w:val="center"/>
          </w:tcPr>
          <w:p w14:paraId="4828C2D7"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2.72</w:t>
            </w:r>
          </w:p>
        </w:tc>
        <w:tc>
          <w:tcPr>
            <w:tcW w:w="1600" w:type="dxa"/>
            <w:shd w:val="clear" w:color="auto" w:fill="F2F5F8"/>
            <w:tcMar>
              <w:top w:w="50" w:type="dxa"/>
              <w:left w:w="100" w:type="dxa"/>
              <w:bottom w:w="50" w:type="dxa"/>
              <w:right w:w="100" w:type="dxa"/>
            </w:tcMar>
            <w:vAlign w:val="center"/>
          </w:tcPr>
          <w:p w14:paraId="5EC7947C"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3.26</w:t>
            </w:r>
          </w:p>
        </w:tc>
        <w:tc>
          <w:tcPr>
            <w:tcW w:w="1600" w:type="dxa"/>
            <w:shd w:val="clear" w:color="auto" w:fill="F2F5F8"/>
            <w:tcMar>
              <w:top w:w="50" w:type="dxa"/>
              <w:left w:w="100" w:type="dxa"/>
              <w:bottom w:w="50" w:type="dxa"/>
              <w:right w:w="100" w:type="dxa"/>
            </w:tcMar>
            <w:vAlign w:val="center"/>
          </w:tcPr>
          <w:p w14:paraId="299845D8"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8.59</w:t>
            </w:r>
          </w:p>
        </w:tc>
        <w:tc>
          <w:tcPr>
            <w:tcW w:w="1600" w:type="dxa"/>
            <w:shd w:val="clear" w:color="auto" w:fill="F2F5F8"/>
            <w:tcMar>
              <w:top w:w="50" w:type="dxa"/>
              <w:left w:w="100" w:type="dxa"/>
              <w:bottom w:w="50" w:type="dxa"/>
              <w:right w:w="100" w:type="dxa"/>
            </w:tcMar>
            <w:vAlign w:val="center"/>
          </w:tcPr>
          <w:p w14:paraId="51BC3F6B" w14:textId="77777777" w:rsidR="002F173B" w:rsidRPr="00F3651D" w:rsidRDefault="002F173B" w:rsidP="00FD77CE">
            <w:pPr>
              <w:jc w:val="center"/>
              <w:rPr>
                <w:rFonts w:ascii="Arial" w:hAnsi="Arial" w:cs="Arial"/>
                <w:color w:val="000000" w:themeColor="text1"/>
                <w:sz w:val="24"/>
                <w:szCs w:val="24"/>
              </w:rPr>
            </w:pPr>
            <w:r w:rsidRPr="00F3651D">
              <w:rPr>
                <w:rFonts w:ascii="Arial" w:hAnsi="Arial" w:cs="Arial"/>
                <w:color w:val="000000" w:themeColor="text1"/>
                <w:sz w:val="24"/>
                <w:szCs w:val="24"/>
              </w:rPr>
              <w:t>Accept if &gt; 8% hurdle</w:t>
            </w:r>
          </w:p>
        </w:tc>
      </w:tr>
    </w:tbl>
    <w:p w14:paraId="78A5A694" w14:textId="5EFF2061" w:rsidR="002F173B" w:rsidRDefault="002F173B" w:rsidP="00995299">
      <w:pPr>
        <w:spacing w:before="80" w:after="240"/>
        <w:rPr>
          <w:rFonts w:ascii="Arial" w:hAnsi="Arial" w:cs="Arial"/>
          <w:color w:val="000000" w:themeColor="text1"/>
          <w:sz w:val="24"/>
          <w:szCs w:val="24"/>
        </w:rPr>
      </w:pPr>
    </w:p>
    <w:p w14:paraId="7C8A2371" w14:textId="7F5A77B5" w:rsidR="00570D54" w:rsidRDefault="00570D54" w:rsidP="00995299">
      <w:pPr>
        <w:spacing w:before="80" w:after="240"/>
        <w:rPr>
          <w:rFonts w:ascii="Arial" w:hAnsi="Arial" w:cs="Arial"/>
          <w:color w:val="000000" w:themeColor="text1"/>
          <w:sz w:val="24"/>
          <w:szCs w:val="24"/>
        </w:rPr>
      </w:pPr>
    </w:p>
    <w:p w14:paraId="4CAF6A04" w14:textId="008300AF" w:rsidR="004A1316" w:rsidRDefault="004A1316" w:rsidP="00995299">
      <w:pPr>
        <w:spacing w:before="80" w:after="240"/>
        <w:rPr>
          <w:rFonts w:ascii="Arial" w:hAnsi="Arial" w:cs="Arial"/>
          <w:color w:val="000000" w:themeColor="text1"/>
          <w:sz w:val="24"/>
          <w:szCs w:val="24"/>
        </w:rPr>
      </w:pPr>
    </w:p>
    <w:p w14:paraId="3CBDFC43" w14:textId="5F836324" w:rsidR="004A1316" w:rsidRDefault="004A1316" w:rsidP="00995299">
      <w:pPr>
        <w:spacing w:before="80" w:after="240"/>
        <w:rPr>
          <w:rFonts w:ascii="Arial" w:hAnsi="Arial" w:cs="Arial"/>
          <w:color w:val="000000" w:themeColor="text1"/>
          <w:sz w:val="24"/>
          <w:szCs w:val="24"/>
        </w:rPr>
      </w:pPr>
    </w:p>
    <w:p w14:paraId="4E7F4859" w14:textId="04076A3C" w:rsidR="004A1316" w:rsidRDefault="004A1316" w:rsidP="00995299">
      <w:pPr>
        <w:spacing w:before="80" w:after="240"/>
        <w:rPr>
          <w:rFonts w:ascii="Arial" w:hAnsi="Arial" w:cs="Arial"/>
          <w:color w:val="000000" w:themeColor="text1"/>
          <w:sz w:val="24"/>
          <w:szCs w:val="24"/>
        </w:rPr>
      </w:pPr>
    </w:p>
    <w:p w14:paraId="2B83227E" w14:textId="60CEF312" w:rsidR="004A1316" w:rsidRDefault="004A1316" w:rsidP="00995299">
      <w:pPr>
        <w:spacing w:before="80" w:after="240"/>
        <w:rPr>
          <w:rFonts w:ascii="Arial" w:hAnsi="Arial" w:cs="Arial"/>
          <w:color w:val="000000" w:themeColor="text1"/>
          <w:sz w:val="24"/>
          <w:szCs w:val="24"/>
        </w:rPr>
      </w:pPr>
    </w:p>
    <w:p w14:paraId="7E4FD553" w14:textId="57B7BE8C" w:rsidR="004A1316" w:rsidRDefault="004A1316" w:rsidP="00995299">
      <w:pPr>
        <w:spacing w:before="80" w:after="240"/>
        <w:rPr>
          <w:rFonts w:ascii="Arial" w:hAnsi="Arial" w:cs="Arial"/>
          <w:color w:val="000000" w:themeColor="text1"/>
          <w:sz w:val="24"/>
          <w:szCs w:val="24"/>
        </w:rPr>
      </w:pPr>
    </w:p>
    <w:p w14:paraId="3F15E231" w14:textId="459349C4" w:rsidR="004A1316" w:rsidRDefault="004A1316" w:rsidP="00995299">
      <w:pPr>
        <w:spacing w:before="80" w:after="240"/>
        <w:rPr>
          <w:rFonts w:ascii="Arial" w:hAnsi="Arial" w:cs="Arial"/>
          <w:color w:val="000000" w:themeColor="text1"/>
          <w:sz w:val="24"/>
          <w:szCs w:val="24"/>
        </w:rPr>
      </w:pPr>
    </w:p>
    <w:p w14:paraId="3E81C77C" w14:textId="13CEAD60" w:rsidR="004A1316" w:rsidRDefault="004A1316" w:rsidP="00995299">
      <w:pPr>
        <w:spacing w:before="80" w:after="240"/>
        <w:rPr>
          <w:rFonts w:ascii="Arial" w:hAnsi="Arial" w:cs="Arial"/>
          <w:color w:val="000000" w:themeColor="text1"/>
          <w:sz w:val="24"/>
          <w:szCs w:val="24"/>
        </w:rPr>
      </w:pPr>
    </w:p>
    <w:p w14:paraId="7ADE00BB" w14:textId="77777777" w:rsidR="004A1316" w:rsidRDefault="004A1316" w:rsidP="00995299">
      <w:pPr>
        <w:spacing w:before="80" w:after="240"/>
        <w:rPr>
          <w:rFonts w:ascii="Arial" w:hAnsi="Arial" w:cs="Arial"/>
          <w:color w:val="000000" w:themeColor="text1"/>
          <w:sz w:val="24"/>
          <w:szCs w:val="24"/>
        </w:rPr>
      </w:pPr>
    </w:p>
    <w:p w14:paraId="66B8ABFA" w14:textId="4D40A7F6" w:rsidR="001B6B52" w:rsidRDefault="001B6B52" w:rsidP="00995299">
      <w:pPr>
        <w:spacing w:before="80" w:after="240"/>
        <w:rPr>
          <w:rFonts w:ascii="Arial" w:hAnsi="Arial" w:cs="Arial"/>
          <w:color w:val="000000" w:themeColor="text1"/>
          <w:sz w:val="24"/>
          <w:szCs w:val="24"/>
        </w:rPr>
      </w:pPr>
      <w:r w:rsidRPr="001B6B52">
        <w:rPr>
          <w:rFonts w:ascii="Arial" w:hAnsi="Arial" w:cs="Arial"/>
          <w:color w:val="000000" w:themeColor="text1"/>
          <w:sz w:val="24"/>
          <w:szCs w:val="24"/>
        </w:rPr>
        <w:lastRenderedPageBreak/>
        <w:t>Figure 1: Revenue and Net Income Attributable to RCIHH, FY2020–FY2024. Source: author's calculations from RCI Hospitality Holdings, Inc. 10-K filings.</w:t>
      </w:r>
    </w:p>
    <w:p w14:paraId="13F2CD3D" w14:textId="13372C29" w:rsidR="001B6B52" w:rsidRDefault="001B6B52">
      <w:pPr>
        <w:rPr>
          <w:rFonts w:ascii="Arial" w:hAnsi="Arial" w:cs="Arial"/>
          <w:color w:val="000000" w:themeColor="text1"/>
          <w:sz w:val="24"/>
          <w:szCs w:val="24"/>
        </w:rPr>
      </w:pPr>
      <w:r w:rsidRPr="00F3651D">
        <w:rPr>
          <w:rFonts w:ascii="Arial" w:hAnsi="Arial" w:cs="Arial"/>
          <w:noProof/>
          <w:color w:val="000000" w:themeColor="text1"/>
          <w:sz w:val="24"/>
          <w:szCs w:val="24"/>
        </w:rPr>
        <w:drawing>
          <wp:inline distT="0" distB="0" distL="0" distR="0" wp14:anchorId="4670566E" wp14:editId="499A6F93">
            <wp:extent cx="6641774" cy="3333750"/>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6665295" cy="3345556"/>
                    </a:xfrm>
                    <a:prstGeom prst="rect">
                      <a:avLst/>
                    </a:prstGeom>
                  </pic:spPr>
                </pic:pic>
              </a:graphicData>
            </a:graphic>
          </wp:inline>
        </w:drawing>
      </w:r>
    </w:p>
    <w:p w14:paraId="46A5CF80" w14:textId="7449AB1D" w:rsidR="002F173B" w:rsidRDefault="002F173B">
      <w:pPr>
        <w:rPr>
          <w:rFonts w:ascii="Arial" w:hAnsi="Arial" w:cs="Arial"/>
          <w:color w:val="000000" w:themeColor="text1"/>
          <w:sz w:val="24"/>
          <w:szCs w:val="24"/>
        </w:rPr>
      </w:pPr>
    </w:p>
    <w:p w14:paraId="1F29EE62" w14:textId="77777777" w:rsidR="002F173B" w:rsidRDefault="002F173B">
      <w:pPr>
        <w:rPr>
          <w:rFonts w:ascii="Arial" w:hAnsi="Arial" w:cs="Arial"/>
          <w:color w:val="000000" w:themeColor="text1"/>
          <w:sz w:val="24"/>
          <w:szCs w:val="24"/>
        </w:rPr>
      </w:pPr>
    </w:p>
    <w:p w14:paraId="0E398C0B" w14:textId="50BE4D73" w:rsidR="001B6B52" w:rsidRDefault="001B6B52">
      <w:pPr>
        <w:rPr>
          <w:rFonts w:ascii="Arial" w:hAnsi="Arial" w:cs="Arial"/>
          <w:color w:val="000000" w:themeColor="text1"/>
          <w:sz w:val="24"/>
          <w:szCs w:val="24"/>
        </w:rPr>
      </w:pPr>
    </w:p>
    <w:p w14:paraId="2FAE0B3F" w14:textId="0257CB74" w:rsidR="001B6B52" w:rsidRPr="00995299" w:rsidRDefault="00995299" w:rsidP="00995299">
      <w:pPr>
        <w:jc w:val="both"/>
        <w:rPr>
          <w:rFonts w:ascii="Arial" w:hAnsi="Arial" w:cs="Arial"/>
          <w:color w:val="000000" w:themeColor="text1"/>
          <w:sz w:val="24"/>
          <w:szCs w:val="24"/>
        </w:rPr>
      </w:pPr>
      <w:r w:rsidRPr="00995299">
        <w:rPr>
          <w:rFonts w:ascii="Arial" w:hAnsi="Arial" w:cs="Arial"/>
          <w:color w:val="000000" w:themeColor="text1"/>
          <w:sz w:val="24"/>
          <w:szCs w:val="24"/>
        </w:rPr>
        <w:t xml:space="preserve">Figure 2: RICK Current and Quick Ratios vs Restaurant Industry Benchmark, FY2020–FY2024. Source: author's calculations; industry benchmark from NetSuite (2025), citing </w:t>
      </w:r>
      <w:proofErr w:type="spellStart"/>
      <w:r w:rsidRPr="00995299">
        <w:rPr>
          <w:rFonts w:ascii="Arial" w:hAnsi="Arial" w:cs="Arial"/>
          <w:color w:val="000000" w:themeColor="text1"/>
          <w:sz w:val="24"/>
          <w:szCs w:val="24"/>
        </w:rPr>
        <w:t>MacroTrends</w:t>
      </w:r>
      <w:proofErr w:type="spellEnd"/>
    </w:p>
    <w:p w14:paraId="5DC9F415" w14:textId="69711157" w:rsidR="001B6B52" w:rsidRDefault="00995299">
      <w:pPr>
        <w:rPr>
          <w:rFonts w:ascii="Arial" w:hAnsi="Arial" w:cs="Arial"/>
          <w:color w:val="000000" w:themeColor="text1"/>
          <w:sz w:val="24"/>
          <w:szCs w:val="24"/>
        </w:rPr>
      </w:pPr>
      <w:r w:rsidRPr="00F3651D">
        <w:rPr>
          <w:rFonts w:ascii="Arial" w:hAnsi="Arial" w:cs="Arial"/>
          <w:noProof/>
          <w:color w:val="000000" w:themeColor="text1"/>
          <w:sz w:val="24"/>
          <w:szCs w:val="24"/>
        </w:rPr>
        <w:drawing>
          <wp:inline distT="0" distB="0" distL="0" distR="0" wp14:anchorId="71CE934D" wp14:editId="1CF5DDEC">
            <wp:extent cx="5524500" cy="3238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524500" cy="3238500"/>
                    </a:xfrm>
                    <a:prstGeom prst="rect">
                      <a:avLst/>
                    </a:prstGeom>
                  </pic:spPr>
                </pic:pic>
              </a:graphicData>
            </a:graphic>
          </wp:inline>
        </w:drawing>
      </w:r>
    </w:p>
    <w:p w14:paraId="413CE597" w14:textId="77777777" w:rsidR="00995299" w:rsidRDefault="00995299">
      <w:pPr>
        <w:rPr>
          <w:rFonts w:ascii="Arial" w:hAnsi="Arial" w:cs="Arial"/>
          <w:color w:val="000000" w:themeColor="text1"/>
          <w:sz w:val="24"/>
          <w:szCs w:val="24"/>
        </w:rPr>
      </w:pPr>
    </w:p>
    <w:p w14:paraId="468FD59F" w14:textId="77777777" w:rsidR="00995299" w:rsidRPr="00995299" w:rsidRDefault="00995299" w:rsidP="00995299">
      <w:pPr>
        <w:spacing w:before="80" w:after="240"/>
        <w:rPr>
          <w:rFonts w:ascii="Arial" w:hAnsi="Arial" w:cs="Arial"/>
          <w:color w:val="000000" w:themeColor="text1"/>
          <w:sz w:val="24"/>
          <w:szCs w:val="24"/>
        </w:rPr>
      </w:pPr>
      <w:r w:rsidRPr="00995299">
        <w:rPr>
          <w:rFonts w:ascii="Arial" w:hAnsi="Arial" w:cs="Arial"/>
          <w:color w:val="000000" w:themeColor="text1"/>
          <w:sz w:val="24"/>
          <w:szCs w:val="24"/>
        </w:rPr>
        <w:lastRenderedPageBreak/>
        <w:t>Figure 3: Working Capital Cycle Components (Inventory, Receivable and Payable Days) and Cash Conversion Cycle, FY2020–FY2024. Source: author's calculations from RCI Hospitality Holdings, Inc. 10-K filings.</w:t>
      </w:r>
    </w:p>
    <w:p w14:paraId="0676C02D" w14:textId="265F0D13" w:rsidR="00995299" w:rsidRPr="002F173B" w:rsidRDefault="00995299" w:rsidP="002F173B">
      <w:pPr>
        <w:jc w:val="both"/>
        <w:rPr>
          <w:rFonts w:ascii="Arial" w:hAnsi="Arial" w:cs="Arial"/>
          <w:color w:val="000000" w:themeColor="text1"/>
          <w:sz w:val="24"/>
          <w:szCs w:val="24"/>
        </w:rPr>
      </w:pPr>
      <w:r w:rsidRPr="00F3651D">
        <w:rPr>
          <w:rFonts w:ascii="Arial" w:hAnsi="Arial" w:cs="Arial"/>
          <w:noProof/>
          <w:color w:val="000000" w:themeColor="text1"/>
          <w:sz w:val="24"/>
          <w:szCs w:val="24"/>
        </w:rPr>
        <w:drawing>
          <wp:inline distT="0" distB="0" distL="0" distR="0" wp14:anchorId="055506B0" wp14:editId="005DC7A2">
            <wp:extent cx="5600700" cy="2605705"/>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625653" cy="2617314"/>
                    </a:xfrm>
                    <a:prstGeom prst="rect">
                      <a:avLst/>
                    </a:prstGeom>
                  </pic:spPr>
                </pic:pic>
              </a:graphicData>
            </a:graphic>
          </wp:inline>
        </w:drawing>
      </w:r>
    </w:p>
    <w:p w14:paraId="2785508B" w14:textId="6CA2A089" w:rsidR="00995299" w:rsidRPr="002F173B" w:rsidRDefault="002F173B" w:rsidP="002F173B">
      <w:pPr>
        <w:jc w:val="both"/>
        <w:rPr>
          <w:rFonts w:ascii="Arial" w:hAnsi="Arial" w:cs="Arial"/>
          <w:color w:val="000000" w:themeColor="text1"/>
          <w:sz w:val="24"/>
          <w:szCs w:val="24"/>
        </w:rPr>
      </w:pPr>
      <w:r w:rsidRPr="002F173B">
        <w:rPr>
          <w:rFonts w:ascii="Arial" w:hAnsi="Arial" w:cs="Arial"/>
          <w:color w:val="000000" w:themeColor="text1"/>
          <w:sz w:val="24"/>
          <w:szCs w:val="24"/>
        </w:rPr>
        <w:t>Figure 4: Gearing (Debt/Equity) and Interest Cover, FY2020–FY2024. Source: author's calculations from RCI Hospitality Holdings, Inc. 10-K filings.</w:t>
      </w:r>
    </w:p>
    <w:p w14:paraId="519ACD5C" w14:textId="2F5945FA" w:rsidR="00995299" w:rsidRDefault="00995299">
      <w:pPr>
        <w:rPr>
          <w:rFonts w:ascii="Arial" w:hAnsi="Arial" w:cs="Arial"/>
          <w:color w:val="000000" w:themeColor="text1"/>
          <w:sz w:val="24"/>
          <w:szCs w:val="24"/>
        </w:rPr>
      </w:pPr>
      <w:r w:rsidRPr="00F3651D">
        <w:rPr>
          <w:rFonts w:ascii="Arial" w:hAnsi="Arial" w:cs="Arial"/>
          <w:noProof/>
          <w:color w:val="000000" w:themeColor="text1"/>
          <w:sz w:val="24"/>
          <w:szCs w:val="24"/>
        </w:rPr>
        <w:drawing>
          <wp:inline distT="0" distB="0" distL="0" distR="0" wp14:anchorId="3A228844" wp14:editId="59D259AA">
            <wp:extent cx="5524500" cy="32385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524500" cy="3238500"/>
                    </a:xfrm>
                    <a:prstGeom prst="rect">
                      <a:avLst/>
                    </a:prstGeom>
                  </pic:spPr>
                </pic:pic>
              </a:graphicData>
            </a:graphic>
          </wp:inline>
        </w:drawing>
      </w:r>
    </w:p>
    <w:p w14:paraId="0EDE55AD" w14:textId="77777777" w:rsidR="00F758FB" w:rsidRDefault="00F758FB">
      <w:pPr>
        <w:rPr>
          <w:rFonts w:ascii="Arial" w:hAnsi="Arial" w:cs="Arial"/>
          <w:color w:val="000000" w:themeColor="text1"/>
          <w:sz w:val="24"/>
          <w:szCs w:val="24"/>
        </w:rPr>
      </w:pPr>
    </w:p>
    <w:p w14:paraId="12D2E71E" w14:textId="3FF92C96" w:rsidR="00F758FB" w:rsidRDefault="00F758FB">
      <w:pPr>
        <w:rPr>
          <w:rFonts w:ascii="Arial" w:hAnsi="Arial" w:cs="Arial"/>
          <w:color w:val="000000" w:themeColor="text1"/>
          <w:sz w:val="24"/>
          <w:szCs w:val="24"/>
        </w:rPr>
      </w:pPr>
    </w:p>
    <w:p w14:paraId="5530434B" w14:textId="48E5B4E3" w:rsidR="00F758FB" w:rsidRPr="00F758FB" w:rsidRDefault="00F758FB" w:rsidP="00F758FB">
      <w:pPr>
        <w:spacing w:before="80" w:after="240"/>
        <w:rPr>
          <w:rFonts w:ascii="Arial" w:hAnsi="Arial" w:cs="Arial"/>
          <w:color w:val="000000" w:themeColor="text1"/>
          <w:sz w:val="24"/>
          <w:szCs w:val="24"/>
        </w:rPr>
      </w:pPr>
      <w:r w:rsidRPr="00F758FB">
        <w:rPr>
          <w:rFonts w:ascii="Arial" w:hAnsi="Arial" w:cs="Arial"/>
          <w:color w:val="000000" w:themeColor="text1"/>
          <w:sz w:val="24"/>
          <w:szCs w:val="24"/>
        </w:rPr>
        <w:t>Figure 5: Net Present Value of Projects A, B and C at an 8% Discount Rate.</w:t>
      </w:r>
    </w:p>
    <w:p w14:paraId="59888AA5" w14:textId="5A7EB011" w:rsidR="00995299" w:rsidRDefault="001604C2">
      <w:pPr>
        <w:rPr>
          <w:rFonts w:ascii="Arial" w:hAnsi="Arial" w:cs="Arial"/>
          <w:color w:val="000000" w:themeColor="text1"/>
          <w:sz w:val="24"/>
          <w:szCs w:val="24"/>
        </w:rPr>
      </w:pPr>
      <w:r>
        <w:rPr>
          <w:rFonts w:ascii="Arial" w:hAnsi="Arial" w:cs="Arial"/>
          <w:noProof/>
          <w:color w:val="000000" w:themeColor="text1"/>
          <w:sz w:val="24"/>
          <w:szCs w:val="24"/>
        </w:rPr>
        <w:lastRenderedPageBreak/>
        <w:drawing>
          <wp:inline distT="0" distB="0" distL="0" distR="0" wp14:anchorId="26AEF162" wp14:editId="24C4A8EF">
            <wp:extent cx="6400800" cy="4000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400800" cy="4000500"/>
                    </a:xfrm>
                    <a:prstGeom prst="rect">
                      <a:avLst/>
                    </a:prstGeom>
                  </pic:spPr>
                </pic:pic>
              </a:graphicData>
            </a:graphic>
          </wp:inline>
        </w:drawing>
      </w:r>
    </w:p>
    <w:p w14:paraId="1C29A649" w14:textId="77777777" w:rsidR="00995299" w:rsidRPr="00F3651D" w:rsidRDefault="00995299">
      <w:pPr>
        <w:rPr>
          <w:rFonts w:ascii="Arial" w:hAnsi="Arial" w:cs="Arial"/>
          <w:color w:val="000000" w:themeColor="text1"/>
          <w:sz w:val="24"/>
          <w:szCs w:val="24"/>
        </w:rPr>
      </w:pPr>
    </w:p>
    <w:p w14:paraId="186B7E6F" w14:textId="77777777" w:rsidR="00443FB5" w:rsidRDefault="00443FB5">
      <w:pPr>
        <w:pStyle w:val="Heading1"/>
        <w:spacing w:after="280"/>
        <w:rPr>
          <w:rFonts w:ascii="Arial" w:hAnsi="Arial" w:cs="Arial"/>
          <w:b/>
          <w:bCs/>
          <w:color w:val="000000" w:themeColor="text1"/>
          <w:sz w:val="24"/>
          <w:szCs w:val="24"/>
        </w:rPr>
      </w:pPr>
    </w:p>
    <w:p w14:paraId="79D38581" w14:textId="56F537D3" w:rsidR="000C06A3" w:rsidRPr="00F3651D" w:rsidRDefault="00B0039E">
      <w:pPr>
        <w:pStyle w:val="Heading1"/>
        <w:spacing w:after="280"/>
        <w:rPr>
          <w:rFonts w:ascii="Arial" w:hAnsi="Arial" w:cs="Arial"/>
          <w:color w:val="000000" w:themeColor="text1"/>
          <w:sz w:val="24"/>
          <w:szCs w:val="24"/>
        </w:rPr>
      </w:pPr>
      <w:r w:rsidRPr="00F3651D">
        <w:rPr>
          <w:rFonts w:ascii="Arial" w:hAnsi="Arial" w:cs="Arial"/>
          <w:b/>
          <w:bCs/>
          <w:color w:val="000000" w:themeColor="text1"/>
          <w:sz w:val="24"/>
          <w:szCs w:val="24"/>
        </w:rPr>
        <w:t>References</w:t>
      </w:r>
    </w:p>
    <w:p w14:paraId="42B595BB" w14:textId="77777777" w:rsidR="000C06A3" w:rsidRPr="00F3651D" w:rsidRDefault="00B0039E">
      <w:pPr>
        <w:spacing w:after="240"/>
        <w:rPr>
          <w:rFonts w:ascii="Arial" w:hAnsi="Arial" w:cs="Arial"/>
          <w:color w:val="000000" w:themeColor="text1"/>
          <w:sz w:val="24"/>
          <w:szCs w:val="24"/>
        </w:rPr>
      </w:pPr>
      <w:r w:rsidRPr="00F3651D">
        <w:rPr>
          <w:rFonts w:ascii="Arial" w:hAnsi="Arial" w:cs="Arial"/>
          <w:i/>
          <w:iCs/>
          <w:color w:val="000000" w:themeColor="text1"/>
          <w:sz w:val="24"/>
          <w:szCs w:val="24"/>
        </w:rPr>
        <w:t>(UWTSD Harvard Referencing Style)</w:t>
      </w:r>
    </w:p>
    <w:p w14:paraId="4B3E081D" w14:textId="77777777" w:rsidR="000C06A3" w:rsidRPr="00F3651D" w:rsidRDefault="00B0039E">
      <w:pPr>
        <w:spacing w:after="160" w:line="264" w:lineRule="auto"/>
        <w:ind w:left="720" w:hanging="720"/>
        <w:jc w:val="both"/>
        <w:rPr>
          <w:rFonts w:ascii="Arial" w:hAnsi="Arial" w:cs="Arial"/>
          <w:color w:val="000000" w:themeColor="text1"/>
          <w:sz w:val="24"/>
          <w:szCs w:val="24"/>
        </w:rPr>
      </w:pPr>
      <w:proofErr w:type="spellStart"/>
      <w:r w:rsidRPr="00F3651D">
        <w:rPr>
          <w:rFonts w:ascii="Arial" w:hAnsi="Arial" w:cs="Arial"/>
          <w:color w:val="000000" w:themeColor="text1"/>
          <w:sz w:val="24"/>
          <w:szCs w:val="24"/>
        </w:rPr>
        <w:t>Atrill</w:t>
      </w:r>
      <w:proofErr w:type="spellEnd"/>
      <w:r w:rsidRPr="00F3651D">
        <w:rPr>
          <w:rFonts w:ascii="Arial" w:hAnsi="Arial" w:cs="Arial"/>
          <w:color w:val="000000" w:themeColor="text1"/>
          <w:sz w:val="24"/>
          <w:szCs w:val="24"/>
        </w:rPr>
        <w:t xml:space="preserve">, P. (2020) Financial Management for Decision Makers. 9th </w:t>
      </w:r>
      <w:proofErr w:type="spellStart"/>
      <w:r w:rsidRPr="00F3651D">
        <w:rPr>
          <w:rFonts w:ascii="Arial" w:hAnsi="Arial" w:cs="Arial"/>
          <w:color w:val="000000" w:themeColor="text1"/>
          <w:sz w:val="24"/>
          <w:szCs w:val="24"/>
        </w:rPr>
        <w:t>edn</w:t>
      </w:r>
      <w:proofErr w:type="spellEnd"/>
      <w:r w:rsidRPr="00F3651D">
        <w:rPr>
          <w:rFonts w:ascii="Arial" w:hAnsi="Arial" w:cs="Arial"/>
          <w:color w:val="000000" w:themeColor="text1"/>
          <w:sz w:val="24"/>
          <w:szCs w:val="24"/>
        </w:rPr>
        <w:t>. Harlow: Pearson Education.</w:t>
      </w:r>
    </w:p>
    <w:p w14:paraId="25CA30EE" w14:textId="77777777" w:rsidR="000C06A3" w:rsidRPr="00F3651D" w:rsidRDefault="00B0039E">
      <w:pPr>
        <w:spacing w:after="160" w:line="264" w:lineRule="auto"/>
        <w:ind w:left="720" w:hanging="720"/>
        <w:jc w:val="both"/>
        <w:rPr>
          <w:rFonts w:ascii="Arial" w:hAnsi="Arial" w:cs="Arial"/>
          <w:color w:val="000000" w:themeColor="text1"/>
          <w:sz w:val="24"/>
          <w:szCs w:val="24"/>
        </w:rPr>
      </w:pPr>
      <w:r w:rsidRPr="00F3651D">
        <w:rPr>
          <w:rFonts w:ascii="Arial" w:hAnsi="Arial" w:cs="Arial"/>
          <w:color w:val="000000" w:themeColor="text1"/>
          <w:sz w:val="24"/>
          <w:szCs w:val="24"/>
        </w:rPr>
        <w:t xml:space="preserve">Brealey, R.A., Myers, S.C. and Allen, F. (2020) Principles of Corporate Finance. 13th </w:t>
      </w:r>
      <w:proofErr w:type="spellStart"/>
      <w:r w:rsidRPr="00F3651D">
        <w:rPr>
          <w:rFonts w:ascii="Arial" w:hAnsi="Arial" w:cs="Arial"/>
          <w:color w:val="000000" w:themeColor="text1"/>
          <w:sz w:val="24"/>
          <w:szCs w:val="24"/>
        </w:rPr>
        <w:t>edn</w:t>
      </w:r>
      <w:proofErr w:type="spellEnd"/>
      <w:r w:rsidRPr="00F3651D">
        <w:rPr>
          <w:rFonts w:ascii="Arial" w:hAnsi="Arial" w:cs="Arial"/>
          <w:color w:val="000000" w:themeColor="text1"/>
          <w:sz w:val="24"/>
          <w:szCs w:val="24"/>
        </w:rPr>
        <w:t>. New York: McGraw-Hill Education.</w:t>
      </w:r>
    </w:p>
    <w:p w14:paraId="58C3DF9E" w14:textId="77777777" w:rsidR="000C06A3" w:rsidRPr="00F3651D" w:rsidRDefault="00B0039E">
      <w:pPr>
        <w:spacing w:after="160" w:line="264" w:lineRule="auto"/>
        <w:ind w:left="720" w:hanging="720"/>
        <w:jc w:val="both"/>
        <w:rPr>
          <w:rFonts w:ascii="Arial" w:hAnsi="Arial" w:cs="Arial"/>
          <w:color w:val="000000" w:themeColor="text1"/>
          <w:sz w:val="24"/>
          <w:szCs w:val="24"/>
        </w:rPr>
      </w:pPr>
      <w:r w:rsidRPr="00F3651D">
        <w:rPr>
          <w:rFonts w:ascii="Arial" w:hAnsi="Arial" w:cs="Arial"/>
          <w:color w:val="000000" w:themeColor="text1"/>
          <w:sz w:val="24"/>
          <w:szCs w:val="24"/>
        </w:rPr>
        <w:t xml:space="preserve">Brigham, E.F. and Houston, J.F. (2021) Fundamentals of Financial Management. 15th </w:t>
      </w:r>
      <w:proofErr w:type="spellStart"/>
      <w:r w:rsidRPr="00F3651D">
        <w:rPr>
          <w:rFonts w:ascii="Arial" w:hAnsi="Arial" w:cs="Arial"/>
          <w:color w:val="000000" w:themeColor="text1"/>
          <w:sz w:val="24"/>
          <w:szCs w:val="24"/>
        </w:rPr>
        <w:t>edn</w:t>
      </w:r>
      <w:proofErr w:type="spellEnd"/>
      <w:r w:rsidRPr="00F3651D">
        <w:rPr>
          <w:rFonts w:ascii="Arial" w:hAnsi="Arial" w:cs="Arial"/>
          <w:color w:val="000000" w:themeColor="text1"/>
          <w:sz w:val="24"/>
          <w:szCs w:val="24"/>
        </w:rPr>
        <w:t>. Boston: Cengage Learning.</w:t>
      </w:r>
    </w:p>
    <w:p w14:paraId="6D66A356" w14:textId="77777777" w:rsidR="000C06A3" w:rsidRPr="00F3651D" w:rsidRDefault="00B0039E">
      <w:pPr>
        <w:spacing w:after="160" w:line="264" w:lineRule="auto"/>
        <w:ind w:left="720" w:hanging="720"/>
        <w:jc w:val="both"/>
        <w:rPr>
          <w:rFonts w:ascii="Arial" w:hAnsi="Arial" w:cs="Arial"/>
          <w:color w:val="000000" w:themeColor="text1"/>
          <w:sz w:val="24"/>
          <w:szCs w:val="24"/>
        </w:rPr>
      </w:pPr>
      <w:proofErr w:type="spellStart"/>
      <w:r w:rsidRPr="00F3651D">
        <w:rPr>
          <w:rFonts w:ascii="Arial" w:hAnsi="Arial" w:cs="Arial"/>
          <w:color w:val="000000" w:themeColor="text1"/>
          <w:sz w:val="24"/>
          <w:szCs w:val="24"/>
        </w:rPr>
        <w:t>CSRHub</w:t>
      </w:r>
      <w:proofErr w:type="spellEnd"/>
      <w:r w:rsidRPr="00F3651D">
        <w:rPr>
          <w:rFonts w:ascii="Arial" w:hAnsi="Arial" w:cs="Arial"/>
          <w:color w:val="000000" w:themeColor="text1"/>
          <w:sz w:val="24"/>
          <w:szCs w:val="24"/>
        </w:rPr>
        <w:t xml:space="preserve"> (2026) Consensus ESG ratings: RCI Hospitality Holdings. Available at: https://www.csrhub.com/CSR_and_sustainability_information/RCI-HOSPITALITY-HOLDINGS (Accessed: 11 August 2026).</w:t>
      </w:r>
    </w:p>
    <w:p w14:paraId="15950C83" w14:textId="77777777" w:rsidR="000C06A3" w:rsidRPr="00F3651D" w:rsidRDefault="00B0039E">
      <w:pPr>
        <w:spacing w:after="160" w:line="264" w:lineRule="auto"/>
        <w:ind w:left="720" w:hanging="720"/>
        <w:jc w:val="both"/>
        <w:rPr>
          <w:rFonts w:ascii="Arial" w:hAnsi="Arial" w:cs="Arial"/>
          <w:color w:val="000000" w:themeColor="text1"/>
          <w:sz w:val="24"/>
          <w:szCs w:val="24"/>
        </w:rPr>
      </w:pPr>
      <w:r w:rsidRPr="00F3651D">
        <w:rPr>
          <w:rFonts w:ascii="Arial" w:hAnsi="Arial" w:cs="Arial"/>
          <w:color w:val="000000" w:themeColor="text1"/>
          <w:sz w:val="24"/>
          <w:szCs w:val="24"/>
        </w:rPr>
        <w:t xml:space="preserve">Damodaran, A. (2015) Applied Corporate Finance. 4th </w:t>
      </w:r>
      <w:proofErr w:type="spellStart"/>
      <w:r w:rsidRPr="00F3651D">
        <w:rPr>
          <w:rFonts w:ascii="Arial" w:hAnsi="Arial" w:cs="Arial"/>
          <w:color w:val="000000" w:themeColor="text1"/>
          <w:sz w:val="24"/>
          <w:szCs w:val="24"/>
        </w:rPr>
        <w:t>edn</w:t>
      </w:r>
      <w:proofErr w:type="spellEnd"/>
      <w:r w:rsidRPr="00F3651D">
        <w:rPr>
          <w:rFonts w:ascii="Arial" w:hAnsi="Arial" w:cs="Arial"/>
          <w:color w:val="000000" w:themeColor="text1"/>
          <w:sz w:val="24"/>
          <w:szCs w:val="24"/>
        </w:rPr>
        <w:t>. Hoboken, NJ: Wiley.</w:t>
      </w:r>
    </w:p>
    <w:p w14:paraId="120DB138" w14:textId="77777777" w:rsidR="000C06A3" w:rsidRPr="00F3651D" w:rsidRDefault="00B0039E">
      <w:pPr>
        <w:spacing w:after="160" w:line="264" w:lineRule="auto"/>
        <w:ind w:left="720" w:hanging="720"/>
        <w:jc w:val="both"/>
        <w:rPr>
          <w:rFonts w:ascii="Arial" w:hAnsi="Arial" w:cs="Arial"/>
          <w:color w:val="000000" w:themeColor="text1"/>
          <w:sz w:val="24"/>
          <w:szCs w:val="24"/>
        </w:rPr>
      </w:pPr>
      <w:proofErr w:type="spellStart"/>
      <w:r w:rsidRPr="00F3651D">
        <w:rPr>
          <w:rFonts w:ascii="Arial" w:hAnsi="Arial" w:cs="Arial"/>
          <w:color w:val="000000" w:themeColor="text1"/>
          <w:sz w:val="24"/>
          <w:szCs w:val="24"/>
        </w:rPr>
        <w:t>Deloof</w:t>
      </w:r>
      <w:proofErr w:type="spellEnd"/>
      <w:r w:rsidRPr="00F3651D">
        <w:rPr>
          <w:rFonts w:ascii="Arial" w:hAnsi="Arial" w:cs="Arial"/>
          <w:color w:val="000000" w:themeColor="text1"/>
          <w:sz w:val="24"/>
          <w:szCs w:val="24"/>
        </w:rPr>
        <w:t>, M. (2003) 'Does working capital management affect profitability of Belgian firms?', Journal of Business Finance &amp; Accounting, 30(3-4), pp. 573-588.</w:t>
      </w:r>
    </w:p>
    <w:p w14:paraId="32546A97" w14:textId="77777777" w:rsidR="000C06A3" w:rsidRPr="00F3651D" w:rsidRDefault="00B0039E">
      <w:pPr>
        <w:spacing w:after="160" w:line="264" w:lineRule="auto"/>
        <w:ind w:left="720" w:hanging="720"/>
        <w:jc w:val="both"/>
        <w:rPr>
          <w:rFonts w:ascii="Arial" w:hAnsi="Arial" w:cs="Arial"/>
          <w:color w:val="000000" w:themeColor="text1"/>
          <w:sz w:val="24"/>
          <w:szCs w:val="24"/>
        </w:rPr>
      </w:pPr>
      <w:proofErr w:type="spellStart"/>
      <w:r w:rsidRPr="00F3651D">
        <w:rPr>
          <w:rFonts w:ascii="Arial" w:hAnsi="Arial" w:cs="Arial"/>
          <w:color w:val="000000" w:themeColor="text1"/>
          <w:sz w:val="24"/>
          <w:szCs w:val="24"/>
        </w:rPr>
        <w:t>FullRatio</w:t>
      </w:r>
      <w:proofErr w:type="spellEnd"/>
      <w:r w:rsidRPr="00F3651D">
        <w:rPr>
          <w:rFonts w:ascii="Arial" w:hAnsi="Arial" w:cs="Arial"/>
          <w:color w:val="000000" w:themeColor="text1"/>
          <w:sz w:val="24"/>
          <w:szCs w:val="24"/>
        </w:rPr>
        <w:t xml:space="preserve"> (2026) Quick ratio by industry. Available at: https://fullratio.com/quick-ratio-by-industry (Accessed: 11 August 2026).</w:t>
      </w:r>
    </w:p>
    <w:p w14:paraId="6B89F400" w14:textId="77777777" w:rsidR="000C06A3" w:rsidRPr="00F3651D" w:rsidRDefault="00B0039E">
      <w:pPr>
        <w:spacing w:after="160" w:line="264" w:lineRule="auto"/>
        <w:ind w:left="720" w:hanging="720"/>
        <w:jc w:val="both"/>
        <w:rPr>
          <w:rFonts w:ascii="Arial" w:hAnsi="Arial" w:cs="Arial"/>
          <w:color w:val="000000" w:themeColor="text1"/>
          <w:sz w:val="24"/>
          <w:szCs w:val="24"/>
        </w:rPr>
      </w:pPr>
      <w:r w:rsidRPr="00F3651D">
        <w:rPr>
          <w:rFonts w:ascii="Arial" w:hAnsi="Arial" w:cs="Arial"/>
          <w:color w:val="000000" w:themeColor="text1"/>
          <w:sz w:val="24"/>
          <w:szCs w:val="24"/>
        </w:rPr>
        <w:lastRenderedPageBreak/>
        <w:t xml:space="preserve">Higgins, R.C. (2019) Analysis for Financial Management. 12th </w:t>
      </w:r>
      <w:proofErr w:type="spellStart"/>
      <w:r w:rsidRPr="00F3651D">
        <w:rPr>
          <w:rFonts w:ascii="Arial" w:hAnsi="Arial" w:cs="Arial"/>
          <w:color w:val="000000" w:themeColor="text1"/>
          <w:sz w:val="24"/>
          <w:szCs w:val="24"/>
        </w:rPr>
        <w:t>edn</w:t>
      </w:r>
      <w:proofErr w:type="spellEnd"/>
      <w:r w:rsidRPr="00F3651D">
        <w:rPr>
          <w:rFonts w:ascii="Arial" w:hAnsi="Arial" w:cs="Arial"/>
          <w:color w:val="000000" w:themeColor="text1"/>
          <w:sz w:val="24"/>
          <w:szCs w:val="24"/>
        </w:rPr>
        <w:t>. New York: McGraw-Hill Education.</w:t>
      </w:r>
    </w:p>
    <w:p w14:paraId="26629957" w14:textId="77777777" w:rsidR="000C06A3" w:rsidRPr="00F3651D" w:rsidRDefault="00B0039E">
      <w:pPr>
        <w:spacing w:after="160" w:line="264" w:lineRule="auto"/>
        <w:ind w:left="720" w:hanging="720"/>
        <w:jc w:val="both"/>
        <w:rPr>
          <w:rFonts w:ascii="Arial" w:hAnsi="Arial" w:cs="Arial"/>
          <w:color w:val="000000" w:themeColor="text1"/>
          <w:sz w:val="24"/>
          <w:szCs w:val="24"/>
        </w:rPr>
      </w:pPr>
      <w:proofErr w:type="spellStart"/>
      <w:r w:rsidRPr="00F3651D">
        <w:rPr>
          <w:rFonts w:ascii="Arial" w:hAnsi="Arial" w:cs="Arial"/>
          <w:color w:val="000000" w:themeColor="text1"/>
          <w:sz w:val="24"/>
          <w:szCs w:val="24"/>
        </w:rPr>
        <w:t>MarketScreener</w:t>
      </w:r>
      <w:proofErr w:type="spellEnd"/>
      <w:r w:rsidRPr="00F3651D">
        <w:rPr>
          <w:rFonts w:ascii="Arial" w:hAnsi="Arial" w:cs="Arial"/>
          <w:color w:val="000000" w:themeColor="text1"/>
          <w:sz w:val="24"/>
          <w:szCs w:val="24"/>
        </w:rPr>
        <w:t xml:space="preserve"> (2026) RCI Hospitality Holdings, Inc.: fundamental analysis and financial ratings. Available at: https://www.marketscreener.com/quote/stock/RCI-HOSPITALITY-HOLDINGS--17283950/ratings/ (Accessed: 11 August 2026).</w:t>
      </w:r>
    </w:p>
    <w:p w14:paraId="2FA16377" w14:textId="77777777" w:rsidR="000C06A3" w:rsidRPr="00F3651D" w:rsidRDefault="00B0039E">
      <w:pPr>
        <w:spacing w:after="160" w:line="264" w:lineRule="auto"/>
        <w:ind w:left="720" w:hanging="720"/>
        <w:jc w:val="both"/>
        <w:rPr>
          <w:rFonts w:ascii="Arial" w:hAnsi="Arial" w:cs="Arial"/>
          <w:color w:val="000000" w:themeColor="text1"/>
          <w:sz w:val="24"/>
          <w:szCs w:val="24"/>
        </w:rPr>
      </w:pPr>
      <w:r w:rsidRPr="00F3651D">
        <w:rPr>
          <w:rFonts w:ascii="Arial" w:hAnsi="Arial" w:cs="Arial"/>
          <w:color w:val="000000" w:themeColor="text1"/>
          <w:sz w:val="24"/>
          <w:szCs w:val="24"/>
        </w:rPr>
        <w:t xml:space="preserve">NetSuite (2025) 33 restaurant metrics: how to calculate &amp; </w:t>
      </w:r>
      <w:proofErr w:type="spellStart"/>
      <w:r w:rsidRPr="00F3651D">
        <w:rPr>
          <w:rFonts w:ascii="Arial" w:hAnsi="Arial" w:cs="Arial"/>
          <w:color w:val="000000" w:themeColor="text1"/>
          <w:sz w:val="24"/>
          <w:szCs w:val="24"/>
        </w:rPr>
        <w:t>analyze</w:t>
      </w:r>
      <w:proofErr w:type="spellEnd"/>
      <w:r w:rsidRPr="00F3651D">
        <w:rPr>
          <w:rFonts w:ascii="Arial" w:hAnsi="Arial" w:cs="Arial"/>
          <w:color w:val="000000" w:themeColor="text1"/>
          <w:sz w:val="24"/>
          <w:szCs w:val="24"/>
        </w:rPr>
        <w:t>. Available at: https://www.netsuite.com/portal/resource/articles/accounting/restaurant-financial-metrics.shtml (Accessed: 11 August 2026).</w:t>
      </w:r>
    </w:p>
    <w:p w14:paraId="5D71A34C" w14:textId="77777777" w:rsidR="000C06A3" w:rsidRPr="00F3651D" w:rsidRDefault="00B0039E">
      <w:pPr>
        <w:spacing w:after="160" w:line="264" w:lineRule="auto"/>
        <w:ind w:left="720" w:hanging="720"/>
        <w:jc w:val="both"/>
        <w:rPr>
          <w:rFonts w:ascii="Arial" w:hAnsi="Arial" w:cs="Arial"/>
          <w:color w:val="000000" w:themeColor="text1"/>
          <w:sz w:val="24"/>
          <w:szCs w:val="24"/>
        </w:rPr>
      </w:pPr>
      <w:r w:rsidRPr="00F3651D">
        <w:rPr>
          <w:rFonts w:ascii="Arial" w:hAnsi="Arial" w:cs="Arial"/>
          <w:color w:val="000000" w:themeColor="text1"/>
          <w:sz w:val="24"/>
          <w:szCs w:val="24"/>
        </w:rPr>
        <w:t xml:space="preserve">Pike, R., Neale, B. and </w:t>
      </w:r>
      <w:proofErr w:type="spellStart"/>
      <w:r w:rsidRPr="00F3651D">
        <w:rPr>
          <w:rFonts w:ascii="Arial" w:hAnsi="Arial" w:cs="Arial"/>
          <w:color w:val="000000" w:themeColor="text1"/>
          <w:sz w:val="24"/>
          <w:szCs w:val="24"/>
        </w:rPr>
        <w:t>Linsley</w:t>
      </w:r>
      <w:proofErr w:type="spellEnd"/>
      <w:r w:rsidRPr="00F3651D">
        <w:rPr>
          <w:rFonts w:ascii="Arial" w:hAnsi="Arial" w:cs="Arial"/>
          <w:color w:val="000000" w:themeColor="text1"/>
          <w:sz w:val="24"/>
          <w:szCs w:val="24"/>
        </w:rPr>
        <w:t xml:space="preserve">, P. (2018) Corporate Finance and Investment: Decisions and Strategies. 9th </w:t>
      </w:r>
      <w:proofErr w:type="spellStart"/>
      <w:r w:rsidRPr="00F3651D">
        <w:rPr>
          <w:rFonts w:ascii="Arial" w:hAnsi="Arial" w:cs="Arial"/>
          <w:color w:val="000000" w:themeColor="text1"/>
          <w:sz w:val="24"/>
          <w:szCs w:val="24"/>
        </w:rPr>
        <w:t>edn</w:t>
      </w:r>
      <w:proofErr w:type="spellEnd"/>
      <w:r w:rsidRPr="00F3651D">
        <w:rPr>
          <w:rFonts w:ascii="Arial" w:hAnsi="Arial" w:cs="Arial"/>
          <w:color w:val="000000" w:themeColor="text1"/>
          <w:sz w:val="24"/>
          <w:szCs w:val="24"/>
        </w:rPr>
        <w:t>. Harlow: Pearson Education.</w:t>
      </w:r>
    </w:p>
    <w:p w14:paraId="6B9276FE" w14:textId="77777777" w:rsidR="000C06A3" w:rsidRPr="00F3651D" w:rsidRDefault="00B0039E">
      <w:pPr>
        <w:spacing w:after="160" w:line="264" w:lineRule="auto"/>
        <w:ind w:left="720" w:hanging="720"/>
        <w:jc w:val="both"/>
        <w:rPr>
          <w:rFonts w:ascii="Arial" w:hAnsi="Arial" w:cs="Arial"/>
          <w:color w:val="000000" w:themeColor="text1"/>
          <w:sz w:val="24"/>
          <w:szCs w:val="24"/>
        </w:rPr>
      </w:pPr>
      <w:proofErr w:type="spellStart"/>
      <w:r w:rsidRPr="00F3651D">
        <w:rPr>
          <w:rFonts w:ascii="Arial" w:hAnsi="Arial" w:cs="Arial"/>
          <w:color w:val="000000" w:themeColor="text1"/>
          <w:sz w:val="24"/>
          <w:szCs w:val="24"/>
        </w:rPr>
        <w:t>Preve</w:t>
      </w:r>
      <w:proofErr w:type="spellEnd"/>
      <w:r w:rsidRPr="00F3651D">
        <w:rPr>
          <w:rFonts w:ascii="Arial" w:hAnsi="Arial" w:cs="Arial"/>
          <w:color w:val="000000" w:themeColor="text1"/>
          <w:sz w:val="24"/>
          <w:szCs w:val="24"/>
        </w:rPr>
        <w:t xml:space="preserve">, L. and </w:t>
      </w:r>
      <w:proofErr w:type="spellStart"/>
      <w:r w:rsidRPr="00F3651D">
        <w:rPr>
          <w:rFonts w:ascii="Arial" w:hAnsi="Arial" w:cs="Arial"/>
          <w:color w:val="000000" w:themeColor="text1"/>
          <w:sz w:val="24"/>
          <w:szCs w:val="24"/>
        </w:rPr>
        <w:t>Sarria</w:t>
      </w:r>
      <w:proofErr w:type="spellEnd"/>
      <w:r w:rsidRPr="00F3651D">
        <w:rPr>
          <w:rFonts w:ascii="Arial" w:hAnsi="Arial" w:cs="Arial"/>
          <w:color w:val="000000" w:themeColor="text1"/>
          <w:sz w:val="24"/>
          <w:szCs w:val="24"/>
        </w:rPr>
        <w:t>-Allende, V. (2010) Working Capital Management. Oxford: Oxford University Press.</w:t>
      </w:r>
    </w:p>
    <w:p w14:paraId="6CEBED0D" w14:textId="77777777" w:rsidR="000C06A3" w:rsidRPr="00F3651D" w:rsidRDefault="00B0039E">
      <w:pPr>
        <w:spacing w:after="160" w:line="264" w:lineRule="auto"/>
        <w:ind w:left="720" w:hanging="720"/>
        <w:jc w:val="both"/>
        <w:rPr>
          <w:rFonts w:ascii="Arial" w:hAnsi="Arial" w:cs="Arial"/>
          <w:color w:val="000000" w:themeColor="text1"/>
          <w:sz w:val="24"/>
          <w:szCs w:val="24"/>
        </w:rPr>
      </w:pPr>
      <w:r w:rsidRPr="00F3651D">
        <w:rPr>
          <w:rFonts w:ascii="Arial" w:hAnsi="Arial" w:cs="Arial"/>
          <w:color w:val="000000" w:themeColor="text1"/>
          <w:sz w:val="24"/>
          <w:szCs w:val="24"/>
        </w:rPr>
        <w:t>RCI Hospitality Holdings, Inc. (2019) Form 10-K for the fiscal year ended September 30, 2019. Washington, DC: U.S. Securities and Exchange Commission.</w:t>
      </w:r>
    </w:p>
    <w:p w14:paraId="31F1F273" w14:textId="77777777" w:rsidR="000C06A3" w:rsidRPr="00F3651D" w:rsidRDefault="00B0039E">
      <w:pPr>
        <w:spacing w:after="160" w:line="264" w:lineRule="auto"/>
        <w:ind w:left="720" w:hanging="720"/>
        <w:jc w:val="both"/>
        <w:rPr>
          <w:rFonts w:ascii="Arial" w:hAnsi="Arial" w:cs="Arial"/>
          <w:color w:val="000000" w:themeColor="text1"/>
          <w:sz w:val="24"/>
          <w:szCs w:val="24"/>
        </w:rPr>
      </w:pPr>
      <w:r w:rsidRPr="00F3651D">
        <w:rPr>
          <w:rFonts w:ascii="Arial" w:hAnsi="Arial" w:cs="Arial"/>
          <w:color w:val="000000" w:themeColor="text1"/>
          <w:sz w:val="24"/>
          <w:szCs w:val="24"/>
        </w:rPr>
        <w:t>RCI Hospitality Holdings, Inc. (2020) Form 10-K for the fiscal year ended September 30, 2020. Washington, DC: U.S. Securities and Exchange Commission.</w:t>
      </w:r>
    </w:p>
    <w:p w14:paraId="29EF00D1" w14:textId="77777777" w:rsidR="000C06A3" w:rsidRPr="00F3651D" w:rsidRDefault="00B0039E">
      <w:pPr>
        <w:spacing w:after="160" w:line="264" w:lineRule="auto"/>
        <w:ind w:left="720" w:hanging="720"/>
        <w:jc w:val="both"/>
        <w:rPr>
          <w:rFonts w:ascii="Arial" w:hAnsi="Arial" w:cs="Arial"/>
          <w:color w:val="000000" w:themeColor="text1"/>
          <w:sz w:val="24"/>
          <w:szCs w:val="24"/>
        </w:rPr>
      </w:pPr>
      <w:r w:rsidRPr="00F3651D">
        <w:rPr>
          <w:rFonts w:ascii="Arial" w:hAnsi="Arial" w:cs="Arial"/>
          <w:color w:val="000000" w:themeColor="text1"/>
          <w:sz w:val="24"/>
          <w:szCs w:val="24"/>
        </w:rPr>
        <w:t>RCI Hospitality Holdings, Inc. (2022) Form 10-K for the fiscal year ended September 30, 2022. Washington, DC: U.S. Securities and Exchange Commission.</w:t>
      </w:r>
    </w:p>
    <w:p w14:paraId="50FF2000" w14:textId="77777777" w:rsidR="000C06A3" w:rsidRPr="00F3651D" w:rsidRDefault="00B0039E">
      <w:pPr>
        <w:spacing w:after="160" w:line="264" w:lineRule="auto"/>
        <w:ind w:left="720" w:hanging="720"/>
        <w:jc w:val="both"/>
        <w:rPr>
          <w:rFonts w:ascii="Arial" w:hAnsi="Arial" w:cs="Arial"/>
          <w:color w:val="000000" w:themeColor="text1"/>
          <w:sz w:val="24"/>
          <w:szCs w:val="24"/>
        </w:rPr>
      </w:pPr>
      <w:r w:rsidRPr="00F3651D">
        <w:rPr>
          <w:rFonts w:ascii="Arial" w:hAnsi="Arial" w:cs="Arial"/>
          <w:color w:val="000000" w:themeColor="text1"/>
          <w:sz w:val="24"/>
          <w:szCs w:val="24"/>
        </w:rPr>
        <w:t>RCI Hospitality Holdings, Inc. (2023) Form 10-K for the fiscal year ended September 30, 2023. Washington, DC: U.S. Securities and Exchange Commission.</w:t>
      </w:r>
    </w:p>
    <w:p w14:paraId="667B842D" w14:textId="77777777" w:rsidR="000C06A3" w:rsidRPr="00F3651D" w:rsidRDefault="00B0039E">
      <w:pPr>
        <w:spacing w:after="160" w:line="264" w:lineRule="auto"/>
        <w:ind w:left="720" w:hanging="720"/>
        <w:jc w:val="both"/>
        <w:rPr>
          <w:rFonts w:ascii="Arial" w:hAnsi="Arial" w:cs="Arial"/>
          <w:color w:val="000000" w:themeColor="text1"/>
          <w:sz w:val="24"/>
          <w:szCs w:val="24"/>
        </w:rPr>
      </w:pPr>
      <w:r w:rsidRPr="00F3651D">
        <w:rPr>
          <w:rFonts w:ascii="Arial" w:hAnsi="Arial" w:cs="Arial"/>
          <w:color w:val="000000" w:themeColor="text1"/>
          <w:sz w:val="24"/>
          <w:szCs w:val="24"/>
        </w:rPr>
        <w:t>RCI Hospitality Holdings, Inc. (2024) Form 10-K for the fiscal year ended September 30, 2024. Washington, DC: U.S. Securities and Exchange Commission.</w:t>
      </w:r>
    </w:p>
    <w:p w14:paraId="2B8AACEF" w14:textId="77777777" w:rsidR="000C06A3" w:rsidRPr="00F3651D" w:rsidRDefault="00B0039E">
      <w:pPr>
        <w:spacing w:after="160" w:line="264" w:lineRule="auto"/>
        <w:ind w:left="720" w:hanging="720"/>
        <w:jc w:val="both"/>
        <w:rPr>
          <w:rFonts w:ascii="Arial" w:hAnsi="Arial" w:cs="Arial"/>
          <w:color w:val="000000" w:themeColor="text1"/>
          <w:sz w:val="24"/>
          <w:szCs w:val="24"/>
        </w:rPr>
      </w:pPr>
      <w:r w:rsidRPr="00F3651D">
        <w:rPr>
          <w:rFonts w:ascii="Arial" w:hAnsi="Arial" w:cs="Arial"/>
          <w:color w:val="000000" w:themeColor="text1"/>
          <w:sz w:val="24"/>
          <w:szCs w:val="24"/>
        </w:rPr>
        <w:t>RCI Hospitality Holdings, Inc. (2024) RCI reports 4Q24 &amp; FY24 results, launches 5-year capital allocation plan. [Press release] 16 December. Available at: https://www.sec.gov/Archives/edgar/data/935419/000162828024051387/ex991_pressrelease12-16x20.htm (Accessed: 11 August 2026).</w:t>
      </w:r>
    </w:p>
    <w:p w14:paraId="02190699" w14:textId="77777777" w:rsidR="000C06A3" w:rsidRPr="00F3651D" w:rsidRDefault="00B0039E">
      <w:pPr>
        <w:spacing w:after="160" w:line="264" w:lineRule="auto"/>
        <w:ind w:left="720" w:hanging="720"/>
        <w:jc w:val="both"/>
        <w:rPr>
          <w:rFonts w:ascii="Arial" w:hAnsi="Arial" w:cs="Arial"/>
          <w:color w:val="000000" w:themeColor="text1"/>
          <w:sz w:val="24"/>
          <w:szCs w:val="24"/>
        </w:rPr>
      </w:pPr>
      <w:r w:rsidRPr="00F3651D">
        <w:rPr>
          <w:rFonts w:ascii="Arial" w:hAnsi="Arial" w:cs="Arial"/>
          <w:color w:val="000000" w:themeColor="text1"/>
          <w:sz w:val="24"/>
          <w:szCs w:val="24"/>
        </w:rPr>
        <w:t>Robinhood (2026) RCI Hospitality (RICK) stock price quote &amp; news. Available at: https://robinhood.com/us/en/stocks/RICK/ (Accessed: 11 August 2026).</w:t>
      </w:r>
    </w:p>
    <w:p w14:paraId="151ED0C9" w14:textId="77777777" w:rsidR="000C06A3" w:rsidRPr="00F3651D" w:rsidRDefault="00B0039E">
      <w:pPr>
        <w:spacing w:after="160" w:line="264" w:lineRule="auto"/>
        <w:ind w:left="720" w:hanging="720"/>
        <w:jc w:val="both"/>
        <w:rPr>
          <w:rFonts w:ascii="Arial" w:hAnsi="Arial" w:cs="Arial"/>
          <w:color w:val="000000" w:themeColor="text1"/>
          <w:sz w:val="24"/>
          <w:szCs w:val="24"/>
        </w:rPr>
      </w:pPr>
      <w:r w:rsidRPr="00F3651D">
        <w:rPr>
          <w:rFonts w:ascii="Arial" w:hAnsi="Arial" w:cs="Arial"/>
          <w:color w:val="000000" w:themeColor="text1"/>
          <w:sz w:val="24"/>
          <w:szCs w:val="24"/>
        </w:rPr>
        <w:t>StockAnalysis.com (2026) RCI Hospitality Holdings (RICK) statistics &amp; valuation. Available at: https://stockanalysis.com/stocks/rick/statistics/ (Accessed: 11 August 2026).</w:t>
      </w:r>
    </w:p>
    <w:p w14:paraId="5A3C6126" w14:textId="77777777" w:rsidR="000C06A3" w:rsidRPr="00F3651D" w:rsidRDefault="00B0039E">
      <w:pPr>
        <w:spacing w:after="160" w:line="264" w:lineRule="auto"/>
        <w:ind w:left="720" w:hanging="720"/>
        <w:jc w:val="both"/>
        <w:rPr>
          <w:rFonts w:ascii="Arial" w:hAnsi="Arial" w:cs="Arial"/>
          <w:color w:val="000000" w:themeColor="text1"/>
          <w:sz w:val="24"/>
          <w:szCs w:val="24"/>
        </w:rPr>
      </w:pPr>
      <w:r w:rsidRPr="00F3651D">
        <w:rPr>
          <w:rFonts w:ascii="Arial" w:hAnsi="Arial" w:cs="Arial"/>
          <w:color w:val="000000" w:themeColor="text1"/>
          <w:sz w:val="24"/>
          <w:szCs w:val="24"/>
        </w:rPr>
        <w:t>Weston, J.F. and Copeland, T.E. (1992) Mergers, Restructuring, and Corporate Control. Englewood Cliffs, NJ: Prentice Hall.</w:t>
      </w:r>
    </w:p>
    <w:p w14:paraId="5967CD23" w14:textId="77777777" w:rsidR="000C06A3" w:rsidRPr="00F3651D" w:rsidRDefault="00B0039E">
      <w:pPr>
        <w:spacing w:after="160" w:line="264" w:lineRule="auto"/>
        <w:ind w:left="720" w:hanging="720"/>
        <w:jc w:val="both"/>
        <w:rPr>
          <w:rFonts w:ascii="Arial" w:hAnsi="Arial" w:cs="Arial"/>
          <w:color w:val="000000" w:themeColor="text1"/>
          <w:sz w:val="24"/>
          <w:szCs w:val="24"/>
        </w:rPr>
      </w:pPr>
      <w:proofErr w:type="spellStart"/>
      <w:r w:rsidRPr="00F3651D">
        <w:rPr>
          <w:rFonts w:ascii="Arial" w:hAnsi="Arial" w:cs="Arial"/>
          <w:color w:val="000000" w:themeColor="text1"/>
          <w:sz w:val="24"/>
          <w:szCs w:val="24"/>
        </w:rPr>
        <w:t>WhippleWood</w:t>
      </w:r>
      <w:proofErr w:type="spellEnd"/>
      <w:r w:rsidRPr="00F3651D">
        <w:rPr>
          <w:rFonts w:ascii="Arial" w:hAnsi="Arial" w:cs="Arial"/>
          <w:color w:val="000000" w:themeColor="text1"/>
          <w:sz w:val="24"/>
          <w:szCs w:val="24"/>
        </w:rPr>
        <w:t xml:space="preserve"> CPAs (2026) Restaurant financial benchmarks 2026: key metrics for owners. Available at: https://whipplewood.com/insights/financial-benchmarks-for-restaurants/ (Accessed: 11 August 2026).</w:t>
      </w:r>
    </w:p>
    <w:sectPr w:rsidR="000C06A3" w:rsidRPr="00F3651D">
      <w:headerReference w:type="default" r:id="rId13"/>
      <w:footerReference w:type="default" r:id="rId14"/>
      <w:pgSz w:w="12240" w:h="15840"/>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CBBC2" w14:textId="77777777" w:rsidR="00594F39" w:rsidRDefault="00594F39">
      <w:r>
        <w:separator/>
      </w:r>
    </w:p>
  </w:endnote>
  <w:endnote w:type="continuationSeparator" w:id="0">
    <w:p w14:paraId="040D587B" w14:textId="77777777" w:rsidR="00594F39" w:rsidRDefault="00594F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430CE" w14:textId="77777777" w:rsidR="00F3651D" w:rsidRPr="00F3651D" w:rsidRDefault="00F3651D">
    <w:pPr>
      <w:pStyle w:val="Footer"/>
      <w:jc w:val="center"/>
      <w:rPr>
        <w:rFonts w:ascii="Arial" w:hAnsi="Arial" w:cs="Arial"/>
      </w:rPr>
    </w:pPr>
    <w:r w:rsidRPr="00F3651D">
      <w:rPr>
        <w:rFonts w:ascii="Arial" w:hAnsi="Arial" w:cs="Arial"/>
      </w:rPr>
      <w:t xml:space="preserve">Page </w:t>
    </w:r>
    <w:r w:rsidRPr="00F3651D">
      <w:rPr>
        <w:rFonts w:ascii="Arial" w:hAnsi="Arial" w:cs="Arial"/>
      </w:rPr>
      <w:fldChar w:fldCharType="begin"/>
    </w:r>
    <w:r w:rsidRPr="00F3651D">
      <w:rPr>
        <w:rFonts w:ascii="Arial" w:hAnsi="Arial" w:cs="Arial"/>
      </w:rPr>
      <w:instrText xml:space="preserve"> PAGE  \* Arabic  \* MERGEFORMAT </w:instrText>
    </w:r>
    <w:r w:rsidRPr="00F3651D">
      <w:rPr>
        <w:rFonts w:ascii="Arial" w:hAnsi="Arial" w:cs="Arial"/>
      </w:rPr>
      <w:fldChar w:fldCharType="separate"/>
    </w:r>
    <w:r w:rsidRPr="00F3651D">
      <w:rPr>
        <w:rFonts w:ascii="Arial" w:hAnsi="Arial" w:cs="Arial"/>
        <w:noProof/>
      </w:rPr>
      <w:t>2</w:t>
    </w:r>
    <w:r w:rsidRPr="00F3651D">
      <w:rPr>
        <w:rFonts w:ascii="Arial" w:hAnsi="Arial" w:cs="Arial"/>
      </w:rPr>
      <w:fldChar w:fldCharType="end"/>
    </w:r>
    <w:r w:rsidRPr="00F3651D">
      <w:rPr>
        <w:rFonts w:ascii="Arial" w:hAnsi="Arial" w:cs="Arial"/>
      </w:rPr>
      <w:t xml:space="preserve"> of </w:t>
    </w:r>
    <w:r w:rsidRPr="00F3651D">
      <w:rPr>
        <w:rFonts w:ascii="Arial" w:hAnsi="Arial" w:cs="Arial"/>
      </w:rPr>
      <w:fldChar w:fldCharType="begin"/>
    </w:r>
    <w:r w:rsidRPr="00F3651D">
      <w:rPr>
        <w:rFonts w:ascii="Arial" w:hAnsi="Arial" w:cs="Arial"/>
      </w:rPr>
      <w:instrText xml:space="preserve"> NUMPAGES  \* Arabic  \* MERGEFORMAT </w:instrText>
    </w:r>
    <w:r w:rsidRPr="00F3651D">
      <w:rPr>
        <w:rFonts w:ascii="Arial" w:hAnsi="Arial" w:cs="Arial"/>
      </w:rPr>
      <w:fldChar w:fldCharType="separate"/>
    </w:r>
    <w:r w:rsidRPr="00F3651D">
      <w:rPr>
        <w:rFonts w:ascii="Arial" w:hAnsi="Arial" w:cs="Arial"/>
        <w:noProof/>
      </w:rPr>
      <w:t>2</w:t>
    </w:r>
    <w:r w:rsidRPr="00F3651D">
      <w:rPr>
        <w:rFonts w:ascii="Arial" w:hAnsi="Arial" w:cs="Arial"/>
      </w:rPr>
      <w:fldChar w:fldCharType="end"/>
    </w:r>
  </w:p>
  <w:p w14:paraId="3BDC99A5" w14:textId="5E58EEF6" w:rsidR="000C06A3" w:rsidRPr="00F3651D" w:rsidRDefault="000C06A3">
    <w:pPr>
      <w:jc w:val="cen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AC27C" w14:textId="77777777" w:rsidR="00594F39" w:rsidRDefault="00594F39">
      <w:r>
        <w:separator/>
      </w:r>
    </w:p>
  </w:footnote>
  <w:footnote w:type="continuationSeparator" w:id="0">
    <w:p w14:paraId="7E666CC3" w14:textId="77777777" w:rsidR="00594F39" w:rsidRDefault="00594F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165BA" w14:textId="3AE20158" w:rsidR="000C06A3" w:rsidRDefault="000C06A3">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20373E"/>
    <w:multiLevelType w:val="hybridMultilevel"/>
    <w:tmpl w:val="04FCAFD6"/>
    <w:lvl w:ilvl="0" w:tplc="5240F10E">
      <w:start w:val="1"/>
      <w:numFmt w:val="bullet"/>
      <w:lvlText w:val="●"/>
      <w:lvlJc w:val="left"/>
      <w:pPr>
        <w:ind w:left="720" w:hanging="360"/>
      </w:pPr>
    </w:lvl>
    <w:lvl w:ilvl="1" w:tplc="54CEFA74">
      <w:start w:val="1"/>
      <w:numFmt w:val="bullet"/>
      <w:lvlText w:val="○"/>
      <w:lvlJc w:val="left"/>
      <w:pPr>
        <w:ind w:left="1440" w:hanging="360"/>
      </w:pPr>
    </w:lvl>
    <w:lvl w:ilvl="2" w:tplc="E9006BEC">
      <w:start w:val="1"/>
      <w:numFmt w:val="bullet"/>
      <w:lvlText w:val="■"/>
      <w:lvlJc w:val="left"/>
      <w:pPr>
        <w:ind w:left="2160" w:hanging="360"/>
      </w:pPr>
    </w:lvl>
    <w:lvl w:ilvl="3" w:tplc="A90A708C">
      <w:start w:val="1"/>
      <w:numFmt w:val="bullet"/>
      <w:lvlText w:val="●"/>
      <w:lvlJc w:val="left"/>
      <w:pPr>
        <w:ind w:left="2880" w:hanging="360"/>
      </w:pPr>
    </w:lvl>
    <w:lvl w:ilvl="4" w:tplc="18BAFF98">
      <w:start w:val="1"/>
      <w:numFmt w:val="bullet"/>
      <w:lvlText w:val="○"/>
      <w:lvlJc w:val="left"/>
      <w:pPr>
        <w:ind w:left="3600" w:hanging="360"/>
      </w:pPr>
    </w:lvl>
    <w:lvl w:ilvl="5" w:tplc="F392AB3C">
      <w:start w:val="1"/>
      <w:numFmt w:val="bullet"/>
      <w:lvlText w:val="■"/>
      <w:lvlJc w:val="left"/>
      <w:pPr>
        <w:ind w:left="4320" w:hanging="360"/>
      </w:pPr>
    </w:lvl>
    <w:lvl w:ilvl="6" w:tplc="ACDC1A9C">
      <w:start w:val="1"/>
      <w:numFmt w:val="bullet"/>
      <w:lvlText w:val="●"/>
      <w:lvlJc w:val="left"/>
      <w:pPr>
        <w:ind w:left="5040" w:hanging="360"/>
      </w:pPr>
    </w:lvl>
    <w:lvl w:ilvl="7" w:tplc="41DAD562">
      <w:start w:val="1"/>
      <w:numFmt w:val="bullet"/>
      <w:lvlText w:val="●"/>
      <w:lvlJc w:val="left"/>
      <w:pPr>
        <w:ind w:left="5760" w:hanging="360"/>
      </w:pPr>
    </w:lvl>
    <w:lvl w:ilvl="8" w:tplc="CF6637DE">
      <w:start w:val="1"/>
      <w:numFmt w:val="bullet"/>
      <w:lvlText w:val="●"/>
      <w:lvlJc w:val="left"/>
      <w:pPr>
        <w:ind w:left="6480" w:hanging="360"/>
      </w:pPr>
    </w:lvl>
  </w:abstractNum>
  <w:abstractNum w:abstractNumId="1" w15:restartNumberingAfterBreak="0">
    <w:nsid w:val="3C930D31"/>
    <w:multiLevelType w:val="hybridMultilevel"/>
    <w:tmpl w:val="90E4E4C6"/>
    <w:lvl w:ilvl="0" w:tplc="B3707AE8">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C1B5F3F"/>
    <w:multiLevelType w:val="hybridMultilevel"/>
    <w:tmpl w:val="86EC76E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06A3"/>
    <w:rsid w:val="000C06A3"/>
    <w:rsid w:val="000F0457"/>
    <w:rsid w:val="00137441"/>
    <w:rsid w:val="001604C2"/>
    <w:rsid w:val="001B00A3"/>
    <w:rsid w:val="001B6B52"/>
    <w:rsid w:val="001E0E1C"/>
    <w:rsid w:val="001F5C0B"/>
    <w:rsid w:val="00253C48"/>
    <w:rsid w:val="002F173B"/>
    <w:rsid w:val="0030726C"/>
    <w:rsid w:val="00362B14"/>
    <w:rsid w:val="00443FB5"/>
    <w:rsid w:val="00447B79"/>
    <w:rsid w:val="004A1316"/>
    <w:rsid w:val="004C760B"/>
    <w:rsid w:val="00570D54"/>
    <w:rsid w:val="00594F39"/>
    <w:rsid w:val="006E343B"/>
    <w:rsid w:val="00711572"/>
    <w:rsid w:val="008D35C5"/>
    <w:rsid w:val="00995299"/>
    <w:rsid w:val="009D432F"/>
    <w:rsid w:val="00A40A75"/>
    <w:rsid w:val="00A702A5"/>
    <w:rsid w:val="00AB2063"/>
    <w:rsid w:val="00B0039E"/>
    <w:rsid w:val="00B42BE4"/>
    <w:rsid w:val="00D123E4"/>
    <w:rsid w:val="00E4730B"/>
    <w:rsid w:val="00E6415F"/>
    <w:rsid w:val="00E76A52"/>
    <w:rsid w:val="00F3651D"/>
    <w:rsid w:val="00F758FB"/>
    <w:rsid w:val="00FF51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DB753"/>
  <w15:docId w15:val="{23DA66DC-8EC6-4ACD-9872-31F12232E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F3651D"/>
    <w:pPr>
      <w:tabs>
        <w:tab w:val="center" w:pos="4513"/>
        <w:tab w:val="right" w:pos="9026"/>
      </w:tabs>
    </w:pPr>
  </w:style>
  <w:style w:type="character" w:customStyle="1" w:styleId="HeaderChar">
    <w:name w:val="Header Char"/>
    <w:basedOn w:val="DefaultParagraphFont"/>
    <w:link w:val="Header"/>
    <w:uiPriority w:val="99"/>
    <w:rsid w:val="00F3651D"/>
  </w:style>
  <w:style w:type="paragraph" w:styleId="Footer">
    <w:name w:val="footer"/>
    <w:basedOn w:val="Normal"/>
    <w:link w:val="FooterChar"/>
    <w:uiPriority w:val="99"/>
    <w:unhideWhenUsed/>
    <w:rsid w:val="00F3651D"/>
    <w:pPr>
      <w:tabs>
        <w:tab w:val="center" w:pos="4513"/>
        <w:tab w:val="right" w:pos="9026"/>
      </w:tabs>
    </w:pPr>
  </w:style>
  <w:style w:type="character" w:customStyle="1" w:styleId="FooterChar">
    <w:name w:val="Footer Char"/>
    <w:basedOn w:val="DefaultParagraphFont"/>
    <w:link w:val="Footer"/>
    <w:uiPriority w:val="99"/>
    <w:rsid w:val="00F3651D"/>
  </w:style>
  <w:style w:type="character" w:styleId="PlaceholderText">
    <w:name w:val="Placeholder Text"/>
    <w:basedOn w:val="DefaultParagraphFont"/>
    <w:uiPriority w:val="99"/>
    <w:semiHidden/>
    <w:rsid w:val="004C760B"/>
    <w:rPr>
      <w:color w:val="808080"/>
    </w:rPr>
  </w:style>
  <w:style w:type="table" w:styleId="ListTable3-Accent2">
    <w:name w:val="List Table 3 Accent 2"/>
    <w:basedOn w:val="TableNormal"/>
    <w:uiPriority w:val="48"/>
    <w:rsid w:val="00FF5147"/>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248713">
      <w:bodyDiv w:val="1"/>
      <w:marLeft w:val="0"/>
      <w:marRight w:val="0"/>
      <w:marTop w:val="0"/>
      <w:marBottom w:val="0"/>
      <w:divBdr>
        <w:top w:val="none" w:sz="0" w:space="0" w:color="auto"/>
        <w:left w:val="none" w:sz="0" w:space="0" w:color="auto"/>
        <w:bottom w:val="none" w:sz="0" w:space="0" w:color="auto"/>
        <w:right w:val="none" w:sz="0" w:space="0" w:color="auto"/>
      </w:divBdr>
    </w:div>
    <w:div w:id="1138644319">
      <w:bodyDiv w:val="1"/>
      <w:marLeft w:val="0"/>
      <w:marRight w:val="0"/>
      <w:marTop w:val="0"/>
      <w:marBottom w:val="0"/>
      <w:divBdr>
        <w:top w:val="none" w:sz="0" w:space="0" w:color="auto"/>
        <w:left w:val="none" w:sz="0" w:space="0" w:color="auto"/>
        <w:bottom w:val="none" w:sz="0" w:space="0" w:color="auto"/>
        <w:right w:val="none" w:sz="0" w:space="0" w:color="auto"/>
      </w:divBdr>
    </w:div>
    <w:div w:id="1731461768">
      <w:bodyDiv w:val="1"/>
      <w:marLeft w:val="0"/>
      <w:marRight w:val="0"/>
      <w:marTop w:val="0"/>
      <w:marBottom w:val="0"/>
      <w:divBdr>
        <w:top w:val="none" w:sz="0" w:space="0" w:color="auto"/>
        <w:left w:val="none" w:sz="0" w:space="0" w:color="auto"/>
        <w:bottom w:val="none" w:sz="0" w:space="0" w:color="auto"/>
        <w:right w:val="none" w:sz="0" w:space="0" w:color="auto"/>
      </w:divBdr>
    </w:div>
    <w:div w:id="17799120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19</Pages>
  <Words>6251</Words>
  <Characters>35637</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Kartikkumar Dharmendrabhai Raval (2537202)</cp:lastModifiedBy>
  <cp:revision>5</cp:revision>
  <dcterms:created xsi:type="dcterms:W3CDTF">2026-08-12T23:20:00Z</dcterms:created>
  <dcterms:modified xsi:type="dcterms:W3CDTF">2026-08-12T23:38:00Z</dcterms:modified>
</cp:coreProperties>
</file>