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01AE60" w14:textId="7A20B547" w:rsidR="00504C44" w:rsidRPr="00D02074" w:rsidRDefault="009002BB" w:rsidP="00D02074">
      <w:pPr>
        <w:spacing w:line="360" w:lineRule="auto"/>
        <w:jc w:val="center"/>
        <w:rPr>
          <w:rFonts w:ascii="Arial" w:hAnsi="Arial" w:cs="Arial"/>
        </w:rPr>
      </w:pPr>
      <w:r w:rsidRPr="00D02074">
        <w:rPr>
          <w:rFonts w:ascii="Arial" w:hAnsi="Arial" w:cs="Arial"/>
        </w:rPr>
        <w:fldChar w:fldCharType="begin"/>
      </w:r>
      <w:r w:rsidRPr="00D02074">
        <w:rPr>
          <w:rFonts w:ascii="Arial" w:hAnsi="Arial" w:cs="Arial"/>
        </w:rPr>
        <w:instrText xml:space="preserve"> INCLUDEPICTURE "https://tukuz.com/wp-content/uploads/2021/06/university-of-wales-trinity-saint-david-logo-vector.png" \* MERGEFORMATINET </w:instrText>
      </w:r>
      <w:r w:rsidRPr="00D02074">
        <w:rPr>
          <w:rFonts w:ascii="Arial" w:hAnsi="Arial" w:cs="Arial"/>
        </w:rPr>
        <w:fldChar w:fldCharType="separate"/>
      </w:r>
      <w:r w:rsidRPr="00D02074">
        <w:rPr>
          <w:rFonts w:ascii="Arial" w:hAnsi="Arial" w:cs="Arial"/>
          <w:noProof/>
        </w:rPr>
        <w:drawing>
          <wp:inline distT="0" distB="0" distL="0" distR="0" wp14:anchorId="748587A3" wp14:editId="752CF5FE">
            <wp:extent cx="3990814" cy="2218691"/>
            <wp:effectExtent l="0" t="0" r="0" b="3810"/>
            <wp:docPr id="450124134"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24134" name="Picture 1"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7026" cy="2233264"/>
                    </a:xfrm>
                    <a:prstGeom prst="rect">
                      <a:avLst/>
                    </a:prstGeom>
                    <a:noFill/>
                    <a:ln>
                      <a:noFill/>
                    </a:ln>
                  </pic:spPr>
                </pic:pic>
              </a:graphicData>
            </a:graphic>
          </wp:inline>
        </w:drawing>
      </w:r>
      <w:r w:rsidRPr="00D02074">
        <w:rPr>
          <w:rFonts w:ascii="Arial" w:hAnsi="Arial" w:cs="Arial"/>
        </w:rPr>
        <w:fldChar w:fldCharType="end"/>
      </w:r>
    </w:p>
    <w:p w14:paraId="7FF0531F" w14:textId="77777777" w:rsidR="00504C44" w:rsidRPr="00D02074" w:rsidRDefault="00504C44" w:rsidP="00D02074">
      <w:pPr>
        <w:spacing w:line="360" w:lineRule="auto"/>
        <w:jc w:val="both"/>
        <w:rPr>
          <w:rFonts w:ascii="Arial" w:hAnsi="Arial" w:cs="Arial"/>
        </w:rPr>
      </w:pPr>
    </w:p>
    <w:p w14:paraId="5EAA0FA2" w14:textId="77777777" w:rsidR="00504C44" w:rsidRPr="00D02074" w:rsidRDefault="00504C44" w:rsidP="00D02074">
      <w:pPr>
        <w:spacing w:line="360" w:lineRule="auto"/>
        <w:jc w:val="both"/>
        <w:rPr>
          <w:rFonts w:ascii="Arial" w:hAnsi="Arial" w:cs="Arial"/>
        </w:rPr>
      </w:pPr>
    </w:p>
    <w:p w14:paraId="00487DE0" w14:textId="77777777" w:rsidR="000205C5" w:rsidRPr="00E0763B" w:rsidRDefault="000205C5" w:rsidP="00E0763B">
      <w:pPr>
        <w:spacing w:line="360" w:lineRule="auto"/>
        <w:jc w:val="center"/>
        <w:rPr>
          <w:rFonts w:ascii="Arial" w:hAnsi="Arial" w:cs="Arial"/>
          <w:b/>
          <w:bCs/>
        </w:rPr>
      </w:pPr>
      <w:r w:rsidRPr="00E0763B">
        <w:rPr>
          <w:rFonts w:ascii="Arial" w:hAnsi="Arial" w:cs="Arial"/>
          <w:b/>
          <w:bCs/>
        </w:rPr>
        <w:t>Programme: BA (Hons) Leadership and Management Skills for the Workplace</w:t>
      </w:r>
    </w:p>
    <w:p w14:paraId="3F0F38CA" w14:textId="77777777" w:rsidR="005067CE" w:rsidRPr="00E0763B" w:rsidRDefault="005067CE" w:rsidP="00E0763B">
      <w:pPr>
        <w:spacing w:line="360" w:lineRule="auto"/>
        <w:jc w:val="center"/>
        <w:rPr>
          <w:rFonts w:ascii="Arial" w:hAnsi="Arial" w:cs="Arial"/>
          <w:b/>
          <w:bCs/>
        </w:rPr>
      </w:pPr>
    </w:p>
    <w:p w14:paraId="7811B7D0" w14:textId="77777777" w:rsidR="000205C5" w:rsidRPr="00E0763B" w:rsidRDefault="000205C5" w:rsidP="00E0763B">
      <w:pPr>
        <w:spacing w:line="360" w:lineRule="auto"/>
        <w:jc w:val="center"/>
        <w:rPr>
          <w:rFonts w:ascii="Arial" w:hAnsi="Arial" w:cs="Arial"/>
          <w:b/>
          <w:bCs/>
        </w:rPr>
      </w:pPr>
      <w:r w:rsidRPr="00E0763B">
        <w:rPr>
          <w:rFonts w:ascii="Arial" w:hAnsi="Arial" w:cs="Arial"/>
          <w:b/>
          <w:bCs/>
        </w:rPr>
        <w:t>Module: Understanding and Engaging Stakeholders</w:t>
      </w:r>
    </w:p>
    <w:p w14:paraId="68B2CB38" w14:textId="77777777" w:rsidR="005067CE" w:rsidRPr="00E0763B" w:rsidRDefault="005067CE" w:rsidP="00E0763B">
      <w:pPr>
        <w:spacing w:line="360" w:lineRule="auto"/>
        <w:jc w:val="center"/>
        <w:rPr>
          <w:rFonts w:ascii="Arial" w:hAnsi="Arial" w:cs="Arial"/>
          <w:b/>
          <w:bCs/>
        </w:rPr>
      </w:pPr>
    </w:p>
    <w:p w14:paraId="4599B85F" w14:textId="35BE96A2" w:rsidR="000205C5" w:rsidRPr="00E0763B" w:rsidRDefault="000205C5" w:rsidP="00E0763B">
      <w:pPr>
        <w:spacing w:line="360" w:lineRule="auto"/>
        <w:jc w:val="center"/>
        <w:rPr>
          <w:rFonts w:ascii="Arial" w:hAnsi="Arial" w:cs="Arial"/>
          <w:b/>
          <w:bCs/>
        </w:rPr>
      </w:pPr>
      <w:r w:rsidRPr="00E0763B">
        <w:rPr>
          <w:rFonts w:ascii="Arial" w:hAnsi="Arial" w:cs="Arial"/>
          <w:b/>
          <w:bCs/>
        </w:rPr>
        <w:t>Module code: LCLM5001</w:t>
      </w:r>
    </w:p>
    <w:p w14:paraId="475E8AC6" w14:textId="77777777" w:rsidR="005067CE" w:rsidRPr="00E0763B" w:rsidRDefault="005067CE" w:rsidP="00E0763B">
      <w:pPr>
        <w:spacing w:line="360" w:lineRule="auto"/>
        <w:jc w:val="center"/>
        <w:rPr>
          <w:rFonts w:ascii="Arial" w:hAnsi="Arial" w:cs="Arial"/>
          <w:b/>
          <w:bCs/>
        </w:rPr>
      </w:pPr>
    </w:p>
    <w:p w14:paraId="140ED8DF" w14:textId="44B32CC6" w:rsidR="000205C5" w:rsidRPr="00E0763B" w:rsidRDefault="000205C5" w:rsidP="00E0763B">
      <w:pPr>
        <w:spacing w:line="360" w:lineRule="auto"/>
        <w:jc w:val="center"/>
        <w:rPr>
          <w:rFonts w:ascii="Arial" w:hAnsi="Arial" w:cs="Arial"/>
          <w:b/>
          <w:bCs/>
        </w:rPr>
      </w:pPr>
      <w:r w:rsidRPr="00E0763B">
        <w:rPr>
          <w:rFonts w:ascii="Arial" w:hAnsi="Arial" w:cs="Arial"/>
          <w:b/>
          <w:bCs/>
        </w:rPr>
        <w:t>Module Le</w:t>
      </w:r>
      <w:r w:rsidRPr="00E0763B">
        <w:rPr>
          <w:rFonts w:ascii="Arial" w:hAnsi="Arial" w:cs="Arial"/>
          <w:b/>
          <w:bCs/>
        </w:rPr>
        <w:t>cturer</w:t>
      </w:r>
      <w:r w:rsidRPr="00E0763B">
        <w:rPr>
          <w:rFonts w:ascii="Arial" w:hAnsi="Arial" w:cs="Arial"/>
          <w:b/>
          <w:bCs/>
        </w:rPr>
        <w:t xml:space="preserve">: </w:t>
      </w:r>
      <w:r w:rsidRPr="00E0763B">
        <w:rPr>
          <w:rFonts w:ascii="Arial" w:hAnsi="Arial" w:cs="Arial"/>
          <w:b/>
          <w:bCs/>
        </w:rPr>
        <w:t>Christopher Osborne</w:t>
      </w:r>
    </w:p>
    <w:p w14:paraId="147CC1FC" w14:textId="77777777" w:rsidR="005067CE" w:rsidRPr="00E0763B" w:rsidRDefault="005067CE" w:rsidP="00E0763B">
      <w:pPr>
        <w:spacing w:line="360" w:lineRule="auto"/>
        <w:jc w:val="center"/>
        <w:rPr>
          <w:rFonts w:ascii="Arial" w:hAnsi="Arial" w:cs="Arial"/>
          <w:b/>
          <w:bCs/>
        </w:rPr>
      </w:pPr>
    </w:p>
    <w:p w14:paraId="50330828" w14:textId="72BBD4F4" w:rsidR="000205C5" w:rsidRDefault="000205C5" w:rsidP="00E0763B">
      <w:pPr>
        <w:spacing w:line="360" w:lineRule="auto"/>
        <w:jc w:val="center"/>
        <w:rPr>
          <w:rFonts w:ascii="Arial" w:hAnsi="Arial" w:cs="Arial"/>
          <w:b/>
          <w:bCs/>
        </w:rPr>
      </w:pPr>
      <w:r w:rsidRPr="00E0763B">
        <w:rPr>
          <w:rFonts w:ascii="Arial" w:hAnsi="Arial" w:cs="Arial"/>
          <w:b/>
          <w:bCs/>
        </w:rPr>
        <w:t>Assignment Title: Understanding the importance of</w:t>
      </w:r>
      <w:r w:rsidRPr="00E0763B">
        <w:rPr>
          <w:rFonts w:ascii="Arial" w:hAnsi="Arial" w:cs="Arial"/>
          <w:b/>
          <w:bCs/>
        </w:rPr>
        <w:t xml:space="preserve"> </w:t>
      </w:r>
      <w:r w:rsidRPr="00E0763B">
        <w:rPr>
          <w:rFonts w:ascii="Arial" w:hAnsi="Arial" w:cs="Arial"/>
          <w:b/>
          <w:bCs/>
        </w:rPr>
        <w:t>Stakeholder Engagement in</w:t>
      </w:r>
      <w:r w:rsidRPr="00E0763B">
        <w:rPr>
          <w:rFonts w:ascii="Arial" w:hAnsi="Arial" w:cs="Arial"/>
          <w:b/>
          <w:bCs/>
        </w:rPr>
        <w:t xml:space="preserve"> S</w:t>
      </w:r>
      <w:r w:rsidRPr="00E0763B">
        <w:rPr>
          <w:rFonts w:ascii="Arial" w:hAnsi="Arial" w:cs="Arial"/>
          <w:b/>
          <w:bCs/>
        </w:rPr>
        <w:t>uccessful</w:t>
      </w:r>
      <w:r w:rsidRPr="00E0763B">
        <w:rPr>
          <w:rFonts w:ascii="Arial" w:hAnsi="Arial" w:cs="Arial"/>
          <w:b/>
          <w:bCs/>
        </w:rPr>
        <w:t xml:space="preserve"> C</w:t>
      </w:r>
      <w:r w:rsidRPr="00E0763B">
        <w:rPr>
          <w:rFonts w:ascii="Arial" w:hAnsi="Arial" w:cs="Arial"/>
          <w:b/>
          <w:bCs/>
        </w:rPr>
        <w:t>ommencement and</w:t>
      </w:r>
      <w:r w:rsidRPr="00E0763B">
        <w:rPr>
          <w:rFonts w:ascii="Arial" w:hAnsi="Arial" w:cs="Arial"/>
          <w:b/>
          <w:bCs/>
        </w:rPr>
        <w:t xml:space="preserve"> C</w:t>
      </w:r>
      <w:r w:rsidRPr="00E0763B">
        <w:rPr>
          <w:rFonts w:ascii="Arial" w:hAnsi="Arial" w:cs="Arial"/>
          <w:b/>
          <w:bCs/>
        </w:rPr>
        <w:t xml:space="preserve">ompletion of </w:t>
      </w:r>
      <w:r w:rsidRPr="00E0763B">
        <w:rPr>
          <w:rFonts w:ascii="Arial" w:hAnsi="Arial" w:cs="Arial"/>
          <w:b/>
          <w:bCs/>
        </w:rPr>
        <w:t>P</w:t>
      </w:r>
      <w:r w:rsidRPr="00E0763B">
        <w:rPr>
          <w:rFonts w:ascii="Arial" w:hAnsi="Arial" w:cs="Arial"/>
          <w:b/>
          <w:bCs/>
        </w:rPr>
        <w:t>roject</w:t>
      </w:r>
    </w:p>
    <w:p w14:paraId="2C5A8D31" w14:textId="77777777" w:rsidR="00E0763B" w:rsidRDefault="00E0763B" w:rsidP="00E0763B">
      <w:pPr>
        <w:spacing w:line="360" w:lineRule="auto"/>
        <w:jc w:val="center"/>
        <w:rPr>
          <w:rFonts w:ascii="Arial" w:hAnsi="Arial" w:cs="Arial"/>
          <w:b/>
          <w:bCs/>
        </w:rPr>
      </w:pPr>
    </w:p>
    <w:p w14:paraId="4D63B03F" w14:textId="4DAB0A7F" w:rsidR="00E0763B" w:rsidRPr="00E0763B" w:rsidRDefault="00E0763B" w:rsidP="00E0763B">
      <w:pPr>
        <w:spacing w:line="360" w:lineRule="auto"/>
        <w:jc w:val="center"/>
        <w:rPr>
          <w:rFonts w:ascii="Arial" w:hAnsi="Arial" w:cs="Arial"/>
          <w:b/>
          <w:bCs/>
        </w:rPr>
      </w:pPr>
      <w:r>
        <w:rPr>
          <w:rFonts w:ascii="Arial" w:hAnsi="Arial" w:cs="Arial"/>
          <w:b/>
          <w:bCs/>
        </w:rPr>
        <w:t>Chosen Company: ASOS Plc</w:t>
      </w:r>
    </w:p>
    <w:p w14:paraId="28300ADB" w14:textId="77777777" w:rsidR="005067CE" w:rsidRPr="00E0763B" w:rsidRDefault="005067CE" w:rsidP="00E0763B">
      <w:pPr>
        <w:spacing w:line="360" w:lineRule="auto"/>
        <w:jc w:val="center"/>
        <w:rPr>
          <w:rFonts w:ascii="Arial" w:hAnsi="Arial" w:cs="Arial"/>
          <w:b/>
          <w:bCs/>
        </w:rPr>
      </w:pPr>
    </w:p>
    <w:p w14:paraId="2CD70226" w14:textId="0A633841" w:rsidR="007E72EF" w:rsidRPr="00E0763B" w:rsidRDefault="007E72EF" w:rsidP="00E0763B">
      <w:pPr>
        <w:spacing w:line="360" w:lineRule="auto"/>
        <w:jc w:val="center"/>
        <w:rPr>
          <w:rFonts w:ascii="Arial" w:hAnsi="Arial" w:cs="Arial"/>
          <w:b/>
          <w:bCs/>
        </w:rPr>
      </w:pPr>
      <w:r w:rsidRPr="00E0763B">
        <w:rPr>
          <w:rFonts w:ascii="Arial" w:hAnsi="Arial" w:cs="Arial"/>
          <w:b/>
          <w:bCs/>
        </w:rPr>
        <w:t xml:space="preserve">Student Name: </w:t>
      </w:r>
      <w:r w:rsidR="007D62C0" w:rsidRPr="00E0763B">
        <w:rPr>
          <w:rFonts w:ascii="Arial" w:hAnsi="Arial" w:cs="Arial"/>
          <w:b/>
          <w:bCs/>
        </w:rPr>
        <w:t xml:space="preserve">Nicola </w:t>
      </w:r>
      <w:proofErr w:type="spellStart"/>
      <w:r w:rsidR="007D62C0" w:rsidRPr="00E0763B">
        <w:rPr>
          <w:rFonts w:ascii="Arial" w:hAnsi="Arial" w:cs="Arial"/>
          <w:b/>
          <w:bCs/>
        </w:rPr>
        <w:t>Majasi</w:t>
      </w:r>
      <w:proofErr w:type="spellEnd"/>
    </w:p>
    <w:p w14:paraId="3A047832" w14:textId="77777777" w:rsidR="005067CE" w:rsidRPr="00E0763B" w:rsidRDefault="005067CE" w:rsidP="00E0763B">
      <w:pPr>
        <w:spacing w:line="360" w:lineRule="auto"/>
        <w:jc w:val="center"/>
        <w:rPr>
          <w:rFonts w:ascii="Arial" w:hAnsi="Arial" w:cs="Arial"/>
          <w:b/>
          <w:bCs/>
        </w:rPr>
      </w:pPr>
    </w:p>
    <w:p w14:paraId="75060280" w14:textId="28B5CB8F" w:rsidR="007D62C0" w:rsidRPr="00E0763B" w:rsidRDefault="007D62C0" w:rsidP="00E0763B">
      <w:pPr>
        <w:spacing w:line="360" w:lineRule="auto"/>
        <w:jc w:val="center"/>
        <w:rPr>
          <w:rFonts w:ascii="Arial" w:hAnsi="Arial" w:cs="Arial"/>
          <w:b/>
          <w:bCs/>
        </w:rPr>
      </w:pPr>
      <w:r w:rsidRPr="00E0763B">
        <w:rPr>
          <w:rFonts w:ascii="Arial" w:hAnsi="Arial" w:cs="Arial"/>
          <w:b/>
          <w:bCs/>
        </w:rPr>
        <w:t xml:space="preserve">Student ID: </w:t>
      </w:r>
      <w:r w:rsidR="00BA4C16" w:rsidRPr="00E0763B">
        <w:rPr>
          <w:rFonts w:ascii="Arial" w:hAnsi="Arial" w:cs="Arial"/>
          <w:b/>
          <w:bCs/>
        </w:rPr>
        <w:t>2119679</w:t>
      </w:r>
    </w:p>
    <w:p w14:paraId="5A391569" w14:textId="77777777" w:rsidR="005067CE" w:rsidRPr="00E0763B" w:rsidRDefault="005067CE" w:rsidP="00E0763B">
      <w:pPr>
        <w:spacing w:line="360" w:lineRule="auto"/>
        <w:jc w:val="center"/>
        <w:rPr>
          <w:rFonts w:ascii="Arial" w:hAnsi="Arial" w:cs="Arial"/>
          <w:b/>
          <w:bCs/>
        </w:rPr>
      </w:pPr>
    </w:p>
    <w:p w14:paraId="515C5203" w14:textId="6A38DDE8" w:rsidR="003054E7" w:rsidRPr="00E0763B" w:rsidRDefault="000205C5" w:rsidP="00E0763B">
      <w:pPr>
        <w:spacing w:line="360" w:lineRule="auto"/>
        <w:jc w:val="center"/>
        <w:rPr>
          <w:rFonts w:ascii="Arial" w:hAnsi="Arial" w:cs="Arial"/>
          <w:b/>
          <w:bCs/>
        </w:rPr>
      </w:pPr>
      <w:r w:rsidRPr="00E0763B">
        <w:rPr>
          <w:rFonts w:ascii="Arial" w:hAnsi="Arial" w:cs="Arial"/>
          <w:b/>
          <w:bCs/>
        </w:rPr>
        <w:t xml:space="preserve">Word </w:t>
      </w:r>
      <w:r w:rsidR="00183286">
        <w:rPr>
          <w:rFonts w:ascii="Arial" w:hAnsi="Arial" w:cs="Arial"/>
          <w:b/>
          <w:bCs/>
        </w:rPr>
        <w:t>C</w:t>
      </w:r>
      <w:r w:rsidRPr="00E0763B">
        <w:rPr>
          <w:rFonts w:ascii="Arial" w:hAnsi="Arial" w:cs="Arial"/>
          <w:b/>
          <w:bCs/>
        </w:rPr>
        <w:t>ount</w:t>
      </w:r>
      <w:r w:rsidR="003054E7" w:rsidRPr="00E0763B">
        <w:rPr>
          <w:rFonts w:ascii="Arial" w:hAnsi="Arial" w:cs="Arial"/>
          <w:b/>
          <w:bCs/>
        </w:rPr>
        <w:t>: 3,9</w:t>
      </w:r>
      <w:r w:rsidR="005504A1">
        <w:rPr>
          <w:rFonts w:ascii="Arial" w:hAnsi="Arial" w:cs="Arial"/>
          <w:b/>
          <w:bCs/>
        </w:rPr>
        <w:t>81</w:t>
      </w:r>
    </w:p>
    <w:p w14:paraId="5C01D0D1" w14:textId="77777777" w:rsidR="005067CE" w:rsidRPr="00E0763B" w:rsidRDefault="005067CE" w:rsidP="00E0763B">
      <w:pPr>
        <w:spacing w:line="360" w:lineRule="auto"/>
        <w:jc w:val="center"/>
        <w:rPr>
          <w:rFonts w:ascii="Arial" w:hAnsi="Arial" w:cs="Arial"/>
          <w:b/>
          <w:bCs/>
        </w:rPr>
      </w:pPr>
    </w:p>
    <w:p w14:paraId="3A762F4F" w14:textId="76F89C52" w:rsidR="000205C5" w:rsidRPr="00E0763B" w:rsidRDefault="000205C5" w:rsidP="00E0763B">
      <w:pPr>
        <w:spacing w:line="360" w:lineRule="auto"/>
        <w:jc w:val="center"/>
        <w:rPr>
          <w:rFonts w:ascii="Arial" w:hAnsi="Arial" w:cs="Arial"/>
          <w:b/>
          <w:bCs/>
        </w:rPr>
      </w:pPr>
      <w:r w:rsidRPr="00E0763B">
        <w:rPr>
          <w:rFonts w:ascii="Arial" w:hAnsi="Arial" w:cs="Arial"/>
          <w:b/>
          <w:bCs/>
        </w:rPr>
        <w:t>Submission</w:t>
      </w:r>
      <w:r w:rsidR="003054E7" w:rsidRPr="00E0763B">
        <w:rPr>
          <w:rFonts w:ascii="Arial" w:hAnsi="Arial" w:cs="Arial"/>
          <w:b/>
          <w:bCs/>
        </w:rPr>
        <w:t xml:space="preserve"> </w:t>
      </w:r>
      <w:r w:rsidR="00183286">
        <w:rPr>
          <w:rFonts w:ascii="Arial" w:hAnsi="Arial" w:cs="Arial"/>
          <w:b/>
          <w:bCs/>
        </w:rPr>
        <w:t>D</w:t>
      </w:r>
      <w:r w:rsidR="003054E7" w:rsidRPr="00E0763B">
        <w:rPr>
          <w:rFonts w:ascii="Arial" w:hAnsi="Arial" w:cs="Arial"/>
          <w:b/>
          <w:bCs/>
        </w:rPr>
        <w:t>ate</w:t>
      </w:r>
      <w:r w:rsidRPr="00E0763B">
        <w:rPr>
          <w:rFonts w:ascii="Arial" w:hAnsi="Arial" w:cs="Arial"/>
          <w:b/>
          <w:bCs/>
        </w:rPr>
        <w:t>:</w:t>
      </w:r>
      <w:r w:rsidR="003054E7" w:rsidRPr="00E0763B">
        <w:rPr>
          <w:rFonts w:ascii="Arial" w:hAnsi="Arial" w:cs="Arial"/>
          <w:b/>
          <w:bCs/>
        </w:rPr>
        <w:t xml:space="preserve"> </w:t>
      </w:r>
      <w:r w:rsidR="00487A36" w:rsidRPr="00E0763B">
        <w:rPr>
          <w:rFonts w:ascii="Arial" w:hAnsi="Arial" w:cs="Arial"/>
          <w:b/>
          <w:bCs/>
        </w:rPr>
        <w:t>17</w:t>
      </w:r>
      <w:r w:rsidR="00487A36" w:rsidRPr="00E0763B">
        <w:rPr>
          <w:rFonts w:ascii="Arial" w:hAnsi="Arial" w:cs="Arial"/>
          <w:b/>
          <w:bCs/>
          <w:vertAlign w:val="superscript"/>
        </w:rPr>
        <w:t>th</w:t>
      </w:r>
      <w:r w:rsidR="00487A36" w:rsidRPr="00E0763B">
        <w:rPr>
          <w:rFonts w:ascii="Arial" w:hAnsi="Arial" w:cs="Arial"/>
          <w:b/>
          <w:bCs/>
        </w:rPr>
        <w:t xml:space="preserve"> of August 2026</w:t>
      </w:r>
    </w:p>
    <w:p w14:paraId="091BD318" w14:textId="77777777" w:rsidR="00504C44" w:rsidRPr="00E0763B" w:rsidRDefault="00504C44" w:rsidP="00E0763B">
      <w:pPr>
        <w:spacing w:line="360" w:lineRule="auto"/>
        <w:jc w:val="center"/>
        <w:rPr>
          <w:rFonts w:ascii="Arial" w:hAnsi="Arial" w:cs="Arial"/>
          <w:b/>
          <w:bCs/>
        </w:rPr>
      </w:pPr>
    </w:p>
    <w:p w14:paraId="7A26D3FD" w14:textId="77777777" w:rsidR="00504C44" w:rsidRPr="00D02074" w:rsidRDefault="00504C44" w:rsidP="00D02074">
      <w:pPr>
        <w:spacing w:line="360" w:lineRule="auto"/>
        <w:jc w:val="both"/>
        <w:rPr>
          <w:rFonts w:ascii="Arial" w:hAnsi="Arial" w:cs="Arial"/>
        </w:rPr>
      </w:pPr>
    </w:p>
    <w:p w14:paraId="34337FD4" w14:textId="77777777" w:rsidR="00504C44" w:rsidRPr="00D02074" w:rsidRDefault="00504C44" w:rsidP="00D02074">
      <w:pPr>
        <w:spacing w:line="360" w:lineRule="auto"/>
        <w:jc w:val="both"/>
        <w:rPr>
          <w:rFonts w:ascii="Arial" w:hAnsi="Arial" w:cs="Arial"/>
        </w:rPr>
      </w:pPr>
    </w:p>
    <w:p w14:paraId="3523ED69" w14:textId="60B25353" w:rsidR="009B300F" w:rsidRPr="00D02074" w:rsidRDefault="00697D94" w:rsidP="00D02074">
      <w:pPr>
        <w:spacing w:line="360" w:lineRule="auto"/>
        <w:jc w:val="both"/>
        <w:rPr>
          <w:rFonts w:ascii="Arial" w:hAnsi="Arial" w:cs="Arial"/>
          <w:b/>
          <w:bCs/>
        </w:rPr>
      </w:pPr>
      <w:r w:rsidRPr="00D02074">
        <w:rPr>
          <w:rFonts w:ascii="Arial" w:hAnsi="Arial" w:cs="Arial"/>
          <w:b/>
          <w:bCs/>
        </w:rPr>
        <w:lastRenderedPageBreak/>
        <w:t>Executive Summary</w:t>
      </w:r>
    </w:p>
    <w:p w14:paraId="052FD9CD" w14:textId="36023A59" w:rsidR="00697D94" w:rsidRPr="00D02074" w:rsidRDefault="00E02E9D" w:rsidP="00D02074">
      <w:pPr>
        <w:spacing w:line="360" w:lineRule="auto"/>
        <w:jc w:val="both"/>
        <w:rPr>
          <w:rFonts w:ascii="Arial" w:hAnsi="Arial" w:cs="Arial"/>
        </w:rPr>
      </w:pPr>
      <w:r w:rsidRPr="00D02074">
        <w:rPr>
          <w:rFonts w:ascii="Arial" w:hAnsi="Arial" w:cs="Arial"/>
        </w:rPr>
        <w:t xml:space="preserve">This report evaluates the available stakeholders connected with ASOS Plc's decision to provide </w:t>
      </w:r>
      <w:proofErr w:type="spellStart"/>
      <w:r w:rsidRPr="00D02074">
        <w:rPr>
          <w:rFonts w:ascii="Arial" w:hAnsi="Arial" w:cs="Arial"/>
        </w:rPr>
        <w:t>ConnectPlus</w:t>
      </w:r>
      <w:proofErr w:type="spellEnd"/>
      <w:r w:rsidRPr="00D02074">
        <w:rPr>
          <w:rFonts w:ascii="Arial" w:hAnsi="Arial" w:cs="Arial"/>
        </w:rPr>
        <w:t>, which is an AI-based technology for building customer loyalty and engagement, in both its domestic and international territories. Using the stakeholder concept and various engagement models that are commonly found in strategic management literature, it provides the findings of identification and classification of various internal and external stakeholders, including the evaluation of engagement approaches necessary for various customers in a culturally diverse environment and evaluation of related advantages, risks, and ethical considerations of implementation. It can be said that the only factor that determines whether ASOS will make a successful launch is the process of careful and proper engagement.</w:t>
      </w:r>
    </w:p>
    <w:p w14:paraId="0BEBD613" w14:textId="77777777" w:rsidR="009002BB" w:rsidRPr="00D02074" w:rsidRDefault="009002BB" w:rsidP="00D02074">
      <w:pPr>
        <w:spacing w:line="360" w:lineRule="auto"/>
        <w:jc w:val="both"/>
        <w:rPr>
          <w:rFonts w:ascii="Arial" w:hAnsi="Arial" w:cs="Arial"/>
        </w:rPr>
      </w:pPr>
    </w:p>
    <w:p w14:paraId="5F92F55A" w14:textId="77777777" w:rsidR="009002BB" w:rsidRDefault="009002BB" w:rsidP="00D02074">
      <w:pPr>
        <w:spacing w:line="360" w:lineRule="auto"/>
        <w:jc w:val="both"/>
        <w:rPr>
          <w:rFonts w:ascii="Arial" w:hAnsi="Arial" w:cs="Arial"/>
        </w:rPr>
      </w:pPr>
    </w:p>
    <w:p w14:paraId="1E7B5BD3" w14:textId="77777777" w:rsidR="008402FA" w:rsidRDefault="008402FA" w:rsidP="00D02074">
      <w:pPr>
        <w:spacing w:line="360" w:lineRule="auto"/>
        <w:jc w:val="both"/>
        <w:rPr>
          <w:rFonts w:ascii="Arial" w:hAnsi="Arial" w:cs="Arial"/>
        </w:rPr>
      </w:pPr>
    </w:p>
    <w:p w14:paraId="75B43166" w14:textId="77777777" w:rsidR="008402FA" w:rsidRDefault="008402FA" w:rsidP="00D02074">
      <w:pPr>
        <w:spacing w:line="360" w:lineRule="auto"/>
        <w:jc w:val="both"/>
        <w:rPr>
          <w:rFonts w:ascii="Arial" w:hAnsi="Arial" w:cs="Arial"/>
        </w:rPr>
      </w:pPr>
    </w:p>
    <w:p w14:paraId="24E6E13F" w14:textId="77777777" w:rsidR="008402FA" w:rsidRDefault="008402FA" w:rsidP="00D02074">
      <w:pPr>
        <w:spacing w:line="360" w:lineRule="auto"/>
        <w:jc w:val="both"/>
        <w:rPr>
          <w:rFonts w:ascii="Arial" w:hAnsi="Arial" w:cs="Arial"/>
        </w:rPr>
      </w:pPr>
    </w:p>
    <w:p w14:paraId="0D875D69" w14:textId="77777777" w:rsidR="008402FA" w:rsidRDefault="008402FA" w:rsidP="00D02074">
      <w:pPr>
        <w:spacing w:line="360" w:lineRule="auto"/>
        <w:jc w:val="both"/>
        <w:rPr>
          <w:rFonts w:ascii="Arial" w:hAnsi="Arial" w:cs="Arial"/>
        </w:rPr>
      </w:pPr>
    </w:p>
    <w:p w14:paraId="1EA1E069" w14:textId="77777777" w:rsidR="008402FA" w:rsidRDefault="008402FA" w:rsidP="00D02074">
      <w:pPr>
        <w:spacing w:line="360" w:lineRule="auto"/>
        <w:jc w:val="both"/>
        <w:rPr>
          <w:rFonts w:ascii="Arial" w:hAnsi="Arial" w:cs="Arial"/>
        </w:rPr>
      </w:pPr>
    </w:p>
    <w:p w14:paraId="5F0F5A0A" w14:textId="77777777" w:rsidR="008402FA" w:rsidRDefault="008402FA" w:rsidP="00D02074">
      <w:pPr>
        <w:spacing w:line="360" w:lineRule="auto"/>
        <w:jc w:val="both"/>
        <w:rPr>
          <w:rFonts w:ascii="Arial" w:hAnsi="Arial" w:cs="Arial"/>
        </w:rPr>
      </w:pPr>
    </w:p>
    <w:p w14:paraId="3352215B" w14:textId="77777777" w:rsidR="008402FA" w:rsidRDefault="008402FA" w:rsidP="00D02074">
      <w:pPr>
        <w:spacing w:line="360" w:lineRule="auto"/>
        <w:jc w:val="both"/>
        <w:rPr>
          <w:rFonts w:ascii="Arial" w:hAnsi="Arial" w:cs="Arial"/>
        </w:rPr>
      </w:pPr>
    </w:p>
    <w:p w14:paraId="6F6B3A16" w14:textId="77777777" w:rsidR="008402FA" w:rsidRDefault="008402FA" w:rsidP="00D02074">
      <w:pPr>
        <w:spacing w:line="360" w:lineRule="auto"/>
        <w:jc w:val="both"/>
        <w:rPr>
          <w:rFonts w:ascii="Arial" w:hAnsi="Arial" w:cs="Arial"/>
        </w:rPr>
      </w:pPr>
    </w:p>
    <w:p w14:paraId="43B553A8" w14:textId="77777777" w:rsidR="008402FA" w:rsidRDefault="008402FA" w:rsidP="00D02074">
      <w:pPr>
        <w:spacing w:line="360" w:lineRule="auto"/>
        <w:jc w:val="both"/>
        <w:rPr>
          <w:rFonts w:ascii="Arial" w:hAnsi="Arial" w:cs="Arial"/>
        </w:rPr>
      </w:pPr>
    </w:p>
    <w:p w14:paraId="10D55DB4" w14:textId="77777777" w:rsidR="008402FA" w:rsidRDefault="008402FA" w:rsidP="00D02074">
      <w:pPr>
        <w:spacing w:line="360" w:lineRule="auto"/>
        <w:jc w:val="both"/>
        <w:rPr>
          <w:rFonts w:ascii="Arial" w:hAnsi="Arial" w:cs="Arial"/>
        </w:rPr>
      </w:pPr>
    </w:p>
    <w:p w14:paraId="0008EC63" w14:textId="77777777" w:rsidR="008402FA" w:rsidRDefault="008402FA" w:rsidP="00D02074">
      <w:pPr>
        <w:spacing w:line="360" w:lineRule="auto"/>
        <w:jc w:val="both"/>
        <w:rPr>
          <w:rFonts w:ascii="Arial" w:hAnsi="Arial" w:cs="Arial"/>
        </w:rPr>
      </w:pPr>
    </w:p>
    <w:p w14:paraId="3D8EFC42" w14:textId="77777777" w:rsidR="008402FA" w:rsidRDefault="008402FA" w:rsidP="00D02074">
      <w:pPr>
        <w:spacing w:line="360" w:lineRule="auto"/>
        <w:jc w:val="both"/>
        <w:rPr>
          <w:rFonts w:ascii="Arial" w:hAnsi="Arial" w:cs="Arial"/>
        </w:rPr>
      </w:pPr>
    </w:p>
    <w:p w14:paraId="38FE08EE" w14:textId="77777777" w:rsidR="008402FA" w:rsidRDefault="008402FA" w:rsidP="00D02074">
      <w:pPr>
        <w:spacing w:line="360" w:lineRule="auto"/>
        <w:jc w:val="both"/>
        <w:rPr>
          <w:rFonts w:ascii="Arial" w:hAnsi="Arial" w:cs="Arial"/>
        </w:rPr>
      </w:pPr>
    </w:p>
    <w:p w14:paraId="71C6A1FD" w14:textId="77777777" w:rsidR="008402FA" w:rsidRDefault="008402FA" w:rsidP="00D02074">
      <w:pPr>
        <w:spacing w:line="360" w:lineRule="auto"/>
        <w:jc w:val="both"/>
        <w:rPr>
          <w:rFonts w:ascii="Arial" w:hAnsi="Arial" w:cs="Arial"/>
        </w:rPr>
      </w:pPr>
    </w:p>
    <w:p w14:paraId="21B670F6" w14:textId="77777777" w:rsidR="008402FA" w:rsidRDefault="008402FA" w:rsidP="00D02074">
      <w:pPr>
        <w:spacing w:line="360" w:lineRule="auto"/>
        <w:jc w:val="both"/>
        <w:rPr>
          <w:rFonts w:ascii="Arial" w:hAnsi="Arial" w:cs="Arial"/>
        </w:rPr>
      </w:pPr>
    </w:p>
    <w:p w14:paraId="1168258A" w14:textId="77777777" w:rsidR="008402FA" w:rsidRDefault="008402FA" w:rsidP="00D02074">
      <w:pPr>
        <w:spacing w:line="360" w:lineRule="auto"/>
        <w:jc w:val="both"/>
        <w:rPr>
          <w:rFonts w:ascii="Arial" w:hAnsi="Arial" w:cs="Arial"/>
        </w:rPr>
      </w:pPr>
    </w:p>
    <w:p w14:paraId="14C8F073" w14:textId="77777777" w:rsidR="008402FA" w:rsidRPr="00D02074" w:rsidRDefault="008402FA" w:rsidP="00D02074">
      <w:pPr>
        <w:spacing w:line="360" w:lineRule="auto"/>
        <w:jc w:val="both"/>
        <w:rPr>
          <w:rFonts w:ascii="Arial" w:hAnsi="Arial" w:cs="Arial"/>
        </w:rPr>
      </w:pPr>
    </w:p>
    <w:p w14:paraId="1EB77E09" w14:textId="77777777" w:rsidR="009002BB" w:rsidRPr="00D02074" w:rsidRDefault="009002BB" w:rsidP="00D02074">
      <w:pPr>
        <w:spacing w:line="360" w:lineRule="auto"/>
        <w:jc w:val="both"/>
        <w:rPr>
          <w:rFonts w:ascii="Arial" w:hAnsi="Arial" w:cs="Arial"/>
        </w:rPr>
      </w:pPr>
    </w:p>
    <w:sdt>
      <w:sdtPr>
        <w:rPr>
          <w:rFonts w:ascii="Arial" w:hAnsi="Arial" w:cs="Arial"/>
          <w:sz w:val="24"/>
          <w:szCs w:val="24"/>
        </w:rPr>
        <w:id w:val="1822924465"/>
        <w:docPartObj>
          <w:docPartGallery w:val="Table of Contents"/>
          <w:docPartUnique/>
        </w:docPartObj>
      </w:sdtPr>
      <w:sdtEndPr>
        <w:rPr>
          <w:rFonts w:eastAsia="Times New Roman"/>
          <w:noProof/>
          <w:color w:val="auto"/>
          <w:lang w:val="en-GB" w:eastAsia="en-GB"/>
        </w:rPr>
      </w:sdtEndPr>
      <w:sdtContent>
        <w:p w14:paraId="1CBF4701" w14:textId="294E27A7" w:rsidR="009002BB" w:rsidRPr="001D449D" w:rsidRDefault="009002BB" w:rsidP="00D02074">
          <w:pPr>
            <w:pStyle w:val="TOCHeading"/>
            <w:spacing w:line="360" w:lineRule="auto"/>
            <w:jc w:val="both"/>
            <w:rPr>
              <w:rFonts w:ascii="Arial" w:hAnsi="Arial" w:cs="Arial"/>
            </w:rPr>
          </w:pPr>
          <w:r w:rsidRPr="001D449D">
            <w:rPr>
              <w:rFonts w:ascii="Arial" w:hAnsi="Arial" w:cs="Arial"/>
            </w:rPr>
            <w:t>Table of Contents</w:t>
          </w:r>
        </w:p>
        <w:p w14:paraId="514EBAB2" w14:textId="0D2AC3EB" w:rsidR="009002BB" w:rsidRPr="00D02074" w:rsidRDefault="009002BB" w:rsidP="00D02074">
          <w:pPr>
            <w:pStyle w:val="TOC1"/>
            <w:tabs>
              <w:tab w:val="right" w:leader="dot" w:pos="9016"/>
            </w:tabs>
            <w:spacing w:line="360" w:lineRule="auto"/>
            <w:jc w:val="both"/>
            <w:rPr>
              <w:rFonts w:ascii="Arial" w:hAnsi="Arial" w:cs="Arial"/>
              <w:noProof/>
              <w:sz w:val="24"/>
              <w:szCs w:val="24"/>
            </w:rPr>
          </w:pPr>
          <w:r w:rsidRPr="00D02074">
            <w:rPr>
              <w:rFonts w:ascii="Arial" w:hAnsi="Arial" w:cs="Arial"/>
              <w:b w:val="0"/>
              <w:bCs w:val="0"/>
              <w:sz w:val="24"/>
              <w:szCs w:val="24"/>
            </w:rPr>
            <w:fldChar w:fldCharType="begin"/>
          </w:r>
          <w:r w:rsidRPr="00D02074">
            <w:rPr>
              <w:rFonts w:ascii="Arial" w:hAnsi="Arial" w:cs="Arial"/>
              <w:sz w:val="24"/>
              <w:szCs w:val="24"/>
            </w:rPr>
            <w:instrText xml:space="preserve"> TOC \o "1-3" \h \z \u </w:instrText>
          </w:r>
          <w:r w:rsidRPr="00D02074">
            <w:rPr>
              <w:rFonts w:ascii="Arial" w:hAnsi="Arial" w:cs="Arial"/>
              <w:b w:val="0"/>
              <w:bCs w:val="0"/>
              <w:sz w:val="24"/>
              <w:szCs w:val="24"/>
            </w:rPr>
            <w:fldChar w:fldCharType="separate"/>
          </w:r>
          <w:hyperlink w:anchor="_Toc237853470" w:history="1">
            <w:r w:rsidRPr="00D02074">
              <w:rPr>
                <w:rStyle w:val="Hyperlink"/>
                <w:rFonts w:ascii="Arial" w:hAnsi="Arial" w:cs="Arial"/>
                <w:noProof/>
                <w:sz w:val="24"/>
                <w:szCs w:val="24"/>
              </w:rPr>
              <w:t>1. Introduction</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_Toc237853470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4</w:t>
            </w:r>
            <w:r w:rsidRPr="00D02074">
              <w:rPr>
                <w:rFonts w:ascii="Arial" w:hAnsi="Arial" w:cs="Arial"/>
                <w:noProof/>
                <w:webHidden/>
                <w:sz w:val="24"/>
                <w:szCs w:val="24"/>
              </w:rPr>
              <w:fldChar w:fldCharType="end"/>
            </w:r>
          </w:hyperlink>
        </w:p>
        <w:p w14:paraId="545D0E63" w14:textId="7FCF9CFF"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1" w:history="1">
            <w:r w:rsidRPr="00D02074">
              <w:rPr>
                <w:rStyle w:val="Hyperlink"/>
                <w:rFonts w:ascii="Arial" w:hAnsi="Arial" w:cs="Arial"/>
                <w:noProof/>
                <w:sz w:val="24"/>
                <w:szCs w:val="24"/>
              </w:rPr>
              <w:t>2. SMART Objectives</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_Toc237853471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5</w:t>
            </w:r>
            <w:r w:rsidRPr="00D02074">
              <w:rPr>
                <w:rFonts w:ascii="Arial" w:hAnsi="Arial" w:cs="Arial"/>
                <w:noProof/>
                <w:webHidden/>
                <w:sz w:val="24"/>
                <w:szCs w:val="24"/>
              </w:rPr>
              <w:fldChar w:fldCharType="end"/>
            </w:r>
          </w:hyperlink>
        </w:p>
        <w:p w14:paraId="10FDCFFF" w14:textId="1CAE1032"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2" w:history="1">
            <w:r w:rsidRPr="00D02074">
              <w:rPr>
                <w:rStyle w:val="Hyperlink"/>
                <w:rFonts w:ascii="Arial" w:hAnsi="Arial" w:cs="Arial"/>
                <w:noProof/>
                <w:sz w:val="24"/>
                <w:szCs w:val="24"/>
              </w:rPr>
              <w:t>3. Stakeholder Identification and Categorisation</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_Toc237853472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6</w:t>
            </w:r>
            <w:r w:rsidRPr="00D02074">
              <w:rPr>
                <w:rFonts w:ascii="Arial" w:hAnsi="Arial" w:cs="Arial"/>
                <w:noProof/>
                <w:webHidden/>
                <w:sz w:val="24"/>
                <w:szCs w:val="24"/>
              </w:rPr>
              <w:fldChar w:fldCharType="end"/>
            </w:r>
          </w:hyperlink>
        </w:p>
        <w:p w14:paraId="74212FEB" w14:textId="6C12AA82"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3" w:history="1">
            <w:r w:rsidRPr="00D02074">
              <w:rPr>
                <w:rStyle w:val="Hyperlink"/>
                <w:rFonts w:ascii="Arial" w:hAnsi="Arial" w:cs="Arial"/>
                <w:noProof/>
                <w:sz w:val="24"/>
                <w:szCs w:val="24"/>
              </w:rPr>
              <w:t>4. Roles, Responsibilities, Benefits and Challenges of Key Stakeholders</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_Toc237853473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9</w:t>
            </w:r>
            <w:r w:rsidRPr="00D02074">
              <w:rPr>
                <w:rFonts w:ascii="Arial" w:hAnsi="Arial" w:cs="Arial"/>
                <w:noProof/>
                <w:webHidden/>
                <w:sz w:val="24"/>
                <w:szCs w:val="24"/>
              </w:rPr>
              <w:fldChar w:fldCharType="end"/>
            </w:r>
          </w:hyperlink>
        </w:p>
        <w:p w14:paraId="383832BF" w14:textId="3E8C6B32"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4" w:history="1">
            <w:r w:rsidRPr="00D02074">
              <w:rPr>
                <w:rStyle w:val="Hyperlink"/>
                <w:rFonts w:ascii="Arial" w:hAnsi="Arial" w:cs="Arial"/>
                <w:noProof/>
                <w:sz w:val="24"/>
                <w:szCs w:val="24"/>
              </w:rPr>
              <w:t>5. Stakeholder Engagement Process and Conflict Management</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_Toc237853474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12</w:t>
            </w:r>
            <w:r w:rsidRPr="00D02074">
              <w:rPr>
                <w:rFonts w:ascii="Arial" w:hAnsi="Arial" w:cs="Arial"/>
                <w:noProof/>
                <w:webHidden/>
                <w:sz w:val="24"/>
                <w:szCs w:val="24"/>
              </w:rPr>
              <w:fldChar w:fldCharType="end"/>
            </w:r>
          </w:hyperlink>
        </w:p>
        <w:p w14:paraId="5EFFA446" w14:textId="13248E83"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5" w:history="1">
            <w:r w:rsidRPr="00D02074">
              <w:rPr>
                <w:rStyle w:val="Hyperlink"/>
                <w:rFonts w:ascii="Arial" w:hAnsi="Arial" w:cs="Arial"/>
                <w:noProof/>
                <w:sz w:val="24"/>
                <w:szCs w:val="24"/>
              </w:rPr>
              <w:t>6. Impact of Sustainable Stakeholder Engagement on Business Performance</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_Toc237853475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14</w:t>
            </w:r>
            <w:r w:rsidRPr="00D02074">
              <w:rPr>
                <w:rFonts w:ascii="Arial" w:hAnsi="Arial" w:cs="Arial"/>
                <w:noProof/>
                <w:webHidden/>
                <w:sz w:val="24"/>
                <w:szCs w:val="24"/>
              </w:rPr>
              <w:fldChar w:fldCharType="end"/>
            </w:r>
          </w:hyperlink>
        </w:p>
        <w:p w14:paraId="104DF7EF" w14:textId="3A460DB8"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6" w:history="1">
            <w:r w:rsidRPr="00D02074">
              <w:rPr>
                <w:rStyle w:val="Hyperlink"/>
                <w:rFonts w:ascii="Arial" w:hAnsi="Arial" w:cs="Arial"/>
                <w:noProof/>
                <w:sz w:val="24"/>
                <w:szCs w:val="24"/>
              </w:rPr>
              <w:t>7. Recommendations and Conclusion</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_Toc237853476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16</w:t>
            </w:r>
            <w:r w:rsidRPr="00D02074">
              <w:rPr>
                <w:rFonts w:ascii="Arial" w:hAnsi="Arial" w:cs="Arial"/>
                <w:noProof/>
                <w:webHidden/>
                <w:sz w:val="24"/>
                <w:szCs w:val="24"/>
              </w:rPr>
              <w:fldChar w:fldCharType="end"/>
            </w:r>
          </w:hyperlink>
        </w:p>
        <w:p w14:paraId="1A2D51E3" w14:textId="2124A287" w:rsidR="009002BB" w:rsidRPr="00D02074" w:rsidRDefault="009002BB" w:rsidP="00D02074">
          <w:pPr>
            <w:pStyle w:val="TOC1"/>
            <w:tabs>
              <w:tab w:val="right" w:leader="dot" w:pos="9016"/>
            </w:tabs>
            <w:spacing w:line="360" w:lineRule="auto"/>
            <w:jc w:val="both"/>
            <w:rPr>
              <w:rFonts w:ascii="Arial" w:hAnsi="Arial" w:cs="Arial"/>
              <w:noProof/>
              <w:sz w:val="24"/>
              <w:szCs w:val="24"/>
            </w:rPr>
          </w:pPr>
          <w:hyperlink w:anchor="_Toc237853477" w:history="1">
            <w:r w:rsidRPr="00D02074">
              <w:rPr>
                <w:rStyle w:val="Hyperlink"/>
                <w:rFonts w:ascii="Arial" w:hAnsi="Arial" w:cs="Arial"/>
                <w:noProof/>
                <w:sz w:val="24"/>
                <w:szCs w:val="24"/>
              </w:rPr>
              <w:t>8. Reference List</w:t>
            </w:r>
            <w:r w:rsidRPr="00D02074">
              <w:rPr>
                <w:rFonts w:ascii="Arial" w:hAnsi="Arial" w:cs="Arial"/>
                <w:noProof/>
                <w:webHidden/>
                <w:sz w:val="24"/>
                <w:szCs w:val="24"/>
              </w:rPr>
              <w:tab/>
            </w:r>
            <w:r w:rsidRPr="00D02074">
              <w:rPr>
                <w:rFonts w:ascii="Arial" w:hAnsi="Arial" w:cs="Arial"/>
                <w:noProof/>
                <w:webHidden/>
                <w:sz w:val="24"/>
                <w:szCs w:val="24"/>
              </w:rPr>
              <w:fldChar w:fldCharType="begin"/>
            </w:r>
            <w:r w:rsidRPr="00D02074">
              <w:rPr>
                <w:rFonts w:ascii="Arial" w:hAnsi="Arial" w:cs="Arial"/>
                <w:noProof/>
                <w:webHidden/>
                <w:sz w:val="24"/>
                <w:szCs w:val="24"/>
              </w:rPr>
              <w:instrText xml:space="preserve"> PAGEREF _Toc237853477 \h </w:instrText>
            </w:r>
            <w:r w:rsidRPr="00D02074">
              <w:rPr>
                <w:rFonts w:ascii="Arial" w:hAnsi="Arial" w:cs="Arial"/>
                <w:noProof/>
                <w:webHidden/>
                <w:sz w:val="24"/>
                <w:szCs w:val="24"/>
              </w:rPr>
            </w:r>
            <w:r w:rsidRPr="00D02074">
              <w:rPr>
                <w:rFonts w:ascii="Arial" w:hAnsi="Arial" w:cs="Arial"/>
                <w:noProof/>
                <w:webHidden/>
                <w:sz w:val="24"/>
                <w:szCs w:val="24"/>
              </w:rPr>
              <w:fldChar w:fldCharType="separate"/>
            </w:r>
            <w:r w:rsidR="00435771">
              <w:rPr>
                <w:rFonts w:ascii="Arial" w:hAnsi="Arial" w:cs="Arial"/>
                <w:noProof/>
                <w:webHidden/>
                <w:sz w:val="24"/>
                <w:szCs w:val="24"/>
              </w:rPr>
              <w:t>18</w:t>
            </w:r>
            <w:r w:rsidRPr="00D02074">
              <w:rPr>
                <w:rFonts w:ascii="Arial" w:hAnsi="Arial" w:cs="Arial"/>
                <w:noProof/>
                <w:webHidden/>
                <w:sz w:val="24"/>
                <w:szCs w:val="24"/>
              </w:rPr>
              <w:fldChar w:fldCharType="end"/>
            </w:r>
          </w:hyperlink>
        </w:p>
        <w:p w14:paraId="7113A091" w14:textId="62B3DDBB" w:rsidR="009002BB" w:rsidRPr="00D02074" w:rsidRDefault="009002BB" w:rsidP="00D02074">
          <w:pPr>
            <w:spacing w:line="360" w:lineRule="auto"/>
            <w:jc w:val="both"/>
            <w:rPr>
              <w:rFonts w:ascii="Arial" w:hAnsi="Arial" w:cs="Arial"/>
            </w:rPr>
          </w:pPr>
          <w:r w:rsidRPr="00D02074">
            <w:rPr>
              <w:rFonts w:ascii="Arial" w:hAnsi="Arial" w:cs="Arial"/>
              <w:b/>
              <w:bCs/>
              <w:noProof/>
            </w:rPr>
            <w:fldChar w:fldCharType="end"/>
          </w:r>
        </w:p>
      </w:sdtContent>
    </w:sdt>
    <w:p w14:paraId="1E3D6E63" w14:textId="77777777" w:rsidR="009002BB" w:rsidRPr="00D02074" w:rsidRDefault="009002BB" w:rsidP="00D02074">
      <w:pPr>
        <w:spacing w:line="360" w:lineRule="auto"/>
        <w:jc w:val="both"/>
        <w:rPr>
          <w:rFonts w:ascii="Arial" w:hAnsi="Arial" w:cs="Arial"/>
        </w:rPr>
      </w:pPr>
    </w:p>
    <w:p w14:paraId="3269210B" w14:textId="77777777" w:rsidR="009002BB" w:rsidRPr="00D02074" w:rsidRDefault="009002BB" w:rsidP="00D02074">
      <w:pPr>
        <w:spacing w:line="360" w:lineRule="auto"/>
        <w:jc w:val="both"/>
        <w:rPr>
          <w:rFonts w:ascii="Arial" w:hAnsi="Arial" w:cs="Arial"/>
        </w:rPr>
      </w:pPr>
    </w:p>
    <w:p w14:paraId="667AF7B0" w14:textId="77777777" w:rsidR="009002BB" w:rsidRPr="00D02074" w:rsidRDefault="009002BB" w:rsidP="00D02074">
      <w:pPr>
        <w:spacing w:line="360" w:lineRule="auto"/>
        <w:jc w:val="both"/>
        <w:rPr>
          <w:rFonts w:ascii="Arial" w:hAnsi="Arial" w:cs="Arial"/>
        </w:rPr>
      </w:pPr>
    </w:p>
    <w:p w14:paraId="7141A332" w14:textId="77777777" w:rsidR="00E02E9D" w:rsidRDefault="00E02E9D" w:rsidP="00D02074">
      <w:pPr>
        <w:spacing w:line="360" w:lineRule="auto"/>
        <w:jc w:val="both"/>
        <w:rPr>
          <w:rFonts w:ascii="Arial" w:hAnsi="Arial" w:cs="Arial"/>
        </w:rPr>
      </w:pPr>
    </w:p>
    <w:p w14:paraId="5C762538" w14:textId="77777777" w:rsidR="00DD15FA" w:rsidRDefault="00DD15FA" w:rsidP="00D02074">
      <w:pPr>
        <w:spacing w:line="360" w:lineRule="auto"/>
        <w:jc w:val="both"/>
        <w:rPr>
          <w:rFonts w:ascii="Arial" w:hAnsi="Arial" w:cs="Arial"/>
        </w:rPr>
      </w:pPr>
    </w:p>
    <w:p w14:paraId="06F0C5CB" w14:textId="77777777" w:rsidR="00DD15FA" w:rsidRDefault="00DD15FA" w:rsidP="00D02074">
      <w:pPr>
        <w:spacing w:line="360" w:lineRule="auto"/>
        <w:jc w:val="both"/>
        <w:rPr>
          <w:rFonts w:ascii="Arial" w:hAnsi="Arial" w:cs="Arial"/>
        </w:rPr>
      </w:pPr>
    </w:p>
    <w:p w14:paraId="66311FBA" w14:textId="77777777" w:rsidR="00DD15FA" w:rsidRDefault="00DD15FA" w:rsidP="00D02074">
      <w:pPr>
        <w:spacing w:line="360" w:lineRule="auto"/>
        <w:jc w:val="both"/>
        <w:rPr>
          <w:rFonts w:ascii="Arial" w:hAnsi="Arial" w:cs="Arial"/>
        </w:rPr>
      </w:pPr>
    </w:p>
    <w:p w14:paraId="0C2A6794" w14:textId="77777777" w:rsidR="00DD15FA" w:rsidRDefault="00DD15FA" w:rsidP="00D02074">
      <w:pPr>
        <w:spacing w:line="360" w:lineRule="auto"/>
        <w:jc w:val="both"/>
        <w:rPr>
          <w:rFonts w:ascii="Arial" w:hAnsi="Arial" w:cs="Arial"/>
        </w:rPr>
      </w:pPr>
    </w:p>
    <w:p w14:paraId="41F039C6" w14:textId="77777777" w:rsidR="00DD15FA" w:rsidRDefault="00DD15FA" w:rsidP="00D02074">
      <w:pPr>
        <w:spacing w:line="360" w:lineRule="auto"/>
        <w:jc w:val="both"/>
        <w:rPr>
          <w:rFonts w:ascii="Arial" w:hAnsi="Arial" w:cs="Arial"/>
        </w:rPr>
      </w:pPr>
    </w:p>
    <w:p w14:paraId="6BE61ED9" w14:textId="77777777" w:rsidR="00DD15FA" w:rsidRDefault="00DD15FA" w:rsidP="00D02074">
      <w:pPr>
        <w:spacing w:line="360" w:lineRule="auto"/>
        <w:jc w:val="both"/>
        <w:rPr>
          <w:rFonts w:ascii="Arial" w:hAnsi="Arial" w:cs="Arial"/>
        </w:rPr>
      </w:pPr>
    </w:p>
    <w:p w14:paraId="3F74E93D" w14:textId="77777777" w:rsidR="00DD15FA" w:rsidRDefault="00DD15FA" w:rsidP="00D02074">
      <w:pPr>
        <w:spacing w:line="360" w:lineRule="auto"/>
        <w:jc w:val="both"/>
        <w:rPr>
          <w:rFonts w:ascii="Arial" w:hAnsi="Arial" w:cs="Arial"/>
        </w:rPr>
      </w:pPr>
    </w:p>
    <w:p w14:paraId="5E581B8C" w14:textId="77777777" w:rsidR="00DD15FA" w:rsidRDefault="00DD15FA" w:rsidP="00D02074">
      <w:pPr>
        <w:spacing w:line="360" w:lineRule="auto"/>
        <w:jc w:val="both"/>
        <w:rPr>
          <w:rFonts w:ascii="Arial" w:hAnsi="Arial" w:cs="Arial"/>
        </w:rPr>
      </w:pPr>
    </w:p>
    <w:p w14:paraId="7193321D" w14:textId="77777777" w:rsidR="00DD15FA" w:rsidRDefault="00DD15FA" w:rsidP="00D02074">
      <w:pPr>
        <w:spacing w:line="360" w:lineRule="auto"/>
        <w:jc w:val="both"/>
        <w:rPr>
          <w:rFonts w:ascii="Arial" w:hAnsi="Arial" w:cs="Arial"/>
        </w:rPr>
      </w:pPr>
    </w:p>
    <w:p w14:paraId="262E5E8B" w14:textId="77777777" w:rsidR="00DD15FA" w:rsidRDefault="00DD15FA" w:rsidP="00D02074">
      <w:pPr>
        <w:spacing w:line="360" w:lineRule="auto"/>
        <w:jc w:val="both"/>
        <w:rPr>
          <w:rFonts w:ascii="Arial" w:hAnsi="Arial" w:cs="Arial"/>
        </w:rPr>
      </w:pPr>
    </w:p>
    <w:p w14:paraId="349E2E39" w14:textId="77777777" w:rsidR="00DD15FA" w:rsidRDefault="00DD15FA" w:rsidP="00D02074">
      <w:pPr>
        <w:spacing w:line="360" w:lineRule="auto"/>
        <w:jc w:val="both"/>
        <w:rPr>
          <w:rFonts w:ascii="Arial" w:hAnsi="Arial" w:cs="Arial"/>
        </w:rPr>
      </w:pPr>
    </w:p>
    <w:p w14:paraId="22CEFDFB" w14:textId="77777777" w:rsidR="00DD15FA" w:rsidRPr="00D02074" w:rsidRDefault="00DD15FA" w:rsidP="00D02074">
      <w:pPr>
        <w:spacing w:line="360" w:lineRule="auto"/>
        <w:jc w:val="both"/>
        <w:rPr>
          <w:rFonts w:ascii="Arial" w:hAnsi="Arial" w:cs="Arial"/>
        </w:rPr>
      </w:pPr>
    </w:p>
    <w:p w14:paraId="7A491284" w14:textId="617F02F7" w:rsidR="00E02E9D" w:rsidRPr="00D02074" w:rsidRDefault="009F25A3" w:rsidP="00D02074">
      <w:pPr>
        <w:pStyle w:val="Heading1"/>
        <w:spacing w:line="360" w:lineRule="auto"/>
        <w:jc w:val="both"/>
        <w:rPr>
          <w:rFonts w:ascii="Arial" w:hAnsi="Arial" w:cs="Arial"/>
          <w:b/>
          <w:bCs/>
          <w:sz w:val="24"/>
          <w:szCs w:val="24"/>
        </w:rPr>
      </w:pPr>
      <w:bookmarkStart w:id="0" w:name="_Toc237853470"/>
      <w:r w:rsidRPr="00D02074">
        <w:rPr>
          <w:rFonts w:ascii="Arial" w:hAnsi="Arial" w:cs="Arial"/>
          <w:b/>
          <w:bCs/>
          <w:sz w:val="24"/>
          <w:szCs w:val="24"/>
        </w:rPr>
        <w:lastRenderedPageBreak/>
        <w:t xml:space="preserve">1. </w:t>
      </w:r>
      <w:r w:rsidR="009F2332" w:rsidRPr="00D02074">
        <w:rPr>
          <w:rFonts w:ascii="Arial" w:hAnsi="Arial" w:cs="Arial"/>
          <w:b/>
          <w:bCs/>
          <w:sz w:val="24"/>
          <w:szCs w:val="24"/>
        </w:rPr>
        <w:t>Introduction</w:t>
      </w:r>
      <w:bookmarkEnd w:id="0"/>
    </w:p>
    <w:p w14:paraId="76A89477" w14:textId="0F995CFC" w:rsidR="009F2332" w:rsidRPr="00D02074" w:rsidRDefault="0024437E" w:rsidP="00D02074">
      <w:pPr>
        <w:spacing w:line="360" w:lineRule="auto"/>
        <w:jc w:val="both"/>
        <w:rPr>
          <w:rFonts w:ascii="Arial" w:hAnsi="Arial" w:cs="Arial"/>
        </w:rPr>
      </w:pPr>
      <w:r w:rsidRPr="00D02074">
        <w:rPr>
          <w:rFonts w:ascii="Arial" w:hAnsi="Arial" w:cs="Arial"/>
        </w:rPr>
        <w:t xml:space="preserve">ASOS Plc is a UK-based online retailer of fashion and beauty that has a customer base spanning over 155 markets around the world, and it employs around 2800 people (ASOS Plc, 2025a). Traditionally billed as a fashion company, ASOS has been consistent in its execution of a plan that brought it back to profitability following three years of focus on margin recovery, inventory discipline and selling products at prices that do not compromise its value in the market; the company's EBITDA increased to £132 million in </w:t>
      </w:r>
      <w:proofErr w:type="gramStart"/>
      <w:r w:rsidRPr="00D02074">
        <w:rPr>
          <w:rFonts w:ascii="Arial" w:hAnsi="Arial" w:cs="Arial"/>
        </w:rPr>
        <w:t>FY25</w:t>
      </w:r>
      <w:proofErr w:type="gramEnd"/>
      <w:r w:rsidRPr="00D02074">
        <w:rPr>
          <w:rFonts w:ascii="Arial" w:hAnsi="Arial" w:cs="Arial"/>
        </w:rPr>
        <w:t xml:space="preserve"> and its debt level decreased by about 40% (ASOS Plc, 2025b). The UK has always been the largest market for the company, accounting for 50% of its overall merchandise value, with Europe accounting for 34% and the US</w:t>
      </w:r>
      <w:r w:rsidR="00764B5F">
        <w:rPr>
          <w:rFonts w:ascii="Arial" w:hAnsi="Arial" w:cs="Arial"/>
        </w:rPr>
        <w:t>, which is</w:t>
      </w:r>
      <w:r w:rsidRPr="00D02074">
        <w:rPr>
          <w:rFonts w:ascii="Arial" w:hAnsi="Arial" w:cs="Arial"/>
        </w:rPr>
        <w:t xml:space="preserve"> the other part of its revenue (ASOS Plc, 2025a). This situation implies that any customer-facing system must have the same design across different markets and be able to adapt to their specific cultural expectations, rules and payment habits (</w:t>
      </w:r>
      <w:proofErr w:type="spellStart"/>
      <w:r w:rsidRPr="00D02074">
        <w:rPr>
          <w:rFonts w:ascii="Arial" w:hAnsi="Arial" w:cs="Arial"/>
        </w:rPr>
        <w:t>Szkudlarek</w:t>
      </w:r>
      <w:proofErr w:type="spellEnd"/>
      <w:r w:rsidRPr="00D02074">
        <w:rPr>
          <w:rFonts w:ascii="Arial" w:hAnsi="Arial" w:cs="Arial"/>
        </w:rPr>
        <w:t xml:space="preserve"> et al., 2020).</w:t>
      </w:r>
    </w:p>
    <w:p w14:paraId="389A80BE" w14:textId="77777777" w:rsidR="001A286C" w:rsidRPr="00D02074" w:rsidRDefault="001A286C" w:rsidP="00D02074">
      <w:pPr>
        <w:spacing w:line="360" w:lineRule="auto"/>
        <w:jc w:val="both"/>
        <w:rPr>
          <w:rFonts w:ascii="Arial" w:hAnsi="Arial" w:cs="Arial"/>
        </w:rPr>
      </w:pPr>
    </w:p>
    <w:p w14:paraId="1CBDFEE0" w14:textId="3D01D48F" w:rsidR="001A286C" w:rsidRPr="00D02074" w:rsidRDefault="00B31A5E" w:rsidP="00D02074">
      <w:pPr>
        <w:spacing w:line="360" w:lineRule="auto"/>
        <w:jc w:val="both"/>
        <w:rPr>
          <w:rFonts w:ascii="Arial" w:hAnsi="Arial" w:cs="Arial"/>
        </w:rPr>
      </w:pPr>
      <w:proofErr w:type="gramStart"/>
      <w:r w:rsidRPr="00D02074">
        <w:rPr>
          <w:rFonts w:ascii="Arial" w:hAnsi="Arial" w:cs="Arial"/>
        </w:rPr>
        <w:t>In light of</w:t>
      </w:r>
      <w:proofErr w:type="gramEnd"/>
      <w:r w:rsidRPr="00D02074">
        <w:rPr>
          <w:rFonts w:ascii="Arial" w:hAnsi="Arial" w:cs="Arial"/>
        </w:rPr>
        <w:t xml:space="preserve"> this development, ASOS is gearing up for the implementation of </w:t>
      </w:r>
      <w:proofErr w:type="spellStart"/>
      <w:r w:rsidRPr="00D02074">
        <w:rPr>
          <w:rFonts w:ascii="Arial" w:hAnsi="Arial" w:cs="Arial"/>
        </w:rPr>
        <w:t>ConnectPlus</w:t>
      </w:r>
      <w:proofErr w:type="spellEnd"/>
      <w:r w:rsidRPr="00D02074">
        <w:rPr>
          <w:rFonts w:ascii="Arial" w:hAnsi="Arial" w:cs="Arial"/>
        </w:rPr>
        <w:t xml:space="preserve">, a digitally advanced loyalty and engagement platform that includes AI-recommended and personalized suggestions, mobile rewards and insights provided by data, which serves the purpose of enhancing retention, decision-making and differentiation during the six-month period of implementation. This step is in consistency with the general direction of the industry: ASOS itself has indicated the development of a next-generation loyalty programme called </w:t>
      </w:r>
      <w:r w:rsidRPr="00466138">
        <w:rPr>
          <w:rFonts w:ascii="Arial" w:hAnsi="Arial" w:cs="Arial"/>
          <w:i/>
          <w:iCs/>
        </w:rPr>
        <w:t>ASOS.WORLD,</w:t>
      </w:r>
      <w:r w:rsidRPr="00D02074">
        <w:rPr>
          <w:rFonts w:ascii="Arial" w:hAnsi="Arial" w:cs="Arial"/>
        </w:rPr>
        <w:t xml:space="preserve"> which has been specifically developed for providing excitement and relevance to fashion as opposed to giving hard discounts (Deloitte </w:t>
      </w:r>
      <w:proofErr w:type="spellStart"/>
      <w:r w:rsidRPr="00D02074">
        <w:rPr>
          <w:rFonts w:ascii="Arial" w:hAnsi="Arial" w:cs="Arial"/>
        </w:rPr>
        <w:t>Touche</w:t>
      </w:r>
      <w:proofErr w:type="spellEnd"/>
      <w:r w:rsidRPr="00D02074">
        <w:rPr>
          <w:rFonts w:ascii="Arial" w:hAnsi="Arial" w:cs="Arial"/>
        </w:rPr>
        <w:t xml:space="preserve"> Tohmatsu Limited, 2025). As the Project Manager for this initiative, the author needs to identify, engage and align stakeholders who are crucial to the success of </w:t>
      </w:r>
      <w:proofErr w:type="spellStart"/>
      <w:r w:rsidRPr="00D02074">
        <w:rPr>
          <w:rFonts w:ascii="Arial" w:hAnsi="Arial" w:cs="Arial"/>
        </w:rPr>
        <w:t>ConnectPlus</w:t>
      </w:r>
      <w:proofErr w:type="spellEnd"/>
      <w:r w:rsidRPr="00D02074">
        <w:rPr>
          <w:rFonts w:ascii="Arial" w:hAnsi="Arial" w:cs="Arial"/>
        </w:rPr>
        <w:t xml:space="preserve"> initiative. Businesses that attempt to view loyalty programs as marketing technology rather than as an innovative change process show worse performance both in terms of engagement and returns (</w:t>
      </w:r>
      <w:proofErr w:type="spellStart"/>
      <w:r w:rsidRPr="00D02074">
        <w:rPr>
          <w:rFonts w:ascii="Arial" w:hAnsi="Arial" w:cs="Arial"/>
        </w:rPr>
        <w:t>Shelper</w:t>
      </w:r>
      <w:proofErr w:type="spellEnd"/>
      <w:r w:rsidRPr="00D02074">
        <w:rPr>
          <w:rFonts w:ascii="Arial" w:hAnsi="Arial" w:cs="Arial"/>
        </w:rPr>
        <w:t xml:space="preserve">, Lyons and Harrison, 2023). Therefore, this paper places </w:t>
      </w:r>
      <w:proofErr w:type="spellStart"/>
      <w:r w:rsidRPr="00D02074">
        <w:rPr>
          <w:rFonts w:ascii="Arial" w:hAnsi="Arial" w:cs="Arial"/>
        </w:rPr>
        <w:t>ConnectPlus</w:t>
      </w:r>
      <w:proofErr w:type="spellEnd"/>
      <w:r w:rsidRPr="00D02074">
        <w:rPr>
          <w:rFonts w:ascii="Arial" w:hAnsi="Arial" w:cs="Arial"/>
        </w:rPr>
        <w:t xml:space="preserve"> within stakeholder and change management literature rather than defining it as a technological implementation.</w:t>
      </w:r>
    </w:p>
    <w:p w14:paraId="634E1664" w14:textId="77777777" w:rsidR="00F07B64" w:rsidRPr="00D02074" w:rsidRDefault="00F07B64" w:rsidP="00D02074">
      <w:pPr>
        <w:spacing w:line="360" w:lineRule="auto"/>
        <w:jc w:val="both"/>
        <w:rPr>
          <w:rFonts w:ascii="Arial" w:hAnsi="Arial" w:cs="Arial"/>
        </w:rPr>
      </w:pPr>
    </w:p>
    <w:p w14:paraId="23AB8BCE" w14:textId="6E6BEDB9" w:rsidR="00F07B64" w:rsidRPr="00D02074" w:rsidRDefault="00B44594" w:rsidP="00D02074">
      <w:pPr>
        <w:pStyle w:val="Heading1"/>
        <w:spacing w:line="360" w:lineRule="auto"/>
        <w:jc w:val="both"/>
        <w:rPr>
          <w:rFonts w:ascii="Arial" w:hAnsi="Arial" w:cs="Arial"/>
          <w:b/>
          <w:bCs/>
          <w:sz w:val="24"/>
          <w:szCs w:val="24"/>
        </w:rPr>
      </w:pPr>
      <w:bookmarkStart w:id="1" w:name="_Toc237853471"/>
      <w:r w:rsidRPr="00D02074">
        <w:rPr>
          <w:rFonts w:ascii="Arial" w:hAnsi="Arial" w:cs="Arial"/>
          <w:b/>
          <w:bCs/>
          <w:sz w:val="24"/>
          <w:szCs w:val="24"/>
        </w:rPr>
        <w:lastRenderedPageBreak/>
        <w:t>2. SMART Objectives</w:t>
      </w:r>
      <w:bookmarkEnd w:id="1"/>
    </w:p>
    <w:p w14:paraId="7B100CCA" w14:textId="613489C1" w:rsidR="00B5454A" w:rsidRPr="00D02074" w:rsidRDefault="007A2D72" w:rsidP="00D02074">
      <w:pPr>
        <w:spacing w:line="360" w:lineRule="auto"/>
        <w:jc w:val="both"/>
        <w:rPr>
          <w:rFonts w:ascii="Arial" w:hAnsi="Arial" w:cs="Arial"/>
        </w:rPr>
      </w:pPr>
      <w:r w:rsidRPr="00D02074">
        <w:rPr>
          <w:rFonts w:ascii="Arial" w:hAnsi="Arial" w:cs="Arial"/>
        </w:rPr>
        <w:t xml:space="preserve">The </w:t>
      </w:r>
      <w:proofErr w:type="spellStart"/>
      <w:r w:rsidRPr="00D02074">
        <w:rPr>
          <w:rFonts w:ascii="Arial" w:hAnsi="Arial" w:cs="Arial"/>
        </w:rPr>
        <w:t>ConnectPlus</w:t>
      </w:r>
      <w:proofErr w:type="spellEnd"/>
      <w:r w:rsidRPr="00D02074">
        <w:rPr>
          <w:rFonts w:ascii="Arial" w:hAnsi="Arial" w:cs="Arial"/>
        </w:rPr>
        <w:t xml:space="preserve"> project seeks to achieve three SMART objectives that are in line with the strategic priorities of ASOS, which include margin recovery, controlled operational costs, and receiving higher customer lifetime value after undergoing a period of transition (ASOS Plc, 2025b). The first objective is taking into account the need to </w:t>
      </w:r>
      <w:proofErr w:type="gramStart"/>
      <w:r w:rsidRPr="00D02074">
        <w:rPr>
          <w:rFonts w:ascii="Arial" w:hAnsi="Arial" w:cs="Arial"/>
        </w:rPr>
        <w:t>piloted</w:t>
      </w:r>
      <w:proofErr w:type="gramEnd"/>
      <w:r w:rsidRPr="00D02074">
        <w:rPr>
          <w:rFonts w:ascii="Arial" w:hAnsi="Arial" w:cs="Arial"/>
        </w:rPr>
        <w:t xml:space="preserve"> during the first stage, which will ensure that the </w:t>
      </w:r>
      <w:proofErr w:type="spellStart"/>
      <w:r w:rsidRPr="00D02074">
        <w:rPr>
          <w:rFonts w:ascii="Arial" w:hAnsi="Arial" w:cs="Arial"/>
        </w:rPr>
        <w:t>ConnectPlus</w:t>
      </w:r>
      <w:proofErr w:type="spellEnd"/>
      <w:r w:rsidRPr="00D02074">
        <w:rPr>
          <w:rFonts w:ascii="Arial" w:hAnsi="Arial" w:cs="Arial"/>
        </w:rPr>
        <w:t xml:space="preserve"> platform generates significant insights. The second goal is to make sure that the commercial potential of the platform is obtained by measuring if the customers come back to making purchases again and looking at the retention rate and basket values of ASOS (ASOS Plc, 2025b). The third goal is to confirm the readiness of ASOS for further deployment of the platform, keeping in mind the fact that without gaining approval from all stakeholders identified in the previous sections, the implementation of a platform would be impossible (Wood et al., 2021). In such a way, all objectives bring in the balance of customer adoption, monetary benefits, and internal governance, which just go to confirm the thesis of the paper about the fact that the achievement of loyalty platforms should not be only determined by enrolment figures (</w:t>
      </w:r>
      <w:proofErr w:type="spellStart"/>
      <w:r w:rsidRPr="00D02074">
        <w:rPr>
          <w:rFonts w:ascii="Arial" w:hAnsi="Arial" w:cs="Arial"/>
        </w:rPr>
        <w:t>Shelper</w:t>
      </w:r>
      <w:proofErr w:type="spellEnd"/>
      <w:r w:rsidRPr="00D02074">
        <w:rPr>
          <w:rFonts w:ascii="Arial" w:hAnsi="Arial" w:cs="Arial"/>
        </w:rPr>
        <w:t>, Lyons, and Harrison, 2023).</w:t>
      </w:r>
    </w:p>
    <w:p w14:paraId="34A42372" w14:textId="77777777" w:rsidR="00786DCE" w:rsidRPr="00D02074" w:rsidRDefault="00786DCE" w:rsidP="00D0207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02"/>
        <w:gridCol w:w="1490"/>
        <w:gridCol w:w="1728"/>
        <w:gridCol w:w="1602"/>
        <w:gridCol w:w="1728"/>
        <w:gridCol w:w="966"/>
      </w:tblGrid>
      <w:tr w:rsidR="00B5454A" w:rsidRPr="00D02074" w14:paraId="6B76C218" w14:textId="77777777" w:rsidTr="00EF0E09">
        <w:tc>
          <w:tcPr>
            <w:tcW w:w="0" w:type="auto"/>
            <w:hideMark/>
          </w:tcPr>
          <w:p w14:paraId="31C78B55"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Objective</w:t>
            </w:r>
          </w:p>
        </w:tc>
        <w:tc>
          <w:tcPr>
            <w:tcW w:w="0" w:type="auto"/>
            <w:hideMark/>
          </w:tcPr>
          <w:p w14:paraId="4F390F93"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Specific</w:t>
            </w:r>
          </w:p>
        </w:tc>
        <w:tc>
          <w:tcPr>
            <w:tcW w:w="0" w:type="auto"/>
            <w:hideMark/>
          </w:tcPr>
          <w:p w14:paraId="5B17501E"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Measurable</w:t>
            </w:r>
          </w:p>
        </w:tc>
        <w:tc>
          <w:tcPr>
            <w:tcW w:w="0" w:type="auto"/>
            <w:hideMark/>
          </w:tcPr>
          <w:p w14:paraId="2869874F"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Achievable</w:t>
            </w:r>
          </w:p>
        </w:tc>
        <w:tc>
          <w:tcPr>
            <w:tcW w:w="0" w:type="auto"/>
            <w:hideMark/>
          </w:tcPr>
          <w:p w14:paraId="7378B790"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Relevant</w:t>
            </w:r>
          </w:p>
        </w:tc>
        <w:tc>
          <w:tcPr>
            <w:tcW w:w="0" w:type="auto"/>
            <w:hideMark/>
          </w:tcPr>
          <w:p w14:paraId="792715A8" w14:textId="77777777" w:rsidR="00B5454A" w:rsidRPr="00D02074" w:rsidRDefault="00B5454A" w:rsidP="00D02074">
            <w:pPr>
              <w:spacing w:line="360" w:lineRule="auto"/>
              <w:jc w:val="both"/>
              <w:rPr>
                <w:rFonts w:ascii="Arial" w:hAnsi="Arial" w:cs="Arial"/>
                <w:b/>
                <w:bCs/>
              </w:rPr>
            </w:pPr>
            <w:r w:rsidRPr="00D02074">
              <w:rPr>
                <w:rFonts w:ascii="Arial" w:hAnsi="Arial" w:cs="Arial"/>
                <w:b/>
                <w:bCs/>
              </w:rPr>
              <w:t>Time-bound</w:t>
            </w:r>
          </w:p>
        </w:tc>
      </w:tr>
      <w:tr w:rsidR="00B5454A" w:rsidRPr="00D02074" w14:paraId="51E331D8" w14:textId="77777777" w:rsidTr="00EF0E09">
        <w:tc>
          <w:tcPr>
            <w:tcW w:w="0" w:type="auto"/>
            <w:hideMark/>
          </w:tcPr>
          <w:p w14:paraId="4600FA7F" w14:textId="77777777" w:rsidR="00B5454A" w:rsidRPr="00D02074" w:rsidRDefault="00B5454A" w:rsidP="00D02074">
            <w:pPr>
              <w:spacing w:line="360" w:lineRule="auto"/>
              <w:jc w:val="both"/>
              <w:rPr>
                <w:rFonts w:ascii="Arial" w:hAnsi="Arial" w:cs="Arial"/>
              </w:rPr>
            </w:pPr>
            <w:r w:rsidRPr="00D02074">
              <w:rPr>
                <w:rFonts w:ascii="Arial" w:hAnsi="Arial" w:cs="Arial"/>
                <w:b/>
                <w:bCs/>
              </w:rPr>
              <w:t>1. Enrolment</w:t>
            </w:r>
          </w:p>
        </w:tc>
        <w:tc>
          <w:tcPr>
            <w:tcW w:w="0" w:type="auto"/>
            <w:hideMark/>
          </w:tcPr>
          <w:p w14:paraId="2E96A3A5" w14:textId="77777777" w:rsidR="00B5454A" w:rsidRPr="00D02074" w:rsidRDefault="00B5454A" w:rsidP="00D02074">
            <w:pPr>
              <w:spacing w:line="360" w:lineRule="auto"/>
              <w:jc w:val="both"/>
              <w:rPr>
                <w:rFonts w:ascii="Arial" w:hAnsi="Arial" w:cs="Arial"/>
              </w:rPr>
            </w:pPr>
            <w:r w:rsidRPr="00D02074">
              <w:rPr>
                <w:rFonts w:ascii="Arial" w:hAnsi="Arial" w:cs="Arial"/>
              </w:rPr>
              <w:t xml:space="preserve">Achieve active enrolment of 25% of ASOS's engaged customer base in </w:t>
            </w:r>
            <w:proofErr w:type="spellStart"/>
            <w:r w:rsidRPr="00D02074">
              <w:rPr>
                <w:rFonts w:ascii="Arial" w:hAnsi="Arial" w:cs="Arial"/>
              </w:rPr>
              <w:t>ConnectPlus</w:t>
            </w:r>
            <w:proofErr w:type="spellEnd"/>
            <w:r w:rsidRPr="00D02074">
              <w:rPr>
                <w:rFonts w:ascii="Arial" w:hAnsi="Arial" w:cs="Arial"/>
              </w:rPr>
              <w:t xml:space="preserve"> across all pilot markets</w:t>
            </w:r>
          </w:p>
        </w:tc>
        <w:tc>
          <w:tcPr>
            <w:tcW w:w="0" w:type="auto"/>
            <w:hideMark/>
          </w:tcPr>
          <w:p w14:paraId="6410ABAF" w14:textId="77777777" w:rsidR="00B5454A" w:rsidRPr="00D02074" w:rsidRDefault="00B5454A" w:rsidP="00D02074">
            <w:pPr>
              <w:spacing w:line="360" w:lineRule="auto"/>
              <w:jc w:val="both"/>
              <w:rPr>
                <w:rFonts w:ascii="Arial" w:hAnsi="Arial" w:cs="Arial"/>
              </w:rPr>
            </w:pPr>
            <w:r w:rsidRPr="00D02074">
              <w:rPr>
                <w:rFonts w:ascii="Arial" w:hAnsi="Arial" w:cs="Arial"/>
              </w:rPr>
              <w:t>Tracked via platform registration and active-user data, reported monthly to the Executive Committee</w:t>
            </w:r>
          </w:p>
        </w:tc>
        <w:tc>
          <w:tcPr>
            <w:tcW w:w="0" w:type="auto"/>
            <w:hideMark/>
          </w:tcPr>
          <w:p w14:paraId="6E9741FF" w14:textId="77777777" w:rsidR="00B5454A" w:rsidRPr="00D02074" w:rsidRDefault="00B5454A" w:rsidP="00D02074">
            <w:pPr>
              <w:spacing w:line="360" w:lineRule="auto"/>
              <w:jc w:val="both"/>
              <w:rPr>
                <w:rFonts w:ascii="Arial" w:hAnsi="Arial" w:cs="Arial"/>
              </w:rPr>
            </w:pPr>
            <w:r w:rsidRPr="00D02074">
              <w:rPr>
                <w:rFonts w:ascii="Arial" w:hAnsi="Arial" w:cs="Arial"/>
              </w:rPr>
              <w:t xml:space="preserve">Benchmarked against comparable loyalty scheme adoption rates reported industry-wide (Deloitte </w:t>
            </w:r>
            <w:proofErr w:type="spellStart"/>
            <w:r w:rsidRPr="00D02074">
              <w:rPr>
                <w:rFonts w:ascii="Arial" w:hAnsi="Arial" w:cs="Arial"/>
              </w:rPr>
              <w:t>Touche</w:t>
            </w:r>
            <w:proofErr w:type="spellEnd"/>
            <w:r w:rsidRPr="00D02074">
              <w:rPr>
                <w:rFonts w:ascii="Arial" w:hAnsi="Arial" w:cs="Arial"/>
              </w:rPr>
              <w:t xml:space="preserve"> Tohmatsu </w:t>
            </w:r>
            <w:r w:rsidRPr="00D02074">
              <w:rPr>
                <w:rFonts w:ascii="Arial" w:hAnsi="Arial" w:cs="Arial"/>
              </w:rPr>
              <w:lastRenderedPageBreak/>
              <w:t>Limited, 2025)</w:t>
            </w:r>
          </w:p>
        </w:tc>
        <w:tc>
          <w:tcPr>
            <w:tcW w:w="0" w:type="auto"/>
            <w:hideMark/>
          </w:tcPr>
          <w:p w14:paraId="3BCBC348" w14:textId="77777777" w:rsidR="00B5454A" w:rsidRPr="00D02074" w:rsidRDefault="00B5454A" w:rsidP="00D02074">
            <w:pPr>
              <w:spacing w:line="360" w:lineRule="auto"/>
              <w:jc w:val="both"/>
              <w:rPr>
                <w:rFonts w:ascii="Arial" w:hAnsi="Arial" w:cs="Arial"/>
              </w:rPr>
            </w:pPr>
            <w:r w:rsidRPr="00D02074">
              <w:rPr>
                <w:rFonts w:ascii="Arial" w:hAnsi="Arial" w:cs="Arial"/>
              </w:rPr>
              <w:lastRenderedPageBreak/>
              <w:t>Directly supports ASOS's strategic goal of strengthening customer retention and data-led personalisation (ASOS Plc, 2025a)</w:t>
            </w:r>
          </w:p>
        </w:tc>
        <w:tc>
          <w:tcPr>
            <w:tcW w:w="0" w:type="auto"/>
            <w:hideMark/>
          </w:tcPr>
          <w:p w14:paraId="130F6D5D" w14:textId="77777777" w:rsidR="00B5454A" w:rsidRPr="00D02074" w:rsidRDefault="00B5454A" w:rsidP="00D02074">
            <w:pPr>
              <w:spacing w:line="360" w:lineRule="auto"/>
              <w:jc w:val="both"/>
              <w:rPr>
                <w:rFonts w:ascii="Arial" w:hAnsi="Arial" w:cs="Arial"/>
              </w:rPr>
            </w:pPr>
            <w:r w:rsidRPr="00D02074">
              <w:rPr>
                <w:rFonts w:ascii="Arial" w:hAnsi="Arial" w:cs="Arial"/>
              </w:rPr>
              <w:t>Within six months of launch</w:t>
            </w:r>
          </w:p>
        </w:tc>
      </w:tr>
      <w:tr w:rsidR="00B5454A" w:rsidRPr="00D02074" w14:paraId="4C29E797" w14:textId="77777777" w:rsidTr="00EF0E09">
        <w:tc>
          <w:tcPr>
            <w:tcW w:w="0" w:type="auto"/>
            <w:hideMark/>
          </w:tcPr>
          <w:p w14:paraId="13FC19FE" w14:textId="77777777" w:rsidR="00B5454A" w:rsidRPr="00D02074" w:rsidRDefault="00B5454A" w:rsidP="00D02074">
            <w:pPr>
              <w:spacing w:line="360" w:lineRule="auto"/>
              <w:jc w:val="both"/>
              <w:rPr>
                <w:rFonts w:ascii="Arial" w:hAnsi="Arial" w:cs="Arial"/>
              </w:rPr>
            </w:pPr>
            <w:r w:rsidRPr="00D02074">
              <w:rPr>
                <w:rFonts w:ascii="Arial" w:hAnsi="Arial" w:cs="Arial"/>
                <w:b/>
                <w:bCs/>
              </w:rPr>
              <w:t>2. Retention uplift</w:t>
            </w:r>
          </w:p>
        </w:tc>
        <w:tc>
          <w:tcPr>
            <w:tcW w:w="0" w:type="auto"/>
            <w:hideMark/>
          </w:tcPr>
          <w:p w14:paraId="497DD5AD" w14:textId="77777777" w:rsidR="00B5454A" w:rsidRPr="00D02074" w:rsidRDefault="00B5454A" w:rsidP="00D02074">
            <w:pPr>
              <w:spacing w:line="360" w:lineRule="auto"/>
              <w:jc w:val="both"/>
              <w:rPr>
                <w:rFonts w:ascii="Arial" w:hAnsi="Arial" w:cs="Arial"/>
              </w:rPr>
            </w:pPr>
            <w:r w:rsidRPr="00D02074">
              <w:rPr>
                <w:rFonts w:ascii="Arial" w:hAnsi="Arial" w:cs="Arial"/>
              </w:rPr>
              <w:t>Increase 90-day customer repeat-purchase rate by 8 percentage points</w:t>
            </w:r>
          </w:p>
        </w:tc>
        <w:tc>
          <w:tcPr>
            <w:tcW w:w="0" w:type="auto"/>
            <w:hideMark/>
          </w:tcPr>
          <w:p w14:paraId="7B7B34B9" w14:textId="77777777" w:rsidR="00B5454A" w:rsidRPr="00D02074" w:rsidRDefault="00B5454A" w:rsidP="00D02074">
            <w:pPr>
              <w:spacing w:line="360" w:lineRule="auto"/>
              <w:jc w:val="both"/>
              <w:rPr>
                <w:rFonts w:ascii="Arial" w:hAnsi="Arial" w:cs="Arial"/>
              </w:rPr>
            </w:pPr>
            <w:r w:rsidRPr="00D02074">
              <w:rPr>
                <w:rFonts w:ascii="Arial" w:hAnsi="Arial" w:cs="Arial"/>
              </w:rPr>
              <w:t>Measured against pre-launch retention figures already reported in ASOS's financial disclosures (ASOS Plc, 2025b)</w:t>
            </w:r>
          </w:p>
        </w:tc>
        <w:tc>
          <w:tcPr>
            <w:tcW w:w="0" w:type="auto"/>
            <w:hideMark/>
          </w:tcPr>
          <w:p w14:paraId="40A2861B" w14:textId="77777777" w:rsidR="00B5454A" w:rsidRPr="00D02074" w:rsidRDefault="00B5454A" w:rsidP="00D02074">
            <w:pPr>
              <w:spacing w:line="360" w:lineRule="auto"/>
              <w:jc w:val="both"/>
              <w:rPr>
                <w:rFonts w:ascii="Arial" w:hAnsi="Arial" w:cs="Arial"/>
              </w:rPr>
            </w:pPr>
            <w:r w:rsidRPr="00D02074">
              <w:rPr>
                <w:rFonts w:ascii="Arial" w:hAnsi="Arial" w:cs="Arial"/>
              </w:rPr>
              <w:t xml:space="preserve">Consistent with retention gains observed in comparable loyalty programme studies (Fook and </w:t>
            </w:r>
            <w:proofErr w:type="spellStart"/>
            <w:r w:rsidRPr="00D02074">
              <w:rPr>
                <w:rFonts w:ascii="Arial" w:hAnsi="Arial" w:cs="Arial"/>
              </w:rPr>
              <w:t>Dastane</w:t>
            </w:r>
            <w:proofErr w:type="spellEnd"/>
            <w:r w:rsidRPr="00D02074">
              <w:rPr>
                <w:rFonts w:ascii="Arial" w:hAnsi="Arial" w:cs="Arial"/>
              </w:rPr>
              <w:t>, 2021)</w:t>
            </w:r>
          </w:p>
        </w:tc>
        <w:tc>
          <w:tcPr>
            <w:tcW w:w="0" w:type="auto"/>
            <w:hideMark/>
          </w:tcPr>
          <w:p w14:paraId="35FF9F0A" w14:textId="77777777" w:rsidR="00B5454A" w:rsidRPr="00D02074" w:rsidRDefault="00B5454A" w:rsidP="00D02074">
            <w:pPr>
              <w:spacing w:line="360" w:lineRule="auto"/>
              <w:jc w:val="both"/>
              <w:rPr>
                <w:rFonts w:ascii="Arial" w:hAnsi="Arial" w:cs="Arial"/>
              </w:rPr>
            </w:pPr>
            <w:r w:rsidRPr="00D02074">
              <w:rPr>
                <w:rFonts w:ascii="Arial" w:hAnsi="Arial" w:cs="Arial"/>
              </w:rPr>
              <w:t>Aligned with ASOS's core financial priority of improving basket value and order frequency (ASOS Plc, 2025b)</w:t>
            </w:r>
          </w:p>
        </w:tc>
        <w:tc>
          <w:tcPr>
            <w:tcW w:w="0" w:type="auto"/>
            <w:hideMark/>
          </w:tcPr>
          <w:p w14:paraId="2A850552" w14:textId="77777777" w:rsidR="00B5454A" w:rsidRPr="00D02074" w:rsidRDefault="00B5454A" w:rsidP="00D02074">
            <w:pPr>
              <w:spacing w:line="360" w:lineRule="auto"/>
              <w:jc w:val="both"/>
              <w:rPr>
                <w:rFonts w:ascii="Arial" w:hAnsi="Arial" w:cs="Arial"/>
              </w:rPr>
            </w:pPr>
            <w:r w:rsidRPr="00D02074">
              <w:rPr>
                <w:rFonts w:ascii="Arial" w:hAnsi="Arial" w:cs="Arial"/>
              </w:rPr>
              <w:t>Within nine months of launch</w:t>
            </w:r>
          </w:p>
        </w:tc>
      </w:tr>
      <w:tr w:rsidR="00B5454A" w:rsidRPr="00D02074" w14:paraId="27583C5D" w14:textId="77777777" w:rsidTr="00EF0E09">
        <w:tc>
          <w:tcPr>
            <w:tcW w:w="0" w:type="auto"/>
            <w:hideMark/>
          </w:tcPr>
          <w:p w14:paraId="7EA66CA9" w14:textId="77777777" w:rsidR="00B5454A" w:rsidRPr="00D02074" w:rsidRDefault="00B5454A" w:rsidP="00D02074">
            <w:pPr>
              <w:spacing w:line="360" w:lineRule="auto"/>
              <w:jc w:val="both"/>
              <w:rPr>
                <w:rFonts w:ascii="Arial" w:hAnsi="Arial" w:cs="Arial"/>
              </w:rPr>
            </w:pPr>
            <w:r w:rsidRPr="00D02074">
              <w:rPr>
                <w:rFonts w:ascii="Arial" w:hAnsi="Arial" w:cs="Arial"/>
                <w:b/>
                <w:bCs/>
              </w:rPr>
              <w:t>3. Stakeholder sign-off</w:t>
            </w:r>
          </w:p>
        </w:tc>
        <w:tc>
          <w:tcPr>
            <w:tcW w:w="0" w:type="auto"/>
            <w:hideMark/>
          </w:tcPr>
          <w:p w14:paraId="51A3834F" w14:textId="77777777" w:rsidR="00B5454A" w:rsidRPr="00D02074" w:rsidRDefault="00B5454A" w:rsidP="00D02074">
            <w:pPr>
              <w:spacing w:line="360" w:lineRule="auto"/>
              <w:jc w:val="both"/>
              <w:rPr>
                <w:rFonts w:ascii="Arial" w:hAnsi="Arial" w:cs="Arial"/>
              </w:rPr>
            </w:pPr>
            <w:r w:rsidRPr="00D02074">
              <w:rPr>
                <w:rFonts w:ascii="Arial" w:hAnsi="Arial" w:cs="Arial"/>
              </w:rPr>
              <w:t>Secure documented engagement and sign-off from all internal functions and top-tier suppliers</w:t>
            </w:r>
          </w:p>
        </w:tc>
        <w:tc>
          <w:tcPr>
            <w:tcW w:w="0" w:type="auto"/>
            <w:hideMark/>
          </w:tcPr>
          <w:p w14:paraId="08F1478B" w14:textId="77777777" w:rsidR="00B5454A" w:rsidRPr="00D02074" w:rsidRDefault="00B5454A" w:rsidP="00D02074">
            <w:pPr>
              <w:spacing w:line="360" w:lineRule="auto"/>
              <w:jc w:val="both"/>
              <w:rPr>
                <w:rFonts w:ascii="Arial" w:hAnsi="Arial" w:cs="Arial"/>
              </w:rPr>
            </w:pPr>
            <w:r w:rsidRPr="00D02074">
              <w:rPr>
                <w:rFonts w:ascii="Arial" w:hAnsi="Arial" w:cs="Arial"/>
              </w:rPr>
              <w:t>Verified through completion of a formal RACI matrix and communication plan with recorded approvals</w:t>
            </w:r>
          </w:p>
        </w:tc>
        <w:tc>
          <w:tcPr>
            <w:tcW w:w="0" w:type="auto"/>
            <w:hideMark/>
          </w:tcPr>
          <w:p w14:paraId="2B524ACE" w14:textId="77777777" w:rsidR="00B5454A" w:rsidRPr="00D02074" w:rsidRDefault="00B5454A" w:rsidP="00D02074">
            <w:pPr>
              <w:spacing w:line="360" w:lineRule="auto"/>
              <w:jc w:val="both"/>
              <w:rPr>
                <w:rFonts w:ascii="Arial" w:hAnsi="Arial" w:cs="Arial"/>
              </w:rPr>
            </w:pPr>
            <w:r w:rsidRPr="00D02074">
              <w:rPr>
                <w:rFonts w:ascii="Arial" w:hAnsi="Arial" w:cs="Arial"/>
              </w:rPr>
              <w:t>Achievable given the tiered 4Cs engagement approach applied to definitive and dependent stakeholders (Wood et al., 2021)</w:t>
            </w:r>
          </w:p>
        </w:tc>
        <w:tc>
          <w:tcPr>
            <w:tcW w:w="0" w:type="auto"/>
            <w:hideMark/>
          </w:tcPr>
          <w:p w14:paraId="0F0C9A3B" w14:textId="77777777" w:rsidR="00B5454A" w:rsidRPr="00D02074" w:rsidRDefault="00B5454A" w:rsidP="00D02074">
            <w:pPr>
              <w:spacing w:line="360" w:lineRule="auto"/>
              <w:jc w:val="both"/>
              <w:rPr>
                <w:rFonts w:ascii="Arial" w:hAnsi="Arial" w:cs="Arial"/>
              </w:rPr>
            </w:pPr>
            <w:r w:rsidRPr="00D02074">
              <w:rPr>
                <w:rFonts w:ascii="Arial" w:hAnsi="Arial" w:cs="Arial"/>
              </w:rPr>
              <w:t>Essential to preventing the stakeholder misalignment shown to derail digital transformation projects (</w:t>
            </w:r>
            <w:proofErr w:type="spellStart"/>
            <w:r w:rsidRPr="00D02074">
              <w:rPr>
                <w:rFonts w:ascii="Arial" w:hAnsi="Arial" w:cs="Arial"/>
              </w:rPr>
              <w:t>Hoblos</w:t>
            </w:r>
            <w:proofErr w:type="spellEnd"/>
            <w:r w:rsidRPr="00D02074">
              <w:rPr>
                <w:rFonts w:ascii="Arial" w:hAnsi="Arial" w:cs="Arial"/>
              </w:rPr>
              <w:t>, Sandeep and Pan, 2024)</w:t>
            </w:r>
          </w:p>
        </w:tc>
        <w:tc>
          <w:tcPr>
            <w:tcW w:w="0" w:type="auto"/>
            <w:hideMark/>
          </w:tcPr>
          <w:p w14:paraId="7185714B" w14:textId="77777777" w:rsidR="00B5454A" w:rsidRPr="00D02074" w:rsidRDefault="00B5454A" w:rsidP="00D02074">
            <w:pPr>
              <w:spacing w:line="360" w:lineRule="auto"/>
              <w:jc w:val="both"/>
              <w:rPr>
                <w:rFonts w:ascii="Arial" w:hAnsi="Arial" w:cs="Arial"/>
              </w:rPr>
            </w:pPr>
            <w:r w:rsidRPr="00D02074">
              <w:rPr>
                <w:rFonts w:ascii="Arial" w:hAnsi="Arial" w:cs="Arial"/>
              </w:rPr>
              <w:t>Within the six-month design-to-launch window</w:t>
            </w:r>
          </w:p>
        </w:tc>
      </w:tr>
    </w:tbl>
    <w:p w14:paraId="6DB1897C" w14:textId="77777777" w:rsidR="000B4A63" w:rsidRPr="00D02074" w:rsidRDefault="000B4A63" w:rsidP="00D02074">
      <w:pPr>
        <w:spacing w:line="360" w:lineRule="auto"/>
        <w:jc w:val="both"/>
        <w:rPr>
          <w:rFonts w:ascii="Arial" w:hAnsi="Arial" w:cs="Arial"/>
        </w:rPr>
      </w:pPr>
    </w:p>
    <w:p w14:paraId="66B012DF" w14:textId="3A3904E4" w:rsidR="006D24E6" w:rsidRPr="00BB1A2F" w:rsidRDefault="00C117B8" w:rsidP="00D02074">
      <w:pPr>
        <w:spacing w:line="360" w:lineRule="auto"/>
        <w:jc w:val="both"/>
        <w:rPr>
          <w:rFonts w:ascii="Arial" w:hAnsi="Arial" w:cs="Arial"/>
          <w:b/>
          <w:bCs/>
        </w:rPr>
      </w:pPr>
      <w:r w:rsidRPr="00D02074">
        <w:rPr>
          <w:rFonts w:ascii="Arial" w:hAnsi="Arial" w:cs="Arial"/>
          <w:b/>
          <w:bCs/>
        </w:rPr>
        <w:t>Table 1: SMART Goals (Source: self-created)</w:t>
      </w:r>
    </w:p>
    <w:p w14:paraId="69D216DC" w14:textId="436F6AAA" w:rsidR="006D24E6" w:rsidRPr="00D02074" w:rsidRDefault="0040573B" w:rsidP="00D02074">
      <w:pPr>
        <w:pStyle w:val="Heading1"/>
        <w:spacing w:line="360" w:lineRule="auto"/>
        <w:jc w:val="both"/>
        <w:rPr>
          <w:rFonts w:ascii="Arial" w:hAnsi="Arial" w:cs="Arial"/>
          <w:b/>
          <w:bCs/>
          <w:sz w:val="24"/>
          <w:szCs w:val="24"/>
        </w:rPr>
      </w:pPr>
      <w:bookmarkStart w:id="2" w:name="_Toc237853472"/>
      <w:r w:rsidRPr="00D02074">
        <w:rPr>
          <w:rFonts w:ascii="Arial" w:hAnsi="Arial" w:cs="Arial"/>
          <w:b/>
          <w:bCs/>
          <w:sz w:val="24"/>
          <w:szCs w:val="24"/>
        </w:rPr>
        <w:t>3. Stakeholder Identification and Categorisation</w:t>
      </w:r>
      <w:bookmarkEnd w:id="2"/>
    </w:p>
    <w:p w14:paraId="6F919D9C" w14:textId="73BC7D09" w:rsidR="0040573B" w:rsidRPr="00D02074" w:rsidRDefault="00BF551D" w:rsidP="00D02074">
      <w:pPr>
        <w:spacing w:line="360" w:lineRule="auto"/>
        <w:jc w:val="both"/>
        <w:rPr>
          <w:rFonts w:ascii="Arial" w:hAnsi="Arial" w:cs="Arial"/>
        </w:rPr>
      </w:pPr>
      <w:r w:rsidRPr="00D02074">
        <w:rPr>
          <w:rFonts w:ascii="Arial" w:hAnsi="Arial" w:cs="Arial"/>
        </w:rPr>
        <w:t>Effective stakeholder management starts with recogni</w:t>
      </w:r>
      <w:r w:rsidR="00300D42">
        <w:rPr>
          <w:rFonts w:ascii="Arial" w:hAnsi="Arial" w:cs="Arial"/>
        </w:rPr>
        <w:t>s</w:t>
      </w:r>
      <w:r w:rsidRPr="00D02074">
        <w:rPr>
          <w:rFonts w:ascii="Arial" w:hAnsi="Arial" w:cs="Arial"/>
        </w:rPr>
        <w:t>ing "any individual or group that can influence or be influenced by the goals of an organization," a definition that still dominates modern theory even after being in existence for 40 years</w:t>
      </w:r>
      <w:r w:rsidR="003B6654">
        <w:rPr>
          <w:rFonts w:ascii="Arial" w:hAnsi="Arial" w:cs="Arial"/>
        </w:rPr>
        <w:t xml:space="preserve"> </w:t>
      </w:r>
      <w:r w:rsidR="003B6654" w:rsidRPr="003B6654">
        <w:rPr>
          <w:rFonts w:ascii="Arial" w:hAnsi="Arial" w:cs="Arial"/>
        </w:rPr>
        <w:t xml:space="preserve">(Freeman, </w:t>
      </w:r>
      <w:r w:rsidR="003B6654" w:rsidRPr="003B6654">
        <w:rPr>
          <w:rFonts w:ascii="Arial" w:hAnsi="Arial" w:cs="Arial"/>
        </w:rPr>
        <w:lastRenderedPageBreak/>
        <w:t>Harrison, Barney and Phillips, 2019)</w:t>
      </w:r>
      <w:r w:rsidRPr="00D02074">
        <w:rPr>
          <w:rFonts w:ascii="Arial" w:hAnsi="Arial" w:cs="Arial"/>
        </w:rPr>
        <w:t xml:space="preserve">. In the course of time, stakeholder theory has evolved from only indicating who the stakeholders are in a company to a prescriptive and operational model that shows how stakeholder management can create better results; in particular, instrumental stakeholder theory claims that creating cooperative relations with the stakeholders contributes to sustainable competitive advantage of the business due to the fact that such relationships cannot be easily copied (Jones, Harrison, and </w:t>
      </w:r>
      <w:proofErr w:type="spellStart"/>
      <w:r w:rsidRPr="00D02074">
        <w:rPr>
          <w:rFonts w:ascii="Arial" w:hAnsi="Arial" w:cs="Arial"/>
        </w:rPr>
        <w:t>Felps</w:t>
      </w:r>
      <w:proofErr w:type="spellEnd"/>
      <w:r w:rsidRPr="00D02074">
        <w:rPr>
          <w:rFonts w:ascii="Arial" w:hAnsi="Arial" w:cs="Arial"/>
        </w:rPr>
        <w:t xml:space="preserve">, 2018). Thus, for </w:t>
      </w:r>
      <w:proofErr w:type="spellStart"/>
      <w:r w:rsidRPr="00D02074">
        <w:rPr>
          <w:rFonts w:ascii="Arial" w:hAnsi="Arial" w:cs="Arial"/>
        </w:rPr>
        <w:t>ConnectPlus</w:t>
      </w:r>
      <w:proofErr w:type="spellEnd"/>
      <w:r w:rsidRPr="00D02074">
        <w:rPr>
          <w:rFonts w:ascii="Arial" w:hAnsi="Arial" w:cs="Arial"/>
        </w:rPr>
        <w:t>, stakeholder management is not a tool of ensuring compliance but rather a source of value creation.</w:t>
      </w:r>
    </w:p>
    <w:p w14:paraId="1D635A0C" w14:textId="77777777" w:rsidR="003E25C6" w:rsidRPr="00D02074" w:rsidRDefault="003E25C6" w:rsidP="00D02074">
      <w:pPr>
        <w:spacing w:line="360" w:lineRule="auto"/>
        <w:jc w:val="both"/>
        <w:rPr>
          <w:rFonts w:ascii="Arial" w:hAnsi="Arial" w:cs="Arial"/>
        </w:rPr>
      </w:pPr>
    </w:p>
    <w:p w14:paraId="2B7930FD" w14:textId="64BEEC30" w:rsidR="003E25C6" w:rsidRPr="00D02074" w:rsidRDefault="0017782C" w:rsidP="00D02074">
      <w:pPr>
        <w:spacing w:line="360" w:lineRule="auto"/>
        <w:jc w:val="both"/>
        <w:rPr>
          <w:rFonts w:ascii="Arial" w:hAnsi="Arial" w:cs="Arial"/>
        </w:rPr>
      </w:pPr>
      <w:r w:rsidRPr="00D02074">
        <w:rPr>
          <w:rFonts w:ascii="Arial" w:hAnsi="Arial" w:cs="Arial"/>
        </w:rPr>
        <w:t xml:space="preserve">The </w:t>
      </w:r>
      <w:r w:rsidR="003B6654">
        <w:rPr>
          <w:rFonts w:ascii="Arial" w:hAnsi="Arial" w:cs="Arial"/>
        </w:rPr>
        <w:t>report</w:t>
      </w:r>
      <w:r w:rsidRPr="00D02074">
        <w:rPr>
          <w:rFonts w:ascii="Arial" w:hAnsi="Arial" w:cs="Arial"/>
        </w:rPr>
        <w:t xml:space="preserve"> has chosen to use two complementary frameworks, namely Mendelow's Power/Interest Matrix and the Salience Model developed by Mitchell, </w:t>
      </w:r>
      <w:proofErr w:type="spellStart"/>
      <w:r w:rsidRPr="00D02074">
        <w:rPr>
          <w:rFonts w:ascii="Arial" w:hAnsi="Arial" w:cs="Arial"/>
        </w:rPr>
        <w:t>Agle</w:t>
      </w:r>
      <w:proofErr w:type="spellEnd"/>
      <w:r w:rsidRPr="00D02074">
        <w:rPr>
          <w:rFonts w:ascii="Arial" w:hAnsi="Arial" w:cs="Arial"/>
        </w:rPr>
        <w:t xml:space="preserve"> and Wood</w:t>
      </w:r>
      <w:r w:rsidR="003B6654">
        <w:rPr>
          <w:rFonts w:ascii="Arial" w:hAnsi="Arial" w:cs="Arial"/>
        </w:rPr>
        <w:t xml:space="preserve">. </w:t>
      </w:r>
      <w:r w:rsidRPr="00D02074">
        <w:rPr>
          <w:rFonts w:ascii="Arial" w:hAnsi="Arial" w:cs="Arial"/>
        </w:rPr>
        <w:t xml:space="preserve"> Wood </w:t>
      </w:r>
      <w:r w:rsidRPr="00280ADF">
        <w:rPr>
          <w:rFonts w:ascii="Arial" w:hAnsi="Arial" w:cs="Arial"/>
          <w:i/>
          <w:iCs/>
        </w:rPr>
        <w:t>e</w:t>
      </w:r>
      <w:r w:rsidR="00280ADF" w:rsidRPr="00280ADF">
        <w:rPr>
          <w:rFonts w:ascii="Arial" w:hAnsi="Arial" w:cs="Arial"/>
          <w:i/>
          <w:iCs/>
        </w:rPr>
        <w:t>t</w:t>
      </w:r>
      <w:r w:rsidRPr="00280ADF">
        <w:rPr>
          <w:rFonts w:ascii="Arial" w:hAnsi="Arial" w:cs="Arial"/>
          <w:i/>
          <w:iCs/>
        </w:rPr>
        <w:t xml:space="preserve"> al.</w:t>
      </w:r>
      <w:r w:rsidRPr="00D02074">
        <w:rPr>
          <w:rFonts w:ascii="Arial" w:hAnsi="Arial" w:cs="Arial"/>
        </w:rPr>
        <w:t xml:space="preserve"> (2021) </w:t>
      </w:r>
      <w:r w:rsidR="003B6654">
        <w:rPr>
          <w:rFonts w:ascii="Arial" w:hAnsi="Arial" w:cs="Arial"/>
        </w:rPr>
        <w:t xml:space="preserve">have found </w:t>
      </w:r>
      <w:r w:rsidR="00E05ED7">
        <w:rPr>
          <w:rFonts w:ascii="Arial" w:hAnsi="Arial" w:cs="Arial"/>
        </w:rPr>
        <w:t xml:space="preserve">these are </w:t>
      </w:r>
      <w:r w:rsidRPr="00D02074">
        <w:rPr>
          <w:rFonts w:ascii="Arial" w:hAnsi="Arial" w:cs="Arial"/>
        </w:rPr>
        <w:t>the most recogni</w:t>
      </w:r>
      <w:r w:rsidR="003B6654">
        <w:rPr>
          <w:rFonts w:ascii="Arial" w:hAnsi="Arial" w:cs="Arial"/>
        </w:rPr>
        <w:t>s</w:t>
      </w:r>
      <w:r w:rsidRPr="00D02074">
        <w:rPr>
          <w:rFonts w:ascii="Arial" w:hAnsi="Arial" w:cs="Arial"/>
        </w:rPr>
        <w:t xml:space="preserve">ed and widely quoted authority </w:t>
      </w:r>
      <w:proofErr w:type="gramStart"/>
      <w:r w:rsidRPr="00D02074">
        <w:rPr>
          <w:rFonts w:ascii="Arial" w:hAnsi="Arial" w:cs="Arial"/>
        </w:rPr>
        <w:t>in the area of</w:t>
      </w:r>
      <w:proofErr w:type="gramEnd"/>
      <w:r w:rsidRPr="00D02074">
        <w:rPr>
          <w:rFonts w:ascii="Arial" w:hAnsi="Arial" w:cs="Arial"/>
        </w:rPr>
        <w:t xml:space="preserve"> stakeholder priority.</w:t>
      </w:r>
      <w:r w:rsidR="00C74C78">
        <w:rPr>
          <w:rFonts w:ascii="Arial" w:hAnsi="Arial" w:cs="Arial"/>
        </w:rPr>
        <w:t xml:space="preserve"> The models will be explained and applied in the next sections.</w:t>
      </w:r>
    </w:p>
    <w:p w14:paraId="21350CD7" w14:textId="77777777" w:rsidR="00141886" w:rsidRPr="00D02074" w:rsidRDefault="00141886" w:rsidP="00D02074">
      <w:pPr>
        <w:spacing w:line="360" w:lineRule="auto"/>
        <w:jc w:val="both"/>
        <w:rPr>
          <w:rFonts w:ascii="Arial" w:hAnsi="Arial" w:cs="Arial"/>
        </w:rPr>
      </w:pPr>
    </w:p>
    <w:p w14:paraId="23EF8013" w14:textId="77777777" w:rsidR="00196CB0" w:rsidRDefault="001A7239" w:rsidP="00D02074">
      <w:pPr>
        <w:spacing w:line="360" w:lineRule="auto"/>
        <w:jc w:val="both"/>
        <w:rPr>
          <w:rFonts w:ascii="Arial" w:hAnsi="Arial" w:cs="Arial"/>
        </w:rPr>
      </w:pPr>
      <w:r w:rsidRPr="00D02074">
        <w:rPr>
          <w:rFonts w:ascii="Arial" w:hAnsi="Arial" w:cs="Arial"/>
        </w:rPr>
        <w:t xml:space="preserve">The model introduced by Mendelow illustrates different position of stakeholders according to their power and interest in the project outcome resulting in four management strategies: </w:t>
      </w:r>
    </w:p>
    <w:p w14:paraId="349334A3" w14:textId="3D7DF367" w:rsidR="00196CB0" w:rsidRPr="003531FE" w:rsidRDefault="001A7239" w:rsidP="003531FE">
      <w:pPr>
        <w:pStyle w:val="ListParagraph"/>
        <w:numPr>
          <w:ilvl w:val="0"/>
          <w:numId w:val="5"/>
        </w:numPr>
        <w:spacing w:line="360" w:lineRule="auto"/>
        <w:jc w:val="both"/>
        <w:rPr>
          <w:rFonts w:ascii="Arial" w:hAnsi="Arial" w:cs="Arial"/>
        </w:rPr>
      </w:pPr>
      <w:r w:rsidRPr="003531FE">
        <w:rPr>
          <w:rFonts w:ascii="Arial" w:hAnsi="Arial" w:cs="Arial"/>
        </w:rPr>
        <w:t>communicate intensively with these stakeholders</w:t>
      </w:r>
    </w:p>
    <w:p w14:paraId="1B7DEAE1" w14:textId="77777777" w:rsidR="00196CB0" w:rsidRPr="003531FE" w:rsidRDefault="001A7239" w:rsidP="003531FE">
      <w:pPr>
        <w:pStyle w:val="ListParagraph"/>
        <w:numPr>
          <w:ilvl w:val="0"/>
          <w:numId w:val="5"/>
        </w:numPr>
        <w:spacing w:line="360" w:lineRule="auto"/>
        <w:jc w:val="both"/>
        <w:rPr>
          <w:rFonts w:ascii="Arial" w:hAnsi="Arial" w:cs="Arial"/>
        </w:rPr>
      </w:pPr>
      <w:r w:rsidRPr="003531FE">
        <w:rPr>
          <w:rFonts w:ascii="Arial" w:hAnsi="Arial" w:cs="Arial"/>
        </w:rPr>
        <w:t>maintain good communication</w:t>
      </w:r>
    </w:p>
    <w:p w14:paraId="41B10295" w14:textId="77777777" w:rsidR="00196CB0" w:rsidRPr="003531FE" w:rsidRDefault="001A7239" w:rsidP="003531FE">
      <w:pPr>
        <w:pStyle w:val="ListParagraph"/>
        <w:numPr>
          <w:ilvl w:val="0"/>
          <w:numId w:val="5"/>
        </w:numPr>
        <w:spacing w:line="360" w:lineRule="auto"/>
        <w:jc w:val="both"/>
        <w:rPr>
          <w:rFonts w:ascii="Arial" w:hAnsi="Arial" w:cs="Arial"/>
        </w:rPr>
      </w:pPr>
      <w:r w:rsidRPr="003531FE">
        <w:rPr>
          <w:rFonts w:ascii="Arial" w:hAnsi="Arial" w:cs="Arial"/>
        </w:rPr>
        <w:t xml:space="preserve">provide them information </w:t>
      </w:r>
    </w:p>
    <w:p w14:paraId="582D65F7" w14:textId="7C7C3926" w:rsidR="00141886" w:rsidRPr="003531FE" w:rsidRDefault="00196CB0" w:rsidP="003531FE">
      <w:pPr>
        <w:pStyle w:val="ListParagraph"/>
        <w:numPr>
          <w:ilvl w:val="0"/>
          <w:numId w:val="5"/>
        </w:numPr>
        <w:spacing w:line="360" w:lineRule="auto"/>
        <w:jc w:val="both"/>
        <w:rPr>
          <w:rFonts w:ascii="Arial" w:hAnsi="Arial" w:cs="Arial"/>
        </w:rPr>
      </w:pPr>
      <w:r w:rsidRPr="003531FE">
        <w:rPr>
          <w:rFonts w:ascii="Arial" w:hAnsi="Arial" w:cs="Arial"/>
        </w:rPr>
        <w:t>check</w:t>
      </w:r>
      <w:r w:rsidR="001A7239" w:rsidRPr="003531FE">
        <w:rPr>
          <w:rFonts w:ascii="Arial" w:hAnsi="Arial" w:cs="Arial"/>
        </w:rPr>
        <w:t xml:space="preserve"> their actions.</w:t>
      </w:r>
    </w:p>
    <w:p w14:paraId="376EF04E" w14:textId="77777777" w:rsidR="00C77B14" w:rsidRPr="00D02074" w:rsidRDefault="00C77B14" w:rsidP="00D0207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819"/>
        <w:gridCol w:w="5234"/>
        <w:gridCol w:w="1963"/>
      </w:tblGrid>
      <w:tr w:rsidR="00366D3B" w:rsidRPr="00D02074" w14:paraId="40DB34B3" w14:textId="77777777" w:rsidTr="00366D3B">
        <w:tc>
          <w:tcPr>
            <w:tcW w:w="0" w:type="auto"/>
            <w:hideMark/>
          </w:tcPr>
          <w:p w14:paraId="368C9E36" w14:textId="77777777" w:rsidR="00366D3B" w:rsidRPr="00D02074" w:rsidRDefault="00366D3B" w:rsidP="00D02074">
            <w:pPr>
              <w:spacing w:line="360" w:lineRule="auto"/>
              <w:jc w:val="both"/>
              <w:rPr>
                <w:rFonts w:ascii="Arial" w:hAnsi="Arial" w:cs="Arial"/>
                <w:b/>
                <w:bCs/>
              </w:rPr>
            </w:pPr>
            <w:r w:rsidRPr="00D02074">
              <w:rPr>
                <w:rFonts w:ascii="Arial" w:hAnsi="Arial" w:cs="Arial"/>
                <w:b/>
                <w:bCs/>
              </w:rPr>
              <w:t>Quadrant</w:t>
            </w:r>
          </w:p>
        </w:tc>
        <w:tc>
          <w:tcPr>
            <w:tcW w:w="0" w:type="auto"/>
            <w:hideMark/>
          </w:tcPr>
          <w:p w14:paraId="4B9E4C84" w14:textId="77777777" w:rsidR="00366D3B" w:rsidRPr="00D02074" w:rsidRDefault="00366D3B" w:rsidP="00D02074">
            <w:pPr>
              <w:spacing w:line="360" w:lineRule="auto"/>
              <w:jc w:val="both"/>
              <w:rPr>
                <w:rFonts w:ascii="Arial" w:hAnsi="Arial" w:cs="Arial"/>
                <w:b/>
                <w:bCs/>
              </w:rPr>
            </w:pPr>
            <w:r w:rsidRPr="00D02074">
              <w:rPr>
                <w:rFonts w:ascii="Arial" w:hAnsi="Arial" w:cs="Arial"/>
                <w:b/>
                <w:bCs/>
              </w:rPr>
              <w:t>Stakeholders</w:t>
            </w:r>
          </w:p>
        </w:tc>
        <w:tc>
          <w:tcPr>
            <w:tcW w:w="0" w:type="auto"/>
            <w:hideMark/>
          </w:tcPr>
          <w:p w14:paraId="12EA480F" w14:textId="77777777" w:rsidR="00366D3B" w:rsidRPr="00D02074" w:rsidRDefault="00366D3B" w:rsidP="00D02074">
            <w:pPr>
              <w:spacing w:line="360" w:lineRule="auto"/>
              <w:jc w:val="both"/>
              <w:rPr>
                <w:rFonts w:ascii="Arial" w:hAnsi="Arial" w:cs="Arial"/>
                <w:b/>
                <w:bCs/>
              </w:rPr>
            </w:pPr>
            <w:r w:rsidRPr="00D02074">
              <w:rPr>
                <w:rFonts w:ascii="Arial" w:hAnsi="Arial" w:cs="Arial"/>
                <w:b/>
                <w:bCs/>
              </w:rPr>
              <w:t>Engagement posture</w:t>
            </w:r>
          </w:p>
        </w:tc>
      </w:tr>
      <w:tr w:rsidR="00366D3B" w:rsidRPr="00D02074" w14:paraId="2F4C0C1F" w14:textId="77777777" w:rsidTr="00366D3B">
        <w:tc>
          <w:tcPr>
            <w:tcW w:w="0" w:type="auto"/>
            <w:hideMark/>
          </w:tcPr>
          <w:p w14:paraId="34819B48" w14:textId="77777777" w:rsidR="00366D3B" w:rsidRPr="00D02074" w:rsidRDefault="00366D3B" w:rsidP="00D02074">
            <w:pPr>
              <w:spacing w:line="360" w:lineRule="auto"/>
              <w:jc w:val="both"/>
              <w:rPr>
                <w:rFonts w:ascii="Arial" w:hAnsi="Arial" w:cs="Arial"/>
              </w:rPr>
            </w:pPr>
            <w:r w:rsidRPr="00D02074">
              <w:rPr>
                <w:rFonts w:ascii="Arial" w:hAnsi="Arial" w:cs="Arial"/>
              </w:rPr>
              <w:t>High power / high interest</w:t>
            </w:r>
          </w:p>
        </w:tc>
        <w:tc>
          <w:tcPr>
            <w:tcW w:w="0" w:type="auto"/>
            <w:hideMark/>
          </w:tcPr>
          <w:p w14:paraId="6B2EF457" w14:textId="77777777" w:rsidR="00366D3B" w:rsidRPr="00D02074" w:rsidRDefault="00366D3B" w:rsidP="00D02074">
            <w:pPr>
              <w:spacing w:line="360" w:lineRule="auto"/>
              <w:jc w:val="both"/>
              <w:rPr>
                <w:rFonts w:ascii="Arial" w:hAnsi="Arial" w:cs="Arial"/>
              </w:rPr>
            </w:pPr>
            <w:r w:rsidRPr="00D02074">
              <w:rPr>
                <w:rFonts w:ascii="Arial" w:hAnsi="Arial" w:cs="Arial"/>
              </w:rPr>
              <w:t>Board of Directors, Executive Committee, Product Development, IT/Data teams, key strategic suppliers</w:t>
            </w:r>
          </w:p>
        </w:tc>
        <w:tc>
          <w:tcPr>
            <w:tcW w:w="0" w:type="auto"/>
            <w:hideMark/>
          </w:tcPr>
          <w:p w14:paraId="0360AFFC" w14:textId="77777777" w:rsidR="00366D3B" w:rsidRPr="00D02074" w:rsidRDefault="00366D3B" w:rsidP="00D02074">
            <w:pPr>
              <w:spacing w:line="360" w:lineRule="auto"/>
              <w:jc w:val="both"/>
              <w:rPr>
                <w:rFonts w:ascii="Arial" w:hAnsi="Arial" w:cs="Arial"/>
              </w:rPr>
            </w:pPr>
            <w:r w:rsidRPr="00D02074">
              <w:rPr>
                <w:rFonts w:ascii="Arial" w:hAnsi="Arial" w:cs="Arial"/>
              </w:rPr>
              <w:t>Manage closely</w:t>
            </w:r>
          </w:p>
        </w:tc>
      </w:tr>
      <w:tr w:rsidR="00366D3B" w:rsidRPr="00D02074" w14:paraId="62C875ED" w14:textId="77777777" w:rsidTr="00366D3B">
        <w:tc>
          <w:tcPr>
            <w:tcW w:w="0" w:type="auto"/>
            <w:hideMark/>
          </w:tcPr>
          <w:p w14:paraId="1379D63C" w14:textId="77777777" w:rsidR="00366D3B" w:rsidRPr="00D02074" w:rsidRDefault="00366D3B" w:rsidP="00D02074">
            <w:pPr>
              <w:spacing w:line="360" w:lineRule="auto"/>
              <w:jc w:val="both"/>
              <w:rPr>
                <w:rFonts w:ascii="Arial" w:hAnsi="Arial" w:cs="Arial"/>
              </w:rPr>
            </w:pPr>
            <w:r w:rsidRPr="00D02074">
              <w:rPr>
                <w:rFonts w:ascii="Arial" w:hAnsi="Arial" w:cs="Arial"/>
              </w:rPr>
              <w:t>High power / low interest</w:t>
            </w:r>
          </w:p>
        </w:tc>
        <w:tc>
          <w:tcPr>
            <w:tcW w:w="0" w:type="auto"/>
            <w:hideMark/>
          </w:tcPr>
          <w:p w14:paraId="441C6E86" w14:textId="77777777" w:rsidR="00366D3B" w:rsidRPr="00D02074" w:rsidRDefault="00366D3B" w:rsidP="00D02074">
            <w:pPr>
              <w:spacing w:line="360" w:lineRule="auto"/>
              <w:jc w:val="both"/>
              <w:rPr>
                <w:rFonts w:ascii="Arial" w:hAnsi="Arial" w:cs="Arial"/>
              </w:rPr>
            </w:pPr>
            <w:r w:rsidRPr="00D02074">
              <w:rPr>
                <w:rFonts w:ascii="Arial" w:hAnsi="Arial" w:cs="Arial"/>
              </w:rPr>
              <w:t>Institutional investors, UK Financial Reporting Council governance requirements, regulators (ICO, GDPR authorities)</w:t>
            </w:r>
          </w:p>
        </w:tc>
        <w:tc>
          <w:tcPr>
            <w:tcW w:w="0" w:type="auto"/>
            <w:hideMark/>
          </w:tcPr>
          <w:p w14:paraId="11C8E366" w14:textId="77777777" w:rsidR="00366D3B" w:rsidRPr="00D02074" w:rsidRDefault="00366D3B" w:rsidP="00D02074">
            <w:pPr>
              <w:spacing w:line="360" w:lineRule="auto"/>
              <w:jc w:val="both"/>
              <w:rPr>
                <w:rFonts w:ascii="Arial" w:hAnsi="Arial" w:cs="Arial"/>
              </w:rPr>
            </w:pPr>
            <w:r w:rsidRPr="00D02074">
              <w:rPr>
                <w:rFonts w:ascii="Arial" w:hAnsi="Arial" w:cs="Arial"/>
              </w:rPr>
              <w:t>Keep satisfied</w:t>
            </w:r>
          </w:p>
        </w:tc>
      </w:tr>
      <w:tr w:rsidR="00366D3B" w:rsidRPr="00D02074" w14:paraId="3591448A" w14:textId="77777777" w:rsidTr="00366D3B">
        <w:tc>
          <w:tcPr>
            <w:tcW w:w="0" w:type="auto"/>
            <w:hideMark/>
          </w:tcPr>
          <w:p w14:paraId="3F60F5F1" w14:textId="77777777" w:rsidR="00366D3B" w:rsidRPr="00D02074" w:rsidRDefault="00366D3B" w:rsidP="00D02074">
            <w:pPr>
              <w:spacing w:line="360" w:lineRule="auto"/>
              <w:jc w:val="both"/>
              <w:rPr>
                <w:rFonts w:ascii="Arial" w:hAnsi="Arial" w:cs="Arial"/>
              </w:rPr>
            </w:pPr>
            <w:r w:rsidRPr="00D02074">
              <w:rPr>
                <w:rFonts w:ascii="Arial" w:hAnsi="Arial" w:cs="Arial"/>
              </w:rPr>
              <w:lastRenderedPageBreak/>
              <w:t>Low power / high interest</w:t>
            </w:r>
          </w:p>
        </w:tc>
        <w:tc>
          <w:tcPr>
            <w:tcW w:w="0" w:type="auto"/>
            <w:hideMark/>
          </w:tcPr>
          <w:p w14:paraId="05C7E729" w14:textId="77777777" w:rsidR="00366D3B" w:rsidRPr="00D02074" w:rsidRDefault="00366D3B" w:rsidP="00D02074">
            <w:pPr>
              <w:spacing w:line="360" w:lineRule="auto"/>
              <w:jc w:val="both"/>
              <w:rPr>
                <w:rFonts w:ascii="Arial" w:hAnsi="Arial" w:cs="Arial"/>
              </w:rPr>
            </w:pPr>
            <w:r w:rsidRPr="00D02074">
              <w:rPr>
                <w:rFonts w:ascii="Arial" w:hAnsi="Arial" w:cs="Arial"/>
              </w:rPr>
              <w:t>Frontline customer service, marketing teams, loyalty-scheme customers, ASOS own-brand suppliers</w:t>
            </w:r>
          </w:p>
        </w:tc>
        <w:tc>
          <w:tcPr>
            <w:tcW w:w="0" w:type="auto"/>
            <w:hideMark/>
          </w:tcPr>
          <w:p w14:paraId="60FBC3BE" w14:textId="77777777" w:rsidR="00366D3B" w:rsidRPr="00D02074" w:rsidRDefault="00366D3B" w:rsidP="00D02074">
            <w:pPr>
              <w:spacing w:line="360" w:lineRule="auto"/>
              <w:jc w:val="both"/>
              <w:rPr>
                <w:rFonts w:ascii="Arial" w:hAnsi="Arial" w:cs="Arial"/>
              </w:rPr>
            </w:pPr>
            <w:r w:rsidRPr="00D02074">
              <w:rPr>
                <w:rFonts w:ascii="Arial" w:hAnsi="Arial" w:cs="Arial"/>
              </w:rPr>
              <w:t>Keep informed</w:t>
            </w:r>
          </w:p>
        </w:tc>
      </w:tr>
      <w:tr w:rsidR="00366D3B" w:rsidRPr="00D02074" w14:paraId="5D7AE67C" w14:textId="77777777" w:rsidTr="00366D3B">
        <w:tc>
          <w:tcPr>
            <w:tcW w:w="0" w:type="auto"/>
            <w:hideMark/>
          </w:tcPr>
          <w:p w14:paraId="20FF26EB" w14:textId="77777777" w:rsidR="00366D3B" w:rsidRPr="00D02074" w:rsidRDefault="00366D3B" w:rsidP="00D02074">
            <w:pPr>
              <w:spacing w:line="360" w:lineRule="auto"/>
              <w:jc w:val="both"/>
              <w:rPr>
                <w:rFonts w:ascii="Arial" w:hAnsi="Arial" w:cs="Arial"/>
              </w:rPr>
            </w:pPr>
            <w:r w:rsidRPr="00D02074">
              <w:rPr>
                <w:rFonts w:ascii="Arial" w:hAnsi="Arial" w:cs="Arial"/>
              </w:rPr>
              <w:t>Low power / low interest</w:t>
            </w:r>
          </w:p>
        </w:tc>
        <w:tc>
          <w:tcPr>
            <w:tcW w:w="0" w:type="auto"/>
            <w:hideMark/>
          </w:tcPr>
          <w:p w14:paraId="7784D577" w14:textId="77777777" w:rsidR="00366D3B" w:rsidRPr="00D02074" w:rsidRDefault="00366D3B" w:rsidP="00D02074">
            <w:pPr>
              <w:spacing w:line="360" w:lineRule="auto"/>
              <w:jc w:val="both"/>
              <w:rPr>
                <w:rFonts w:ascii="Arial" w:hAnsi="Arial" w:cs="Arial"/>
              </w:rPr>
            </w:pPr>
            <w:r w:rsidRPr="00D02074">
              <w:rPr>
                <w:rFonts w:ascii="Arial" w:hAnsi="Arial" w:cs="Arial"/>
              </w:rPr>
              <w:t>General press, peripheral third-party sellers, non-active customer segments</w:t>
            </w:r>
          </w:p>
        </w:tc>
        <w:tc>
          <w:tcPr>
            <w:tcW w:w="0" w:type="auto"/>
            <w:hideMark/>
          </w:tcPr>
          <w:p w14:paraId="3DFE3D1A" w14:textId="77777777" w:rsidR="00366D3B" w:rsidRPr="00D02074" w:rsidRDefault="00366D3B" w:rsidP="00D02074">
            <w:pPr>
              <w:spacing w:line="360" w:lineRule="auto"/>
              <w:jc w:val="both"/>
              <w:rPr>
                <w:rFonts w:ascii="Arial" w:hAnsi="Arial" w:cs="Arial"/>
              </w:rPr>
            </w:pPr>
            <w:r w:rsidRPr="00D02074">
              <w:rPr>
                <w:rFonts w:ascii="Arial" w:hAnsi="Arial" w:cs="Arial"/>
              </w:rPr>
              <w:t>Monitor</w:t>
            </w:r>
          </w:p>
        </w:tc>
      </w:tr>
    </w:tbl>
    <w:p w14:paraId="14CCC1A2" w14:textId="77777777" w:rsidR="00C77B14" w:rsidRPr="00D02074" w:rsidRDefault="00C77B14" w:rsidP="00D02074">
      <w:pPr>
        <w:spacing w:line="360" w:lineRule="auto"/>
        <w:jc w:val="both"/>
        <w:rPr>
          <w:rFonts w:ascii="Arial" w:hAnsi="Arial" w:cs="Arial"/>
        </w:rPr>
      </w:pPr>
    </w:p>
    <w:p w14:paraId="32BF9291" w14:textId="747CB199" w:rsidR="00307624" w:rsidRPr="00D02074" w:rsidRDefault="00366D3B" w:rsidP="00D02074">
      <w:pPr>
        <w:spacing w:line="360" w:lineRule="auto"/>
        <w:jc w:val="both"/>
        <w:rPr>
          <w:rFonts w:ascii="Arial" w:hAnsi="Arial" w:cs="Arial"/>
          <w:b/>
          <w:bCs/>
        </w:rPr>
      </w:pPr>
      <w:r w:rsidRPr="00D02074">
        <w:rPr>
          <w:rFonts w:ascii="Arial" w:hAnsi="Arial" w:cs="Arial"/>
          <w:b/>
          <w:bCs/>
        </w:rPr>
        <w:t>Table 2: Interest Matrix (Source: self-created)</w:t>
      </w:r>
    </w:p>
    <w:p w14:paraId="5D9E5DEC" w14:textId="77777777" w:rsidR="00366D3B" w:rsidRPr="00D02074" w:rsidRDefault="00366D3B" w:rsidP="00D02074">
      <w:pPr>
        <w:spacing w:line="360" w:lineRule="auto"/>
        <w:jc w:val="both"/>
        <w:rPr>
          <w:rFonts w:ascii="Arial" w:hAnsi="Arial" w:cs="Arial"/>
        </w:rPr>
      </w:pPr>
    </w:p>
    <w:p w14:paraId="7703E8B4" w14:textId="51163129" w:rsidR="00366D3B" w:rsidRPr="00D02074" w:rsidRDefault="00B40CB4" w:rsidP="00D02074">
      <w:pPr>
        <w:spacing w:line="360" w:lineRule="auto"/>
        <w:jc w:val="both"/>
        <w:rPr>
          <w:rFonts w:ascii="Arial" w:hAnsi="Arial" w:cs="Arial"/>
        </w:rPr>
      </w:pPr>
      <w:r w:rsidRPr="00D02074">
        <w:rPr>
          <w:rFonts w:ascii="Arial" w:hAnsi="Arial" w:cs="Arial"/>
        </w:rPr>
        <w:t xml:space="preserve">Mapping </w:t>
      </w:r>
      <w:r w:rsidR="005C1391">
        <w:rPr>
          <w:rFonts w:ascii="Arial" w:hAnsi="Arial" w:cs="Arial"/>
        </w:rPr>
        <w:t xml:space="preserve">as shown in </w:t>
      </w:r>
      <w:r w:rsidR="005C1391" w:rsidRPr="00446C20">
        <w:rPr>
          <w:rFonts w:ascii="Arial" w:hAnsi="Arial" w:cs="Arial"/>
          <w:i/>
          <w:iCs/>
        </w:rPr>
        <w:t>Table 2</w:t>
      </w:r>
      <w:r w:rsidRPr="00D02074">
        <w:rPr>
          <w:rFonts w:ascii="Arial" w:hAnsi="Arial" w:cs="Arial"/>
        </w:rPr>
        <w:t xml:space="preserve"> has some value</w:t>
      </w:r>
      <w:r w:rsidR="005C1391">
        <w:rPr>
          <w:rFonts w:ascii="Arial" w:hAnsi="Arial" w:cs="Arial"/>
        </w:rPr>
        <w:t>. H</w:t>
      </w:r>
      <w:r w:rsidRPr="00D02074">
        <w:rPr>
          <w:rFonts w:ascii="Arial" w:hAnsi="Arial" w:cs="Arial"/>
        </w:rPr>
        <w:t>owever, the disadvantage is that it treats the matter of power and attention as static factors instead of treating them as the mechanisms that fail to remain unchanged over time</w:t>
      </w:r>
      <w:r w:rsidR="006911E8">
        <w:rPr>
          <w:rFonts w:ascii="Arial" w:hAnsi="Arial" w:cs="Arial"/>
        </w:rPr>
        <w:t xml:space="preserve">. </w:t>
      </w:r>
      <w:proofErr w:type="gramStart"/>
      <w:r w:rsidR="006911E8">
        <w:rPr>
          <w:rFonts w:ascii="Arial" w:hAnsi="Arial" w:cs="Arial"/>
        </w:rPr>
        <w:t>I</w:t>
      </w:r>
      <w:r w:rsidRPr="00D02074">
        <w:rPr>
          <w:rFonts w:ascii="Arial" w:hAnsi="Arial" w:cs="Arial"/>
        </w:rPr>
        <w:t>n particular, there</w:t>
      </w:r>
      <w:proofErr w:type="gramEnd"/>
      <w:r w:rsidRPr="00D02074">
        <w:rPr>
          <w:rFonts w:ascii="Arial" w:hAnsi="Arial" w:cs="Arial"/>
        </w:rPr>
        <w:t xml:space="preserve"> will be a significant change during the course of a project</w:t>
      </w:r>
      <w:r w:rsidR="000A4E5C">
        <w:rPr>
          <w:rFonts w:ascii="Arial" w:hAnsi="Arial" w:cs="Arial"/>
        </w:rPr>
        <w:t xml:space="preserve"> (for instance, </w:t>
      </w:r>
      <w:r w:rsidRPr="00D02074">
        <w:rPr>
          <w:rFonts w:ascii="Arial" w:hAnsi="Arial" w:cs="Arial"/>
        </w:rPr>
        <w:t>data regulators will switch from the category of "keep satisfied" to that of "manage closely" at the moment the company begins personali</w:t>
      </w:r>
      <w:r w:rsidR="000A4E5C">
        <w:rPr>
          <w:rFonts w:ascii="Arial" w:hAnsi="Arial" w:cs="Arial"/>
        </w:rPr>
        <w:t>s</w:t>
      </w:r>
      <w:r w:rsidRPr="00D02074">
        <w:rPr>
          <w:rFonts w:ascii="Arial" w:hAnsi="Arial" w:cs="Arial"/>
        </w:rPr>
        <w:t>ing</w:t>
      </w:r>
      <w:r w:rsidR="00755978">
        <w:rPr>
          <w:rFonts w:ascii="Arial" w:hAnsi="Arial" w:cs="Arial"/>
        </w:rPr>
        <w:t xml:space="preserve"> its approach</w:t>
      </w:r>
      <w:r w:rsidR="000A4E5C">
        <w:rPr>
          <w:rFonts w:ascii="Arial" w:hAnsi="Arial" w:cs="Arial"/>
        </w:rPr>
        <w:t>)</w:t>
      </w:r>
      <w:r w:rsidRPr="00D02074">
        <w:rPr>
          <w:rFonts w:ascii="Arial" w:hAnsi="Arial" w:cs="Arial"/>
        </w:rPr>
        <w:t xml:space="preserve"> (Information Commissioner's Office, 2023). The Salience Model avoids the above-mentioned disadvantage by using three scales to determine the influence of stakeholders on any project: power, legitimacy, and urgency; as a result, it is possible to find out the different groups of stakeholders by using that information</w:t>
      </w:r>
      <w:r w:rsidR="00627FA0">
        <w:rPr>
          <w:rFonts w:ascii="Arial" w:hAnsi="Arial" w:cs="Arial"/>
        </w:rPr>
        <w:t xml:space="preserve"> </w:t>
      </w:r>
      <w:r w:rsidR="00627FA0" w:rsidRPr="00D02074">
        <w:rPr>
          <w:rFonts w:ascii="Arial" w:hAnsi="Arial" w:cs="Arial"/>
        </w:rPr>
        <w:t>(Wood et al., 2021)</w:t>
      </w:r>
      <w:r w:rsidR="00CA3EB6">
        <w:rPr>
          <w:rFonts w:ascii="Arial" w:hAnsi="Arial" w:cs="Arial"/>
        </w:rPr>
        <w:t xml:space="preserve">. For example, this can mean </w:t>
      </w:r>
      <w:r w:rsidRPr="00D02074">
        <w:rPr>
          <w:rFonts w:ascii="Arial" w:hAnsi="Arial" w:cs="Arial"/>
        </w:rPr>
        <w:t>the executive board can be defined as the "definitive" group (one characterized by having all three components) or the "dormant" group (possessing only one factor) (Wood et al., 2021). According to this model, at the beginning of the project, the executive board represent the group of "definitive" stakeholders while data protection agencies may reach this category if urgency is involved</w:t>
      </w:r>
      <w:r w:rsidR="00CB5017">
        <w:rPr>
          <w:rFonts w:ascii="Arial" w:hAnsi="Arial" w:cs="Arial"/>
        </w:rPr>
        <w:t>. A</w:t>
      </w:r>
      <w:r w:rsidRPr="00D02074">
        <w:rPr>
          <w:rFonts w:ascii="Arial" w:hAnsi="Arial" w:cs="Arial"/>
        </w:rPr>
        <w:t>s for the customers, they usually belong to the group of "dependent" stakeholders in case they remain loyal to the brand as having only one factor of either urgency or legitimacy.</w:t>
      </w:r>
    </w:p>
    <w:p w14:paraId="33728BA5" w14:textId="77777777" w:rsidR="009F7E61" w:rsidRPr="00D02074" w:rsidRDefault="009F7E61" w:rsidP="00D02074">
      <w:pPr>
        <w:spacing w:line="360" w:lineRule="auto"/>
        <w:jc w:val="both"/>
        <w:rPr>
          <w:rFonts w:ascii="Arial" w:hAnsi="Arial" w:cs="Arial"/>
        </w:rPr>
      </w:pPr>
    </w:p>
    <w:p w14:paraId="3518E4CF" w14:textId="77777777" w:rsidR="00994F33" w:rsidRDefault="009E200C" w:rsidP="00D02074">
      <w:pPr>
        <w:spacing w:line="360" w:lineRule="auto"/>
        <w:jc w:val="both"/>
        <w:rPr>
          <w:rFonts w:ascii="Arial" w:hAnsi="Arial" w:cs="Arial"/>
        </w:rPr>
      </w:pPr>
      <w:proofErr w:type="spellStart"/>
      <w:r w:rsidRPr="00D02074">
        <w:rPr>
          <w:rFonts w:ascii="Arial" w:hAnsi="Arial" w:cs="Arial"/>
        </w:rPr>
        <w:t>ConnectPlus’s</w:t>
      </w:r>
      <w:proofErr w:type="spellEnd"/>
      <w:r w:rsidRPr="00D02074">
        <w:rPr>
          <w:rFonts w:ascii="Arial" w:hAnsi="Arial" w:cs="Arial"/>
        </w:rPr>
        <w:t xml:space="preserve"> internal stakeholders are composed of the different teams which include</w:t>
      </w:r>
      <w:r w:rsidR="00994F33">
        <w:rPr>
          <w:rFonts w:ascii="Arial" w:hAnsi="Arial" w:cs="Arial"/>
        </w:rPr>
        <w:t>:</w:t>
      </w:r>
    </w:p>
    <w:p w14:paraId="6121CCA4" w14:textId="77777777" w:rsidR="00994F33" w:rsidRPr="00BD05E1" w:rsidRDefault="009E200C" w:rsidP="00BD05E1">
      <w:pPr>
        <w:pStyle w:val="ListParagraph"/>
        <w:numPr>
          <w:ilvl w:val="0"/>
          <w:numId w:val="6"/>
        </w:numPr>
        <w:spacing w:line="360" w:lineRule="auto"/>
        <w:jc w:val="both"/>
        <w:rPr>
          <w:rFonts w:ascii="Arial" w:hAnsi="Arial" w:cs="Arial"/>
        </w:rPr>
      </w:pPr>
      <w:r w:rsidRPr="00BD05E1">
        <w:rPr>
          <w:rFonts w:ascii="Arial" w:hAnsi="Arial" w:cs="Arial"/>
        </w:rPr>
        <w:t>the ones from the Board and Executive Committee that risk-take and sponsor the strategy</w:t>
      </w:r>
    </w:p>
    <w:p w14:paraId="76F99C07" w14:textId="77777777" w:rsidR="00994F33" w:rsidRPr="00BD05E1" w:rsidRDefault="009E200C" w:rsidP="00BD05E1">
      <w:pPr>
        <w:pStyle w:val="ListParagraph"/>
        <w:numPr>
          <w:ilvl w:val="0"/>
          <w:numId w:val="6"/>
        </w:numPr>
        <w:spacing w:line="360" w:lineRule="auto"/>
        <w:jc w:val="both"/>
        <w:rPr>
          <w:rFonts w:ascii="Arial" w:hAnsi="Arial" w:cs="Arial"/>
        </w:rPr>
      </w:pPr>
      <w:r w:rsidRPr="00BD05E1">
        <w:rPr>
          <w:rFonts w:ascii="Arial" w:hAnsi="Arial" w:cs="Arial"/>
        </w:rPr>
        <w:t xml:space="preserve">product development and UX teams that will be involved in platform design and data science </w:t>
      </w:r>
    </w:p>
    <w:p w14:paraId="69E86659" w14:textId="77777777" w:rsidR="00994F33" w:rsidRPr="00BD05E1" w:rsidRDefault="009E200C" w:rsidP="00BD05E1">
      <w:pPr>
        <w:pStyle w:val="ListParagraph"/>
        <w:numPr>
          <w:ilvl w:val="0"/>
          <w:numId w:val="6"/>
        </w:numPr>
        <w:spacing w:line="360" w:lineRule="auto"/>
        <w:jc w:val="both"/>
        <w:rPr>
          <w:rFonts w:ascii="Arial" w:hAnsi="Arial" w:cs="Arial"/>
        </w:rPr>
      </w:pPr>
      <w:r w:rsidRPr="00BD05E1">
        <w:rPr>
          <w:rFonts w:ascii="Arial" w:hAnsi="Arial" w:cs="Arial"/>
        </w:rPr>
        <w:lastRenderedPageBreak/>
        <w:t xml:space="preserve">IT security departments that are responsible for the recommendations based on AI and data governance </w:t>
      </w:r>
    </w:p>
    <w:p w14:paraId="21E4FE66" w14:textId="77777777" w:rsidR="003D2884" w:rsidRPr="00BD05E1" w:rsidRDefault="009E200C" w:rsidP="00BD05E1">
      <w:pPr>
        <w:pStyle w:val="ListParagraph"/>
        <w:numPr>
          <w:ilvl w:val="0"/>
          <w:numId w:val="6"/>
        </w:numPr>
        <w:spacing w:line="360" w:lineRule="auto"/>
        <w:jc w:val="both"/>
        <w:rPr>
          <w:rFonts w:ascii="Arial" w:hAnsi="Arial" w:cs="Arial"/>
        </w:rPr>
      </w:pPr>
      <w:r w:rsidRPr="00BD05E1">
        <w:rPr>
          <w:rFonts w:ascii="Arial" w:hAnsi="Arial" w:cs="Arial"/>
        </w:rPr>
        <w:t xml:space="preserve">marketing and CRM teams </w:t>
      </w:r>
      <w:r w:rsidR="00994F33" w:rsidRPr="00BD05E1">
        <w:rPr>
          <w:rFonts w:ascii="Arial" w:hAnsi="Arial" w:cs="Arial"/>
        </w:rPr>
        <w:t>responsible for</w:t>
      </w:r>
      <w:r w:rsidRPr="00BD05E1">
        <w:rPr>
          <w:rFonts w:ascii="Arial" w:hAnsi="Arial" w:cs="Arial"/>
        </w:rPr>
        <w:t xml:space="preserve"> implementation of campaigns and communications, customer service in work with clients</w:t>
      </w:r>
    </w:p>
    <w:p w14:paraId="4E7499FE" w14:textId="77777777" w:rsidR="003D2884" w:rsidRPr="00BD05E1" w:rsidRDefault="009E200C" w:rsidP="00BD05E1">
      <w:pPr>
        <w:pStyle w:val="ListParagraph"/>
        <w:numPr>
          <w:ilvl w:val="0"/>
          <w:numId w:val="6"/>
        </w:numPr>
        <w:spacing w:line="360" w:lineRule="auto"/>
        <w:jc w:val="both"/>
        <w:rPr>
          <w:rFonts w:ascii="Arial" w:hAnsi="Arial" w:cs="Arial"/>
        </w:rPr>
      </w:pPr>
      <w:r w:rsidRPr="00BD05E1">
        <w:rPr>
          <w:rFonts w:ascii="Arial" w:hAnsi="Arial" w:cs="Arial"/>
        </w:rPr>
        <w:t>finance team in relation to costing and rewards and employees who are supposed to adapt to new systems and processes (</w:t>
      </w:r>
      <w:proofErr w:type="spellStart"/>
      <w:r w:rsidRPr="00BD05E1">
        <w:rPr>
          <w:rFonts w:ascii="Arial" w:hAnsi="Arial" w:cs="Arial"/>
        </w:rPr>
        <w:t>Tkalac</w:t>
      </w:r>
      <w:proofErr w:type="spellEnd"/>
      <w:r w:rsidRPr="00BD05E1">
        <w:rPr>
          <w:rFonts w:ascii="Arial" w:hAnsi="Arial" w:cs="Arial"/>
        </w:rPr>
        <w:t xml:space="preserve"> </w:t>
      </w:r>
      <w:proofErr w:type="spellStart"/>
      <w:r w:rsidRPr="00BD05E1">
        <w:rPr>
          <w:rFonts w:ascii="Arial" w:hAnsi="Arial" w:cs="Arial"/>
        </w:rPr>
        <w:t>Verčič</w:t>
      </w:r>
      <w:proofErr w:type="spellEnd"/>
      <w:r w:rsidRPr="00BD05E1">
        <w:rPr>
          <w:rFonts w:ascii="Arial" w:hAnsi="Arial" w:cs="Arial"/>
        </w:rPr>
        <w:t xml:space="preserve"> and Men, 2023). </w:t>
      </w:r>
    </w:p>
    <w:p w14:paraId="64008859" w14:textId="77777777" w:rsidR="003D2884" w:rsidRDefault="003D2884" w:rsidP="00D02074">
      <w:pPr>
        <w:spacing w:line="360" w:lineRule="auto"/>
        <w:jc w:val="both"/>
        <w:rPr>
          <w:rFonts w:ascii="Arial" w:hAnsi="Arial" w:cs="Arial"/>
        </w:rPr>
      </w:pPr>
    </w:p>
    <w:p w14:paraId="3611B5C0" w14:textId="6A449477" w:rsidR="009F7E61" w:rsidRPr="00D02074" w:rsidRDefault="009E200C" w:rsidP="00D02074">
      <w:pPr>
        <w:spacing w:line="360" w:lineRule="auto"/>
        <w:jc w:val="both"/>
        <w:rPr>
          <w:rFonts w:ascii="Arial" w:hAnsi="Arial" w:cs="Arial"/>
        </w:rPr>
      </w:pPr>
      <w:r w:rsidRPr="00D02074">
        <w:rPr>
          <w:rFonts w:ascii="Arial" w:hAnsi="Arial" w:cs="Arial"/>
        </w:rPr>
        <w:t xml:space="preserve">At the same time, external stakeholders include around 17 million customers across the markets of ASOS, own-brand and third-party suppliers who are likely to adopt the reward system, partners in logistics and fulfilment, IT vendors in regards to delivery of AI systems, investors interested in capital allocations, regulators who will supervise adherence to existing laws related to data and consumer protection and last but not least NGOs and media interested in ethical dilemmas of the ASOS supply chain (Arrigo, 2020). Considering the number of the stakeholders involved it is evident that the project of </w:t>
      </w:r>
      <w:proofErr w:type="spellStart"/>
      <w:r w:rsidRPr="00D02074">
        <w:rPr>
          <w:rFonts w:ascii="Arial" w:hAnsi="Arial" w:cs="Arial"/>
        </w:rPr>
        <w:t>ConnectPlus</w:t>
      </w:r>
      <w:proofErr w:type="spellEnd"/>
      <w:r w:rsidRPr="00D02074">
        <w:rPr>
          <w:rFonts w:ascii="Arial" w:hAnsi="Arial" w:cs="Arial"/>
        </w:rPr>
        <w:t xml:space="preserve"> cannot be simply treated as a new marketing initiative of a separate department but rather as cross-functional and multinational project requiring coordination (</w:t>
      </w:r>
      <w:proofErr w:type="spellStart"/>
      <w:r w:rsidRPr="00D02074">
        <w:rPr>
          <w:rFonts w:ascii="Arial" w:hAnsi="Arial" w:cs="Arial"/>
        </w:rPr>
        <w:t>Hoblos</w:t>
      </w:r>
      <w:proofErr w:type="spellEnd"/>
      <w:r w:rsidRPr="00D02074">
        <w:rPr>
          <w:rFonts w:ascii="Arial" w:hAnsi="Arial" w:cs="Arial"/>
        </w:rPr>
        <w:t>, Sandeep and Pan, 2024).</w:t>
      </w:r>
    </w:p>
    <w:p w14:paraId="356ABA77" w14:textId="77777777" w:rsidR="007C163C" w:rsidRPr="00D02074" w:rsidRDefault="007C163C" w:rsidP="00D02074">
      <w:pPr>
        <w:spacing w:line="360" w:lineRule="auto"/>
        <w:jc w:val="both"/>
        <w:rPr>
          <w:rFonts w:ascii="Arial" w:hAnsi="Arial" w:cs="Arial"/>
        </w:rPr>
      </w:pPr>
    </w:p>
    <w:p w14:paraId="03AC53F8" w14:textId="4DBCCC6C" w:rsidR="007C163C" w:rsidRPr="00D02074" w:rsidRDefault="00CB633E" w:rsidP="00D02074">
      <w:pPr>
        <w:pStyle w:val="Heading1"/>
        <w:spacing w:line="360" w:lineRule="auto"/>
        <w:jc w:val="both"/>
        <w:rPr>
          <w:rFonts w:ascii="Arial" w:hAnsi="Arial" w:cs="Arial"/>
          <w:b/>
          <w:bCs/>
          <w:sz w:val="24"/>
          <w:szCs w:val="24"/>
        </w:rPr>
      </w:pPr>
      <w:bookmarkStart w:id="3" w:name="_Toc237853473"/>
      <w:r w:rsidRPr="00D02074">
        <w:rPr>
          <w:rFonts w:ascii="Arial" w:hAnsi="Arial" w:cs="Arial"/>
          <w:b/>
          <w:bCs/>
          <w:sz w:val="24"/>
          <w:szCs w:val="24"/>
        </w:rPr>
        <w:t>4. Roles, Responsibilities, Benefits and Challenges of Key Stakeholders</w:t>
      </w:r>
      <w:bookmarkEnd w:id="3"/>
    </w:p>
    <w:p w14:paraId="3D6203FD" w14:textId="77777777" w:rsidR="00C708AE" w:rsidRPr="00D02074" w:rsidRDefault="00C708AE" w:rsidP="00D02074">
      <w:pPr>
        <w:spacing w:line="360" w:lineRule="auto"/>
        <w:jc w:val="both"/>
        <w:rPr>
          <w:rFonts w:ascii="Arial" w:hAnsi="Arial" w:cs="Arial"/>
        </w:rPr>
      </w:pPr>
      <w:r w:rsidRPr="00D02074">
        <w:rPr>
          <w:rFonts w:ascii="Arial" w:hAnsi="Arial" w:cs="Arial"/>
        </w:rPr>
        <w:t xml:space="preserve">The ultimate responsibility for </w:t>
      </w:r>
      <w:proofErr w:type="spellStart"/>
      <w:r w:rsidRPr="00D02074">
        <w:rPr>
          <w:rFonts w:ascii="Arial" w:hAnsi="Arial" w:cs="Arial"/>
        </w:rPr>
        <w:t>ConnectPlus's</w:t>
      </w:r>
      <w:proofErr w:type="spellEnd"/>
      <w:r w:rsidRPr="00D02074">
        <w:rPr>
          <w:rFonts w:ascii="Arial" w:hAnsi="Arial" w:cs="Arial"/>
        </w:rPr>
        <w:t xml:space="preserve"> alignment with strategy, budget, and risk preferences lies with the Board and Executive Committee, which is required in accordance with the UK Corporate Governance Code to show results-focused reporting on stakeholder engagement's influence on decision-making. Their opportunity consists in having a unique and data-rich retention platform, while their challenge is to find a balance between investment costs and their unclear ultimate profit as ASOS concentrates on controlling margins (ASOS Plc, 2025b).</w:t>
      </w:r>
    </w:p>
    <w:p w14:paraId="743FDE31" w14:textId="77777777" w:rsidR="00C708AE" w:rsidRPr="00D02074" w:rsidRDefault="00C708AE" w:rsidP="00D02074">
      <w:pPr>
        <w:spacing w:line="360" w:lineRule="auto"/>
        <w:jc w:val="both"/>
        <w:rPr>
          <w:rFonts w:ascii="Arial" w:hAnsi="Arial" w:cs="Arial"/>
        </w:rPr>
      </w:pPr>
    </w:p>
    <w:p w14:paraId="64E98EA4" w14:textId="26F31AA8" w:rsidR="00CB633E" w:rsidRPr="00D02074" w:rsidRDefault="00C708AE" w:rsidP="00D02074">
      <w:pPr>
        <w:spacing w:line="360" w:lineRule="auto"/>
        <w:jc w:val="both"/>
        <w:rPr>
          <w:rFonts w:ascii="Arial" w:hAnsi="Arial" w:cs="Arial"/>
        </w:rPr>
      </w:pPr>
      <w:r w:rsidRPr="00D02074">
        <w:rPr>
          <w:rFonts w:ascii="Arial" w:hAnsi="Arial" w:cs="Arial"/>
        </w:rPr>
        <w:t>The recommendation engine and mobile rewards architecture are being developed by product, IT, and data science teams. Their main advantage consists in the chance to validate the computerization potential that can improve customer experience and at the same time support evidence that it is beneficial for organi</w:t>
      </w:r>
      <w:r w:rsidR="00BD05E1">
        <w:rPr>
          <w:rFonts w:ascii="Arial" w:hAnsi="Arial" w:cs="Arial"/>
        </w:rPr>
        <w:t>s</w:t>
      </w:r>
      <w:r w:rsidRPr="00D02074">
        <w:rPr>
          <w:rFonts w:ascii="Arial" w:hAnsi="Arial" w:cs="Arial"/>
        </w:rPr>
        <w:t xml:space="preserve">ations to adopt AI </w:t>
      </w:r>
      <w:r w:rsidRPr="00D02074">
        <w:rPr>
          <w:rFonts w:ascii="Arial" w:hAnsi="Arial" w:cs="Arial"/>
        </w:rPr>
        <w:lastRenderedPageBreak/>
        <w:t>technology to enhance business processes rather than completely replace human intelligence (Guha et al., 2021). The main problem they face is linked to technology as personalization algorithms need to be integrated with outdated systems, thus complying with different requirements regarding data protection (Information Commissioner’s Office, 2023).</w:t>
      </w:r>
    </w:p>
    <w:p w14:paraId="1CCB8453" w14:textId="77777777" w:rsidR="005937F8" w:rsidRPr="00D02074" w:rsidRDefault="005937F8" w:rsidP="00D02074">
      <w:pPr>
        <w:spacing w:line="360" w:lineRule="auto"/>
        <w:jc w:val="both"/>
        <w:rPr>
          <w:rFonts w:ascii="Arial" w:hAnsi="Arial" w:cs="Arial"/>
        </w:rPr>
      </w:pPr>
    </w:p>
    <w:p w14:paraId="0B7CF633" w14:textId="5BB6668F" w:rsidR="005937F8" w:rsidRPr="00D02074" w:rsidRDefault="005C0C6A" w:rsidP="00D02074">
      <w:pPr>
        <w:spacing w:line="360" w:lineRule="auto"/>
        <w:jc w:val="both"/>
        <w:rPr>
          <w:rFonts w:ascii="Arial" w:hAnsi="Arial" w:cs="Arial"/>
        </w:rPr>
      </w:pPr>
      <w:r w:rsidRPr="00D02074">
        <w:rPr>
          <w:rFonts w:ascii="Arial" w:hAnsi="Arial" w:cs="Arial"/>
        </w:rPr>
        <w:t>The marketing and CRM teams are responsible for customer communication and loyalty-tier design; they benefit from better segmentation and increased relevance of campaigns, but they must be careful about the risk of "personalisation fatigue" or seeming intrusive. This issue is known in loyalty scheme literature as poor rewards that do not boost the perceived value but rather decrease it</w:t>
      </w:r>
      <w:r w:rsidR="002262D3" w:rsidRPr="00D02074">
        <w:rPr>
          <w:rFonts w:ascii="Arial" w:hAnsi="Arial" w:cs="Arial"/>
        </w:rPr>
        <w:t xml:space="preserve"> </w:t>
      </w:r>
      <w:r w:rsidR="002262D3" w:rsidRPr="00D02074">
        <w:rPr>
          <w:rFonts w:ascii="Arial" w:hAnsi="Arial" w:cs="Arial"/>
          <w:color w:val="212529"/>
          <w:shd w:val="clear" w:color="auto" w:fill="FFFFFF"/>
        </w:rPr>
        <w:t xml:space="preserve">(Fook and </w:t>
      </w:r>
      <w:proofErr w:type="spellStart"/>
      <w:r w:rsidR="002262D3" w:rsidRPr="00D02074">
        <w:rPr>
          <w:rFonts w:ascii="Arial" w:hAnsi="Arial" w:cs="Arial"/>
          <w:color w:val="212529"/>
          <w:shd w:val="clear" w:color="auto" w:fill="FFFFFF"/>
        </w:rPr>
        <w:t>Dastane</w:t>
      </w:r>
      <w:proofErr w:type="spellEnd"/>
      <w:r w:rsidR="002262D3" w:rsidRPr="00D02074">
        <w:rPr>
          <w:rFonts w:ascii="Arial" w:hAnsi="Arial" w:cs="Arial"/>
          <w:color w:val="212529"/>
          <w:shd w:val="clear" w:color="auto" w:fill="FFFFFF"/>
        </w:rPr>
        <w:t>, 2021)</w:t>
      </w:r>
      <w:r w:rsidRPr="00D02074">
        <w:rPr>
          <w:rFonts w:ascii="Arial" w:hAnsi="Arial" w:cs="Arial"/>
        </w:rPr>
        <w:t>.</w:t>
      </w:r>
    </w:p>
    <w:p w14:paraId="49BB4FAF" w14:textId="77777777" w:rsidR="00D36DAD" w:rsidRPr="00D02074" w:rsidRDefault="00D36DAD" w:rsidP="00D02074">
      <w:pPr>
        <w:spacing w:line="360" w:lineRule="auto"/>
        <w:jc w:val="both"/>
        <w:rPr>
          <w:rFonts w:ascii="Arial" w:hAnsi="Arial" w:cs="Arial"/>
        </w:rPr>
      </w:pPr>
    </w:p>
    <w:p w14:paraId="6365039A" w14:textId="17761DB8" w:rsidR="00D36DAD" w:rsidRPr="00D02074" w:rsidRDefault="000A1A69" w:rsidP="00D02074">
      <w:pPr>
        <w:spacing w:line="360" w:lineRule="auto"/>
        <w:jc w:val="both"/>
        <w:rPr>
          <w:rFonts w:ascii="Arial" w:hAnsi="Arial" w:cs="Arial"/>
        </w:rPr>
      </w:pPr>
      <w:r w:rsidRPr="00D02074">
        <w:rPr>
          <w:rFonts w:ascii="Arial" w:hAnsi="Arial" w:cs="Arial"/>
        </w:rPr>
        <w:t xml:space="preserve">The teams responsible for customer service </w:t>
      </w:r>
      <w:proofErr w:type="gramStart"/>
      <w:r w:rsidRPr="00D02074">
        <w:rPr>
          <w:rFonts w:ascii="Arial" w:hAnsi="Arial" w:cs="Arial"/>
        </w:rPr>
        <w:t>have to</w:t>
      </w:r>
      <w:proofErr w:type="gramEnd"/>
      <w:r w:rsidRPr="00D02074">
        <w:rPr>
          <w:rFonts w:ascii="Arial" w:hAnsi="Arial" w:cs="Arial"/>
        </w:rPr>
        <w:t xml:space="preserve"> settle issues with rewards and the platform in real time</w:t>
      </w:r>
      <w:r w:rsidR="00B775C5">
        <w:rPr>
          <w:rFonts w:ascii="Arial" w:hAnsi="Arial" w:cs="Arial"/>
        </w:rPr>
        <w:t>. O</w:t>
      </w:r>
      <w:r w:rsidRPr="00D02074">
        <w:rPr>
          <w:rFonts w:ascii="Arial" w:hAnsi="Arial" w:cs="Arial"/>
        </w:rPr>
        <w:t>ne of their advantages lies in having better insight into the needs of consumers when wine resolving areas of dispute. Their challenge lies in the increased number of inquiries that are likely to occur in the beginning. Suppliers particularly ASOS’s in-house manufacturers gain an advantage of having improved signals of their demand that result from the loyalty data</w:t>
      </w:r>
      <w:r w:rsidR="004B483C">
        <w:rPr>
          <w:rFonts w:ascii="Arial" w:hAnsi="Arial" w:cs="Arial"/>
        </w:rPr>
        <w:t>. H</w:t>
      </w:r>
      <w:r w:rsidRPr="00D02074">
        <w:rPr>
          <w:rFonts w:ascii="Arial" w:hAnsi="Arial" w:cs="Arial"/>
        </w:rPr>
        <w:t xml:space="preserve">owever, adapting to new trends in sustainability and traceability can become a challenge. Customers being the main external audience of the platform are likely to gain relevant suggestions and rewards but do face a challenge of higher data exposure being risky as compared to differences in privacy requirements across countries. Finally, institutional investors are likely to gain from the growth of average customer lifetime value and repetitions in purchases which ASOS already reports </w:t>
      </w:r>
      <w:r w:rsidR="00A36142" w:rsidRPr="00D02074">
        <w:rPr>
          <w:rFonts w:ascii="Arial" w:hAnsi="Arial" w:cs="Arial"/>
        </w:rPr>
        <w:t>on (</w:t>
      </w:r>
      <w:proofErr w:type="spellStart"/>
      <w:r w:rsidR="00AB7143" w:rsidRPr="00D02074">
        <w:rPr>
          <w:rFonts w:ascii="Arial" w:hAnsi="Arial" w:cs="Arial"/>
        </w:rPr>
        <w:t>Szkudlarek</w:t>
      </w:r>
      <w:proofErr w:type="spellEnd"/>
      <w:r w:rsidR="00AB7143" w:rsidRPr="00D02074">
        <w:rPr>
          <w:rFonts w:ascii="Arial" w:hAnsi="Arial" w:cs="Arial"/>
        </w:rPr>
        <w:t xml:space="preserve"> et al., 2020)</w:t>
      </w:r>
      <w:r w:rsidRPr="00D02074">
        <w:rPr>
          <w:rFonts w:ascii="Arial" w:hAnsi="Arial" w:cs="Arial"/>
        </w:rPr>
        <w:t>. Their disadvantage stems from the increased pressure for making the results fast and measurable</w:t>
      </w:r>
      <w:r w:rsidR="00A2451D" w:rsidRPr="00D02074">
        <w:rPr>
          <w:rFonts w:ascii="Arial" w:hAnsi="Arial" w:cs="Arial"/>
        </w:rPr>
        <w:t xml:space="preserve"> (ASOS Plc, 2025b)</w:t>
      </w:r>
      <w:r w:rsidRPr="00D02074">
        <w:rPr>
          <w:rFonts w:ascii="Arial" w:hAnsi="Arial" w:cs="Arial"/>
        </w:rPr>
        <w:t>.</w:t>
      </w:r>
    </w:p>
    <w:p w14:paraId="550EF37A" w14:textId="77777777" w:rsidR="00B258AA" w:rsidRPr="00D02074" w:rsidRDefault="00B258AA" w:rsidP="00D0207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804"/>
        <w:gridCol w:w="2625"/>
        <w:gridCol w:w="2339"/>
        <w:gridCol w:w="2248"/>
      </w:tblGrid>
      <w:tr w:rsidR="004A270F" w:rsidRPr="00D02074" w14:paraId="0FC0C71D" w14:textId="77777777" w:rsidTr="004A270F">
        <w:tc>
          <w:tcPr>
            <w:tcW w:w="0" w:type="auto"/>
            <w:hideMark/>
          </w:tcPr>
          <w:p w14:paraId="12824820" w14:textId="77777777" w:rsidR="004A270F" w:rsidRPr="00D02074" w:rsidRDefault="004A270F" w:rsidP="00D02074">
            <w:pPr>
              <w:spacing w:line="360" w:lineRule="auto"/>
              <w:jc w:val="both"/>
              <w:rPr>
                <w:rFonts w:ascii="Arial" w:hAnsi="Arial" w:cs="Arial"/>
                <w:b/>
                <w:bCs/>
              </w:rPr>
            </w:pPr>
            <w:r w:rsidRPr="00D02074">
              <w:rPr>
                <w:rFonts w:ascii="Arial" w:hAnsi="Arial" w:cs="Arial"/>
                <w:b/>
                <w:bCs/>
              </w:rPr>
              <w:t>Stakeholder</w:t>
            </w:r>
          </w:p>
        </w:tc>
        <w:tc>
          <w:tcPr>
            <w:tcW w:w="0" w:type="auto"/>
            <w:hideMark/>
          </w:tcPr>
          <w:p w14:paraId="2B15AFF2" w14:textId="77777777" w:rsidR="004A270F" w:rsidRPr="00D02074" w:rsidRDefault="004A270F" w:rsidP="00D02074">
            <w:pPr>
              <w:spacing w:line="360" w:lineRule="auto"/>
              <w:jc w:val="both"/>
              <w:rPr>
                <w:rFonts w:ascii="Arial" w:hAnsi="Arial" w:cs="Arial"/>
                <w:b/>
                <w:bCs/>
              </w:rPr>
            </w:pPr>
            <w:r w:rsidRPr="00D02074">
              <w:rPr>
                <w:rFonts w:ascii="Arial" w:hAnsi="Arial" w:cs="Arial"/>
                <w:b/>
                <w:bCs/>
              </w:rPr>
              <w:t>Role/Responsibility</w:t>
            </w:r>
          </w:p>
        </w:tc>
        <w:tc>
          <w:tcPr>
            <w:tcW w:w="0" w:type="auto"/>
            <w:hideMark/>
          </w:tcPr>
          <w:p w14:paraId="7A0B92DA" w14:textId="77777777" w:rsidR="004A270F" w:rsidRPr="00D02074" w:rsidRDefault="004A270F" w:rsidP="00D02074">
            <w:pPr>
              <w:spacing w:line="360" w:lineRule="auto"/>
              <w:jc w:val="both"/>
              <w:rPr>
                <w:rFonts w:ascii="Arial" w:hAnsi="Arial" w:cs="Arial"/>
                <w:b/>
                <w:bCs/>
              </w:rPr>
            </w:pPr>
            <w:r w:rsidRPr="00D02074">
              <w:rPr>
                <w:rFonts w:ascii="Arial" w:hAnsi="Arial" w:cs="Arial"/>
                <w:b/>
                <w:bCs/>
              </w:rPr>
              <w:t>Key Benefit</w:t>
            </w:r>
          </w:p>
        </w:tc>
        <w:tc>
          <w:tcPr>
            <w:tcW w:w="0" w:type="auto"/>
            <w:hideMark/>
          </w:tcPr>
          <w:p w14:paraId="290DC163" w14:textId="77777777" w:rsidR="004A270F" w:rsidRPr="00D02074" w:rsidRDefault="004A270F" w:rsidP="00D02074">
            <w:pPr>
              <w:spacing w:line="360" w:lineRule="auto"/>
              <w:jc w:val="both"/>
              <w:rPr>
                <w:rFonts w:ascii="Arial" w:hAnsi="Arial" w:cs="Arial"/>
                <w:b/>
                <w:bCs/>
              </w:rPr>
            </w:pPr>
            <w:r w:rsidRPr="00D02074">
              <w:rPr>
                <w:rFonts w:ascii="Arial" w:hAnsi="Arial" w:cs="Arial"/>
                <w:b/>
                <w:bCs/>
              </w:rPr>
              <w:t>Key Challenge</w:t>
            </w:r>
          </w:p>
        </w:tc>
      </w:tr>
      <w:tr w:rsidR="004A270F" w:rsidRPr="00D02074" w14:paraId="7B2F64B7" w14:textId="77777777" w:rsidTr="004A270F">
        <w:tc>
          <w:tcPr>
            <w:tcW w:w="0" w:type="auto"/>
            <w:hideMark/>
          </w:tcPr>
          <w:p w14:paraId="71A35655"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Executive Committee &amp; Board</w:t>
            </w:r>
          </w:p>
        </w:tc>
        <w:tc>
          <w:tcPr>
            <w:tcW w:w="0" w:type="auto"/>
            <w:hideMark/>
          </w:tcPr>
          <w:p w14:paraId="223400EE" w14:textId="77777777" w:rsidR="004A270F" w:rsidRPr="00D02074" w:rsidRDefault="004A270F" w:rsidP="00D02074">
            <w:pPr>
              <w:spacing w:line="360" w:lineRule="auto"/>
              <w:jc w:val="both"/>
              <w:rPr>
                <w:rFonts w:ascii="Arial" w:hAnsi="Arial" w:cs="Arial"/>
              </w:rPr>
            </w:pPr>
            <w:r w:rsidRPr="00D02074">
              <w:rPr>
                <w:rFonts w:ascii="Arial" w:hAnsi="Arial" w:cs="Arial"/>
              </w:rPr>
              <w:t>Strategic sponsorship, budget approval, risk oversight</w:t>
            </w:r>
          </w:p>
        </w:tc>
        <w:tc>
          <w:tcPr>
            <w:tcW w:w="0" w:type="auto"/>
            <w:hideMark/>
          </w:tcPr>
          <w:p w14:paraId="40145C4A" w14:textId="77777777" w:rsidR="004A270F" w:rsidRPr="00D02074" w:rsidRDefault="004A270F" w:rsidP="00D02074">
            <w:pPr>
              <w:spacing w:line="360" w:lineRule="auto"/>
              <w:jc w:val="both"/>
              <w:rPr>
                <w:rFonts w:ascii="Arial" w:hAnsi="Arial" w:cs="Arial"/>
              </w:rPr>
            </w:pPr>
            <w:r w:rsidRPr="00D02074">
              <w:rPr>
                <w:rFonts w:ascii="Arial" w:hAnsi="Arial" w:cs="Arial"/>
              </w:rPr>
              <w:t>Differentiated, data-rich retention engine (Financial Reporting Council, 2024)</w:t>
            </w:r>
          </w:p>
        </w:tc>
        <w:tc>
          <w:tcPr>
            <w:tcW w:w="0" w:type="auto"/>
            <w:hideMark/>
          </w:tcPr>
          <w:p w14:paraId="682554B4" w14:textId="77777777" w:rsidR="004A270F" w:rsidRPr="00D02074" w:rsidRDefault="004A270F" w:rsidP="00D02074">
            <w:pPr>
              <w:spacing w:line="360" w:lineRule="auto"/>
              <w:jc w:val="both"/>
              <w:rPr>
                <w:rFonts w:ascii="Arial" w:hAnsi="Arial" w:cs="Arial"/>
              </w:rPr>
            </w:pPr>
            <w:r w:rsidRPr="00D02074">
              <w:rPr>
                <w:rFonts w:ascii="Arial" w:hAnsi="Arial" w:cs="Arial"/>
              </w:rPr>
              <w:t>Balancing investment against margin-recovery priorities (ASOS Plc, 2025b)</w:t>
            </w:r>
          </w:p>
        </w:tc>
      </w:tr>
      <w:tr w:rsidR="004A270F" w:rsidRPr="00D02074" w14:paraId="594015C9" w14:textId="77777777" w:rsidTr="004A270F">
        <w:tc>
          <w:tcPr>
            <w:tcW w:w="0" w:type="auto"/>
            <w:hideMark/>
          </w:tcPr>
          <w:p w14:paraId="6437ACD3"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lastRenderedPageBreak/>
              <w:t>Product, Data Science &amp; IT</w:t>
            </w:r>
          </w:p>
        </w:tc>
        <w:tc>
          <w:tcPr>
            <w:tcW w:w="0" w:type="auto"/>
            <w:hideMark/>
          </w:tcPr>
          <w:p w14:paraId="46EE0D84" w14:textId="77777777" w:rsidR="004A270F" w:rsidRPr="00D02074" w:rsidRDefault="004A270F" w:rsidP="00D02074">
            <w:pPr>
              <w:spacing w:line="360" w:lineRule="auto"/>
              <w:jc w:val="both"/>
              <w:rPr>
                <w:rFonts w:ascii="Arial" w:hAnsi="Arial" w:cs="Arial"/>
              </w:rPr>
            </w:pPr>
            <w:r w:rsidRPr="00D02074">
              <w:rPr>
                <w:rFonts w:ascii="Arial" w:hAnsi="Arial" w:cs="Arial"/>
              </w:rPr>
              <w:t>Building and testing the AI recommendation engine and rewards architecture</w:t>
            </w:r>
          </w:p>
        </w:tc>
        <w:tc>
          <w:tcPr>
            <w:tcW w:w="0" w:type="auto"/>
            <w:hideMark/>
          </w:tcPr>
          <w:p w14:paraId="35896C40" w14:textId="77777777" w:rsidR="004A270F" w:rsidRPr="00D02074" w:rsidRDefault="004A270F" w:rsidP="00D02074">
            <w:pPr>
              <w:spacing w:line="360" w:lineRule="auto"/>
              <w:jc w:val="both"/>
              <w:rPr>
                <w:rFonts w:ascii="Arial" w:hAnsi="Arial" w:cs="Arial"/>
              </w:rPr>
            </w:pPr>
            <w:r w:rsidRPr="00D02074">
              <w:rPr>
                <w:rFonts w:ascii="Arial" w:hAnsi="Arial" w:cs="Arial"/>
              </w:rPr>
              <w:t>Demonstrates AI capability that improves customer experience (Guha et al., 2021)</w:t>
            </w:r>
          </w:p>
        </w:tc>
        <w:tc>
          <w:tcPr>
            <w:tcW w:w="0" w:type="auto"/>
            <w:hideMark/>
          </w:tcPr>
          <w:p w14:paraId="740AB148" w14:textId="77777777" w:rsidR="004A270F" w:rsidRPr="00D02074" w:rsidRDefault="004A270F" w:rsidP="00D02074">
            <w:pPr>
              <w:spacing w:line="360" w:lineRule="auto"/>
              <w:jc w:val="both"/>
              <w:rPr>
                <w:rFonts w:ascii="Arial" w:hAnsi="Arial" w:cs="Arial"/>
              </w:rPr>
            </w:pPr>
            <w:r w:rsidRPr="00D02074">
              <w:rPr>
                <w:rFonts w:ascii="Arial" w:hAnsi="Arial" w:cs="Arial"/>
              </w:rPr>
              <w:t>Integrating personalisation with legacy systems across multiple regulatory regimes (Information Commissioner's Office, 2023)</w:t>
            </w:r>
          </w:p>
        </w:tc>
      </w:tr>
      <w:tr w:rsidR="004A270F" w:rsidRPr="00D02074" w14:paraId="5AFDA824" w14:textId="77777777" w:rsidTr="004A270F">
        <w:tc>
          <w:tcPr>
            <w:tcW w:w="0" w:type="auto"/>
            <w:hideMark/>
          </w:tcPr>
          <w:p w14:paraId="0A9098D0"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Marketing &amp; CRM</w:t>
            </w:r>
          </w:p>
        </w:tc>
        <w:tc>
          <w:tcPr>
            <w:tcW w:w="0" w:type="auto"/>
            <w:hideMark/>
          </w:tcPr>
          <w:p w14:paraId="68432067" w14:textId="77777777" w:rsidR="004A270F" w:rsidRPr="00D02074" w:rsidRDefault="004A270F" w:rsidP="00D02074">
            <w:pPr>
              <w:spacing w:line="360" w:lineRule="auto"/>
              <w:jc w:val="both"/>
              <w:rPr>
                <w:rFonts w:ascii="Arial" w:hAnsi="Arial" w:cs="Arial"/>
              </w:rPr>
            </w:pPr>
            <w:r w:rsidRPr="00D02074">
              <w:rPr>
                <w:rFonts w:ascii="Arial" w:hAnsi="Arial" w:cs="Arial"/>
              </w:rPr>
              <w:t>Loyalty-tier design and customer communication</w:t>
            </w:r>
          </w:p>
        </w:tc>
        <w:tc>
          <w:tcPr>
            <w:tcW w:w="0" w:type="auto"/>
            <w:hideMark/>
          </w:tcPr>
          <w:p w14:paraId="723EFC23" w14:textId="77777777" w:rsidR="004A270F" w:rsidRPr="00D02074" w:rsidRDefault="004A270F" w:rsidP="00D02074">
            <w:pPr>
              <w:spacing w:line="360" w:lineRule="auto"/>
              <w:jc w:val="both"/>
              <w:rPr>
                <w:rFonts w:ascii="Arial" w:hAnsi="Arial" w:cs="Arial"/>
              </w:rPr>
            </w:pPr>
            <w:r w:rsidRPr="00D02074">
              <w:rPr>
                <w:rFonts w:ascii="Arial" w:hAnsi="Arial" w:cs="Arial"/>
              </w:rPr>
              <w:t>Richer segmentation and more relevant campaigns</w:t>
            </w:r>
          </w:p>
        </w:tc>
        <w:tc>
          <w:tcPr>
            <w:tcW w:w="0" w:type="auto"/>
            <w:hideMark/>
          </w:tcPr>
          <w:p w14:paraId="755BBA0E" w14:textId="77777777" w:rsidR="004A270F" w:rsidRPr="00D02074" w:rsidRDefault="004A270F" w:rsidP="00D02074">
            <w:pPr>
              <w:spacing w:line="360" w:lineRule="auto"/>
              <w:jc w:val="both"/>
              <w:rPr>
                <w:rFonts w:ascii="Arial" w:hAnsi="Arial" w:cs="Arial"/>
              </w:rPr>
            </w:pPr>
            <w:r w:rsidRPr="00D02074">
              <w:rPr>
                <w:rFonts w:ascii="Arial" w:hAnsi="Arial" w:cs="Arial"/>
              </w:rPr>
              <w:t xml:space="preserve">Risk of "personalisation fatigue" reducing perceived value (Fook and </w:t>
            </w:r>
            <w:proofErr w:type="spellStart"/>
            <w:r w:rsidRPr="00D02074">
              <w:rPr>
                <w:rFonts w:ascii="Arial" w:hAnsi="Arial" w:cs="Arial"/>
              </w:rPr>
              <w:t>Dastane</w:t>
            </w:r>
            <w:proofErr w:type="spellEnd"/>
            <w:r w:rsidRPr="00D02074">
              <w:rPr>
                <w:rFonts w:ascii="Arial" w:hAnsi="Arial" w:cs="Arial"/>
              </w:rPr>
              <w:t>, 2021)</w:t>
            </w:r>
          </w:p>
        </w:tc>
      </w:tr>
      <w:tr w:rsidR="004A270F" w:rsidRPr="00D02074" w14:paraId="4023BDD0" w14:textId="77777777" w:rsidTr="004A270F">
        <w:tc>
          <w:tcPr>
            <w:tcW w:w="0" w:type="auto"/>
            <w:hideMark/>
          </w:tcPr>
          <w:p w14:paraId="50284D10"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Customer Service</w:t>
            </w:r>
          </w:p>
        </w:tc>
        <w:tc>
          <w:tcPr>
            <w:tcW w:w="0" w:type="auto"/>
            <w:hideMark/>
          </w:tcPr>
          <w:p w14:paraId="35212C70" w14:textId="77777777" w:rsidR="004A270F" w:rsidRPr="00D02074" w:rsidRDefault="004A270F" w:rsidP="00D02074">
            <w:pPr>
              <w:spacing w:line="360" w:lineRule="auto"/>
              <w:jc w:val="both"/>
              <w:rPr>
                <w:rFonts w:ascii="Arial" w:hAnsi="Arial" w:cs="Arial"/>
              </w:rPr>
            </w:pPr>
            <w:r w:rsidRPr="00D02074">
              <w:rPr>
                <w:rFonts w:ascii="Arial" w:hAnsi="Arial" w:cs="Arial"/>
              </w:rPr>
              <w:t>Resolving rewards disputes and platform issues in real time</w:t>
            </w:r>
          </w:p>
        </w:tc>
        <w:tc>
          <w:tcPr>
            <w:tcW w:w="0" w:type="auto"/>
            <w:hideMark/>
          </w:tcPr>
          <w:p w14:paraId="54B2A56B" w14:textId="77777777" w:rsidR="004A270F" w:rsidRPr="00D02074" w:rsidRDefault="004A270F" w:rsidP="00D02074">
            <w:pPr>
              <w:spacing w:line="360" w:lineRule="auto"/>
              <w:jc w:val="both"/>
              <w:rPr>
                <w:rFonts w:ascii="Arial" w:hAnsi="Arial" w:cs="Arial"/>
              </w:rPr>
            </w:pPr>
            <w:r w:rsidRPr="00D02074">
              <w:rPr>
                <w:rFonts w:ascii="Arial" w:hAnsi="Arial" w:cs="Arial"/>
              </w:rPr>
              <w:t>Improved customer insight to inform resolutions</w:t>
            </w:r>
          </w:p>
        </w:tc>
        <w:tc>
          <w:tcPr>
            <w:tcW w:w="0" w:type="auto"/>
            <w:hideMark/>
          </w:tcPr>
          <w:p w14:paraId="6480E6D1" w14:textId="77777777" w:rsidR="004A270F" w:rsidRPr="00D02074" w:rsidRDefault="004A270F" w:rsidP="00D02074">
            <w:pPr>
              <w:spacing w:line="360" w:lineRule="auto"/>
              <w:jc w:val="both"/>
              <w:rPr>
                <w:rFonts w:ascii="Arial" w:hAnsi="Arial" w:cs="Arial"/>
              </w:rPr>
            </w:pPr>
            <w:r w:rsidRPr="00D02074">
              <w:rPr>
                <w:rFonts w:ascii="Arial" w:hAnsi="Arial" w:cs="Arial"/>
              </w:rPr>
              <w:t>Absorbing higher enquiry volumes during launch</w:t>
            </w:r>
          </w:p>
        </w:tc>
      </w:tr>
      <w:tr w:rsidR="004A270F" w:rsidRPr="00D02074" w14:paraId="47A4FC7B" w14:textId="77777777" w:rsidTr="004A270F">
        <w:tc>
          <w:tcPr>
            <w:tcW w:w="0" w:type="auto"/>
            <w:hideMark/>
          </w:tcPr>
          <w:p w14:paraId="36359EE4"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Suppliers</w:t>
            </w:r>
          </w:p>
        </w:tc>
        <w:tc>
          <w:tcPr>
            <w:tcW w:w="0" w:type="auto"/>
            <w:hideMark/>
          </w:tcPr>
          <w:p w14:paraId="421D71DC" w14:textId="77777777" w:rsidR="004A270F" w:rsidRPr="00D02074" w:rsidRDefault="004A270F" w:rsidP="00D02074">
            <w:pPr>
              <w:spacing w:line="360" w:lineRule="auto"/>
              <w:jc w:val="both"/>
              <w:rPr>
                <w:rFonts w:ascii="Arial" w:hAnsi="Arial" w:cs="Arial"/>
              </w:rPr>
            </w:pPr>
            <w:r w:rsidRPr="00D02074">
              <w:rPr>
                <w:rFonts w:ascii="Arial" w:hAnsi="Arial" w:cs="Arial"/>
              </w:rPr>
              <w:t>Integrating with reward mechanics and fulfilment; maintaining product availability</w:t>
            </w:r>
          </w:p>
        </w:tc>
        <w:tc>
          <w:tcPr>
            <w:tcW w:w="0" w:type="auto"/>
            <w:hideMark/>
          </w:tcPr>
          <w:p w14:paraId="7EA5E760" w14:textId="77777777" w:rsidR="004A270F" w:rsidRPr="00D02074" w:rsidRDefault="004A270F" w:rsidP="00D02074">
            <w:pPr>
              <w:spacing w:line="360" w:lineRule="auto"/>
              <w:jc w:val="both"/>
              <w:rPr>
                <w:rFonts w:ascii="Arial" w:hAnsi="Arial" w:cs="Arial"/>
              </w:rPr>
            </w:pPr>
            <w:r w:rsidRPr="00D02074">
              <w:rPr>
                <w:rFonts w:ascii="Arial" w:hAnsi="Arial" w:cs="Arial"/>
              </w:rPr>
              <w:t>More predictable demand signals from loyalty data</w:t>
            </w:r>
          </w:p>
        </w:tc>
        <w:tc>
          <w:tcPr>
            <w:tcW w:w="0" w:type="auto"/>
            <w:hideMark/>
          </w:tcPr>
          <w:p w14:paraId="3DAA41A4" w14:textId="77777777" w:rsidR="004A270F" w:rsidRPr="00D02074" w:rsidRDefault="004A270F" w:rsidP="00D02074">
            <w:pPr>
              <w:spacing w:line="360" w:lineRule="auto"/>
              <w:jc w:val="both"/>
              <w:rPr>
                <w:rFonts w:ascii="Arial" w:hAnsi="Arial" w:cs="Arial"/>
              </w:rPr>
            </w:pPr>
            <w:r w:rsidRPr="00D02074">
              <w:rPr>
                <w:rFonts w:ascii="Arial" w:hAnsi="Arial" w:cs="Arial"/>
              </w:rPr>
              <w:t>Adapting to new sustainability and traceability expectations (Arrigo, 2020)</w:t>
            </w:r>
          </w:p>
        </w:tc>
      </w:tr>
      <w:tr w:rsidR="004A270F" w:rsidRPr="00D02074" w14:paraId="0A3A9178" w14:textId="77777777" w:rsidTr="004A270F">
        <w:tc>
          <w:tcPr>
            <w:tcW w:w="0" w:type="auto"/>
            <w:hideMark/>
          </w:tcPr>
          <w:p w14:paraId="1F76D49A"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Customers</w:t>
            </w:r>
          </w:p>
        </w:tc>
        <w:tc>
          <w:tcPr>
            <w:tcW w:w="0" w:type="auto"/>
            <w:hideMark/>
          </w:tcPr>
          <w:p w14:paraId="2CC6CA39" w14:textId="77777777" w:rsidR="004A270F" w:rsidRPr="00D02074" w:rsidRDefault="004A270F" w:rsidP="00D02074">
            <w:pPr>
              <w:spacing w:line="360" w:lineRule="auto"/>
              <w:jc w:val="both"/>
              <w:rPr>
                <w:rFonts w:ascii="Arial" w:hAnsi="Arial" w:cs="Arial"/>
              </w:rPr>
            </w:pPr>
            <w:r w:rsidRPr="00D02074">
              <w:rPr>
                <w:rFonts w:ascii="Arial" w:hAnsi="Arial" w:cs="Arial"/>
              </w:rPr>
              <w:t>End users of the platform; primary source of engagement data</w:t>
            </w:r>
          </w:p>
        </w:tc>
        <w:tc>
          <w:tcPr>
            <w:tcW w:w="0" w:type="auto"/>
            <w:hideMark/>
          </w:tcPr>
          <w:p w14:paraId="6148C1F9" w14:textId="77777777" w:rsidR="004A270F" w:rsidRPr="00D02074" w:rsidRDefault="004A270F" w:rsidP="00D02074">
            <w:pPr>
              <w:spacing w:line="360" w:lineRule="auto"/>
              <w:jc w:val="both"/>
              <w:rPr>
                <w:rFonts w:ascii="Arial" w:hAnsi="Arial" w:cs="Arial"/>
              </w:rPr>
            </w:pPr>
            <w:r w:rsidRPr="00D02074">
              <w:rPr>
                <w:rFonts w:ascii="Arial" w:hAnsi="Arial" w:cs="Arial"/>
              </w:rPr>
              <w:t>More relevant recommendations and rewards</w:t>
            </w:r>
          </w:p>
        </w:tc>
        <w:tc>
          <w:tcPr>
            <w:tcW w:w="0" w:type="auto"/>
            <w:hideMark/>
          </w:tcPr>
          <w:p w14:paraId="3F46626C" w14:textId="77777777" w:rsidR="004A270F" w:rsidRPr="00D02074" w:rsidRDefault="004A270F" w:rsidP="00D02074">
            <w:pPr>
              <w:spacing w:line="360" w:lineRule="auto"/>
              <w:jc w:val="both"/>
              <w:rPr>
                <w:rFonts w:ascii="Arial" w:hAnsi="Arial" w:cs="Arial"/>
              </w:rPr>
            </w:pPr>
            <w:r w:rsidRPr="00D02074">
              <w:rPr>
                <w:rFonts w:ascii="Arial" w:hAnsi="Arial" w:cs="Arial"/>
              </w:rPr>
              <w:t>Increased data exposure and cross-market privacy expectations (</w:t>
            </w:r>
            <w:proofErr w:type="spellStart"/>
            <w:r w:rsidRPr="00D02074">
              <w:rPr>
                <w:rFonts w:ascii="Arial" w:hAnsi="Arial" w:cs="Arial"/>
              </w:rPr>
              <w:t>Szkudlarek</w:t>
            </w:r>
            <w:proofErr w:type="spellEnd"/>
            <w:r w:rsidRPr="00D02074">
              <w:rPr>
                <w:rFonts w:ascii="Arial" w:hAnsi="Arial" w:cs="Arial"/>
              </w:rPr>
              <w:t xml:space="preserve"> et al., 2020)</w:t>
            </w:r>
          </w:p>
        </w:tc>
      </w:tr>
      <w:tr w:rsidR="004A270F" w:rsidRPr="00D02074" w14:paraId="19745674" w14:textId="77777777" w:rsidTr="004A270F">
        <w:tc>
          <w:tcPr>
            <w:tcW w:w="0" w:type="auto"/>
            <w:hideMark/>
          </w:tcPr>
          <w:p w14:paraId="03EB5FF8" w14:textId="77777777" w:rsidR="004A270F" w:rsidRPr="00D02074" w:rsidRDefault="004A270F" w:rsidP="00D02074">
            <w:pPr>
              <w:spacing w:line="360" w:lineRule="auto"/>
              <w:jc w:val="both"/>
              <w:rPr>
                <w:rFonts w:ascii="Arial" w:hAnsi="Arial" w:cs="Arial"/>
              </w:rPr>
            </w:pPr>
            <w:r w:rsidRPr="00D02074">
              <w:rPr>
                <w:rStyle w:val="Strong"/>
                <w:rFonts w:ascii="Arial" w:eastAsiaTheme="majorEastAsia" w:hAnsi="Arial" w:cs="Arial"/>
              </w:rPr>
              <w:t>Institutional Shareholders</w:t>
            </w:r>
          </w:p>
        </w:tc>
        <w:tc>
          <w:tcPr>
            <w:tcW w:w="0" w:type="auto"/>
            <w:hideMark/>
          </w:tcPr>
          <w:p w14:paraId="77CD697C" w14:textId="77777777" w:rsidR="004A270F" w:rsidRPr="00D02074" w:rsidRDefault="004A270F" w:rsidP="00D02074">
            <w:pPr>
              <w:spacing w:line="360" w:lineRule="auto"/>
              <w:jc w:val="both"/>
              <w:rPr>
                <w:rFonts w:ascii="Arial" w:hAnsi="Arial" w:cs="Arial"/>
              </w:rPr>
            </w:pPr>
            <w:r w:rsidRPr="00D02074">
              <w:rPr>
                <w:rFonts w:ascii="Arial" w:hAnsi="Arial" w:cs="Arial"/>
              </w:rPr>
              <w:t>Monitoring capital allocation and financial return</w:t>
            </w:r>
          </w:p>
        </w:tc>
        <w:tc>
          <w:tcPr>
            <w:tcW w:w="0" w:type="auto"/>
            <w:hideMark/>
          </w:tcPr>
          <w:p w14:paraId="1E54A353" w14:textId="77777777" w:rsidR="004A270F" w:rsidRPr="00D02074" w:rsidRDefault="004A270F" w:rsidP="00D02074">
            <w:pPr>
              <w:spacing w:line="360" w:lineRule="auto"/>
              <w:jc w:val="both"/>
              <w:rPr>
                <w:rFonts w:ascii="Arial" w:hAnsi="Arial" w:cs="Arial"/>
              </w:rPr>
            </w:pPr>
            <w:r w:rsidRPr="00D02074">
              <w:rPr>
                <w:rFonts w:ascii="Arial" w:hAnsi="Arial" w:cs="Arial"/>
              </w:rPr>
              <w:t>Anticipated uplift in customer lifetime value and repeat-</w:t>
            </w:r>
            <w:r w:rsidRPr="00D02074">
              <w:rPr>
                <w:rFonts w:ascii="Arial" w:hAnsi="Arial" w:cs="Arial"/>
              </w:rPr>
              <w:lastRenderedPageBreak/>
              <w:t>purchase rate (ASOS Plc, 2025b)</w:t>
            </w:r>
          </w:p>
        </w:tc>
        <w:tc>
          <w:tcPr>
            <w:tcW w:w="0" w:type="auto"/>
            <w:hideMark/>
          </w:tcPr>
          <w:p w14:paraId="300A6292" w14:textId="77777777" w:rsidR="004A270F" w:rsidRPr="00D02074" w:rsidRDefault="004A270F" w:rsidP="00D02074">
            <w:pPr>
              <w:spacing w:line="360" w:lineRule="auto"/>
              <w:jc w:val="both"/>
              <w:rPr>
                <w:rFonts w:ascii="Arial" w:hAnsi="Arial" w:cs="Arial"/>
              </w:rPr>
            </w:pPr>
            <w:r w:rsidRPr="00D02074">
              <w:rPr>
                <w:rFonts w:ascii="Arial" w:hAnsi="Arial" w:cs="Arial"/>
              </w:rPr>
              <w:lastRenderedPageBreak/>
              <w:t xml:space="preserve">Pressure to demonstrate measurable return </w:t>
            </w:r>
            <w:r w:rsidRPr="00D02074">
              <w:rPr>
                <w:rFonts w:ascii="Arial" w:hAnsi="Arial" w:cs="Arial"/>
              </w:rPr>
              <w:lastRenderedPageBreak/>
              <w:t>within a defined timeframe</w:t>
            </w:r>
          </w:p>
        </w:tc>
      </w:tr>
    </w:tbl>
    <w:p w14:paraId="34C88D9A" w14:textId="77777777" w:rsidR="00B258AA" w:rsidRPr="00D02074" w:rsidRDefault="00B258AA" w:rsidP="00D02074">
      <w:pPr>
        <w:spacing w:line="360" w:lineRule="auto"/>
        <w:jc w:val="both"/>
        <w:rPr>
          <w:rFonts w:ascii="Arial" w:hAnsi="Arial" w:cs="Arial"/>
        </w:rPr>
      </w:pPr>
    </w:p>
    <w:p w14:paraId="19082F3A" w14:textId="230CA329" w:rsidR="004A270F" w:rsidRPr="00D02074" w:rsidRDefault="00F33B85" w:rsidP="00D02074">
      <w:pPr>
        <w:spacing w:line="360" w:lineRule="auto"/>
        <w:jc w:val="both"/>
        <w:rPr>
          <w:rFonts w:ascii="Arial" w:hAnsi="Arial" w:cs="Arial"/>
          <w:b/>
          <w:bCs/>
        </w:rPr>
      </w:pPr>
      <w:r w:rsidRPr="00D02074">
        <w:rPr>
          <w:rFonts w:ascii="Arial" w:hAnsi="Arial" w:cs="Arial"/>
          <w:b/>
          <w:bCs/>
        </w:rPr>
        <w:t xml:space="preserve">Table 3: </w:t>
      </w:r>
      <w:r w:rsidR="002B3FA9" w:rsidRPr="00D02074">
        <w:rPr>
          <w:rFonts w:ascii="Arial" w:hAnsi="Arial" w:cs="Arial"/>
          <w:b/>
          <w:bCs/>
        </w:rPr>
        <w:t>Summary of Roles, Responsibilities, Benefits and Challenges of Key Stakeholders</w:t>
      </w:r>
      <w:r w:rsidR="00D53D39" w:rsidRPr="00D02074">
        <w:rPr>
          <w:rFonts w:ascii="Arial" w:hAnsi="Arial" w:cs="Arial"/>
          <w:b/>
          <w:bCs/>
        </w:rPr>
        <w:t xml:space="preserve"> (Source: self-created)</w:t>
      </w:r>
    </w:p>
    <w:p w14:paraId="1829BC21" w14:textId="77777777" w:rsidR="00AB7143" w:rsidRPr="00D02074" w:rsidRDefault="00AB7143" w:rsidP="00D02074">
      <w:pPr>
        <w:spacing w:line="360" w:lineRule="auto"/>
        <w:jc w:val="both"/>
        <w:rPr>
          <w:rFonts w:ascii="Arial" w:hAnsi="Arial" w:cs="Arial"/>
        </w:rPr>
      </w:pPr>
    </w:p>
    <w:p w14:paraId="1E0BB795" w14:textId="31A29510" w:rsidR="00AB7143" w:rsidRPr="00D02074" w:rsidRDefault="00AD620E" w:rsidP="00D02074">
      <w:pPr>
        <w:pStyle w:val="Heading1"/>
        <w:spacing w:line="360" w:lineRule="auto"/>
        <w:jc w:val="both"/>
        <w:rPr>
          <w:rFonts w:ascii="Arial" w:hAnsi="Arial" w:cs="Arial"/>
          <w:b/>
          <w:bCs/>
          <w:sz w:val="24"/>
          <w:szCs w:val="24"/>
        </w:rPr>
      </w:pPr>
      <w:bookmarkStart w:id="4" w:name="_Toc237853474"/>
      <w:r w:rsidRPr="00D02074">
        <w:rPr>
          <w:rFonts w:ascii="Arial" w:hAnsi="Arial" w:cs="Arial"/>
          <w:b/>
          <w:bCs/>
          <w:sz w:val="24"/>
          <w:szCs w:val="24"/>
        </w:rPr>
        <w:t>5. Stakeholder Engagement Process and Conflict Management</w:t>
      </w:r>
      <w:bookmarkEnd w:id="4"/>
    </w:p>
    <w:p w14:paraId="79A61582" w14:textId="77777777" w:rsidR="007E573D" w:rsidRPr="00D02074" w:rsidRDefault="007E573D" w:rsidP="00D02074">
      <w:pPr>
        <w:spacing w:line="360" w:lineRule="auto"/>
        <w:jc w:val="both"/>
        <w:rPr>
          <w:rFonts w:ascii="Arial" w:hAnsi="Arial" w:cs="Arial"/>
        </w:rPr>
      </w:pPr>
      <w:r w:rsidRPr="00D02074">
        <w:rPr>
          <w:rFonts w:ascii="Arial" w:hAnsi="Arial" w:cs="Arial"/>
        </w:rPr>
        <w:t>Migrating from stakeholder identification to engagement demands a systematic process involving analysis, planning, communication, and evaluation (</w:t>
      </w:r>
      <w:proofErr w:type="spellStart"/>
      <w:r w:rsidRPr="00D02074">
        <w:rPr>
          <w:rFonts w:ascii="Arial" w:hAnsi="Arial" w:cs="Arial"/>
        </w:rPr>
        <w:t>Eskerod</w:t>
      </w:r>
      <w:proofErr w:type="spellEnd"/>
      <w:r w:rsidRPr="00D02074">
        <w:rPr>
          <w:rFonts w:ascii="Arial" w:hAnsi="Arial" w:cs="Arial"/>
        </w:rPr>
        <w:t xml:space="preserve"> and Jepsen, as referenced in Wood et al., 2021). The proposed approach in the report consists of a four-step method that utilizes the SWANS/OWANS model, 4Cs framework, RACI matrix and customized communication plan, based on cross-cultural management theory and ASOS's international operations (</w:t>
      </w:r>
      <w:proofErr w:type="spellStart"/>
      <w:r w:rsidRPr="00D02074">
        <w:rPr>
          <w:rFonts w:ascii="Arial" w:hAnsi="Arial" w:cs="Arial"/>
        </w:rPr>
        <w:t>Szkudlarek</w:t>
      </w:r>
      <w:proofErr w:type="spellEnd"/>
      <w:r w:rsidRPr="00D02074">
        <w:rPr>
          <w:rFonts w:ascii="Arial" w:hAnsi="Arial" w:cs="Arial"/>
        </w:rPr>
        <w:t xml:space="preserve"> et al., 2020).</w:t>
      </w:r>
    </w:p>
    <w:p w14:paraId="73942857" w14:textId="77777777" w:rsidR="007E573D" w:rsidRPr="00D02074" w:rsidRDefault="007E573D" w:rsidP="00D02074">
      <w:pPr>
        <w:spacing w:line="360" w:lineRule="auto"/>
        <w:jc w:val="both"/>
        <w:rPr>
          <w:rFonts w:ascii="Arial" w:hAnsi="Arial" w:cs="Arial"/>
        </w:rPr>
      </w:pPr>
    </w:p>
    <w:p w14:paraId="3F8CDA04" w14:textId="15DC8513" w:rsidR="00AD620E" w:rsidRPr="00D02074" w:rsidRDefault="007E573D" w:rsidP="00D02074">
      <w:pPr>
        <w:spacing w:line="360" w:lineRule="auto"/>
        <w:jc w:val="both"/>
        <w:rPr>
          <w:rFonts w:ascii="Arial" w:hAnsi="Arial" w:cs="Arial"/>
        </w:rPr>
      </w:pPr>
      <w:r w:rsidRPr="00D02074">
        <w:rPr>
          <w:rFonts w:ascii="Arial" w:hAnsi="Arial" w:cs="Arial"/>
        </w:rPr>
        <w:t xml:space="preserve">Stage one: Identifying stakeholders' wants and needs. The SWANS/OWANS model was created by Neely, who helped gain popularity of the model's application for effective stakeholder engagement. The model provides for involvement of the project stakeholders to identify their Wants and Needs (SWANs) and reconcile with the organization's Wants and Needs (OWANs) related to cooperation with those individuals. For </w:t>
      </w:r>
      <w:proofErr w:type="spellStart"/>
      <w:r w:rsidRPr="00D02074">
        <w:rPr>
          <w:rFonts w:ascii="Arial" w:hAnsi="Arial" w:cs="Arial"/>
        </w:rPr>
        <w:t>ConnectPlus</w:t>
      </w:r>
      <w:proofErr w:type="spellEnd"/>
      <w:r w:rsidRPr="00D02074">
        <w:rPr>
          <w:rFonts w:ascii="Arial" w:hAnsi="Arial" w:cs="Arial"/>
        </w:rPr>
        <w:t>, at the customers' level, SWANs include rewards, clarity and data control, while ASOS's OWANs include higher frequency of purchasing, bigger average purchase amount and more first-party data due to the elimination of cookies (Guha et al., 2021). In addition to customers, for suppliers, SWANs relate to predictable quantity of order and fair margin practices and ASOS's OWANs include fast replenishment and sustainability aspect (Arrigo, 2020). It is crucial to clarify these expectations since assuming the opposite ones can lead to failure of loyalty program implementation (</w:t>
      </w:r>
      <w:proofErr w:type="spellStart"/>
      <w:r w:rsidRPr="00D02074">
        <w:rPr>
          <w:rFonts w:ascii="Arial" w:hAnsi="Arial" w:cs="Arial"/>
        </w:rPr>
        <w:t>Shelper</w:t>
      </w:r>
      <w:proofErr w:type="spellEnd"/>
      <w:r w:rsidRPr="00D02074">
        <w:rPr>
          <w:rFonts w:ascii="Arial" w:hAnsi="Arial" w:cs="Arial"/>
        </w:rPr>
        <w:t>, Lyons and Harrison, 2023).</w:t>
      </w:r>
    </w:p>
    <w:p w14:paraId="33C77B38" w14:textId="77777777" w:rsidR="006365D0" w:rsidRPr="00D02074" w:rsidRDefault="006365D0" w:rsidP="00D02074">
      <w:pPr>
        <w:spacing w:line="360" w:lineRule="auto"/>
        <w:jc w:val="both"/>
        <w:rPr>
          <w:rFonts w:ascii="Arial" w:hAnsi="Arial" w:cs="Arial"/>
        </w:rPr>
      </w:pPr>
    </w:p>
    <w:p w14:paraId="49267000" w14:textId="4CF21E45" w:rsidR="006365D0" w:rsidRPr="00D02074" w:rsidRDefault="001C4147" w:rsidP="00D02074">
      <w:pPr>
        <w:spacing w:line="360" w:lineRule="auto"/>
        <w:jc w:val="both"/>
        <w:rPr>
          <w:rFonts w:ascii="Arial" w:hAnsi="Arial" w:cs="Arial"/>
        </w:rPr>
      </w:pPr>
      <w:r w:rsidRPr="00D02074">
        <w:rPr>
          <w:rFonts w:ascii="Arial" w:hAnsi="Arial" w:cs="Arial"/>
        </w:rPr>
        <w:t>The second step consists of presenting your engagement plan according to the 4C model</w:t>
      </w:r>
      <w:r w:rsidR="00E00B4B">
        <w:rPr>
          <w:rFonts w:ascii="Arial" w:hAnsi="Arial" w:cs="Arial"/>
        </w:rPr>
        <w:t xml:space="preserve">: </w:t>
      </w:r>
      <w:r w:rsidRPr="00D02074">
        <w:rPr>
          <w:rFonts w:ascii="Arial" w:hAnsi="Arial" w:cs="Arial"/>
        </w:rPr>
        <w:t xml:space="preserve">communications, cooperation, consultations, and commitment. Communication is crucial in this respect, as it serves as a basis for the engagement approach for the stakeholders (Wood et al., 2021). The identified important </w:t>
      </w:r>
      <w:r w:rsidRPr="00D02074">
        <w:rPr>
          <w:rFonts w:ascii="Arial" w:hAnsi="Arial" w:cs="Arial"/>
        </w:rPr>
        <w:lastRenderedPageBreak/>
        <w:t>stakeholders</w:t>
      </w:r>
      <w:r w:rsidR="00E00B4B">
        <w:rPr>
          <w:rFonts w:ascii="Arial" w:hAnsi="Arial" w:cs="Arial"/>
        </w:rPr>
        <w:t xml:space="preserve">, </w:t>
      </w:r>
      <w:r w:rsidRPr="00D02074">
        <w:rPr>
          <w:rFonts w:ascii="Arial" w:hAnsi="Arial" w:cs="Arial"/>
        </w:rPr>
        <w:t>Board and technical teams</w:t>
      </w:r>
      <w:r w:rsidR="00E00B4B">
        <w:rPr>
          <w:rFonts w:ascii="Arial" w:hAnsi="Arial" w:cs="Arial"/>
        </w:rPr>
        <w:t>,</w:t>
      </w:r>
      <w:r w:rsidRPr="00D02074">
        <w:rPr>
          <w:rFonts w:ascii="Arial" w:hAnsi="Arial" w:cs="Arial"/>
        </w:rPr>
        <w:t xml:space="preserve"> will need engagement lines, requiring their active cooperation and commitment, as they need to be present at the design workshops, share the governance board and sign-off procedures. In contrast, the customers and employees, who are less important stakeholders, will require an extensive consultation process, gathering feedback via beta-testing panels and pulse surveys during the last step. Lastly, the media and suppliers, who belong to the group of dormant stakeholders, will only need simple information from the organization, meaning that the firm just </w:t>
      </w:r>
      <w:proofErr w:type="gramStart"/>
      <w:r w:rsidRPr="00D02074">
        <w:rPr>
          <w:rFonts w:ascii="Arial" w:hAnsi="Arial" w:cs="Arial"/>
        </w:rPr>
        <w:t>has to</w:t>
      </w:r>
      <w:proofErr w:type="gramEnd"/>
      <w:r w:rsidRPr="00D02074">
        <w:rPr>
          <w:rFonts w:ascii="Arial" w:hAnsi="Arial" w:cs="Arial"/>
        </w:rPr>
        <w:t xml:space="preserve"> send them press releases or newsletters without the need for engagement in these processes.</w:t>
      </w:r>
    </w:p>
    <w:p w14:paraId="5832D852" w14:textId="77777777" w:rsidR="00975DE9" w:rsidRPr="00D02074" w:rsidRDefault="00975DE9" w:rsidP="00D02074">
      <w:pPr>
        <w:spacing w:line="360" w:lineRule="auto"/>
        <w:jc w:val="both"/>
        <w:rPr>
          <w:rFonts w:ascii="Arial" w:hAnsi="Arial" w:cs="Arial"/>
        </w:rPr>
      </w:pPr>
    </w:p>
    <w:p w14:paraId="23F851D4" w14:textId="6851F5B0" w:rsidR="00975DE9" w:rsidRPr="00D02074" w:rsidRDefault="005C0844" w:rsidP="00D02074">
      <w:pPr>
        <w:spacing w:line="360" w:lineRule="auto"/>
        <w:jc w:val="both"/>
        <w:rPr>
          <w:rFonts w:ascii="Arial" w:hAnsi="Arial" w:cs="Arial"/>
        </w:rPr>
      </w:pPr>
      <w:r w:rsidRPr="00D02074">
        <w:rPr>
          <w:rFonts w:ascii="Arial" w:hAnsi="Arial" w:cs="Arial"/>
        </w:rPr>
        <w:t>Phase three</w:t>
      </w:r>
      <w:r w:rsidR="00E00B4B">
        <w:rPr>
          <w:rFonts w:ascii="Arial" w:hAnsi="Arial" w:cs="Arial"/>
        </w:rPr>
        <w:t xml:space="preserve"> includes</w:t>
      </w:r>
      <w:r w:rsidR="00762A39">
        <w:rPr>
          <w:rFonts w:ascii="Arial" w:hAnsi="Arial" w:cs="Arial"/>
        </w:rPr>
        <w:t xml:space="preserve"> the</w:t>
      </w:r>
      <w:r w:rsidRPr="00D02074">
        <w:rPr>
          <w:rFonts w:ascii="Arial" w:hAnsi="Arial" w:cs="Arial"/>
        </w:rPr>
        <w:t xml:space="preserve"> management with the use of RACI model. RACI model (which stands for Responsible, Accountable, Consulted, and Informed) provides a formal way of ensuring decision-making procedure in cross-functional project. Project Manager will be made Accountable for overall project success while Product team and Data teams will assume the responsibility for creating the platform. Executive Committee will be consulted regarding the scope and budget while customer-facing departments, providers and stakeholders will be kept informed about the developments by means of regular updates. Such an approach has been introduced </w:t>
      </w:r>
      <w:proofErr w:type="gramStart"/>
      <w:r w:rsidRPr="00D02074">
        <w:rPr>
          <w:rFonts w:ascii="Arial" w:hAnsi="Arial" w:cs="Arial"/>
        </w:rPr>
        <w:t>in order to</w:t>
      </w:r>
      <w:proofErr w:type="gramEnd"/>
      <w:r w:rsidRPr="00D02074">
        <w:rPr>
          <w:rFonts w:ascii="Arial" w:hAnsi="Arial" w:cs="Arial"/>
        </w:rPr>
        <w:t xml:space="preserve"> solve one of the common issues in conflicts in relationships of stakeholders in digital transformation projects</w:t>
      </w:r>
      <w:r w:rsidR="00941C66">
        <w:rPr>
          <w:rFonts w:ascii="Arial" w:hAnsi="Arial" w:cs="Arial"/>
        </w:rPr>
        <w:t>. T</w:t>
      </w:r>
      <w:r w:rsidRPr="00D02074">
        <w:rPr>
          <w:rFonts w:ascii="Arial" w:hAnsi="Arial" w:cs="Arial"/>
        </w:rPr>
        <w:t>he confusion on who should be in charge when departments of the company have different visions on the significance of the project (</w:t>
      </w:r>
      <w:proofErr w:type="spellStart"/>
      <w:r w:rsidRPr="00D02074">
        <w:rPr>
          <w:rFonts w:ascii="Arial" w:hAnsi="Arial" w:cs="Arial"/>
        </w:rPr>
        <w:t>Hoblos</w:t>
      </w:r>
      <w:proofErr w:type="spellEnd"/>
      <w:r w:rsidRPr="00D02074">
        <w:rPr>
          <w:rFonts w:ascii="Arial" w:hAnsi="Arial" w:cs="Arial"/>
        </w:rPr>
        <w:t xml:space="preserve"> and Pan, 2024). According to </w:t>
      </w:r>
      <w:proofErr w:type="spellStart"/>
      <w:r w:rsidRPr="00D02074">
        <w:rPr>
          <w:rFonts w:ascii="Arial" w:hAnsi="Arial" w:cs="Arial"/>
        </w:rPr>
        <w:t>Hoblos</w:t>
      </w:r>
      <w:proofErr w:type="spellEnd"/>
      <w:r w:rsidRPr="00D02074">
        <w:rPr>
          <w:rFonts w:ascii="Arial" w:hAnsi="Arial" w:cs="Arial"/>
        </w:rPr>
        <w:t xml:space="preserve"> and Pan (2024) in their research in the field of digital transformation, differences in the way planning and implementation teams interpret information cause the emergence of conflicts in implementation process which creates the risk relevant to ASOS market expansion </w:t>
      </w:r>
      <w:proofErr w:type="gramStart"/>
      <w:r w:rsidRPr="00D02074">
        <w:rPr>
          <w:rFonts w:ascii="Arial" w:hAnsi="Arial" w:cs="Arial"/>
        </w:rPr>
        <w:t>due to the fact that</w:t>
      </w:r>
      <w:proofErr w:type="gramEnd"/>
      <w:r w:rsidRPr="00D02074">
        <w:rPr>
          <w:rFonts w:ascii="Arial" w:hAnsi="Arial" w:cs="Arial"/>
        </w:rPr>
        <w:t xml:space="preserve"> teams can interpret personalisation in different ways.</w:t>
      </w:r>
    </w:p>
    <w:p w14:paraId="5DE29B4D" w14:textId="77777777" w:rsidR="00634157" w:rsidRPr="00D02074" w:rsidRDefault="00634157" w:rsidP="00D02074">
      <w:pPr>
        <w:spacing w:line="360" w:lineRule="auto"/>
        <w:jc w:val="both"/>
        <w:rPr>
          <w:rFonts w:ascii="Arial" w:hAnsi="Arial" w:cs="Arial"/>
        </w:rPr>
      </w:pPr>
    </w:p>
    <w:p w14:paraId="3B707796" w14:textId="3F007EDB" w:rsidR="00634157" w:rsidRPr="00D02074" w:rsidRDefault="00B80EC9" w:rsidP="00D02074">
      <w:pPr>
        <w:spacing w:line="360" w:lineRule="auto"/>
        <w:jc w:val="both"/>
        <w:rPr>
          <w:rFonts w:ascii="Arial" w:hAnsi="Arial" w:cs="Arial"/>
        </w:rPr>
      </w:pPr>
      <w:r w:rsidRPr="00D02074">
        <w:rPr>
          <w:rFonts w:ascii="Arial" w:hAnsi="Arial" w:cs="Arial"/>
        </w:rPr>
        <w:t>Phase number four of the process involves planning the overall communication strategy along with means to settle disputes. A stepwise communication strategy should include cascading messages starting from the highest levels of the organization (Executive Committee) down to regional teams</w:t>
      </w:r>
      <w:r w:rsidR="00045715">
        <w:rPr>
          <w:rFonts w:ascii="Arial" w:hAnsi="Arial" w:cs="Arial"/>
        </w:rPr>
        <w:t>,</w:t>
      </w:r>
      <w:r w:rsidRPr="00D02074">
        <w:rPr>
          <w:rFonts w:ascii="Arial" w:hAnsi="Arial" w:cs="Arial"/>
        </w:rPr>
        <w:t xml:space="preserve"> while enabling feedback coming from lower-level employees since research on internal communications</w:t>
      </w:r>
      <w:r w:rsidR="00045715">
        <w:rPr>
          <w:rFonts w:ascii="Arial" w:hAnsi="Arial" w:cs="Arial"/>
        </w:rPr>
        <w:t>. This</w:t>
      </w:r>
      <w:r w:rsidRPr="00D02074">
        <w:rPr>
          <w:rFonts w:ascii="Arial" w:hAnsi="Arial" w:cs="Arial"/>
        </w:rPr>
        <w:t xml:space="preserve"> suggests that the participation of employees depends less on the number of messages and more on perceived organizational support and satisfaction with the communication process </w:t>
      </w:r>
      <w:r w:rsidRPr="00D02074">
        <w:rPr>
          <w:rFonts w:ascii="Arial" w:hAnsi="Arial" w:cs="Arial"/>
        </w:rPr>
        <w:lastRenderedPageBreak/>
        <w:t>(</w:t>
      </w:r>
      <w:proofErr w:type="spellStart"/>
      <w:r w:rsidRPr="00D02074">
        <w:rPr>
          <w:rFonts w:ascii="Arial" w:hAnsi="Arial" w:cs="Arial"/>
        </w:rPr>
        <w:t>Tkalac</w:t>
      </w:r>
      <w:proofErr w:type="spellEnd"/>
      <w:r w:rsidRPr="00D02074">
        <w:rPr>
          <w:rFonts w:ascii="Arial" w:hAnsi="Arial" w:cs="Arial"/>
        </w:rPr>
        <w:t xml:space="preserve"> </w:t>
      </w:r>
      <w:proofErr w:type="spellStart"/>
      <w:r w:rsidRPr="00D02074">
        <w:rPr>
          <w:rFonts w:ascii="Arial" w:hAnsi="Arial" w:cs="Arial"/>
        </w:rPr>
        <w:t>Verčič</w:t>
      </w:r>
      <w:proofErr w:type="spellEnd"/>
      <w:r w:rsidRPr="00D02074">
        <w:rPr>
          <w:rFonts w:ascii="Arial" w:hAnsi="Arial" w:cs="Arial"/>
        </w:rPr>
        <w:t xml:space="preserve"> and Men, 2023). In the situations when conflicts emerge</w:t>
      </w:r>
      <w:r w:rsidR="00045715">
        <w:rPr>
          <w:rFonts w:ascii="Arial" w:hAnsi="Arial" w:cs="Arial"/>
        </w:rPr>
        <w:t xml:space="preserve"> (</w:t>
      </w:r>
      <w:r w:rsidRPr="00D02074">
        <w:rPr>
          <w:rFonts w:ascii="Arial" w:hAnsi="Arial" w:cs="Arial"/>
        </w:rPr>
        <w:t>for instance, between marketing’s desire for bold personali</w:t>
      </w:r>
      <w:r w:rsidR="002339EA">
        <w:rPr>
          <w:rFonts w:ascii="Arial" w:hAnsi="Arial" w:cs="Arial"/>
        </w:rPr>
        <w:t>s</w:t>
      </w:r>
      <w:r w:rsidRPr="00D02074">
        <w:rPr>
          <w:rFonts w:ascii="Arial" w:hAnsi="Arial" w:cs="Arial"/>
        </w:rPr>
        <w:t>ation and the IT security’s caution based on the data minimization principle</w:t>
      </w:r>
      <w:r w:rsidR="00045715">
        <w:rPr>
          <w:rFonts w:ascii="Arial" w:hAnsi="Arial" w:cs="Arial"/>
        </w:rPr>
        <w:t>)</w:t>
      </w:r>
      <w:r w:rsidRPr="00D02074">
        <w:rPr>
          <w:rFonts w:ascii="Arial" w:hAnsi="Arial" w:cs="Arial"/>
        </w:rPr>
        <w:t xml:space="preserve"> the proper alternative is principled negotiation as opposed to positional negotiation</w:t>
      </w:r>
      <w:r w:rsidR="00D371D6">
        <w:rPr>
          <w:rFonts w:ascii="Arial" w:hAnsi="Arial" w:cs="Arial"/>
        </w:rPr>
        <w:t xml:space="preserve">. This approach </w:t>
      </w:r>
      <w:r w:rsidRPr="00D02074">
        <w:rPr>
          <w:rFonts w:ascii="Arial" w:hAnsi="Arial" w:cs="Arial"/>
        </w:rPr>
        <w:t>reveal</w:t>
      </w:r>
      <w:r w:rsidR="00D371D6">
        <w:rPr>
          <w:rFonts w:ascii="Arial" w:hAnsi="Arial" w:cs="Arial"/>
        </w:rPr>
        <w:t>s</w:t>
      </w:r>
      <w:r w:rsidRPr="00D02074">
        <w:rPr>
          <w:rFonts w:ascii="Arial" w:hAnsi="Arial" w:cs="Arial"/>
        </w:rPr>
        <w:t xml:space="preserve"> the interests of each party (commercial growth vs compliance with regulations) and searching for solutions that will satisfy both parties (e.g. using tiered consent models that will provide the possibility for deeper personali</w:t>
      </w:r>
      <w:r w:rsidR="00DC0FC6">
        <w:rPr>
          <w:rFonts w:ascii="Arial" w:hAnsi="Arial" w:cs="Arial"/>
        </w:rPr>
        <w:t>s</w:t>
      </w:r>
      <w:r w:rsidRPr="00D02074">
        <w:rPr>
          <w:rFonts w:ascii="Arial" w:hAnsi="Arial" w:cs="Arial"/>
        </w:rPr>
        <w:t>ation only for those customers who agree to provide the required information (Information Commissioner’s Office, 2023). When there is a cross-cultural conflict, especially the one based on the clash of the UK-centric ideas of HQ and market realities, an extra understanding is necessary</w:t>
      </w:r>
      <w:r w:rsidR="00693A32">
        <w:rPr>
          <w:rFonts w:ascii="Arial" w:hAnsi="Arial" w:cs="Arial"/>
        </w:rPr>
        <w:t>. U</w:t>
      </w:r>
      <w:r w:rsidRPr="00D02074">
        <w:rPr>
          <w:rFonts w:ascii="Arial" w:hAnsi="Arial" w:cs="Arial"/>
        </w:rPr>
        <w:t>sing the approach based on global standardi</w:t>
      </w:r>
      <w:r w:rsidR="000F65F1">
        <w:rPr>
          <w:rFonts w:ascii="Arial" w:hAnsi="Arial" w:cs="Arial"/>
        </w:rPr>
        <w:t>s</w:t>
      </w:r>
      <w:r w:rsidRPr="00D02074">
        <w:rPr>
          <w:rFonts w:ascii="Arial" w:hAnsi="Arial" w:cs="Arial"/>
        </w:rPr>
        <w:t>ation of loyalty mechanisms and local adaptation of communication style and type of rewards has proved to give good results in similar international projects (</w:t>
      </w:r>
      <w:proofErr w:type="spellStart"/>
      <w:r w:rsidRPr="00D02074">
        <w:rPr>
          <w:rFonts w:ascii="Arial" w:hAnsi="Arial" w:cs="Arial"/>
        </w:rPr>
        <w:t>Szkudlarek</w:t>
      </w:r>
      <w:proofErr w:type="spellEnd"/>
      <w:r w:rsidRPr="00D02074">
        <w:rPr>
          <w:rFonts w:ascii="Arial" w:hAnsi="Arial" w:cs="Arial"/>
        </w:rPr>
        <w:t xml:space="preserve"> et al., 2020). The scheme of advancement is to be established beforehand: unresolved disagreements should be moved from the working group level to the Executive Committee in a timely manner </w:t>
      </w:r>
      <w:proofErr w:type="gramStart"/>
      <w:r w:rsidRPr="00D02074">
        <w:rPr>
          <w:rFonts w:ascii="Arial" w:hAnsi="Arial" w:cs="Arial"/>
        </w:rPr>
        <w:t>in order to</w:t>
      </w:r>
      <w:proofErr w:type="gramEnd"/>
      <w:r w:rsidRPr="00D02074">
        <w:rPr>
          <w:rFonts w:ascii="Arial" w:hAnsi="Arial" w:cs="Arial"/>
        </w:rPr>
        <w:t xml:space="preserve"> avoid stall in the implementation of the project (</w:t>
      </w:r>
      <w:proofErr w:type="spellStart"/>
      <w:r w:rsidRPr="00D02074">
        <w:rPr>
          <w:rFonts w:ascii="Arial" w:hAnsi="Arial" w:cs="Arial"/>
        </w:rPr>
        <w:t>Szkudlarek</w:t>
      </w:r>
      <w:proofErr w:type="spellEnd"/>
      <w:r w:rsidRPr="00D02074">
        <w:rPr>
          <w:rFonts w:ascii="Arial" w:hAnsi="Arial" w:cs="Arial"/>
        </w:rPr>
        <w:t xml:space="preserve"> et al., 2020).</w:t>
      </w:r>
    </w:p>
    <w:p w14:paraId="57461A2C" w14:textId="77777777" w:rsidR="004A36AB" w:rsidRPr="00D02074" w:rsidRDefault="004A36AB" w:rsidP="00D02074">
      <w:pPr>
        <w:spacing w:line="360" w:lineRule="auto"/>
        <w:jc w:val="both"/>
        <w:rPr>
          <w:rFonts w:ascii="Arial" w:hAnsi="Arial" w:cs="Arial"/>
        </w:rPr>
      </w:pPr>
    </w:p>
    <w:p w14:paraId="04BFBEFA" w14:textId="398C7644" w:rsidR="004A36AB" w:rsidRPr="00D02074" w:rsidRDefault="005B74E7" w:rsidP="00D02074">
      <w:pPr>
        <w:pStyle w:val="Heading1"/>
        <w:spacing w:line="360" w:lineRule="auto"/>
        <w:jc w:val="both"/>
        <w:rPr>
          <w:rFonts w:ascii="Arial" w:hAnsi="Arial" w:cs="Arial"/>
          <w:b/>
          <w:bCs/>
          <w:sz w:val="24"/>
          <w:szCs w:val="24"/>
        </w:rPr>
      </w:pPr>
      <w:bookmarkStart w:id="5" w:name="_Toc237853475"/>
      <w:r w:rsidRPr="00D02074">
        <w:rPr>
          <w:rFonts w:ascii="Arial" w:hAnsi="Arial" w:cs="Arial"/>
          <w:b/>
          <w:bCs/>
          <w:sz w:val="24"/>
          <w:szCs w:val="24"/>
        </w:rPr>
        <w:t>6. Impact of Sustainable Stakeholder Engagement on Business Performance</w:t>
      </w:r>
      <w:bookmarkEnd w:id="5"/>
    </w:p>
    <w:p w14:paraId="47B9ACD1" w14:textId="0B03766F" w:rsidR="005B74E7" w:rsidRPr="00D02074" w:rsidRDefault="00E01E77" w:rsidP="00D02074">
      <w:pPr>
        <w:spacing w:line="360" w:lineRule="auto"/>
        <w:jc w:val="both"/>
        <w:rPr>
          <w:rFonts w:ascii="Arial" w:hAnsi="Arial" w:cs="Arial"/>
        </w:rPr>
      </w:pPr>
      <w:r w:rsidRPr="00D02074">
        <w:rPr>
          <w:rFonts w:ascii="Arial" w:hAnsi="Arial" w:cs="Arial"/>
        </w:rPr>
        <w:t xml:space="preserve">While sustained stakeholder involvement has measurable impacts on ASOS's performance, it is by no means a guaranteed beneficial relationship. Fortunately, stakeholder theory provides a convincing theoretical support for this idea. The companies that build trust-based relationships with their stakeholders through sharing information obtain competitive advantages since such relationships are hard to imitate (Jones, Harrison, and </w:t>
      </w:r>
      <w:proofErr w:type="spellStart"/>
      <w:r w:rsidRPr="00D02074">
        <w:rPr>
          <w:rFonts w:ascii="Arial" w:hAnsi="Arial" w:cs="Arial"/>
        </w:rPr>
        <w:t>Felps</w:t>
      </w:r>
      <w:proofErr w:type="spellEnd"/>
      <w:r w:rsidRPr="00D02074">
        <w:rPr>
          <w:rFonts w:ascii="Arial" w:hAnsi="Arial" w:cs="Arial"/>
        </w:rPr>
        <w:t xml:space="preserve">, 2018). In relation to </w:t>
      </w:r>
      <w:proofErr w:type="spellStart"/>
      <w:r w:rsidRPr="00D02074">
        <w:rPr>
          <w:rFonts w:ascii="Arial" w:hAnsi="Arial" w:cs="Arial"/>
        </w:rPr>
        <w:t>ConnectPlus</w:t>
      </w:r>
      <w:proofErr w:type="spellEnd"/>
      <w:r w:rsidRPr="00D02074">
        <w:rPr>
          <w:rFonts w:ascii="Arial" w:hAnsi="Arial" w:cs="Arial"/>
        </w:rPr>
        <w:t>, the use of authentic engagement with customers and suppliers before launching the platform, as opposed to post-launch damage control, turns the platform from the tool for marketing purposes into a source of unique competitiveness. The evidence indicates that loyalty programs play an essential role in customer retention: effective loyalty program</w:t>
      </w:r>
      <w:r w:rsidR="00C90E6A">
        <w:rPr>
          <w:rFonts w:ascii="Arial" w:hAnsi="Arial" w:cs="Arial"/>
        </w:rPr>
        <w:t>me</w:t>
      </w:r>
      <w:r w:rsidRPr="00D02074">
        <w:rPr>
          <w:rFonts w:ascii="Arial" w:hAnsi="Arial" w:cs="Arial"/>
        </w:rPr>
        <w:t xml:space="preserve">s with considerable perceived value </w:t>
      </w:r>
      <w:proofErr w:type="gramStart"/>
      <w:r w:rsidRPr="00D02074">
        <w:rPr>
          <w:rFonts w:ascii="Arial" w:hAnsi="Arial" w:cs="Arial"/>
        </w:rPr>
        <w:t>lead</w:t>
      </w:r>
      <w:proofErr w:type="gramEnd"/>
      <w:r w:rsidRPr="00D02074">
        <w:rPr>
          <w:rFonts w:ascii="Arial" w:hAnsi="Arial" w:cs="Arial"/>
        </w:rPr>
        <w:t xml:space="preserve"> to customer retention due to brand equity and customer satisfaction that is crucial for ASOS's intention to increase repeat purchase </w:t>
      </w:r>
      <w:proofErr w:type="spellStart"/>
      <w:r w:rsidRPr="00D02074">
        <w:rPr>
          <w:rFonts w:ascii="Arial" w:hAnsi="Arial" w:cs="Arial"/>
        </w:rPr>
        <w:t>behaviors</w:t>
      </w:r>
      <w:proofErr w:type="spellEnd"/>
      <w:r w:rsidRPr="00D02074">
        <w:rPr>
          <w:rFonts w:ascii="Arial" w:hAnsi="Arial" w:cs="Arial"/>
        </w:rPr>
        <w:t xml:space="preserve"> (ASOS Plc, 2025b</w:t>
      </w:r>
      <w:r w:rsidR="00F33217">
        <w:rPr>
          <w:rFonts w:ascii="Arial" w:hAnsi="Arial" w:cs="Arial"/>
        </w:rPr>
        <w:t xml:space="preserve">; </w:t>
      </w:r>
      <w:r w:rsidR="00F33217" w:rsidRPr="00D02074">
        <w:rPr>
          <w:rFonts w:ascii="Arial" w:hAnsi="Arial" w:cs="Arial"/>
        </w:rPr>
        <w:t xml:space="preserve">Fook and </w:t>
      </w:r>
      <w:proofErr w:type="spellStart"/>
      <w:r w:rsidR="00F33217" w:rsidRPr="00D02074">
        <w:rPr>
          <w:rFonts w:ascii="Arial" w:hAnsi="Arial" w:cs="Arial"/>
        </w:rPr>
        <w:t>Dastane</w:t>
      </w:r>
      <w:proofErr w:type="spellEnd"/>
      <w:r w:rsidR="00F33217" w:rsidRPr="00D02074">
        <w:rPr>
          <w:rFonts w:ascii="Arial" w:hAnsi="Arial" w:cs="Arial"/>
        </w:rPr>
        <w:t>, 2021</w:t>
      </w:r>
      <w:r w:rsidRPr="00D02074">
        <w:rPr>
          <w:rFonts w:ascii="Arial" w:hAnsi="Arial" w:cs="Arial"/>
        </w:rPr>
        <w:t>).</w:t>
      </w:r>
    </w:p>
    <w:p w14:paraId="69A6BCDB" w14:textId="77777777" w:rsidR="00CF0A82" w:rsidRPr="00D02074" w:rsidRDefault="00CF0A82" w:rsidP="00D02074">
      <w:pPr>
        <w:spacing w:line="360" w:lineRule="auto"/>
        <w:jc w:val="both"/>
        <w:rPr>
          <w:rFonts w:ascii="Arial" w:hAnsi="Arial" w:cs="Arial"/>
        </w:rPr>
      </w:pPr>
    </w:p>
    <w:p w14:paraId="55812EAE" w14:textId="5886DB02" w:rsidR="00AE5274" w:rsidRDefault="002B50EB" w:rsidP="00D02074">
      <w:pPr>
        <w:spacing w:line="360" w:lineRule="auto"/>
        <w:jc w:val="both"/>
        <w:rPr>
          <w:rFonts w:ascii="Arial" w:hAnsi="Arial" w:cs="Arial"/>
        </w:rPr>
      </w:pPr>
      <w:r w:rsidRPr="00D02074">
        <w:rPr>
          <w:rFonts w:ascii="Arial" w:hAnsi="Arial" w:cs="Arial"/>
        </w:rPr>
        <w:lastRenderedPageBreak/>
        <w:t>The engagement directed toward sustainability produces a "business case"</w:t>
      </w:r>
      <w:r w:rsidR="000F1458">
        <w:rPr>
          <w:rFonts w:ascii="Arial" w:hAnsi="Arial" w:cs="Arial"/>
        </w:rPr>
        <w:t>.</w:t>
      </w:r>
      <w:r w:rsidRPr="00D02074">
        <w:rPr>
          <w:rFonts w:ascii="Arial" w:hAnsi="Arial" w:cs="Arial"/>
        </w:rPr>
        <w:t xml:space="preserve"> </w:t>
      </w:r>
      <w:proofErr w:type="spellStart"/>
      <w:r w:rsidRPr="00D02074">
        <w:rPr>
          <w:rFonts w:ascii="Arial" w:hAnsi="Arial" w:cs="Arial"/>
        </w:rPr>
        <w:t>Schaltegger</w:t>
      </w:r>
      <w:proofErr w:type="spellEnd"/>
      <w:r w:rsidRPr="00D02074">
        <w:rPr>
          <w:rFonts w:ascii="Arial" w:hAnsi="Arial" w:cs="Arial"/>
        </w:rPr>
        <w:t xml:space="preserve">, </w:t>
      </w:r>
      <w:proofErr w:type="spellStart"/>
      <w:r w:rsidRPr="00D02074">
        <w:rPr>
          <w:rFonts w:ascii="Arial" w:hAnsi="Arial" w:cs="Arial"/>
        </w:rPr>
        <w:t>Hörisch</w:t>
      </w:r>
      <w:proofErr w:type="spellEnd"/>
      <w:r w:rsidRPr="00D02074">
        <w:rPr>
          <w:rFonts w:ascii="Arial" w:hAnsi="Arial" w:cs="Arial"/>
        </w:rPr>
        <w:t xml:space="preserve">, and Freeman (2019) state that business cases for sustainability are created by stakeholders through their interactions, which indicates that whether ASOS works with its suppliers on ethical sourcing or collaborates with regulatory bodies on data privacy, it </w:t>
      </w:r>
      <w:proofErr w:type="gramStart"/>
      <w:r w:rsidRPr="00D02074">
        <w:rPr>
          <w:rFonts w:ascii="Arial" w:hAnsi="Arial" w:cs="Arial"/>
        </w:rPr>
        <w:t>actually generates</w:t>
      </w:r>
      <w:proofErr w:type="gramEnd"/>
      <w:r w:rsidRPr="00D02074">
        <w:rPr>
          <w:rFonts w:ascii="Arial" w:hAnsi="Arial" w:cs="Arial"/>
        </w:rPr>
        <w:t xml:space="preserve"> a business value from these processes rather than simply incurs an expense that will be compensated by profits. This statement is also supported by ASOS's evidence of its Fair, Wear and Innovate principles as well as the gross-margin recovery which emphasises how ASOS links its operational discipline with its commitment to stakeholders (ASOS Plc, 2025a). The analysis by Deloitte </w:t>
      </w:r>
      <w:r w:rsidR="00727B5B">
        <w:rPr>
          <w:rFonts w:ascii="Arial" w:hAnsi="Arial" w:cs="Arial"/>
        </w:rPr>
        <w:t xml:space="preserve">(2025) </w:t>
      </w:r>
      <w:r w:rsidRPr="00D02074">
        <w:rPr>
          <w:rFonts w:ascii="Arial" w:hAnsi="Arial" w:cs="Arial"/>
        </w:rPr>
        <w:t>also supports this statement, indicating that retail companies integrating artificial intelligence into their work together with improvements in supply chain and governance report visible profits from these activities</w:t>
      </w:r>
      <w:r w:rsidR="00727B5B">
        <w:rPr>
          <w:rFonts w:ascii="Arial" w:hAnsi="Arial" w:cs="Arial"/>
        </w:rPr>
        <w:t>.</w:t>
      </w:r>
    </w:p>
    <w:p w14:paraId="4ED0B524" w14:textId="77777777" w:rsidR="00727B5B" w:rsidRPr="00D02074" w:rsidRDefault="00727B5B" w:rsidP="00D02074">
      <w:pPr>
        <w:spacing w:line="360" w:lineRule="auto"/>
        <w:jc w:val="both"/>
        <w:rPr>
          <w:rFonts w:ascii="Arial" w:hAnsi="Arial" w:cs="Arial"/>
        </w:rPr>
      </w:pPr>
    </w:p>
    <w:p w14:paraId="1211C36A" w14:textId="4C20686D" w:rsidR="00AE5274" w:rsidRPr="00D02074" w:rsidRDefault="002E4AD7" w:rsidP="00D02074">
      <w:pPr>
        <w:spacing w:line="360" w:lineRule="auto"/>
        <w:jc w:val="both"/>
        <w:rPr>
          <w:rFonts w:ascii="Arial" w:hAnsi="Arial" w:cs="Arial"/>
        </w:rPr>
      </w:pPr>
      <w:r w:rsidRPr="00D02074">
        <w:rPr>
          <w:rFonts w:ascii="Arial" w:hAnsi="Arial" w:cs="Arial"/>
        </w:rPr>
        <w:t xml:space="preserve">Nevertheless, the link between engagement and performance is not absolute. In their words, Barney and Harrison (2020) warn that stakeholder theory’s usefulness rests on the assumption that managers know how to point out the real relationships that create value, instead of just spreading engagement efforts over numerous stakeholders regardless of their importance, which would be a waste of time in the case of </w:t>
      </w:r>
      <w:proofErr w:type="spellStart"/>
      <w:r w:rsidRPr="00D02074">
        <w:rPr>
          <w:rFonts w:ascii="Arial" w:hAnsi="Arial" w:cs="Arial"/>
        </w:rPr>
        <w:t>ConnectPlus’s</w:t>
      </w:r>
      <w:proofErr w:type="spellEnd"/>
      <w:r w:rsidRPr="00D02074">
        <w:rPr>
          <w:rFonts w:ascii="Arial" w:hAnsi="Arial" w:cs="Arial"/>
        </w:rPr>
        <w:t xml:space="preserve"> tight six-month timeline. The overuse of personalisation without effective governance brings the risk of bad reputation, as AI-powered retail personalisation has ethical issues with transparency, biases in algorithms and autonomy of consumers that need to be solved by retailers because failure to manage risks results in the erosion of trust that is crucial for loyalty platforms (Guha et al., 2021). The risk of regulation should also not be underestimated, since according to UK’s regulations for data protection, companies applying AI </w:t>
      </w:r>
      <w:proofErr w:type="gramStart"/>
      <w:r w:rsidRPr="00D02074">
        <w:rPr>
          <w:rFonts w:ascii="Arial" w:hAnsi="Arial" w:cs="Arial"/>
        </w:rPr>
        <w:t>have to</w:t>
      </w:r>
      <w:proofErr w:type="gramEnd"/>
      <w:r w:rsidRPr="00D02074">
        <w:rPr>
          <w:rFonts w:ascii="Arial" w:hAnsi="Arial" w:cs="Arial"/>
        </w:rPr>
        <w:t xml:space="preserve"> prove the fairness, accountability and legality of their profiling before launching services, which means incorrect dealing with ICO and regulators across the world may lead to service disruption (Information Commissioner’s Office, 2023).</w:t>
      </w:r>
    </w:p>
    <w:p w14:paraId="039FED69" w14:textId="77777777" w:rsidR="00326141" w:rsidRPr="00D02074" w:rsidRDefault="00326141" w:rsidP="00D02074">
      <w:pPr>
        <w:spacing w:line="360" w:lineRule="auto"/>
        <w:jc w:val="both"/>
        <w:rPr>
          <w:rFonts w:ascii="Arial" w:hAnsi="Arial" w:cs="Arial"/>
        </w:rPr>
      </w:pPr>
    </w:p>
    <w:p w14:paraId="6C405921" w14:textId="53AE9A70" w:rsidR="00326141" w:rsidRPr="00D02074" w:rsidRDefault="00035A14" w:rsidP="00D02074">
      <w:pPr>
        <w:spacing w:line="360" w:lineRule="auto"/>
        <w:jc w:val="both"/>
        <w:rPr>
          <w:rFonts w:ascii="Arial" w:hAnsi="Arial" w:cs="Arial"/>
        </w:rPr>
      </w:pPr>
      <w:r w:rsidRPr="00D02074">
        <w:rPr>
          <w:rFonts w:ascii="Arial" w:hAnsi="Arial" w:cs="Arial"/>
        </w:rPr>
        <w:t xml:space="preserve">Employee communication is related to significant performance outcomes. </w:t>
      </w:r>
      <w:proofErr w:type="gramStart"/>
      <w:r w:rsidRPr="00D02074">
        <w:rPr>
          <w:rFonts w:ascii="Arial" w:hAnsi="Arial" w:cs="Arial"/>
        </w:rPr>
        <w:t>In particular, it</w:t>
      </w:r>
      <w:proofErr w:type="gramEnd"/>
      <w:r w:rsidRPr="00D02074">
        <w:rPr>
          <w:rFonts w:ascii="Arial" w:hAnsi="Arial" w:cs="Arial"/>
        </w:rPr>
        <w:t xml:space="preserve"> is important to highlight the relationship between effective internal communication and employee engagement levels, which is then followed by improvements in employer attractiveness and voluntary contributions to the launches’ initiatives (</w:t>
      </w:r>
      <w:proofErr w:type="spellStart"/>
      <w:r w:rsidRPr="00D02074">
        <w:rPr>
          <w:rFonts w:ascii="Arial" w:hAnsi="Arial" w:cs="Arial"/>
        </w:rPr>
        <w:t>Tkalac</w:t>
      </w:r>
      <w:proofErr w:type="spellEnd"/>
      <w:r w:rsidRPr="00D02074">
        <w:rPr>
          <w:rFonts w:ascii="Arial" w:hAnsi="Arial" w:cs="Arial"/>
        </w:rPr>
        <w:t xml:space="preserve"> </w:t>
      </w:r>
      <w:proofErr w:type="spellStart"/>
      <w:r w:rsidRPr="00D02074">
        <w:rPr>
          <w:rFonts w:ascii="Arial" w:hAnsi="Arial" w:cs="Arial"/>
        </w:rPr>
        <w:t>Verčič</w:t>
      </w:r>
      <w:proofErr w:type="spellEnd"/>
      <w:r w:rsidRPr="00D02074">
        <w:rPr>
          <w:rFonts w:ascii="Arial" w:hAnsi="Arial" w:cs="Arial"/>
        </w:rPr>
        <w:t xml:space="preserve"> and Men, 2023). </w:t>
      </w:r>
      <w:proofErr w:type="gramStart"/>
      <w:r w:rsidRPr="00D02074">
        <w:rPr>
          <w:rFonts w:ascii="Arial" w:hAnsi="Arial" w:cs="Arial"/>
        </w:rPr>
        <w:t>Taking into account</w:t>
      </w:r>
      <w:proofErr w:type="gramEnd"/>
      <w:r w:rsidRPr="00D02074">
        <w:rPr>
          <w:rFonts w:ascii="Arial" w:hAnsi="Arial" w:cs="Arial"/>
        </w:rPr>
        <w:t xml:space="preserve"> that failures in the process of digitalisation </w:t>
      </w:r>
      <w:r w:rsidRPr="00D02074">
        <w:rPr>
          <w:rFonts w:ascii="Arial" w:hAnsi="Arial" w:cs="Arial"/>
        </w:rPr>
        <w:lastRenderedPageBreak/>
        <w:t>are mostly associated with issues connected with stakeholder requirements alignment during the process of planning and communication, engagement sustainability (as a period after the launch) can actually be considered even more crucial than engaging stakeholders in the implementation</w:t>
      </w:r>
      <w:r w:rsidR="00536DFD">
        <w:rPr>
          <w:rFonts w:ascii="Arial" w:hAnsi="Arial" w:cs="Arial"/>
        </w:rPr>
        <w:t xml:space="preserve"> </w:t>
      </w:r>
      <w:r w:rsidR="00536DFD" w:rsidRPr="00D02074">
        <w:rPr>
          <w:rFonts w:ascii="Arial" w:hAnsi="Arial" w:cs="Arial"/>
        </w:rPr>
        <w:t>(</w:t>
      </w:r>
      <w:proofErr w:type="spellStart"/>
      <w:r w:rsidR="00536DFD" w:rsidRPr="00D02074">
        <w:rPr>
          <w:rFonts w:ascii="Arial" w:hAnsi="Arial" w:cs="Arial"/>
        </w:rPr>
        <w:t>Hoblos</w:t>
      </w:r>
      <w:proofErr w:type="spellEnd"/>
      <w:r w:rsidR="00536DFD" w:rsidRPr="00D02074">
        <w:rPr>
          <w:rFonts w:ascii="Arial" w:hAnsi="Arial" w:cs="Arial"/>
        </w:rPr>
        <w:t xml:space="preserve"> et al., 2024)</w:t>
      </w:r>
      <w:r w:rsidRPr="00D02074">
        <w:rPr>
          <w:rFonts w:ascii="Arial" w:hAnsi="Arial" w:cs="Arial"/>
        </w:rPr>
        <w:t>. Thus, it is supposed that cross-culturally, the sustainability dimension will be more significant since successful engagement techniques used in the UK market cannot be reproduced in the US and EU without modifications due to cultural differences in data-sharing and loyalty program expectations (</w:t>
      </w:r>
      <w:proofErr w:type="spellStart"/>
      <w:r w:rsidRPr="00D02074">
        <w:rPr>
          <w:rFonts w:ascii="Arial" w:hAnsi="Arial" w:cs="Arial"/>
        </w:rPr>
        <w:t>Szkudlarek</w:t>
      </w:r>
      <w:proofErr w:type="spellEnd"/>
      <w:r w:rsidRPr="00D02074">
        <w:rPr>
          <w:rFonts w:ascii="Arial" w:hAnsi="Arial" w:cs="Arial"/>
        </w:rPr>
        <w:t xml:space="preserve"> et al., 2020). Therefore, overall results indicate that sustainable stakeholder engagement improves the performance of an organisation if ethics and prioritisation of engagement, as well as engagement support, are ensured (Freeman et al., 2020).</w:t>
      </w:r>
    </w:p>
    <w:p w14:paraId="292ABF22" w14:textId="77777777" w:rsidR="007360B7" w:rsidRPr="00D02074" w:rsidRDefault="007360B7" w:rsidP="00D02074">
      <w:pPr>
        <w:spacing w:line="360" w:lineRule="auto"/>
        <w:jc w:val="both"/>
        <w:rPr>
          <w:rFonts w:ascii="Arial" w:hAnsi="Arial" w:cs="Arial"/>
        </w:rPr>
      </w:pPr>
    </w:p>
    <w:p w14:paraId="7A99E72E" w14:textId="22FCA417" w:rsidR="007360B7" w:rsidRPr="00D02074" w:rsidRDefault="00676C83" w:rsidP="00D02074">
      <w:pPr>
        <w:pStyle w:val="Heading1"/>
        <w:spacing w:line="360" w:lineRule="auto"/>
        <w:jc w:val="both"/>
        <w:rPr>
          <w:rFonts w:ascii="Arial" w:hAnsi="Arial" w:cs="Arial"/>
          <w:b/>
          <w:bCs/>
          <w:sz w:val="24"/>
          <w:szCs w:val="24"/>
        </w:rPr>
      </w:pPr>
      <w:bookmarkStart w:id="6" w:name="_Toc237853476"/>
      <w:r w:rsidRPr="00D02074">
        <w:rPr>
          <w:rFonts w:ascii="Arial" w:hAnsi="Arial" w:cs="Arial"/>
          <w:b/>
          <w:bCs/>
          <w:sz w:val="24"/>
          <w:szCs w:val="24"/>
        </w:rPr>
        <w:t>7. Recommendations and Conclusion</w:t>
      </w:r>
      <w:bookmarkEnd w:id="6"/>
    </w:p>
    <w:p w14:paraId="300CE5A3" w14:textId="64C5A46A" w:rsidR="00676C83" w:rsidRPr="00D02074" w:rsidRDefault="007F6BB9" w:rsidP="00D02074">
      <w:pPr>
        <w:spacing w:line="360" w:lineRule="auto"/>
        <w:jc w:val="both"/>
        <w:rPr>
          <w:rFonts w:ascii="Arial" w:hAnsi="Arial" w:cs="Arial"/>
        </w:rPr>
      </w:pPr>
      <w:r w:rsidRPr="00D02074">
        <w:rPr>
          <w:rFonts w:ascii="Arial" w:hAnsi="Arial" w:cs="Arial"/>
        </w:rPr>
        <w:t xml:space="preserve">The analysis results in three recommendations. First, ASOS must incorporate the Mendelow and Salience mapping into an active stakeholder register, which should be updated monthly throughout the 6-month project implementation, because stakeholders' power, legitimacy, and urgency will be affected (Wood et al. 2021). Second, the project should implement an opt-in personalization approach beginning from project launch instead of developing the consent methods after the launch, ensuring that the business goals will follow the regulations and preventing negative reputational consequences (Information Commissioner’s Office, 2023). Third, the company must continue its engagement activities after the launch by gathering stakeholders’ feedback in quarterly cycles to </w:t>
      </w:r>
      <w:proofErr w:type="gramStart"/>
      <w:r w:rsidRPr="00D02074">
        <w:rPr>
          <w:rFonts w:ascii="Arial" w:hAnsi="Arial" w:cs="Arial"/>
        </w:rPr>
        <w:t>make adjustments to</w:t>
      </w:r>
      <w:proofErr w:type="gramEnd"/>
      <w:r w:rsidRPr="00D02074">
        <w:rPr>
          <w:rFonts w:ascii="Arial" w:hAnsi="Arial" w:cs="Arial"/>
        </w:rPr>
        <w:t xml:space="preserve"> the platform since it has been demonstrated that sustainability of engagement, not its initial intensity, is the main factor influencing long-term value creation (</w:t>
      </w:r>
      <w:proofErr w:type="spellStart"/>
      <w:r w:rsidRPr="00D02074">
        <w:rPr>
          <w:rFonts w:ascii="Arial" w:hAnsi="Arial" w:cs="Arial"/>
        </w:rPr>
        <w:t>Schaltegger</w:t>
      </w:r>
      <w:proofErr w:type="spellEnd"/>
      <w:r w:rsidRPr="00D02074">
        <w:rPr>
          <w:rFonts w:ascii="Arial" w:hAnsi="Arial" w:cs="Arial"/>
        </w:rPr>
        <w:t xml:space="preserve"> et al. 2019).</w:t>
      </w:r>
    </w:p>
    <w:p w14:paraId="14BA9BE8" w14:textId="77777777" w:rsidR="0073453D" w:rsidRPr="00D02074" w:rsidRDefault="0073453D" w:rsidP="00D02074">
      <w:pPr>
        <w:spacing w:line="360" w:lineRule="auto"/>
        <w:jc w:val="both"/>
        <w:rPr>
          <w:rFonts w:ascii="Arial" w:hAnsi="Arial" w:cs="Arial"/>
        </w:rPr>
      </w:pPr>
    </w:p>
    <w:p w14:paraId="399434AA" w14:textId="73AABB54" w:rsidR="0073453D" w:rsidRPr="00D02074" w:rsidRDefault="00B83C8B" w:rsidP="00D02074">
      <w:pPr>
        <w:spacing w:line="360" w:lineRule="auto"/>
        <w:jc w:val="both"/>
        <w:rPr>
          <w:rFonts w:ascii="Arial" w:hAnsi="Arial" w:cs="Arial"/>
        </w:rPr>
      </w:pPr>
      <w:r w:rsidRPr="00D02074">
        <w:rPr>
          <w:rFonts w:ascii="Arial" w:hAnsi="Arial" w:cs="Arial"/>
        </w:rPr>
        <w:t xml:space="preserve">In conclusion, </w:t>
      </w:r>
      <w:proofErr w:type="spellStart"/>
      <w:r w:rsidRPr="00D02074">
        <w:rPr>
          <w:rFonts w:ascii="Arial" w:hAnsi="Arial" w:cs="Arial"/>
        </w:rPr>
        <w:t>ConnectPlus</w:t>
      </w:r>
      <w:proofErr w:type="spellEnd"/>
      <w:r w:rsidRPr="00D02074">
        <w:rPr>
          <w:rFonts w:ascii="Arial" w:hAnsi="Arial" w:cs="Arial"/>
        </w:rPr>
        <w:t xml:space="preserve"> offers ASOS an excellent opportunity to bolster customer retention and brand differentiation in the fiercely competitive and low-margin global fashion industry (ASOS Plc, 2025a). However, turning this idea into reality will require less attention to the technical sophistication of the platform than focus on effectively identifying, prioritising, and engaging the internal and external stakeholders throughout the lifecycle of the product (Freeman et al., 2019). A rigorous framework-</w:t>
      </w:r>
      <w:r w:rsidRPr="00D02074">
        <w:rPr>
          <w:rFonts w:ascii="Arial" w:hAnsi="Arial" w:cs="Arial"/>
        </w:rPr>
        <w:lastRenderedPageBreak/>
        <w:t>based method that integrates power-interest and salience mapping, the SWANS/OWANS analysis, the 4Cs, the RACI governance, and culturally sensitive communication might be the best way to ensure the readiness of a diverse stakeholder base of ASOS to accept the fruit of its efforts (Freeman et al., 2020).</w:t>
      </w:r>
    </w:p>
    <w:p w14:paraId="39D5C3D2" w14:textId="77777777" w:rsidR="009002BB" w:rsidRPr="00D02074" w:rsidRDefault="009002BB" w:rsidP="00D02074">
      <w:pPr>
        <w:spacing w:line="360" w:lineRule="auto"/>
        <w:jc w:val="both"/>
        <w:rPr>
          <w:rFonts w:ascii="Arial" w:hAnsi="Arial" w:cs="Arial"/>
        </w:rPr>
      </w:pPr>
    </w:p>
    <w:p w14:paraId="42E002C9" w14:textId="77777777" w:rsidR="009002BB" w:rsidRDefault="009002BB" w:rsidP="00D02074">
      <w:pPr>
        <w:spacing w:line="360" w:lineRule="auto"/>
        <w:jc w:val="both"/>
        <w:rPr>
          <w:rFonts w:ascii="Arial" w:hAnsi="Arial" w:cs="Arial"/>
        </w:rPr>
      </w:pPr>
    </w:p>
    <w:p w14:paraId="3A5C8524" w14:textId="77777777" w:rsidR="001C26E0" w:rsidRDefault="001C26E0" w:rsidP="00D02074">
      <w:pPr>
        <w:spacing w:line="360" w:lineRule="auto"/>
        <w:jc w:val="both"/>
        <w:rPr>
          <w:rFonts w:ascii="Arial" w:hAnsi="Arial" w:cs="Arial"/>
        </w:rPr>
      </w:pPr>
    </w:p>
    <w:p w14:paraId="34787BE9" w14:textId="77777777" w:rsidR="001C26E0" w:rsidRDefault="001C26E0" w:rsidP="00D02074">
      <w:pPr>
        <w:spacing w:line="360" w:lineRule="auto"/>
        <w:jc w:val="both"/>
        <w:rPr>
          <w:rFonts w:ascii="Arial" w:hAnsi="Arial" w:cs="Arial"/>
        </w:rPr>
      </w:pPr>
    </w:p>
    <w:p w14:paraId="2A6B6735" w14:textId="77777777" w:rsidR="003F3EC3" w:rsidRDefault="003F3EC3" w:rsidP="00D02074">
      <w:pPr>
        <w:spacing w:line="360" w:lineRule="auto"/>
        <w:jc w:val="both"/>
        <w:rPr>
          <w:rFonts w:ascii="Arial" w:hAnsi="Arial" w:cs="Arial"/>
        </w:rPr>
      </w:pPr>
    </w:p>
    <w:p w14:paraId="769B50DE" w14:textId="77777777" w:rsidR="003F3EC3" w:rsidRDefault="003F3EC3" w:rsidP="00D02074">
      <w:pPr>
        <w:spacing w:line="360" w:lineRule="auto"/>
        <w:jc w:val="both"/>
        <w:rPr>
          <w:rFonts w:ascii="Arial" w:hAnsi="Arial" w:cs="Arial"/>
        </w:rPr>
      </w:pPr>
    </w:p>
    <w:p w14:paraId="50DCDA8C" w14:textId="77777777" w:rsidR="003F3EC3" w:rsidRDefault="003F3EC3" w:rsidP="00D02074">
      <w:pPr>
        <w:spacing w:line="360" w:lineRule="auto"/>
        <w:jc w:val="both"/>
        <w:rPr>
          <w:rFonts w:ascii="Arial" w:hAnsi="Arial" w:cs="Arial"/>
        </w:rPr>
      </w:pPr>
    </w:p>
    <w:p w14:paraId="2EC9959A" w14:textId="77777777" w:rsidR="003F3EC3" w:rsidRDefault="003F3EC3" w:rsidP="00D02074">
      <w:pPr>
        <w:spacing w:line="360" w:lineRule="auto"/>
        <w:jc w:val="both"/>
        <w:rPr>
          <w:rFonts w:ascii="Arial" w:hAnsi="Arial" w:cs="Arial"/>
        </w:rPr>
      </w:pPr>
    </w:p>
    <w:p w14:paraId="05A1B2B9" w14:textId="77777777" w:rsidR="003F3EC3" w:rsidRDefault="003F3EC3" w:rsidP="00D02074">
      <w:pPr>
        <w:spacing w:line="360" w:lineRule="auto"/>
        <w:jc w:val="both"/>
        <w:rPr>
          <w:rFonts w:ascii="Arial" w:hAnsi="Arial" w:cs="Arial"/>
        </w:rPr>
      </w:pPr>
    </w:p>
    <w:p w14:paraId="131D6AAC" w14:textId="77777777" w:rsidR="003F3EC3" w:rsidRDefault="003F3EC3" w:rsidP="00D02074">
      <w:pPr>
        <w:spacing w:line="360" w:lineRule="auto"/>
        <w:jc w:val="both"/>
        <w:rPr>
          <w:rFonts w:ascii="Arial" w:hAnsi="Arial" w:cs="Arial"/>
        </w:rPr>
      </w:pPr>
    </w:p>
    <w:p w14:paraId="7E75F2C9" w14:textId="77777777" w:rsidR="003F3EC3" w:rsidRDefault="003F3EC3" w:rsidP="00D02074">
      <w:pPr>
        <w:spacing w:line="360" w:lineRule="auto"/>
        <w:jc w:val="both"/>
        <w:rPr>
          <w:rFonts w:ascii="Arial" w:hAnsi="Arial" w:cs="Arial"/>
        </w:rPr>
      </w:pPr>
    </w:p>
    <w:p w14:paraId="4A90990C" w14:textId="77777777" w:rsidR="003F3EC3" w:rsidRDefault="003F3EC3" w:rsidP="00D02074">
      <w:pPr>
        <w:spacing w:line="360" w:lineRule="auto"/>
        <w:jc w:val="both"/>
        <w:rPr>
          <w:rFonts w:ascii="Arial" w:hAnsi="Arial" w:cs="Arial"/>
        </w:rPr>
      </w:pPr>
    </w:p>
    <w:p w14:paraId="0D7F9C9C" w14:textId="77777777" w:rsidR="003F3EC3" w:rsidRDefault="003F3EC3" w:rsidP="00D02074">
      <w:pPr>
        <w:spacing w:line="360" w:lineRule="auto"/>
        <w:jc w:val="both"/>
        <w:rPr>
          <w:rFonts w:ascii="Arial" w:hAnsi="Arial" w:cs="Arial"/>
        </w:rPr>
      </w:pPr>
    </w:p>
    <w:p w14:paraId="07FE86E6" w14:textId="77777777" w:rsidR="003F3EC3" w:rsidRDefault="003F3EC3" w:rsidP="00D02074">
      <w:pPr>
        <w:spacing w:line="360" w:lineRule="auto"/>
        <w:jc w:val="both"/>
        <w:rPr>
          <w:rFonts w:ascii="Arial" w:hAnsi="Arial" w:cs="Arial"/>
        </w:rPr>
      </w:pPr>
    </w:p>
    <w:p w14:paraId="26C7C907" w14:textId="77777777" w:rsidR="003F3EC3" w:rsidRDefault="003F3EC3" w:rsidP="00D02074">
      <w:pPr>
        <w:spacing w:line="360" w:lineRule="auto"/>
        <w:jc w:val="both"/>
        <w:rPr>
          <w:rFonts w:ascii="Arial" w:hAnsi="Arial" w:cs="Arial"/>
        </w:rPr>
      </w:pPr>
    </w:p>
    <w:p w14:paraId="642CD2B5" w14:textId="77777777" w:rsidR="003F3EC3" w:rsidRDefault="003F3EC3" w:rsidP="00D02074">
      <w:pPr>
        <w:spacing w:line="360" w:lineRule="auto"/>
        <w:jc w:val="both"/>
        <w:rPr>
          <w:rFonts w:ascii="Arial" w:hAnsi="Arial" w:cs="Arial"/>
        </w:rPr>
      </w:pPr>
    </w:p>
    <w:p w14:paraId="58ED356F" w14:textId="77777777" w:rsidR="003F3EC3" w:rsidRDefault="003F3EC3" w:rsidP="00D02074">
      <w:pPr>
        <w:spacing w:line="360" w:lineRule="auto"/>
        <w:jc w:val="both"/>
        <w:rPr>
          <w:rFonts w:ascii="Arial" w:hAnsi="Arial" w:cs="Arial"/>
        </w:rPr>
      </w:pPr>
    </w:p>
    <w:p w14:paraId="550EE938" w14:textId="77777777" w:rsidR="003F3EC3" w:rsidRDefault="003F3EC3" w:rsidP="00D02074">
      <w:pPr>
        <w:spacing w:line="360" w:lineRule="auto"/>
        <w:jc w:val="both"/>
        <w:rPr>
          <w:rFonts w:ascii="Arial" w:hAnsi="Arial" w:cs="Arial"/>
        </w:rPr>
      </w:pPr>
    </w:p>
    <w:p w14:paraId="3B884A6F" w14:textId="77777777" w:rsidR="003F3EC3" w:rsidRDefault="003F3EC3" w:rsidP="00D02074">
      <w:pPr>
        <w:spacing w:line="360" w:lineRule="auto"/>
        <w:jc w:val="both"/>
        <w:rPr>
          <w:rFonts w:ascii="Arial" w:hAnsi="Arial" w:cs="Arial"/>
        </w:rPr>
      </w:pPr>
    </w:p>
    <w:p w14:paraId="694AF21D" w14:textId="77777777" w:rsidR="003F3EC3" w:rsidRDefault="003F3EC3" w:rsidP="00D02074">
      <w:pPr>
        <w:spacing w:line="360" w:lineRule="auto"/>
        <w:jc w:val="both"/>
        <w:rPr>
          <w:rFonts w:ascii="Arial" w:hAnsi="Arial" w:cs="Arial"/>
        </w:rPr>
      </w:pPr>
    </w:p>
    <w:p w14:paraId="122A9CC9" w14:textId="77777777" w:rsidR="003F3EC3" w:rsidRDefault="003F3EC3" w:rsidP="00D02074">
      <w:pPr>
        <w:spacing w:line="360" w:lineRule="auto"/>
        <w:jc w:val="both"/>
        <w:rPr>
          <w:rFonts w:ascii="Arial" w:hAnsi="Arial" w:cs="Arial"/>
        </w:rPr>
      </w:pPr>
    </w:p>
    <w:p w14:paraId="6FBFF3B9" w14:textId="77777777" w:rsidR="003F3EC3" w:rsidRDefault="003F3EC3" w:rsidP="00D02074">
      <w:pPr>
        <w:spacing w:line="360" w:lineRule="auto"/>
        <w:jc w:val="both"/>
        <w:rPr>
          <w:rFonts w:ascii="Arial" w:hAnsi="Arial" w:cs="Arial"/>
        </w:rPr>
      </w:pPr>
    </w:p>
    <w:p w14:paraId="42C8ACEE" w14:textId="77777777" w:rsidR="003F3EC3" w:rsidRDefault="003F3EC3" w:rsidP="00D02074">
      <w:pPr>
        <w:spacing w:line="360" w:lineRule="auto"/>
        <w:jc w:val="both"/>
        <w:rPr>
          <w:rFonts w:ascii="Arial" w:hAnsi="Arial" w:cs="Arial"/>
        </w:rPr>
      </w:pPr>
    </w:p>
    <w:p w14:paraId="19937EE1" w14:textId="77777777" w:rsidR="003F3EC3" w:rsidRDefault="003F3EC3" w:rsidP="00D02074">
      <w:pPr>
        <w:spacing w:line="360" w:lineRule="auto"/>
        <w:jc w:val="both"/>
        <w:rPr>
          <w:rFonts w:ascii="Arial" w:hAnsi="Arial" w:cs="Arial"/>
        </w:rPr>
      </w:pPr>
    </w:p>
    <w:p w14:paraId="146CBB0A" w14:textId="77777777" w:rsidR="001C26E0" w:rsidRPr="00D02074" w:rsidRDefault="001C26E0" w:rsidP="00D02074">
      <w:pPr>
        <w:spacing w:line="360" w:lineRule="auto"/>
        <w:jc w:val="both"/>
        <w:rPr>
          <w:rFonts w:ascii="Arial" w:hAnsi="Arial" w:cs="Arial"/>
        </w:rPr>
      </w:pPr>
    </w:p>
    <w:p w14:paraId="51593AD8" w14:textId="37DE7980" w:rsidR="007D0ED2" w:rsidRPr="00D02074" w:rsidRDefault="007D0ED2" w:rsidP="00D02074">
      <w:pPr>
        <w:pStyle w:val="Heading1"/>
        <w:spacing w:line="360" w:lineRule="auto"/>
        <w:jc w:val="both"/>
        <w:rPr>
          <w:rFonts w:ascii="Arial" w:hAnsi="Arial" w:cs="Arial"/>
          <w:b/>
          <w:bCs/>
          <w:sz w:val="24"/>
          <w:szCs w:val="24"/>
        </w:rPr>
      </w:pPr>
      <w:bookmarkStart w:id="7" w:name="_Toc237853477"/>
      <w:r w:rsidRPr="00D02074">
        <w:rPr>
          <w:rFonts w:ascii="Arial" w:hAnsi="Arial" w:cs="Arial"/>
          <w:b/>
          <w:bCs/>
          <w:sz w:val="24"/>
          <w:szCs w:val="24"/>
        </w:rPr>
        <w:lastRenderedPageBreak/>
        <w:t>8. Reference List</w:t>
      </w:r>
      <w:bookmarkEnd w:id="7"/>
    </w:p>
    <w:p w14:paraId="21F9970E"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Arrigo, E. (2020) 'Global sourcing in fast fashion retailers: sourcing locations and sustainability considerations', </w:t>
      </w:r>
      <w:r w:rsidRPr="00707C65">
        <w:rPr>
          <w:rFonts w:ascii="Arial" w:hAnsi="Arial" w:cs="Arial"/>
          <w:i/>
          <w:iCs/>
        </w:rPr>
        <w:t>Sustainability</w:t>
      </w:r>
      <w:r w:rsidRPr="00707C65">
        <w:rPr>
          <w:rFonts w:ascii="Arial" w:hAnsi="Arial" w:cs="Arial"/>
        </w:rPr>
        <w:t xml:space="preserve">, 12(2), p. 508. Available at: </w:t>
      </w:r>
      <w:hyperlink r:id="rId9" w:history="1">
        <w:r w:rsidRPr="00707C65">
          <w:rPr>
            <w:rFonts w:ascii="Arial" w:hAnsi="Arial" w:cs="Arial"/>
            <w:color w:val="0000FF"/>
            <w:u w:val="single"/>
          </w:rPr>
          <w:t>https://doi.org/10.3390/su12020508</w:t>
        </w:r>
      </w:hyperlink>
      <w:r w:rsidRPr="00707C65">
        <w:rPr>
          <w:rFonts w:ascii="Arial" w:hAnsi="Arial" w:cs="Arial"/>
        </w:rPr>
        <w:t xml:space="preserve"> (Accessed: 22 July 2026).</w:t>
      </w:r>
    </w:p>
    <w:p w14:paraId="7F24AD7A"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ASOS Plc (2025) </w:t>
      </w:r>
      <w:r w:rsidRPr="00707C65">
        <w:rPr>
          <w:rFonts w:ascii="Arial" w:hAnsi="Arial" w:cs="Arial"/>
          <w:i/>
          <w:iCs/>
        </w:rPr>
        <w:t>Annual Report and Accounts 2025</w:t>
      </w:r>
      <w:r w:rsidRPr="00707C65">
        <w:rPr>
          <w:rFonts w:ascii="Arial" w:hAnsi="Arial" w:cs="Arial"/>
        </w:rPr>
        <w:t xml:space="preserve">. London: ASOS Plc. Available at: </w:t>
      </w:r>
      <w:hyperlink r:id="rId10" w:history="1">
        <w:r w:rsidRPr="00707C65">
          <w:rPr>
            <w:rFonts w:ascii="Arial" w:hAnsi="Arial" w:cs="Arial"/>
            <w:color w:val="0000FF"/>
            <w:u w:val="single"/>
          </w:rPr>
          <w:t>https://www.asosplc.com/media/buijobcn/49775_asos_ar25_text_int_031225-final.pdf</w:t>
        </w:r>
      </w:hyperlink>
      <w:r w:rsidRPr="00707C65">
        <w:rPr>
          <w:rFonts w:ascii="Arial" w:hAnsi="Arial" w:cs="Arial"/>
        </w:rPr>
        <w:t xml:space="preserve"> (Accessed: 30 July 2026).</w:t>
      </w:r>
    </w:p>
    <w:p w14:paraId="3D2026C5"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ASOS Plc (2025) </w:t>
      </w:r>
      <w:r w:rsidRPr="00707C65">
        <w:rPr>
          <w:rFonts w:ascii="Arial" w:hAnsi="Arial" w:cs="Arial"/>
          <w:i/>
          <w:iCs/>
        </w:rPr>
        <w:t>Investor Relations: Our Year in Numbers</w:t>
      </w:r>
      <w:r w:rsidRPr="00707C65">
        <w:rPr>
          <w:rFonts w:ascii="Arial" w:hAnsi="Arial" w:cs="Arial"/>
        </w:rPr>
        <w:t xml:space="preserve">. London: ASOS Plc. Available at: </w:t>
      </w:r>
      <w:hyperlink r:id="rId11" w:history="1">
        <w:r w:rsidRPr="00707C65">
          <w:rPr>
            <w:rFonts w:ascii="Arial" w:hAnsi="Arial" w:cs="Arial"/>
            <w:color w:val="0000FF"/>
            <w:u w:val="single"/>
          </w:rPr>
          <w:t>https://www.asosplc.com/investor-relations/</w:t>
        </w:r>
      </w:hyperlink>
      <w:r w:rsidRPr="00707C65">
        <w:rPr>
          <w:rFonts w:ascii="Arial" w:hAnsi="Arial" w:cs="Arial"/>
        </w:rPr>
        <w:t xml:space="preserve"> (Accessed: 6 August 2026).</w:t>
      </w:r>
    </w:p>
    <w:p w14:paraId="157C1A60"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Barney, J.B. and Harrison, J.S. (2020) 'Stakeholder theory at the crossroads', </w:t>
      </w:r>
      <w:r w:rsidRPr="00707C65">
        <w:rPr>
          <w:rFonts w:ascii="Arial" w:hAnsi="Arial" w:cs="Arial"/>
          <w:i/>
          <w:iCs/>
        </w:rPr>
        <w:t>Business &amp; Society</w:t>
      </w:r>
      <w:r w:rsidRPr="00707C65">
        <w:rPr>
          <w:rFonts w:ascii="Arial" w:hAnsi="Arial" w:cs="Arial"/>
        </w:rPr>
        <w:t xml:space="preserve">, 59(2), pp. 203–212. Available at: </w:t>
      </w:r>
      <w:hyperlink r:id="rId12" w:history="1">
        <w:r w:rsidRPr="00707C65">
          <w:rPr>
            <w:rFonts w:ascii="Arial" w:hAnsi="Arial" w:cs="Arial"/>
            <w:color w:val="0000FF"/>
            <w:u w:val="single"/>
          </w:rPr>
          <w:t>https://doi.org/10.1177/0007650318796792</w:t>
        </w:r>
      </w:hyperlink>
      <w:r w:rsidRPr="00707C65">
        <w:rPr>
          <w:rFonts w:ascii="Arial" w:hAnsi="Arial" w:cs="Arial"/>
        </w:rPr>
        <w:t xml:space="preserve"> (Accessed: 22 July 2026).</w:t>
      </w:r>
    </w:p>
    <w:p w14:paraId="550CA14D"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Crane, A., Matten, D., </w:t>
      </w:r>
      <w:proofErr w:type="spellStart"/>
      <w:r w:rsidRPr="00707C65">
        <w:rPr>
          <w:rFonts w:ascii="Arial" w:hAnsi="Arial" w:cs="Arial"/>
        </w:rPr>
        <w:t>Glozer</w:t>
      </w:r>
      <w:proofErr w:type="spellEnd"/>
      <w:r w:rsidRPr="00707C65">
        <w:rPr>
          <w:rFonts w:ascii="Arial" w:hAnsi="Arial" w:cs="Arial"/>
        </w:rPr>
        <w:t xml:space="preserve">, S. and Spence, L.J. (2019) </w:t>
      </w:r>
      <w:r w:rsidRPr="00707C65">
        <w:rPr>
          <w:rFonts w:ascii="Arial" w:hAnsi="Arial" w:cs="Arial"/>
          <w:i/>
          <w:iCs/>
        </w:rPr>
        <w:t>Business Ethics: Managing Corporate Citizenship and Sustainability in the Age of Globalization</w:t>
      </w:r>
      <w:r w:rsidRPr="00707C65">
        <w:rPr>
          <w:rFonts w:ascii="Arial" w:hAnsi="Arial" w:cs="Arial"/>
        </w:rPr>
        <w:t xml:space="preserve">. 5th </w:t>
      </w:r>
      <w:proofErr w:type="spellStart"/>
      <w:r w:rsidRPr="00707C65">
        <w:rPr>
          <w:rFonts w:ascii="Arial" w:hAnsi="Arial" w:cs="Arial"/>
        </w:rPr>
        <w:t>edn</w:t>
      </w:r>
      <w:proofErr w:type="spellEnd"/>
      <w:r w:rsidRPr="00707C65">
        <w:rPr>
          <w:rFonts w:ascii="Arial" w:hAnsi="Arial" w:cs="Arial"/>
        </w:rPr>
        <w:t>. Oxford: Oxford University Press.</w:t>
      </w:r>
    </w:p>
    <w:p w14:paraId="6094EB4D"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Deloitte </w:t>
      </w:r>
      <w:proofErr w:type="spellStart"/>
      <w:r w:rsidRPr="00707C65">
        <w:rPr>
          <w:rFonts w:ascii="Arial" w:hAnsi="Arial" w:cs="Arial"/>
        </w:rPr>
        <w:t>Touche</w:t>
      </w:r>
      <w:proofErr w:type="spellEnd"/>
      <w:r w:rsidRPr="00707C65">
        <w:rPr>
          <w:rFonts w:ascii="Arial" w:hAnsi="Arial" w:cs="Arial"/>
        </w:rPr>
        <w:t xml:space="preserve"> Tohmatsu Limited (2025) </w:t>
      </w:r>
      <w:r w:rsidRPr="00707C65">
        <w:rPr>
          <w:rFonts w:ascii="Arial" w:hAnsi="Arial" w:cs="Arial"/>
          <w:i/>
          <w:iCs/>
        </w:rPr>
        <w:t>Global Powers of Retailing 2025: Improving Effectiveness and Unlocking Growth in the Year Ahead</w:t>
      </w:r>
      <w:r w:rsidRPr="00707C65">
        <w:rPr>
          <w:rFonts w:ascii="Arial" w:hAnsi="Arial" w:cs="Arial"/>
        </w:rPr>
        <w:t xml:space="preserve">. London: Deloitte. Available at: </w:t>
      </w:r>
      <w:hyperlink r:id="rId13" w:history="1">
        <w:r w:rsidRPr="00707C65">
          <w:rPr>
            <w:rFonts w:ascii="Arial" w:hAnsi="Arial" w:cs="Arial"/>
            <w:color w:val="0000FF"/>
            <w:u w:val="single"/>
          </w:rPr>
          <w:t>https://www.deloitte.com/global/en/industries/retail/research/global-powers-of-retailing.html</w:t>
        </w:r>
      </w:hyperlink>
      <w:r w:rsidRPr="00707C65">
        <w:rPr>
          <w:rFonts w:ascii="Arial" w:hAnsi="Arial" w:cs="Arial"/>
        </w:rPr>
        <w:t xml:space="preserve"> (Accessed: 1 August 2026).</w:t>
      </w:r>
    </w:p>
    <w:p w14:paraId="4C13CB21"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Financial Reporting Council (2024) </w:t>
      </w:r>
      <w:r w:rsidRPr="00707C65">
        <w:rPr>
          <w:rFonts w:ascii="Arial" w:hAnsi="Arial" w:cs="Arial"/>
          <w:i/>
          <w:iCs/>
        </w:rPr>
        <w:t>The UK Corporate Governance Code</w:t>
      </w:r>
      <w:r w:rsidRPr="00707C65">
        <w:rPr>
          <w:rFonts w:ascii="Arial" w:hAnsi="Arial" w:cs="Arial"/>
        </w:rPr>
        <w:t xml:space="preserve">. London: FRC. Available at: </w:t>
      </w:r>
      <w:hyperlink r:id="rId14" w:history="1">
        <w:r w:rsidRPr="00707C65">
          <w:rPr>
            <w:rFonts w:ascii="Arial" w:hAnsi="Arial" w:cs="Arial"/>
            <w:color w:val="0000FF"/>
            <w:u w:val="single"/>
          </w:rPr>
          <w:t>https://www.frc.org.uk/library/standards-codes-policy/corporate-governance/uk-corporate-governance-code/</w:t>
        </w:r>
      </w:hyperlink>
      <w:r w:rsidRPr="00707C65">
        <w:rPr>
          <w:rFonts w:ascii="Arial" w:hAnsi="Arial" w:cs="Arial"/>
        </w:rPr>
        <w:t xml:space="preserve"> (Accessed: 31 July 2026).</w:t>
      </w:r>
    </w:p>
    <w:p w14:paraId="2E6488E1"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Fook, A.C.W. and </w:t>
      </w:r>
      <w:proofErr w:type="spellStart"/>
      <w:r w:rsidRPr="00707C65">
        <w:rPr>
          <w:rFonts w:ascii="Arial" w:hAnsi="Arial" w:cs="Arial"/>
        </w:rPr>
        <w:t>Dastane</w:t>
      </w:r>
      <w:proofErr w:type="spellEnd"/>
      <w:r w:rsidRPr="00707C65">
        <w:rPr>
          <w:rFonts w:ascii="Arial" w:hAnsi="Arial" w:cs="Arial"/>
        </w:rPr>
        <w:t xml:space="preserve">, O. (2021) 'Effectiveness of loyalty programs in customer retention: a multiple mediation analysis', </w:t>
      </w:r>
      <w:r w:rsidRPr="00707C65">
        <w:rPr>
          <w:rFonts w:ascii="Arial" w:hAnsi="Arial" w:cs="Arial"/>
          <w:i/>
          <w:iCs/>
        </w:rPr>
        <w:t>Jindal Journal of Business Research</w:t>
      </w:r>
      <w:r w:rsidRPr="00707C65">
        <w:rPr>
          <w:rFonts w:ascii="Arial" w:hAnsi="Arial" w:cs="Arial"/>
        </w:rPr>
        <w:t xml:space="preserve">, 10(1), pp. 7–32. Available at: </w:t>
      </w:r>
      <w:hyperlink r:id="rId15" w:history="1">
        <w:r w:rsidRPr="00707C65">
          <w:rPr>
            <w:rFonts w:ascii="Arial" w:hAnsi="Arial" w:cs="Arial"/>
            <w:color w:val="0000FF"/>
            <w:u w:val="single"/>
          </w:rPr>
          <w:t>https://doi.org/10.1177/22786821211000182</w:t>
        </w:r>
      </w:hyperlink>
      <w:r w:rsidRPr="00707C65">
        <w:rPr>
          <w:rFonts w:ascii="Arial" w:hAnsi="Arial" w:cs="Arial"/>
        </w:rPr>
        <w:t xml:space="preserve"> (Accessed: 24 July 2026).</w:t>
      </w:r>
    </w:p>
    <w:p w14:paraId="61E3FC0C"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lastRenderedPageBreak/>
        <w:t xml:space="preserve">Freeman, R.E., Harrison, J.S., Barney, J.B. and Phillips, R.A. (eds) (2019) </w:t>
      </w:r>
      <w:r w:rsidRPr="00707C65">
        <w:rPr>
          <w:rFonts w:ascii="Arial" w:hAnsi="Arial" w:cs="Arial"/>
          <w:i/>
          <w:iCs/>
        </w:rPr>
        <w:t>The Cambridge Handbook of Stakeholder Theory</w:t>
      </w:r>
      <w:r w:rsidRPr="00707C65">
        <w:rPr>
          <w:rFonts w:ascii="Arial" w:hAnsi="Arial" w:cs="Arial"/>
        </w:rPr>
        <w:t>. Cambridge: Cambridge University Press.</w:t>
      </w:r>
    </w:p>
    <w:p w14:paraId="0249502C"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Freeman, R.E., Martin, K.E. and Parmar, B.L. (2020) </w:t>
      </w:r>
      <w:r w:rsidRPr="00707C65">
        <w:rPr>
          <w:rFonts w:ascii="Arial" w:hAnsi="Arial" w:cs="Arial"/>
          <w:i/>
          <w:iCs/>
        </w:rPr>
        <w:t xml:space="preserve">The Power of </w:t>
      </w:r>
      <w:proofErr w:type="gramStart"/>
      <w:r w:rsidRPr="00707C65">
        <w:rPr>
          <w:rFonts w:ascii="Arial" w:hAnsi="Arial" w:cs="Arial"/>
          <w:i/>
          <w:iCs/>
        </w:rPr>
        <w:t>And</w:t>
      </w:r>
      <w:proofErr w:type="gramEnd"/>
      <w:r w:rsidRPr="00707C65">
        <w:rPr>
          <w:rFonts w:ascii="Arial" w:hAnsi="Arial" w:cs="Arial"/>
          <w:i/>
          <w:iCs/>
        </w:rPr>
        <w:t>: Responsible Business Without Trade-Offs</w:t>
      </w:r>
      <w:r w:rsidRPr="00707C65">
        <w:rPr>
          <w:rFonts w:ascii="Arial" w:hAnsi="Arial" w:cs="Arial"/>
        </w:rPr>
        <w:t>. New York: Columbia University Press.</w:t>
      </w:r>
    </w:p>
    <w:p w14:paraId="51956C78"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Freeman, R.E., Phillips, R. and Sisodia, R. (2020) 'Tensions in stakeholder theory', </w:t>
      </w:r>
      <w:r w:rsidRPr="00707C65">
        <w:rPr>
          <w:rFonts w:ascii="Arial" w:hAnsi="Arial" w:cs="Arial"/>
          <w:i/>
          <w:iCs/>
        </w:rPr>
        <w:t>Business &amp; Society</w:t>
      </w:r>
      <w:r w:rsidRPr="00707C65">
        <w:rPr>
          <w:rFonts w:ascii="Arial" w:hAnsi="Arial" w:cs="Arial"/>
        </w:rPr>
        <w:t xml:space="preserve">, 59(2), pp. 213–231. Available at: </w:t>
      </w:r>
      <w:hyperlink r:id="rId16" w:history="1">
        <w:r w:rsidRPr="00707C65">
          <w:rPr>
            <w:rFonts w:ascii="Arial" w:hAnsi="Arial" w:cs="Arial"/>
            <w:color w:val="0000FF"/>
            <w:u w:val="single"/>
          </w:rPr>
          <w:t>https://doi.org/10.1177/0007650318773750</w:t>
        </w:r>
      </w:hyperlink>
      <w:r w:rsidRPr="00707C65">
        <w:rPr>
          <w:rFonts w:ascii="Arial" w:hAnsi="Arial" w:cs="Arial"/>
        </w:rPr>
        <w:t xml:space="preserve"> (Accessed: 20 July 2026).</w:t>
      </w:r>
    </w:p>
    <w:p w14:paraId="6C6F122F"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Guha, A., Grewal, D., </w:t>
      </w:r>
      <w:proofErr w:type="spellStart"/>
      <w:r w:rsidRPr="00707C65">
        <w:rPr>
          <w:rFonts w:ascii="Arial" w:hAnsi="Arial" w:cs="Arial"/>
        </w:rPr>
        <w:t>Kopalle</w:t>
      </w:r>
      <w:proofErr w:type="spellEnd"/>
      <w:r w:rsidRPr="00707C65">
        <w:rPr>
          <w:rFonts w:ascii="Arial" w:hAnsi="Arial" w:cs="Arial"/>
        </w:rPr>
        <w:t xml:space="preserve">, P.K., </w:t>
      </w:r>
      <w:proofErr w:type="spellStart"/>
      <w:r w:rsidRPr="00707C65">
        <w:rPr>
          <w:rFonts w:ascii="Arial" w:hAnsi="Arial" w:cs="Arial"/>
        </w:rPr>
        <w:t>Haenlein</w:t>
      </w:r>
      <w:proofErr w:type="spellEnd"/>
      <w:r w:rsidRPr="00707C65">
        <w:rPr>
          <w:rFonts w:ascii="Arial" w:hAnsi="Arial" w:cs="Arial"/>
        </w:rPr>
        <w:t xml:space="preserve">, M., Schneider, M.J., Jung, H., </w:t>
      </w:r>
      <w:proofErr w:type="spellStart"/>
      <w:r w:rsidRPr="00707C65">
        <w:rPr>
          <w:rFonts w:ascii="Arial" w:hAnsi="Arial" w:cs="Arial"/>
        </w:rPr>
        <w:t>Moustafa</w:t>
      </w:r>
      <w:proofErr w:type="spellEnd"/>
      <w:r w:rsidRPr="00707C65">
        <w:rPr>
          <w:rFonts w:ascii="Arial" w:hAnsi="Arial" w:cs="Arial"/>
        </w:rPr>
        <w:t xml:space="preserve">, R., Hegde, D.R. and Hawkins, G. (2021) 'How artificial intelligence will affect the future of retailing', </w:t>
      </w:r>
      <w:r w:rsidRPr="00707C65">
        <w:rPr>
          <w:rFonts w:ascii="Arial" w:hAnsi="Arial" w:cs="Arial"/>
          <w:i/>
          <w:iCs/>
        </w:rPr>
        <w:t>Journal of Retailing</w:t>
      </w:r>
      <w:r w:rsidRPr="00707C65">
        <w:rPr>
          <w:rFonts w:ascii="Arial" w:hAnsi="Arial" w:cs="Arial"/>
        </w:rPr>
        <w:t xml:space="preserve">, 97(1), pp. 28–41. Available at: </w:t>
      </w:r>
      <w:hyperlink r:id="rId17" w:history="1">
        <w:r w:rsidRPr="00707C65">
          <w:rPr>
            <w:rFonts w:ascii="Arial" w:hAnsi="Arial" w:cs="Arial"/>
            <w:color w:val="0000FF"/>
            <w:u w:val="single"/>
          </w:rPr>
          <w:t>https://doi.org/10.1016/j.jretai.2021.01.005</w:t>
        </w:r>
      </w:hyperlink>
      <w:r w:rsidRPr="00707C65">
        <w:rPr>
          <w:rFonts w:ascii="Arial" w:hAnsi="Arial" w:cs="Arial"/>
        </w:rPr>
        <w:t xml:space="preserve"> (Accessed: 25 July 2026).</w:t>
      </w:r>
    </w:p>
    <w:p w14:paraId="7C1976B4" w14:textId="77777777" w:rsidR="00801A09" w:rsidRPr="00707C65" w:rsidRDefault="00801A09" w:rsidP="00D02074">
      <w:pPr>
        <w:spacing w:before="100" w:beforeAutospacing="1" w:after="100" w:afterAutospacing="1" w:line="360" w:lineRule="auto"/>
        <w:jc w:val="both"/>
        <w:rPr>
          <w:rFonts w:ascii="Arial" w:hAnsi="Arial" w:cs="Arial"/>
        </w:rPr>
      </w:pPr>
      <w:proofErr w:type="spellStart"/>
      <w:r w:rsidRPr="00707C65">
        <w:rPr>
          <w:rFonts w:ascii="Arial" w:hAnsi="Arial" w:cs="Arial"/>
        </w:rPr>
        <w:t>Hoblos</w:t>
      </w:r>
      <w:proofErr w:type="spellEnd"/>
      <w:r w:rsidRPr="00707C65">
        <w:rPr>
          <w:rFonts w:ascii="Arial" w:hAnsi="Arial" w:cs="Arial"/>
        </w:rPr>
        <w:t xml:space="preserve">, N., Sandeep, M.S. and Pan, S.L. (2024) 'Achieving stakeholder alignment in digital transformation: a frame transformation perspective', </w:t>
      </w:r>
      <w:r w:rsidRPr="00707C65">
        <w:rPr>
          <w:rFonts w:ascii="Arial" w:hAnsi="Arial" w:cs="Arial"/>
          <w:i/>
          <w:iCs/>
        </w:rPr>
        <w:t>Journal of Information Technology</w:t>
      </w:r>
      <w:r w:rsidRPr="00707C65">
        <w:rPr>
          <w:rFonts w:ascii="Arial" w:hAnsi="Arial" w:cs="Arial"/>
        </w:rPr>
        <w:t xml:space="preserve">, 39(4). Available at: </w:t>
      </w:r>
      <w:hyperlink r:id="rId18" w:history="1">
        <w:r w:rsidRPr="00707C65">
          <w:rPr>
            <w:rFonts w:ascii="Arial" w:hAnsi="Arial" w:cs="Arial"/>
            <w:color w:val="0000FF"/>
            <w:u w:val="single"/>
          </w:rPr>
          <w:t>https://doi.org/10.1177/02683962231219518</w:t>
        </w:r>
      </w:hyperlink>
      <w:r w:rsidRPr="00707C65">
        <w:rPr>
          <w:rFonts w:ascii="Arial" w:hAnsi="Arial" w:cs="Arial"/>
        </w:rPr>
        <w:t xml:space="preserve"> (Accessed: 28 July 2026).</w:t>
      </w:r>
    </w:p>
    <w:p w14:paraId="77EBCB4D"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Information Commissioner's Office (2023) </w:t>
      </w:r>
      <w:r w:rsidRPr="00707C65">
        <w:rPr>
          <w:rFonts w:ascii="Arial" w:hAnsi="Arial" w:cs="Arial"/>
          <w:i/>
          <w:iCs/>
        </w:rPr>
        <w:t>Guidance on AI and Data Protection</w:t>
      </w:r>
      <w:r w:rsidRPr="00707C65">
        <w:rPr>
          <w:rFonts w:ascii="Arial" w:hAnsi="Arial" w:cs="Arial"/>
        </w:rPr>
        <w:t xml:space="preserve">. Wilmslow: ICO. Available at: </w:t>
      </w:r>
      <w:hyperlink r:id="rId19" w:history="1">
        <w:r w:rsidRPr="00707C65">
          <w:rPr>
            <w:rFonts w:ascii="Arial" w:hAnsi="Arial" w:cs="Arial"/>
            <w:color w:val="0000FF"/>
            <w:u w:val="single"/>
          </w:rPr>
          <w:t>https://ico.org.uk/for-organisations/uk-gdpr-guidance-and-resources/artificial-intelligence/guidance-on-ai-and-data-protection/</w:t>
        </w:r>
      </w:hyperlink>
      <w:r w:rsidRPr="00707C65">
        <w:rPr>
          <w:rFonts w:ascii="Arial" w:hAnsi="Arial" w:cs="Arial"/>
        </w:rPr>
        <w:t xml:space="preserve"> (Accessed: 2 August 2026).</w:t>
      </w:r>
    </w:p>
    <w:p w14:paraId="2BE3492D"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Jones, T.M., Harrison, J.S. and </w:t>
      </w:r>
      <w:proofErr w:type="spellStart"/>
      <w:r w:rsidRPr="00707C65">
        <w:rPr>
          <w:rFonts w:ascii="Arial" w:hAnsi="Arial" w:cs="Arial"/>
        </w:rPr>
        <w:t>Felps</w:t>
      </w:r>
      <w:proofErr w:type="spellEnd"/>
      <w:r w:rsidRPr="00707C65">
        <w:rPr>
          <w:rFonts w:ascii="Arial" w:hAnsi="Arial" w:cs="Arial"/>
        </w:rPr>
        <w:t xml:space="preserve">, W. (2018) 'How applying instrumental stakeholder theory can provide sustainable competitive advantage', </w:t>
      </w:r>
      <w:r w:rsidRPr="00707C65">
        <w:rPr>
          <w:rFonts w:ascii="Arial" w:hAnsi="Arial" w:cs="Arial"/>
          <w:i/>
          <w:iCs/>
        </w:rPr>
        <w:t>Academy of Management Review</w:t>
      </w:r>
      <w:r w:rsidRPr="00707C65">
        <w:rPr>
          <w:rFonts w:ascii="Arial" w:hAnsi="Arial" w:cs="Arial"/>
        </w:rPr>
        <w:t xml:space="preserve">, 43(3), pp. 371–391. Available at: </w:t>
      </w:r>
      <w:hyperlink r:id="rId20" w:history="1">
        <w:r w:rsidRPr="00707C65">
          <w:rPr>
            <w:rFonts w:ascii="Arial" w:hAnsi="Arial" w:cs="Arial"/>
            <w:color w:val="0000FF"/>
            <w:u w:val="single"/>
          </w:rPr>
          <w:t>https://doi.org/10.5465/amr.2016.0111</w:t>
        </w:r>
      </w:hyperlink>
      <w:r w:rsidRPr="00707C65">
        <w:rPr>
          <w:rFonts w:ascii="Arial" w:hAnsi="Arial" w:cs="Arial"/>
        </w:rPr>
        <w:t xml:space="preserve"> (Accessed: 21 July 2026).</w:t>
      </w:r>
    </w:p>
    <w:p w14:paraId="497B1518" w14:textId="77777777" w:rsidR="00801A09" w:rsidRPr="00707C65" w:rsidRDefault="00801A09" w:rsidP="00D02074">
      <w:pPr>
        <w:spacing w:before="100" w:beforeAutospacing="1" w:after="100" w:afterAutospacing="1" w:line="360" w:lineRule="auto"/>
        <w:jc w:val="both"/>
        <w:rPr>
          <w:rFonts w:ascii="Arial" w:hAnsi="Arial" w:cs="Arial"/>
        </w:rPr>
      </w:pPr>
      <w:proofErr w:type="spellStart"/>
      <w:r w:rsidRPr="00707C65">
        <w:rPr>
          <w:rFonts w:ascii="Arial" w:hAnsi="Arial" w:cs="Arial"/>
        </w:rPr>
        <w:t>Schaltegger</w:t>
      </w:r>
      <w:proofErr w:type="spellEnd"/>
      <w:r w:rsidRPr="00707C65">
        <w:rPr>
          <w:rFonts w:ascii="Arial" w:hAnsi="Arial" w:cs="Arial"/>
        </w:rPr>
        <w:t xml:space="preserve">, S., </w:t>
      </w:r>
      <w:proofErr w:type="spellStart"/>
      <w:r w:rsidRPr="00707C65">
        <w:rPr>
          <w:rFonts w:ascii="Arial" w:hAnsi="Arial" w:cs="Arial"/>
        </w:rPr>
        <w:t>Hörisch</w:t>
      </w:r>
      <w:proofErr w:type="spellEnd"/>
      <w:r w:rsidRPr="00707C65">
        <w:rPr>
          <w:rFonts w:ascii="Arial" w:hAnsi="Arial" w:cs="Arial"/>
        </w:rPr>
        <w:t xml:space="preserve">, J. and Freeman, R.E. (2019) 'Business cases for sustainability: a stakeholder theory perspective', </w:t>
      </w:r>
      <w:r w:rsidRPr="00707C65">
        <w:rPr>
          <w:rFonts w:ascii="Arial" w:hAnsi="Arial" w:cs="Arial"/>
          <w:i/>
          <w:iCs/>
        </w:rPr>
        <w:t>Organization &amp; Environment</w:t>
      </w:r>
      <w:r w:rsidRPr="00707C65">
        <w:rPr>
          <w:rFonts w:ascii="Arial" w:hAnsi="Arial" w:cs="Arial"/>
        </w:rPr>
        <w:t xml:space="preserve">, 32(3), pp. 191–212. Available at: </w:t>
      </w:r>
      <w:hyperlink r:id="rId21" w:history="1">
        <w:r w:rsidRPr="00707C65">
          <w:rPr>
            <w:rFonts w:ascii="Arial" w:hAnsi="Arial" w:cs="Arial"/>
            <w:color w:val="0000FF"/>
            <w:u w:val="single"/>
          </w:rPr>
          <w:t>https://doi.org/10.1177/1086026617722882</w:t>
        </w:r>
      </w:hyperlink>
      <w:r w:rsidRPr="00707C65">
        <w:rPr>
          <w:rFonts w:ascii="Arial" w:hAnsi="Arial" w:cs="Arial"/>
        </w:rPr>
        <w:t xml:space="preserve"> (Accessed: 21 July 2026).</w:t>
      </w:r>
    </w:p>
    <w:p w14:paraId="11E51A14" w14:textId="77777777" w:rsidR="00801A09" w:rsidRPr="00707C65" w:rsidRDefault="00801A09" w:rsidP="00D02074">
      <w:pPr>
        <w:spacing w:before="100" w:beforeAutospacing="1" w:after="100" w:afterAutospacing="1" w:line="360" w:lineRule="auto"/>
        <w:jc w:val="both"/>
        <w:rPr>
          <w:rFonts w:ascii="Arial" w:hAnsi="Arial" w:cs="Arial"/>
        </w:rPr>
      </w:pPr>
      <w:proofErr w:type="spellStart"/>
      <w:r w:rsidRPr="00707C65">
        <w:rPr>
          <w:rFonts w:ascii="Arial" w:hAnsi="Arial" w:cs="Arial"/>
        </w:rPr>
        <w:lastRenderedPageBreak/>
        <w:t>Shelper</w:t>
      </w:r>
      <w:proofErr w:type="spellEnd"/>
      <w:r w:rsidRPr="00707C65">
        <w:rPr>
          <w:rFonts w:ascii="Arial" w:hAnsi="Arial" w:cs="Arial"/>
        </w:rPr>
        <w:t xml:space="preserve">, P., Lyons, S. and Harrison, S. (2023) </w:t>
      </w:r>
      <w:r w:rsidRPr="00707C65">
        <w:rPr>
          <w:rFonts w:ascii="Arial" w:hAnsi="Arial" w:cs="Arial"/>
          <w:i/>
          <w:iCs/>
        </w:rPr>
        <w:t>Loyalty Programs: The Complete Guide</w:t>
      </w:r>
      <w:r w:rsidRPr="00707C65">
        <w:rPr>
          <w:rFonts w:ascii="Arial" w:hAnsi="Arial" w:cs="Arial"/>
        </w:rPr>
        <w:t xml:space="preserve">. 2nd </w:t>
      </w:r>
      <w:proofErr w:type="spellStart"/>
      <w:r w:rsidRPr="00707C65">
        <w:rPr>
          <w:rFonts w:ascii="Arial" w:hAnsi="Arial" w:cs="Arial"/>
        </w:rPr>
        <w:t>edn</w:t>
      </w:r>
      <w:proofErr w:type="spellEnd"/>
      <w:r w:rsidRPr="00707C65">
        <w:rPr>
          <w:rFonts w:ascii="Arial" w:hAnsi="Arial" w:cs="Arial"/>
        </w:rPr>
        <w:t>. Sydney: Loyalty &amp; Reward Co.</w:t>
      </w:r>
    </w:p>
    <w:p w14:paraId="1D263B5F" w14:textId="77777777" w:rsidR="00801A09" w:rsidRPr="00707C65" w:rsidRDefault="00801A09" w:rsidP="00D02074">
      <w:pPr>
        <w:spacing w:before="100" w:beforeAutospacing="1" w:after="100" w:afterAutospacing="1" w:line="360" w:lineRule="auto"/>
        <w:jc w:val="both"/>
        <w:rPr>
          <w:rFonts w:ascii="Arial" w:hAnsi="Arial" w:cs="Arial"/>
        </w:rPr>
      </w:pPr>
      <w:proofErr w:type="spellStart"/>
      <w:r w:rsidRPr="00707C65">
        <w:rPr>
          <w:rFonts w:ascii="Arial" w:hAnsi="Arial" w:cs="Arial"/>
        </w:rPr>
        <w:t>Szkudlarek</w:t>
      </w:r>
      <w:proofErr w:type="spellEnd"/>
      <w:r w:rsidRPr="00707C65">
        <w:rPr>
          <w:rFonts w:ascii="Arial" w:hAnsi="Arial" w:cs="Arial"/>
        </w:rPr>
        <w:t xml:space="preserve">, B., Romani, L., </w:t>
      </w:r>
      <w:proofErr w:type="spellStart"/>
      <w:r w:rsidRPr="00707C65">
        <w:rPr>
          <w:rFonts w:ascii="Arial" w:hAnsi="Arial" w:cs="Arial"/>
        </w:rPr>
        <w:t>Caprar</w:t>
      </w:r>
      <w:proofErr w:type="spellEnd"/>
      <w:r w:rsidRPr="00707C65">
        <w:rPr>
          <w:rFonts w:ascii="Arial" w:hAnsi="Arial" w:cs="Arial"/>
        </w:rPr>
        <w:t xml:space="preserve">, D.V. and </w:t>
      </w:r>
      <w:proofErr w:type="spellStart"/>
      <w:r w:rsidRPr="00707C65">
        <w:rPr>
          <w:rFonts w:ascii="Arial" w:hAnsi="Arial" w:cs="Arial"/>
        </w:rPr>
        <w:t>Osland</w:t>
      </w:r>
      <w:proofErr w:type="spellEnd"/>
      <w:r w:rsidRPr="00707C65">
        <w:rPr>
          <w:rFonts w:ascii="Arial" w:hAnsi="Arial" w:cs="Arial"/>
        </w:rPr>
        <w:t xml:space="preserve">, J.S. (eds) (2020) </w:t>
      </w:r>
      <w:r w:rsidRPr="00707C65">
        <w:rPr>
          <w:rFonts w:ascii="Arial" w:hAnsi="Arial" w:cs="Arial"/>
          <w:i/>
          <w:iCs/>
        </w:rPr>
        <w:t>The SAGE Handbook of Contemporary Cross-Cultural Management</w:t>
      </w:r>
      <w:r w:rsidRPr="00707C65">
        <w:rPr>
          <w:rFonts w:ascii="Arial" w:hAnsi="Arial" w:cs="Arial"/>
        </w:rPr>
        <w:t>. London: SAGE Publications.</w:t>
      </w:r>
    </w:p>
    <w:p w14:paraId="5EC077A3" w14:textId="77777777" w:rsidR="00801A09" w:rsidRPr="00707C65" w:rsidRDefault="00801A09" w:rsidP="00D02074">
      <w:pPr>
        <w:spacing w:before="100" w:beforeAutospacing="1" w:after="100" w:afterAutospacing="1" w:line="360" w:lineRule="auto"/>
        <w:jc w:val="both"/>
        <w:rPr>
          <w:rFonts w:ascii="Arial" w:hAnsi="Arial" w:cs="Arial"/>
        </w:rPr>
      </w:pPr>
      <w:proofErr w:type="spellStart"/>
      <w:r w:rsidRPr="00707C65">
        <w:rPr>
          <w:rFonts w:ascii="Arial" w:hAnsi="Arial" w:cs="Arial"/>
        </w:rPr>
        <w:t>Tkalac</w:t>
      </w:r>
      <w:proofErr w:type="spellEnd"/>
      <w:r w:rsidRPr="00707C65">
        <w:rPr>
          <w:rFonts w:ascii="Arial" w:hAnsi="Arial" w:cs="Arial"/>
        </w:rPr>
        <w:t xml:space="preserve"> </w:t>
      </w:r>
      <w:proofErr w:type="spellStart"/>
      <w:r w:rsidRPr="00707C65">
        <w:rPr>
          <w:rFonts w:ascii="Arial" w:hAnsi="Arial" w:cs="Arial"/>
        </w:rPr>
        <w:t>Verčič</w:t>
      </w:r>
      <w:proofErr w:type="spellEnd"/>
      <w:r w:rsidRPr="00707C65">
        <w:rPr>
          <w:rFonts w:ascii="Arial" w:hAnsi="Arial" w:cs="Arial"/>
        </w:rPr>
        <w:t xml:space="preserve">, A. and Men, L.R. (2023) 'Redefining the link between internal communication and employee engagement', </w:t>
      </w:r>
      <w:r w:rsidRPr="00707C65">
        <w:rPr>
          <w:rFonts w:ascii="Arial" w:hAnsi="Arial" w:cs="Arial"/>
          <w:i/>
          <w:iCs/>
        </w:rPr>
        <w:t>Public Relations Review</w:t>
      </w:r>
      <w:r w:rsidRPr="00707C65">
        <w:rPr>
          <w:rFonts w:ascii="Arial" w:hAnsi="Arial" w:cs="Arial"/>
        </w:rPr>
        <w:t xml:space="preserve">, 49(1), 102279. Available at: </w:t>
      </w:r>
      <w:hyperlink r:id="rId22" w:history="1">
        <w:r w:rsidRPr="00707C65">
          <w:rPr>
            <w:rFonts w:ascii="Arial" w:hAnsi="Arial" w:cs="Arial"/>
            <w:color w:val="0000FF"/>
            <w:u w:val="single"/>
          </w:rPr>
          <w:t>https://doi.org/10.1016/j.pubrev.2022.102279</w:t>
        </w:r>
      </w:hyperlink>
      <w:r w:rsidRPr="00707C65">
        <w:rPr>
          <w:rFonts w:ascii="Arial" w:hAnsi="Arial" w:cs="Arial"/>
        </w:rPr>
        <w:t xml:space="preserve"> (Accessed: 29 July 2026).</w:t>
      </w:r>
    </w:p>
    <w:p w14:paraId="18BA9709" w14:textId="77777777" w:rsidR="00801A09" w:rsidRPr="00707C65" w:rsidRDefault="00801A09" w:rsidP="00D02074">
      <w:pPr>
        <w:spacing w:before="100" w:beforeAutospacing="1" w:after="100" w:afterAutospacing="1" w:line="360" w:lineRule="auto"/>
        <w:jc w:val="both"/>
        <w:rPr>
          <w:rFonts w:ascii="Arial" w:hAnsi="Arial" w:cs="Arial"/>
        </w:rPr>
      </w:pPr>
      <w:r w:rsidRPr="00707C65">
        <w:rPr>
          <w:rFonts w:ascii="Arial" w:hAnsi="Arial" w:cs="Arial"/>
        </w:rPr>
        <w:t xml:space="preserve">Wood, D.J., Mitchell, R.K., </w:t>
      </w:r>
      <w:proofErr w:type="spellStart"/>
      <w:r w:rsidRPr="00707C65">
        <w:rPr>
          <w:rFonts w:ascii="Arial" w:hAnsi="Arial" w:cs="Arial"/>
        </w:rPr>
        <w:t>Agle</w:t>
      </w:r>
      <w:proofErr w:type="spellEnd"/>
      <w:r w:rsidRPr="00707C65">
        <w:rPr>
          <w:rFonts w:ascii="Arial" w:hAnsi="Arial" w:cs="Arial"/>
        </w:rPr>
        <w:t xml:space="preserve">, B.R. and Bryan, L.M. (2021) 'Stakeholder identification and salience after 20 years: progress, problems, and prospects', </w:t>
      </w:r>
      <w:r w:rsidRPr="00707C65">
        <w:rPr>
          <w:rFonts w:ascii="Arial" w:hAnsi="Arial" w:cs="Arial"/>
          <w:i/>
          <w:iCs/>
        </w:rPr>
        <w:t>Business &amp; Society</w:t>
      </w:r>
      <w:r w:rsidRPr="00707C65">
        <w:rPr>
          <w:rFonts w:ascii="Arial" w:hAnsi="Arial" w:cs="Arial"/>
        </w:rPr>
        <w:t xml:space="preserve">, 60(1), pp. 196–245. Available at: </w:t>
      </w:r>
      <w:hyperlink r:id="rId23" w:history="1">
        <w:r w:rsidRPr="00707C65">
          <w:rPr>
            <w:rFonts w:ascii="Arial" w:hAnsi="Arial" w:cs="Arial"/>
            <w:color w:val="0000FF"/>
            <w:u w:val="single"/>
          </w:rPr>
          <w:t>https://doi.org/10.1177/0007650318816522</w:t>
        </w:r>
      </w:hyperlink>
      <w:r w:rsidRPr="00707C65">
        <w:rPr>
          <w:rFonts w:ascii="Arial" w:hAnsi="Arial" w:cs="Arial"/>
        </w:rPr>
        <w:t xml:space="preserve"> (Accessed: 20 July 2026).</w:t>
      </w:r>
    </w:p>
    <w:sectPr w:rsidR="00801A09" w:rsidRPr="00707C65">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13162E" w14:textId="77777777" w:rsidR="00C05FAA" w:rsidRDefault="00C05FAA" w:rsidP="00B01D8B">
      <w:r>
        <w:separator/>
      </w:r>
    </w:p>
  </w:endnote>
  <w:endnote w:type="continuationSeparator" w:id="0">
    <w:p w14:paraId="1E3B3BBD" w14:textId="77777777" w:rsidR="00C05FAA" w:rsidRDefault="00C05FAA" w:rsidP="00B01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2087418"/>
      <w:docPartObj>
        <w:docPartGallery w:val="Page Numbers (Bottom of Page)"/>
        <w:docPartUnique/>
      </w:docPartObj>
    </w:sdtPr>
    <w:sdtContent>
      <w:p w14:paraId="62DF9B94" w14:textId="08E3E795" w:rsidR="00B01D8B" w:rsidRDefault="00B01D8B" w:rsidP="00BC5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080F2" w14:textId="77777777" w:rsidR="00B01D8B" w:rsidRDefault="00B01D8B" w:rsidP="00B01D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49064647"/>
      <w:docPartObj>
        <w:docPartGallery w:val="Page Numbers (Bottom of Page)"/>
        <w:docPartUnique/>
      </w:docPartObj>
    </w:sdtPr>
    <w:sdtContent>
      <w:p w14:paraId="10A37125" w14:textId="0171F4E9" w:rsidR="00B01D8B" w:rsidRDefault="00B01D8B" w:rsidP="00BC5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68259" w14:textId="77777777" w:rsidR="00B01D8B" w:rsidRDefault="00B01D8B" w:rsidP="00B01D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FFDA84" w14:textId="77777777" w:rsidR="00C05FAA" w:rsidRDefault="00C05FAA" w:rsidP="00B01D8B">
      <w:r>
        <w:separator/>
      </w:r>
    </w:p>
  </w:footnote>
  <w:footnote w:type="continuationSeparator" w:id="0">
    <w:p w14:paraId="189D3A76" w14:textId="77777777" w:rsidR="00C05FAA" w:rsidRDefault="00C05FAA" w:rsidP="00B01D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937C56"/>
    <w:multiLevelType w:val="multilevel"/>
    <w:tmpl w:val="737854F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4C7BEB"/>
    <w:multiLevelType w:val="hybridMultilevel"/>
    <w:tmpl w:val="6FA20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670615"/>
    <w:multiLevelType w:val="multilevel"/>
    <w:tmpl w:val="2A10224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423EA8"/>
    <w:multiLevelType w:val="multilevel"/>
    <w:tmpl w:val="DF08F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E148A3"/>
    <w:multiLevelType w:val="hybridMultilevel"/>
    <w:tmpl w:val="A9A6E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F4353"/>
    <w:multiLevelType w:val="hybridMultilevel"/>
    <w:tmpl w:val="2FC6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026310">
    <w:abstractNumId w:val="3"/>
  </w:num>
  <w:num w:numId="2" w16cid:durableId="1217204842">
    <w:abstractNumId w:val="2"/>
  </w:num>
  <w:num w:numId="3" w16cid:durableId="1077047622">
    <w:abstractNumId w:val="0"/>
  </w:num>
  <w:num w:numId="4" w16cid:durableId="1288395922">
    <w:abstractNumId w:val="1"/>
  </w:num>
  <w:num w:numId="5" w16cid:durableId="1483542287">
    <w:abstractNumId w:val="5"/>
  </w:num>
  <w:num w:numId="6" w16cid:durableId="11402241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B6"/>
    <w:rsid w:val="000205C5"/>
    <w:rsid w:val="00035A14"/>
    <w:rsid w:val="00045715"/>
    <w:rsid w:val="000A1A69"/>
    <w:rsid w:val="000A4E5C"/>
    <w:rsid w:val="000B4A63"/>
    <w:rsid w:val="000F1458"/>
    <w:rsid w:val="000F65F1"/>
    <w:rsid w:val="00132977"/>
    <w:rsid w:val="00141886"/>
    <w:rsid w:val="0017782C"/>
    <w:rsid w:val="00183286"/>
    <w:rsid w:val="00196CB0"/>
    <w:rsid w:val="001A286C"/>
    <w:rsid w:val="001A7239"/>
    <w:rsid w:val="001C26E0"/>
    <w:rsid w:val="001C4147"/>
    <w:rsid w:val="001D449D"/>
    <w:rsid w:val="002262D3"/>
    <w:rsid w:val="002339EA"/>
    <w:rsid w:val="0024437E"/>
    <w:rsid w:val="00280ADF"/>
    <w:rsid w:val="002B3FA9"/>
    <w:rsid w:val="002B50EB"/>
    <w:rsid w:val="002E4AD7"/>
    <w:rsid w:val="00300D42"/>
    <w:rsid w:val="003054E7"/>
    <w:rsid w:val="00307624"/>
    <w:rsid w:val="00326141"/>
    <w:rsid w:val="003531FE"/>
    <w:rsid w:val="00366D3B"/>
    <w:rsid w:val="003876A9"/>
    <w:rsid w:val="003B6654"/>
    <w:rsid w:val="003D2884"/>
    <w:rsid w:val="003E25C6"/>
    <w:rsid w:val="003F26E4"/>
    <w:rsid w:val="003F3EC3"/>
    <w:rsid w:val="0040573B"/>
    <w:rsid w:val="00435771"/>
    <w:rsid w:val="00446C20"/>
    <w:rsid w:val="00466138"/>
    <w:rsid w:val="00487A36"/>
    <w:rsid w:val="004A270F"/>
    <w:rsid w:val="004A36AB"/>
    <w:rsid w:val="004B483C"/>
    <w:rsid w:val="00504C44"/>
    <w:rsid w:val="005067CE"/>
    <w:rsid w:val="00536DFD"/>
    <w:rsid w:val="005504A1"/>
    <w:rsid w:val="005937F8"/>
    <w:rsid w:val="005B74E7"/>
    <w:rsid w:val="005C0844"/>
    <w:rsid w:val="005C0C6A"/>
    <w:rsid w:val="005C1391"/>
    <w:rsid w:val="005F2B6D"/>
    <w:rsid w:val="00627FA0"/>
    <w:rsid w:val="00634157"/>
    <w:rsid w:val="006365D0"/>
    <w:rsid w:val="00676C83"/>
    <w:rsid w:val="006911E8"/>
    <w:rsid w:val="00693A32"/>
    <w:rsid w:val="00697D94"/>
    <w:rsid w:val="006A4065"/>
    <w:rsid w:val="006A53F9"/>
    <w:rsid w:val="006C53C9"/>
    <w:rsid w:val="006D24E6"/>
    <w:rsid w:val="00704586"/>
    <w:rsid w:val="00707C65"/>
    <w:rsid w:val="00727B5B"/>
    <w:rsid w:val="0073453D"/>
    <w:rsid w:val="007360B7"/>
    <w:rsid w:val="00755978"/>
    <w:rsid w:val="00757921"/>
    <w:rsid w:val="00762A39"/>
    <w:rsid w:val="00764B5F"/>
    <w:rsid w:val="00786DCE"/>
    <w:rsid w:val="007911C6"/>
    <w:rsid w:val="007A2D72"/>
    <w:rsid w:val="007C163C"/>
    <w:rsid w:val="007D0ED2"/>
    <w:rsid w:val="007D3C26"/>
    <w:rsid w:val="007D62C0"/>
    <w:rsid w:val="007E573D"/>
    <w:rsid w:val="007E72EF"/>
    <w:rsid w:val="007F6BB9"/>
    <w:rsid w:val="00801A09"/>
    <w:rsid w:val="008402FA"/>
    <w:rsid w:val="008C3E7C"/>
    <w:rsid w:val="008F3FE5"/>
    <w:rsid w:val="009002BB"/>
    <w:rsid w:val="00941C66"/>
    <w:rsid w:val="00975DE9"/>
    <w:rsid w:val="00994F33"/>
    <w:rsid w:val="009B300F"/>
    <w:rsid w:val="009E200C"/>
    <w:rsid w:val="009F2332"/>
    <w:rsid w:val="009F25A3"/>
    <w:rsid w:val="009F7E61"/>
    <w:rsid w:val="00A219C2"/>
    <w:rsid w:val="00A2451D"/>
    <w:rsid w:val="00A3576E"/>
    <w:rsid w:val="00A36142"/>
    <w:rsid w:val="00A76F3C"/>
    <w:rsid w:val="00AB7143"/>
    <w:rsid w:val="00AD620E"/>
    <w:rsid w:val="00AE5274"/>
    <w:rsid w:val="00B01D8B"/>
    <w:rsid w:val="00B258AA"/>
    <w:rsid w:val="00B31A5E"/>
    <w:rsid w:val="00B40CB4"/>
    <w:rsid w:val="00B44594"/>
    <w:rsid w:val="00B5454A"/>
    <w:rsid w:val="00B775C5"/>
    <w:rsid w:val="00B779B6"/>
    <w:rsid w:val="00B80EC9"/>
    <w:rsid w:val="00B83C8B"/>
    <w:rsid w:val="00BA4C16"/>
    <w:rsid w:val="00BB1A2F"/>
    <w:rsid w:val="00BD05E1"/>
    <w:rsid w:val="00BF551D"/>
    <w:rsid w:val="00C05FAA"/>
    <w:rsid w:val="00C117B8"/>
    <w:rsid w:val="00C708AE"/>
    <w:rsid w:val="00C74C78"/>
    <w:rsid w:val="00C77B14"/>
    <w:rsid w:val="00C83EA3"/>
    <w:rsid w:val="00C90E6A"/>
    <w:rsid w:val="00CA3EB6"/>
    <w:rsid w:val="00CB5017"/>
    <w:rsid w:val="00CB633E"/>
    <w:rsid w:val="00CF0A82"/>
    <w:rsid w:val="00D02074"/>
    <w:rsid w:val="00D36DAD"/>
    <w:rsid w:val="00D371D6"/>
    <w:rsid w:val="00D53D39"/>
    <w:rsid w:val="00DC0FC6"/>
    <w:rsid w:val="00DD15FA"/>
    <w:rsid w:val="00E00B4B"/>
    <w:rsid w:val="00E01E77"/>
    <w:rsid w:val="00E02E9D"/>
    <w:rsid w:val="00E05ED7"/>
    <w:rsid w:val="00E0763B"/>
    <w:rsid w:val="00EC59B7"/>
    <w:rsid w:val="00EF0E09"/>
    <w:rsid w:val="00F07B64"/>
    <w:rsid w:val="00F33217"/>
    <w:rsid w:val="00F33B85"/>
    <w:rsid w:val="00F9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602B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70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779B6"/>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B779B6"/>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B779B6"/>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779B6"/>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779B6"/>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779B6"/>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779B6"/>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779B6"/>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779B6"/>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7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9B6"/>
    <w:rPr>
      <w:rFonts w:eastAsiaTheme="majorEastAsia" w:cstheme="majorBidi"/>
      <w:color w:val="272727" w:themeColor="text1" w:themeTint="D8"/>
    </w:rPr>
  </w:style>
  <w:style w:type="paragraph" w:styleId="Title">
    <w:name w:val="Title"/>
    <w:basedOn w:val="Normal"/>
    <w:next w:val="Normal"/>
    <w:link w:val="TitleChar"/>
    <w:uiPriority w:val="10"/>
    <w:qFormat/>
    <w:rsid w:val="00B779B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77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9B6"/>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77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9B6"/>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779B6"/>
    <w:rPr>
      <w:i/>
      <w:iCs/>
      <w:color w:val="404040" w:themeColor="text1" w:themeTint="BF"/>
    </w:rPr>
  </w:style>
  <w:style w:type="paragraph" w:styleId="ListParagraph">
    <w:name w:val="List Paragraph"/>
    <w:basedOn w:val="Normal"/>
    <w:uiPriority w:val="34"/>
    <w:qFormat/>
    <w:rsid w:val="00B779B6"/>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779B6"/>
    <w:rPr>
      <w:i/>
      <w:iCs/>
      <w:color w:val="0F4761" w:themeColor="accent1" w:themeShade="BF"/>
    </w:rPr>
  </w:style>
  <w:style w:type="paragraph" w:styleId="IntenseQuote">
    <w:name w:val="Intense Quote"/>
    <w:basedOn w:val="Normal"/>
    <w:next w:val="Normal"/>
    <w:link w:val="IntenseQuoteChar"/>
    <w:uiPriority w:val="30"/>
    <w:qFormat/>
    <w:rsid w:val="00B779B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779B6"/>
    <w:rPr>
      <w:i/>
      <w:iCs/>
      <w:color w:val="0F4761" w:themeColor="accent1" w:themeShade="BF"/>
    </w:rPr>
  </w:style>
  <w:style w:type="character" w:styleId="IntenseReference">
    <w:name w:val="Intense Reference"/>
    <w:basedOn w:val="DefaultParagraphFont"/>
    <w:uiPriority w:val="32"/>
    <w:qFormat/>
    <w:rsid w:val="00B779B6"/>
    <w:rPr>
      <w:b/>
      <w:bCs/>
      <w:smallCaps/>
      <w:color w:val="0F4761" w:themeColor="accent1" w:themeShade="BF"/>
      <w:spacing w:val="5"/>
    </w:rPr>
  </w:style>
  <w:style w:type="paragraph" w:styleId="NormalWeb">
    <w:name w:val="Normal (Web)"/>
    <w:basedOn w:val="Normal"/>
    <w:uiPriority w:val="99"/>
    <w:semiHidden/>
    <w:unhideWhenUsed/>
    <w:rsid w:val="00B5454A"/>
    <w:pPr>
      <w:spacing w:before="100" w:beforeAutospacing="1" w:after="100" w:afterAutospacing="1"/>
    </w:pPr>
  </w:style>
  <w:style w:type="character" w:styleId="Strong">
    <w:name w:val="Strong"/>
    <w:basedOn w:val="DefaultParagraphFont"/>
    <w:uiPriority w:val="22"/>
    <w:qFormat/>
    <w:rsid w:val="00B5454A"/>
    <w:rPr>
      <w:b/>
      <w:bCs/>
    </w:rPr>
  </w:style>
  <w:style w:type="table" w:styleId="TableGrid">
    <w:name w:val="Table Grid"/>
    <w:basedOn w:val="TableNormal"/>
    <w:uiPriority w:val="39"/>
    <w:rsid w:val="00EF0E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01D8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01D8B"/>
  </w:style>
  <w:style w:type="character" w:styleId="PageNumber">
    <w:name w:val="page number"/>
    <w:basedOn w:val="DefaultParagraphFont"/>
    <w:uiPriority w:val="99"/>
    <w:semiHidden/>
    <w:unhideWhenUsed/>
    <w:rsid w:val="00B01D8B"/>
  </w:style>
  <w:style w:type="paragraph" w:customStyle="1" w:styleId="font-claude-response-body">
    <w:name w:val="font-claude-response-body"/>
    <w:basedOn w:val="Normal"/>
    <w:rsid w:val="00707C65"/>
    <w:pPr>
      <w:spacing w:before="100" w:beforeAutospacing="1" w:after="100" w:afterAutospacing="1"/>
    </w:pPr>
  </w:style>
  <w:style w:type="character" w:styleId="Emphasis">
    <w:name w:val="Emphasis"/>
    <w:basedOn w:val="DefaultParagraphFont"/>
    <w:uiPriority w:val="20"/>
    <w:qFormat/>
    <w:rsid w:val="00707C65"/>
    <w:rPr>
      <w:i/>
      <w:iCs/>
    </w:rPr>
  </w:style>
  <w:style w:type="character" w:styleId="Hyperlink">
    <w:name w:val="Hyperlink"/>
    <w:basedOn w:val="DefaultParagraphFont"/>
    <w:uiPriority w:val="99"/>
    <w:unhideWhenUsed/>
    <w:rsid w:val="00707C65"/>
    <w:rPr>
      <w:color w:val="0000FF"/>
      <w:u w:val="single"/>
    </w:rPr>
  </w:style>
  <w:style w:type="paragraph" w:styleId="TOCHeading">
    <w:name w:val="TOC Heading"/>
    <w:basedOn w:val="Heading1"/>
    <w:next w:val="Normal"/>
    <w:uiPriority w:val="39"/>
    <w:unhideWhenUsed/>
    <w:qFormat/>
    <w:rsid w:val="009002B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002BB"/>
    <w:pPr>
      <w:spacing w:before="240" w:after="120"/>
    </w:pPr>
    <w:rPr>
      <w:rFonts w:asciiTheme="minorHAnsi" w:hAnsiTheme="minorHAnsi"/>
      <w:b/>
      <w:bCs/>
      <w:sz w:val="20"/>
      <w:szCs w:val="20"/>
    </w:rPr>
  </w:style>
  <w:style w:type="paragraph" w:styleId="TOC2">
    <w:name w:val="toc 2"/>
    <w:basedOn w:val="Normal"/>
    <w:next w:val="Normal"/>
    <w:autoRedefine/>
    <w:uiPriority w:val="39"/>
    <w:semiHidden/>
    <w:unhideWhenUsed/>
    <w:rsid w:val="009002BB"/>
    <w:pPr>
      <w:spacing w:before="120"/>
      <w:ind w:left="240"/>
    </w:pPr>
    <w:rPr>
      <w:rFonts w:asciiTheme="minorHAnsi" w:hAnsiTheme="minorHAnsi"/>
      <w:i/>
      <w:iCs/>
      <w:sz w:val="20"/>
      <w:szCs w:val="20"/>
    </w:rPr>
  </w:style>
  <w:style w:type="paragraph" w:styleId="TOC3">
    <w:name w:val="toc 3"/>
    <w:basedOn w:val="Normal"/>
    <w:next w:val="Normal"/>
    <w:autoRedefine/>
    <w:uiPriority w:val="39"/>
    <w:semiHidden/>
    <w:unhideWhenUsed/>
    <w:rsid w:val="009002B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002B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002B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002B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002B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002B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002B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8449575">
      <w:bodyDiv w:val="1"/>
      <w:marLeft w:val="0"/>
      <w:marRight w:val="0"/>
      <w:marTop w:val="0"/>
      <w:marBottom w:val="0"/>
      <w:divBdr>
        <w:top w:val="none" w:sz="0" w:space="0" w:color="auto"/>
        <w:left w:val="none" w:sz="0" w:space="0" w:color="auto"/>
        <w:bottom w:val="none" w:sz="0" w:space="0" w:color="auto"/>
        <w:right w:val="none" w:sz="0" w:space="0" w:color="auto"/>
      </w:divBdr>
    </w:div>
    <w:div w:id="985861929">
      <w:bodyDiv w:val="1"/>
      <w:marLeft w:val="0"/>
      <w:marRight w:val="0"/>
      <w:marTop w:val="0"/>
      <w:marBottom w:val="0"/>
      <w:divBdr>
        <w:top w:val="none" w:sz="0" w:space="0" w:color="auto"/>
        <w:left w:val="none" w:sz="0" w:space="0" w:color="auto"/>
        <w:bottom w:val="none" w:sz="0" w:space="0" w:color="auto"/>
        <w:right w:val="none" w:sz="0" w:space="0" w:color="auto"/>
      </w:divBdr>
    </w:div>
    <w:div w:id="1175462477">
      <w:bodyDiv w:val="1"/>
      <w:marLeft w:val="0"/>
      <w:marRight w:val="0"/>
      <w:marTop w:val="0"/>
      <w:marBottom w:val="0"/>
      <w:divBdr>
        <w:top w:val="none" w:sz="0" w:space="0" w:color="auto"/>
        <w:left w:val="none" w:sz="0" w:space="0" w:color="auto"/>
        <w:bottom w:val="none" w:sz="0" w:space="0" w:color="auto"/>
        <w:right w:val="none" w:sz="0" w:space="0" w:color="auto"/>
      </w:divBdr>
      <w:divsChild>
        <w:div w:id="2119636899">
          <w:marLeft w:val="0"/>
          <w:marRight w:val="0"/>
          <w:marTop w:val="0"/>
          <w:marBottom w:val="0"/>
          <w:divBdr>
            <w:top w:val="none" w:sz="0" w:space="0" w:color="auto"/>
            <w:left w:val="none" w:sz="0" w:space="0" w:color="auto"/>
            <w:bottom w:val="none" w:sz="0" w:space="0" w:color="auto"/>
            <w:right w:val="none" w:sz="0" w:space="0" w:color="auto"/>
          </w:divBdr>
        </w:div>
      </w:divsChild>
    </w:div>
    <w:div w:id="1430350809">
      <w:bodyDiv w:val="1"/>
      <w:marLeft w:val="0"/>
      <w:marRight w:val="0"/>
      <w:marTop w:val="0"/>
      <w:marBottom w:val="0"/>
      <w:divBdr>
        <w:top w:val="none" w:sz="0" w:space="0" w:color="auto"/>
        <w:left w:val="none" w:sz="0" w:space="0" w:color="auto"/>
        <w:bottom w:val="none" w:sz="0" w:space="0" w:color="auto"/>
        <w:right w:val="none" w:sz="0" w:space="0" w:color="auto"/>
      </w:divBdr>
    </w:div>
    <w:div w:id="1596815816">
      <w:bodyDiv w:val="1"/>
      <w:marLeft w:val="0"/>
      <w:marRight w:val="0"/>
      <w:marTop w:val="0"/>
      <w:marBottom w:val="0"/>
      <w:divBdr>
        <w:top w:val="none" w:sz="0" w:space="0" w:color="auto"/>
        <w:left w:val="none" w:sz="0" w:space="0" w:color="auto"/>
        <w:bottom w:val="none" w:sz="0" w:space="0" w:color="auto"/>
        <w:right w:val="none" w:sz="0" w:space="0" w:color="auto"/>
      </w:divBdr>
    </w:div>
    <w:div w:id="1743988526">
      <w:bodyDiv w:val="1"/>
      <w:marLeft w:val="0"/>
      <w:marRight w:val="0"/>
      <w:marTop w:val="0"/>
      <w:marBottom w:val="0"/>
      <w:divBdr>
        <w:top w:val="none" w:sz="0" w:space="0" w:color="auto"/>
        <w:left w:val="none" w:sz="0" w:space="0" w:color="auto"/>
        <w:bottom w:val="none" w:sz="0" w:space="0" w:color="auto"/>
        <w:right w:val="none" w:sz="0" w:space="0" w:color="auto"/>
      </w:divBdr>
    </w:div>
    <w:div w:id="205923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global/en/industries/retail/research/global-powers-of-retailing.html" TargetMode="External"/><Relationship Id="rId18" Type="http://schemas.openxmlformats.org/officeDocument/2006/relationships/hyperlink" Target="https://doi.org/10.1177/0268396223121951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77/1086026617722882" TargetMode="External"/><Relationship Id="rId7" Type="http://schemas.openxmlformats.org/officeDocument/2006/relationships/endnotes" Target="endnotes.xml"/><Relationship Id="rId12" Type="http://schemas.openxmlformats.org/officeDocument/2006/relationships/hyperlink" Target="https://doi.org/10.1177/0007650318796792" TargetMode="External"/><Relationship Id="rId17" Type="http://schemas.openxmlformats.org/officeDocument/2006/relationships/hyperlink" Target="https://doi.org/10.1016/j.jretai.2021.01.005"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177/0007650318773750" TargetMode="External"/><Relationship Id="rId20" Type="http://schemas.openxmlformats.org/officeDocument/2006/relationships/hyperlink" Target="https://doi.org/10.5465/amr.2016.01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osplc.com/investor-relation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77/22786821211000182" TargetMode="External"/><Relationship Id="rId23" Type="http://schemas.openxmlformats.org/officeDocument/2006/relationships/hyperlink" Target="https://doi.org/10.1177/0007650318816522" TargetMode="External"/><Relationship Id="rId10" Type="http://schemas.openxmlformats.org/officeDocument/2006/relationships/hyperlink" Target="https://www.asosplc.com/media/buijobcn/49775_asos_ar25_text_int_031225-final.pdf" TargetMode="External"/><Relationship Id="rId19" Type="http://schemas.openxmlformats.org/officeDocument/2006/relationships/hyperlink" Target="https://ico.org.uk/for-organisations/uk-gdpr-guidance-and-resources/artificial-intelligence/guidance-on-ai-and-data-protection/" TargetMode="External"/><Relationship Id="rId4" Type="http://schemas.openxmlformats.org/officeDocument/2006/relationships/settings" Target="settings.xml"/><Relationship Id="rId9" Type="http://schemas.openxmlformats.org/officeDocument/2006/relationships/hyperlink" Target="https://doi.org/10.3390/su12020508" TargetMode="External"/><Relationship Id="rId14" Type="http://schemas.openxmlformats.org/officeDocument/2006/relationships/hyperlink" Target="https://www.frc.org.uk/library/standards-codes-policy/corporate-governance/uk-corporate-governance-code/" TargetMode="External"/><Relationship Id="rId22" Type="http://schemas.openxmlformats.org/officeDocument/2006/relationships/hyperlink" Target="https://doi.org/10.1016/j.pubrev.2022.10227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B5D4E-F1F8-A441-86FC-2EF7C5B58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5222</Words>
  <Characters>29772</Characters>
  <Application>Microsoft Office Word</Application>
  <DocSecurity>0</DocSecurity>
  <Lines>248</Lines>
  <Paragraphs>69</Paragraphs>
  <ScaleCrop>false</ScaleCrop>
  <Company/>
  <LinksUpToDate>false</LinksUpToDate>
  <CharactersWithSpaces>34925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2026-08-07T09:11:00Z</dcterms:created>
  <dcterms:modified xsi:type="dcterms:W3CDTF">2026-08-17T09:25:00Z</dcterms:modified>
</cp:coreProperties>
</file>