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center"/>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HOW LIFESTYLE CHOICES SHAPE HEALTH ACROSS THE LIFE COURSE STAGES</w:t>
      </w:r>
    </w:p>
    <w:p>
      <w:pPr>
        <w:spacing w:before="0" w:after="200" w:line="480"/>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8"/>
          <w:shd w:fill="auto" w:val="clear"/>
        </w:rPr>
        <w:t xml:space="preserve">6-May-2025</w:t>
      </w:r>
    </w:p>
    <w:p>
      <w:pPr>
        <w:spacing w:before="0" w:after="200" w:line="480"/>
        <w:ind w:right="0" w:left="0" w:firstLine="0"/>
        <w:jc w:val="center"/>
        <w:rPr>
          <w:rFonts w:ascii="Calibri" w:hAnsi="Calibri" w:cs="Calibri" w:eastAsia="Calibri"/>
          <w:color w:val="auto"/>
          <w:spacing w:val="0"/>
          <w:position w:val="0"/>
          <w:sz w:val="24"/>
          <w:shd w:fill="auto" w:val="clear"/>
        </w:rPr>
      </w:pPr>
    </w:p>
    <w:p>
      <w:pPr>
        <w:spacing w:before="0" w:after="200" w:line="480"/>
        <w:ind w:right="0" w:left="0" w:firstLine="0"/>
        <w:jc w:val="center"/>
        <w:rPr>
          <w:rFonts w:ascii="Calibri" w:hAnsi="Calibri" w:cs="Calibri" w:eastAsia="Calibri"/>
          <w:color w:val="auto"/>
          <w:spacing w:val="0"/>
          <w:position w:val="0"/>
          <w:sz w:val="24"/>
          <w:shd w:fill="auto" w:val="clear"/>
        </w:rPr>
      </w:pPr>
    </w:p>
    <w:p>
      <w:pPr>
        <w:spacing w:before="0" w:after="2482" w:line="480"/>
        <w:ind w:right="-15" w:left="10" w:hanging="10"/>
        <w:jc w:val="center"/>
        <w:rPr>
          <w:rFonts w:ascii="Calibri" w:hAnsi="Calibri" w:cs="Calibri" w:eastAsia="Calibri"/>
          <w:color w:val="auto"/>
          <w:spacing w:val="0"/>
          <w:position w:val="0"/>
          <w:sz w:val="24"/>
          <w:shd w:fill="auto" w:val="clear"/>
        </w:rPr>
      </w:pPr>
      <w:r>
        <w:rPr>
          <w:rFonts w:ascii="Calibri" w:hAnsi="Calibri" w:cs="Calibri" w:eastAsia="Calibri"/>
          <w:color w:val="000000"/>
          <w:spacing w:val="0"/>
          <w:position w:val="0"/>
          <w:sz w:val="24"/>
          <w:shd w:fill="auto" w:val="clear"/>
        </w:rPr>
        <w:t xml:space="preserve">Lucia Pinar</w:t>
      </w:r>
      <w:r>
        <w:rPr>
          <w:rFonts w:ascii="Calibri" w:hAnsi="Calibri" w:cs="Calibri" w:eastAsia="Calibri"/>
          <w:color w:val="auto"/>
          <w:spacing w:val="0"/>
          <w:position w:val="0"/>
          <w:sz w:val="24"/>
          <w:shd w:fill="auto" w:val="clear"/>
        </w:rPr>
        <w:t xml:space="preserve"> . St number: 2308620</w:t>
        <w:t xml:space="preserve"> </w:t>
      </w:r>
    </w:p>
    <w:p>
      <w:pPr>
        <w:spacing w:before="0" w:after="2482" w:line="480"/>
        <w:ind w:right="-15" w:left="10" w:hanging="10"/>
        <w:jc w:val="center"/>
        <w:rPr>
          <w:rFonts w:ascii="Calibri" w:hAnsi="Calibri" w:cs="Calibri" w:eastAsia="Calibri"/>
          <w:color w:val="auto"/>
          <w:spacing w:val="0"/>
          <w:position w:val="0"/>
          <w:sz w:val="24"/>
          <w:shd w:fill="auto" w:val="clear"/>
        </w:rPr>
      </w:pPr>
    </w:p>
    <w:p>
      <w:pPr>
        <w:spacing w:before="0" w:after="0" w:line="480"/>
        <w:ind w:right="0" w:left="0" w:firstLine="0"/>
        <w:jc w:val="center"/>
        <w:rPr>
          <w:rFonts w:ascii="Calibri" w:hAnsi="Calibri" w:cs="Calibri" w:eastAsia="Calibri"/>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Introduction.</w:t>
      </w:r>
    </w:p>
    <w:p>
      <w:pPr>
        <w:spacing w:before="0" w:after="0" w:line="480"/>
        <w:ind w:right="0" w:left="0" w:firstLine="0"/>
        <w:jc w:val="left"/>
        <w:rPr>
          <w:rFonts w:ascii="Times New Roman" w:hAnsi="Times New Roman" w:cs="Times New Roman" w:eastAsia="Times New Roman"/>
          <w:color w:val="0E101A"/>
          <w:spacing w:val="0"/>
          <w:position w:val="0"/>
          <w:sz w:val="24"/>
          <w:shd w:fill="auto" w:val="clear"/>
        </w:rPr>
      </w:pPr>
      <w:r>
        <w:rPr>
          <w:rFonts w:ascii="Calibri" w:hAnsi="Calibri" w:cs="Calibri" w:eastAsia="Calibri"/>
          <w:color w:val="0E101A"/>
          <w:spacing w:val="0"/>
          <w:position w:val="0"/>
          <w:sz w:val="24"/>
          <w:shd w:fill="auto" w:val="clear"/>
        </w:rPr>
        <w:t xml:space="preserve">            People who follow healthy habits during their lifetime achieve better health conditions now and in the future. Diet, combined with physical activity while encompassing mental well-being and social habits, shapes physical and emotional health and social outcomes for life. The life course approach serves as the foundation of this report because it acknowledges that health develops through biological functions, behavioral patterns, and environmental influences since early infancy. This report depends on well-being as a condition of physical, mental, and social health and social determinants of health that consider birth conditions and growth stages to present an analysis based on these key concepts. The research evaluates future health outcomes related to childhood health while studying lifee course movement methods and social components and public wellness initiatives to support life course development</w:t>
      </w:r>
      <w:r>
        <w:rPr>
          <w:rFonts w:ascii="Times New Roman" w:hAnsi="Times New Roman" w:cs="Times New Roman" w:eastAsia="Times New Roman"/>
          <w:color w:val="0E101A"/>
          <w:spacing w:val="0"/>
          <w:position w:val="0"/>
          <w:sz w:val="24"/>
          <w:shd w:fill="auto" w:val="clear"/>
        </w:rPr>
        <w:t xml:space="preserve">.</w:t>
      </w:r>
    </w:p>
    <w:p>
      <w:pPr>
        <w:spacing w:before="0" w:after="0" w:line="480"/>
        <w:ind w:right="0" w:left="0" w:firstLine="0"/>
        <w:jc w:val="center"/>
        <w:rPr>
          <w:rFonts w:ascii="Calibri" w:hAnsi="Calibri" w:cs="Calibri" w:eastAsia="Calibri"/>
          <w:b/>
          <w:color w:val="0E101A"/>
          <w:spacing w:val="0"/>
          <w:position w:val="0"/>
          <w:sz w:val="24"/>
          <w:shd w:fill="auto" w:val="clear"/>
        </w:rPr>
      </w:pPr>
      <w:r>
        <w:rPr>
          <w:rFonts w:ascii="Times New Roman" w:hAnsi="Times New Roman" w:cs="Times New Roman" w:eastAsia="Times New Roman"/>
          <w:b/>
          <w:color w:val="0E101A"/>
          <w:spacing w:val="0"/>
          <w:position w:val="0"/>
          <w:sz w:val="24"/>
          <w:shd w:fill="auto" w:val="clear"/>
        </w:rPr>
        <w:t xml:space="preserve"> 1: The Life Course Approach</w:t>
      </w:r>
    </w:p>
    <w:p>
      <w:pPr>
        <w:spacing w:before="0" w:after="0" w:line="480"/>
        <w:ind w:right="0" w:left="0" w:firstLine="0"/>
        <w:jc w:val="left"/>
        <w:rPr>
          <w:rFonts w:ascii="Calibri" w:hAnsi="Calibri" w:cs="Calibri" w:eastAsia="Calibri"/>
          <w:color w:val="0E101A"/>
          <w:spacing w:val="0"/>
          <w:position w:val="0"/>
          <w:sz w:val="24"/>
          <w:shd w:fill="auto" w:val="clear"/>
        </w:rPr>
      </w:pPr>
      <w:r>
        <w:rPr>
          <w:rFonts w:ascii="Calibri" w:hAnsi="Calibri" w:cs="Calibri" w:eastAsia="Calibri"/>
          <w:color w:val="0E101A"/>
          <w:spacing w:val="0"/>
          <w:position w:val="0"/>
          <w:sz w:val="24"/>
          <w:shd w:fill="auto" w:val="clear"/>
        </w:rPr>
        <w:t xml:space="preserve">            Public health relies on the life course approach to explore how physical body changes and social environments shape health statuses over a lifetime. The technique teaches us that health grows with the experiences we encounter from childhood to our later years. For this model to work, individual health depends entirely on positive and negative early life events.</w:t>
      </w:r>
    </w:p>
    <w:p>
      <w:pPr>
        <w:spacing w:before="0" w:after="0" w:line="480"/>
        <w:ind w:right="0" w:left="0" w:firstLine="0"/>
        <w:jc w:val="left"/>
        <w:rPr>
          <w:rFonts w:ascii="Calibri" w:hAnsi="Calibri" w:cs="Calibri" w:eastAsia="Calibri"/>
          <w:color w:val="0E101A"/>
          <w:spacing w:val="0"/>
          <w:position w:val="0"/>
          <w:sz w:val="24"/>
          <w:shd w:fill="auto" w:val="clear"/>
        </w:rPr>
      </w:pPr>
      <w:r>
        <w:rPr>
          <w:rFonts w:ascii="Calibri" w:hAnsi="Calibri" w:cs="Calibri" w:eastAsia="Calibri"/>
          <w:color w:val="0E101A"/>
          <w:spacing w:val="0"/>
          <w:position w:val="0"/>
          <w:sz w:val="24"/>
          <w:shd w:fill="auto" w:val="clear"/>
        </w:rPr>
        <w:t xml:space="preserve">            Health development for people happens across different life stages starting from childhood through adolescence and continuing into adulthood until older age according to a study by </w:t>
      </w:r>
      <w:r>
        <w:rPr>
          <w:rFonts w:ascii="Calibri" w:hAnsi="Calibri" w:cs="Calibri" w:eastAsia="Calibri"/>
          <w:color w:val="222222"/>
          <w:spacing w:val="0"/>
          <w:position w:val="0"/>
          <w:sz w:val="24"/>
          <w:shd w:fill="FFFFFF" w:val="clear"/>
        </w:rPr>
        <w:t xml:space="preserve">Mastorci, et al. (2024)</w:t>
      </w:r>
      <w:r>
        <w:rPr>
          <w:rFonts w:ascii="Calibri" w:hAnsi="Calibri" w:cs="Calibri" w:eastAsia="Calibri"/>
          <w:color w:val="0E101A"/>
          <w:spacing w:val="0"/>
          <w:position w:val="0"/>
          <w:sz w:val="24"/>
          <w:shd w:fill="auto" w:val="clear"/>
        </w:rPr>
        <w:t xml:space="preserve">. Stressful child years change dietary habits that make adults more likely to develop heart disease and diabetes. Research shows bad health results that happen during pregnancy and early life stay with adults throughout their entire life. Health problems connected to ACEs like abuse and household problems lead to unhealthy habits that start serious diseases later in life.</w:t>
      </w:r>
    </w:p>
    <w:p>
      <w:pPr>
        <w:spacing w:before="0" w:after="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E101A"/>
          <w:spacing w:val="0"/>
          <w:position w:val="0"/>
          <w:sz w:val="24"/>
          <w:shd w:fill="auto" w:val="clear"/>
        </w:rPr>
        <w:t xml:space="preserve">            The model operates with the fundamental idea of repeating advantages or disadvantages over time. Early life support systems help people stay healthy throughout their lives, while repeated exposure to hardship goes against their healthy growth </w:t>
      </w:r>
      <w:r>
        <w:rPr>
          <w:rFonts w:ascii="Calibri" w:hAnsi="Calibri" w:cs="Calibri" w:eastAsia="Calibri"/>
          <w:color w:val="auto"/>
          <w:spacing w:val="0"/>
          <w:position w:val="0"/>
          <w:sz w:val="24"/>
          <w:shd w:fill="auto" w:val="clear"/>
        </w:rPr>
        <w:t xml:space="preserve">(Smith and Pollak, 2020)</w:t>
      </w:r>
      <w:r>
        <w:rPr>
          <w:rFonts w:ascii="Calibri" w:hAnsi="Calibri" w:cs="Calibri" w:eastAsia="Calibri"/>
          <w:color w:val="0E101A"/>
          <w:spacing w:val="0"/>
          <w:position w:val="0"/>
          <w:sz w:val="24"/>
          <w:shd w:fill="auto" w:val="clear"/>
        </w:rPr>
        <w:t xml:space="preserve">. Starting with health promotion at young ages, this model sets up public health strategies to fight health differences between people.</w:t>
      </w:r>
    </w:p>
    <w:p>
      <w:pPr>
        <w:spacing w:before="0" w:after="0" w:line="480"/>
        <w:ind w:right="0" w:left="0" w:firstLine="0"/>
        <w:jc w:val="center"/>
        <w:rPr>
          <w:rFonts w:ascii="Calibri" w:hAnsi="Calibri" w:cs="Calibri" w:eastAsia="Calibri"/>
          <w:b/>
          <w:color w:val="0E101A"/>
          <w:spacing w:val="0"/>
          <w:position w:val="0"/>
          <w:sz w:val="24"/>
          <w:shd w:fill="auto" w:val="clear"/>
        </w:rPr>
      </w:pPr>
      <w:r>
        <w:rPr>
          <w:rFonts w:ascii="Calibri" w:hAnsi="Calibri" w:cs="Calibri" w:eastAsia="Calibri"/>
          <w:b/>
          <w:color w:val="0E101A"/>
          <w:spacing w:val="0"/>
          <w:position w:val="0"/>
          <w:sz w:val="24"/>
          <w:shd w:fill="auto" w:val="clear"/>
        </w:rPr>
        <w:t xml:space="preserve"> 2: Early Life Experiences and Health</w:t>
      </w:r>
    </w:p>
    <w:p>
      <w:pPr>
        <w:spacing w:before="0" w:after="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E101A"/>
          <w:spacing w:val="0"/>
          <w:position w:val="0"/>
          <w:sz w:val="24"/>
          <w:shd w:fill="auto" w:val="clear"/>
        </w:rPr>
        <w:t xml:space="preserve">            Early childhood is a crucial time that has profound consequences for one's health and wellbeing in the long term. What happens during this time</w:t>
      </w:r>
      <w:r>
        <w:rPr>
          <w:rFonts w:ascii="Calibri" w:hAnsi="Calibri" w:cs="Calibri" w:eastAsia="Calibri"/>
          <w:color w:val="0E101A"/>
          <w:spacing w:val="0"/>
          <w:position w:val="0"/>
          <w:sz w:val="24"/>
          <w:shd w:fill="auto" w:val="clear"/>
        </w:rPr>
        <w:t xml:space="preserve">—</w:t>
      </w:r>
      <w:r>
        <w:rPr>
          <w:rFonts w:ascii="Calibri" w:hAnsi="Calibri" w:cs="Calibri" w:eastAsia="Calibri"/>
          <w:color w:val="0E101A"/>
          <w:spacing w:val="0"/>
          <w:position w:val="0"/>
          <w:sz w:val="24"/>
          <w:shd w:fill="auto" w:val="clear"/>
        </w:rPr>
        <w:t xml:space="preserve">such as the quality of parenting, exposure to trauma, availability of nutrition, and stability in the home environment</w:t>
      </w:r>
      <w:r>
        <w:rPr>
          <w:rFonts w:ascii="Calibri" w:hAnsi="Calibri" w:cs="Calibri" w:eastAsia="Calibri"/>
          <w:color w:val="0E101A"/>
          <w:spacing w:val="0"/>
          <w:position w:val="0"/>
          <w:sz w:val="24"/>
          <w:shd w:fill="auto" w:val="clear"/>
        </w:rPr>
        <w:t xml:space="preserve">—</w:t>
      </w:r>
      <w:r>
        <w:rPr>
          <w:rFonts w:ascii="Calibri" w:hAnsi="Calibri" w:cs="Calibri" w:eastAsia="Calibri"/>
          <w:color w:val="0E101A"/>
          <w:spacing w:val="0"/>
          <w:position w:val="0"/>
          <w:sz w:val="24"/>
          <w:shd w:fill="auto" w:val="clear"/>
        </w:rPr>
        <w:t xml:space="preserve">can permanently impact one's physical and mental health. A stable and supportive environment during childhood supports healthy development, emotional strength, and good behavior as highlighted by </w:t>
      </w:r>
      <w:r>
        <w:rPr>
          <w:rFonts w:ascii="Calibri" w:hAnsi="Calibri" w:cs="Calibri" w:eastAsia="Calibri"/>
          <w:color w:val="auto"/>
          <w:spacing w:val="0"/>
          <w:position w:val="0"/>
          <w:sz w:val="24"/>
          <w:shd w:fill="auto" w:val="clear"/>
        </w:rPr>
        <w:t xml:space="preserve">Breiner et al. (2016)</w:t>
      </w:r>
      <w:r>
        <w:rPr>
          <w:rFonts w:ascii="Calibri" w:hAnsi="Calibri" w:cs="Calibri" w:eastAsia="Calibri"/>
          <w:color w:val="0E101A"/>
          <w:spacing w:val="0"/>
          <w:position w:val="0"/>
          <w:sz w:val="24"/>
          <w:shd w:fill="auto" w:val="clear"/>
        </w:rPr>
        <w:t xml:space="preserve">. On the other hand, traumatic experiences like abuse, neglect, or chronic stress harm brain development and pose health risks in the long runing.</w:t>
      </w:r>
    </w:p>
    <w:p>
      <w:pPr>
        <w:spacing w:before="0" w:after="0" w:line="480"/>
        <w:ind w:right="0" w:left="0" w:firstLine="0"/>
        <w:jc w:val="left"/>
        <w:rPr>
          <w:rFonts w:ascii="Calibri" w:hAnsi="Calibri" w:cs="Calibri" w:eastAsia="Calibri"/>
          <w:color w:val="0E101A"/>
          <w:spacing w:val="0"/>
          <w:position w:val="0"/>
          <w:sz w:val="24"/>
          <w:shd w:fill="auto" w:val="clear"/>
        </w:rPr>
      </w:pPr>
      <w:r>
        <w:rPr>
          <w:rFonts w:ascii="Calibri" w:hAnsi="Calibri" w:cs="Calibri" w:eastAsia="Calibri"/>
          <w:color w:val="0E101A"/>
          <w:spacing w:val="0"/>
          <w:position w:val="0"/>
          <w:sz w:val="24"/>
          <w:shd w:fill="auto" w:val="clear"/>
        </w:rPr>
        <w:tab/>
        <w:t xml:space="preserve">Children develop emotional management and self-worth more effectively based on parental methods of upbringing. </w:t>
      </w:r>
      <w:r>
        <w:rPr>
          <w:rFonts w:ascii="Calibri" w:hAnsi="Calibri" w:cs="Calibri" w:eastAsia="Calibri"/>
          <w:color w:val="auto"/>
          <w:spacing w:val="0"/>
          <w:position w:val="0"/>
          <w:sz w:val="24"/>
          <w:shd w:fill="auto" w:val="clear"/>
        </w:rPr>
        <w:t xml:space="preserve">Meherali et al. (2021, p.2) , argue that</w:t>
      </w:r>
      <w:r>
        <w:rPr>
          <w:rFonts w:ascii="Calibri" w:hAnsi="Calibri" w:cs="Calibri" w:eastAsia="Calibri"/>
          <w:color w:val="auto"/>
          <w:spacing w:val="0"/>
          <w:position w:val="0"/>
          <w:sz w:val="22"/>
          <w:shd w:fill="auto" w:val="clear"/>
        </w:rPr>
        <w:t xml:space="preserve"> </w:t>
      </w:r>
      <w:r>
        <w:rPr>
          <w:rFonts w:ascii="Calibri" w:hAnsi="Calibri" w:cs="Calibri" w:eastAsia="Calibri"/>
          <w:color w:val="0E101A"/>
          <w:spacing w:val="0"/>
          <w:position w:val="0"/>
          <w:sz w:val="24"/>
          <w:shd w:fill="auto" w:val="clear"/>
        </w:rPr>
        <w:t xml:space="preserve">children develop better and stay mentally healthy because adults support their growth. When adults fail to support children under stress their brain and body change in ways that create higher anxiety risks plus depression while making bad lifestyle choices and illness more likely. A child needs proper education to develop properly while proper nourishment supports their physical expansion as evidenced by </w:t>
      </w:r>
      <w:r>
        <w:rPr>
          <w:rFonts w:ascii="Calibri" w:hAnsi="Calibri" w:cs="Calibri" w:eastAsia="Calibri"/>
          <w:color w:val="222222"/>
          <w:spacing w:val="0"/>
          <w:position w:val="0"/>
          <w:sz w:val="24"/>
          <w:shd w:fill="FFFFFF" w:val="clear"/>
        </w:rPr>
        <w:t xml:space="preserve">Gkintoni et al. (2024, p.24)</w:t>
      </w:r>
      <w:r>
        <w:rPr>
          <w:rFonts w:ascii="Calibri" w:hAnsi="Calibri" w:cs="Calibri" w:eastAsia="Calibri"/>
          <w:color w:val="0E101A"/>
          <w:spacing w:val="0"/>
          <w:position w:val="0"/>
          <w:sz w:val="24"/>
          <w:shd w:fill="auto" w:val="clear"/>
        </w:rPr>
        <w:t xml:space="preserve">. The immune system of a child gets weaker and their cognitive abilities suffer when they begin life fed an inadequate diet. A lack of proper education stops people from reading medical information well and lowers their chances of getting work as well as forces them into dangerous neighborhoods.</w:t>
      </w:r>
    </w:p>
    <w:p>
      <w:pPr>
        <w:spacing w:before="0" w:after="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E101A"/>
          <w:spacing w:val="0"/>
          <w:position w:val="0"/>
          <w:sz w:val="24"/>
          <w:shd w:fill="auto" w:val="clear"/>
        </w:rPr>
        <w:t xml:space="preserve">            Researchers finded that children who experience difficult circumstances during their upbringing face higher health dangers as adults including heart problems, weight issues, and mental diseases </w:t>
      </w:r>
      <w:r>
        <w:rPr>
          <w:rFonts w:ascii="Calibri" w:hAnsi="Calibri" w:cs="Calibri" w:eastAsia="Calibri"/>
          <w:color w:val="auto"/>
          <w:spacing w:val="0"/>
          <w:position w:val="0"/>
          <w:sz w:val="24"/>
          <w:shd w:fill="auto" w:val="clear"/>
        </w:rPr>
        <w:t xml:space="preserve">(Webster, 2022)</w:t>
      </w:r>
      <w:r>
        <w:rPr>
          <w:rFonts w:ascii="Calibri" w:hAnsi="Calibri" w:cs="Calibri" w:eastAsia="Calibri"/>
          <w:color w:val="0E101A"/>
          <w:spacing w:val="0"/>
          <w:position w:val="0"/>
          <w:sz w:val="24"/>
          <w:shd w:fill="auto" w:val="clear"/>
        </w:rPr>
        <w:t xml:space="preserve">. Our research shows that helping children at an early stage will help them stay healthy throughout life while decreasing the amount of treatable diseases.</w:t>
      </w:r>
    </w:p>
    <w:p>
      <w:pPr>
        <w:spacing w:before="0" w:after="0" w:line="480"/>
        <w:ind w:right="0" w:left="0" w:firstLine="0"/>
        <w:jc w:val="center"/>
        <w:rPr>
          <w:rFonts w:ascii="Calibri" w:hAnsi="Calibri" w:cs="Calibri" w:eastAsia="Calibri"/>
          <w:color w:val="0E101A"/>
          <w:spacing w:val="0"/>
          <w:position w:val="0"/>
          <w:sz w:val="24"/>
          <w:shd w:fill="auto" w:val="clear"/>
        </w:rPr>
      </w:pPr>
      <w:r>
        <w:rPr>
          <w:rFonts w:ascii="Calibri" w:hAnsi="Calibri" w:cs="Calibri" w:eastAsia="Calibri"/>
          <w:b/>
          <w:color w:val="0E101A"/>
          <w:spacing w:val="0"/>
          <w:position w:val="0"/>
          <w:sz w:val="24"/>
          <w:shd w:fill="auto" w:val="clear"/>
        </w:rPr>
        <w:t xml:space="preserve"> 3: Lifestyle Factors and Their Influence</w:t>
      </w:r>
    </w:p>
    <w:p>
      <w:pPr>
        <w:spacing w:before="0" w:after="0" w:line="480"/>
        <w:ind w:right="0" w:left="0" w:firstLine="0"/>
        <w:jc w:val="left"/>
        <w:rPr>
          <w:rFonts w:ascii="Calibri" w:hAnsi="Calibri" w:cs="Calibri" w:eastAsia="Calibri"/>
          <w:color w:val="0E101A"/>
          <w:spacing w:val="0"/>
          <w:position w:val="0"/>
          <w:sz w:val="24"/>
          <w:shd w:fill="auto" w:val="clear"/>
        </w:rPr>
      </w:pPr>
      <w:r>
        <w:rPr>
          <w:rFonts w:ascii="Calibri" w:hAnsi="Calibri" w:cs="Calibri" w:eastAsia="Calibri"/>
          <w:color w:val="0E101A"/>
          <w:spacing w:val="0"/>
          <w:position w:val="0"/>
          <w:sz w:val="24"/>
          <w:shd w:fill="auto" w:val="clear"/>
        </w:rPr>
        <w:t xml:space="preserve">            Life habits of what you eat, how you exercise, what substances you use, and when and how you sleep help form your future health status. These activities determine how well people can handle chronic diseases and mental issues plus they affect what their health becomes overall depending on their stage of life and surroundingts.</w:t>
      </w:r>
    </w:p>
    <w:p>
      <w:pPr>
        <w:numPr>
          <w:ilvl w:val="0"/>
          <w:numId w:val="11"/>
        </w:numPr>
        <w:tabs>
          <w:tab w:val="left" w:pos="720" w:leader="none"/>
        </w:tabs>
        <w:spacing w:before="0" w:after="0" w:line="480"/>
        <w:ind w:right="0" w:left="0" w:firstLine="0"/>
        <w:jc w:val="left"/>
        <w:rPr>
          <w:rFonts w:ascii="Calibri" w:hAnsi="Calibri" w:cs="Calibri" w:eastAsia="Calibri"/>
          <w:b/>
          <w:color w:val="0E101A"/>
          <w:spacing w:val="0"/>
          <w:position w:val="0"/>
          <w:sz w:val="24"/>
          <w:shd w:fill="auto" w:val="clear"/>
        </w:rPr>
      </w:pPr>
      <w:r>
        <w:rPr>
          <w:rFonts w:ascii="Calibri" w:hAnsi="Calibri" w:cs="Calibri" w:eastAsia="Calibri"/>
          <w:b/>
          <w:color w:val="0E101A"/>
          <w:spacing w:val="0"/>
          <w:position w:val="0"/>
          <w:sz w:val="24"/>
          <w:shd w:fill="auto" w:val="clear"/>
        </w:rPr>
        <w:t xml:space="preserve">Diet and Nutrition</w:t>
      </w:r>
    </w:p>
    <w:p>
      <w:pPr>
        <w:spacing w:before="0" w:after="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E101A"/>
          <w:spacing w:val="0"/>
          <w:position w:val="0"/>
          <w:sz w:val="24"/>
          <w:shd w:fill="auto" w:val="clear"/>
        </w:rPr>
        <w:t xml:space="preserve">            A person health depends on choosing fresh foods throughout life to grow strong and avoid developing diseases. High consumption of fresh produce, whole grains, lean meat, and vegetables in the diet reduces the threat of weight problems, heart disease, and type 2 diabetes. Based on research by </w:t>
      </w:r>
      <w:r>
        <w:rPr>
          <w:rFonts w:ascii="Calibri" w:hAnsi="Calibri" w:cs="Calibri" w:eastAsia="Calibri"/>
          <w:color w:val="auto"/>
          <w:spacing w:val="0"/>
          <w:position w:val="0"/>
          <w:sz w:val="24"/>
          <w:shd w:fill="auto" w:val="clear"/>
        </w:rPr>
        <w:t xml:space="preserve">Lustig (2020), c</w:t>
      </w:r>
      <w:r>
        <w:rPr>
          <w:rFonts w:ascii="Calibri" w:hAnsi="Calibri" w:cs="Calibri" w:eastAsia="Calibri"/>
          <w:color w:val="0E101A"/>
          <w:spacing w:val="0"/>
          <w:position w:val="0"/>
          <w:sz w:val="24"/>
          <w:shd w:fill="auto" w:val="clear"/>
        </w:rPr>
        <w:t xml:space="preserve">chronic health problems become more common when people consume excessive processed foods and sugar alongside fats. People who make less money typically go without proper meals because they do not have enough money to buy healthy foods. Your culture makes you eat differently, while your educational background shapes your food understanding. Childrens who eat poorly tend to become overweight, and these health problems tend to follow them into their adult years.,</w:t>
      </w:r>
    </w:p>
    <w:p>
      <w:pPr>
        <w:numPr>
          <w:ilvl w:val="0"/>
          <w:numId w:val="13"/>
        </w:numPr>
        <w:tabs>
          <w:tab w:val="left" w:pos="720" w:leader="none"/>
        </w:tabs>
        <w:spacing w:before="0" w:after="0" w:line="480"/>
        <w:ind w:right="0" w:left="0" w:firstLine="0"/>
        <w:jc w:val="left"/>
        <w:rPr>
          <w:rFonts w:ascii="Calibri" w:hAnsi="Calibri" w:cs="Calibri" w:eastAsia="Calibri"/>
          <w:i/>
          <w:color w:val="0E101A"/>
          <w:spacing w:val="0"/>
          <w:position w:val="0"/>
          <w:sz w:val="24"/>
          <w:shd w:fill="auto" w:val="clear"/>
        </w:rPr>
      </w:pPr>
      <w:r>
        <w:rPr>
          <w:rFonts w:ascii="Calibri" w:hAnsi="Calibri" w:cs="Calibri" w:eastAsia="Calibri"/>
          <w:b/>
          <w:color w:val="0E101A"/>
          <w:spacing w:val="0"/>
          <w:position w:val="0"/>
          <w:sz w:val="24"/>
          <w:shd w:fill="auto" w:val="clear"/>
        </w:rPr>
        <w:t xml:space="preserve">Physical Activity</w:t>
      </w:r>
    </w:p>
    <w:p>
      <w:pPr>
        <w:spacing w:before="0" w:after="0" w:line="480"/>
        <w:ind w:right="0" w:left="0" w:firstLine="0"/>
        <w:jc w:val="left"/>
        <w:rPr>
          <w:rFonts w:ascii="Calibri" w:hAnsi="Calibri" w:cs="Calibri" w:eastAsia="Calibri"/>
          <w:color w:val="0E101A"/>
          <w:spacing w:val="0"/>
          <w:position w:val="0"/>
          <w:sz w:val="24"/>
          <w:shd w:fill="auto" w:val="clear"/>
        </w:rPr>
      </w:pPr>
      <w:r>
        <w:rPr>
          <w:rFonts w:ascii="Calibri" w:hAnsi="Calibri" w:cs="Calibri" w:eastAsia="Calibri"/>
          <w:b/>
          <w:color w:val="0E101A"/>
          <w:spacing w:val="0"/>
          <w:position w:val="0"/>
          <w:sz w:val="24"/>
          <w:shd w:fill="auto" w:val="clear"/>
        </w:rPr>
        <w:t xml:space="preserve">            </w:t>
      </w:r>
      <w:r>
        <w:rPr>
          <w:rFonts w:ascii="Calibri" w:hAnsi="Calibri" w:cs="Calibri" w:eastAsia="Calibri"/>
          <w:color w:val="0E101A"/>
          <w:spacing w:val="0"/>
          <w:position w:val="0"/>
          <w:sz w:val="24"/>
          <w:shd w:fill="auto" w:val="clear"/>
        </w:rPr>
        <w:t xml:space="preserve">Repeated physical activity helps your body and mind through better heart health structure tone and improves your disposition as it calms your stress response. Regular exercise helps everybody at all ages gain physical skills for kids, manage their weight and stress for adults, and preserve their mobility for elderly individuals (</w:t>
      </w:r>
      <w:r>
        <w:rPr>
          <w:rFonts w:ascii="Calibri" w:hAnsi="Calibri" w:cs="Calibri" w:eastAsia="Calibri"/>
          <w:color w:val="222222"/>
          <w:spacing w:val="0"/>
          <w:position w:val="0"/>
          <w:sz w:val="24"/>
          <w:shd w:fill="FFFFFF" w:val="clear"/>
        </w:rPr>
        <w:t xml:space="preserve">Fitzgerald et al. 2022, p.239)</w:t>
      </w:r>
      <w:r>
        <w:rPr>
          <w:rFonts w:ascii="Calibri" w:hAnsi="Calibri" w:cs="Calibri" w:eastAsia="Calibri"/>
          <w:color w:val="0E101A"/>
          <w:spacing w:val="0"/>
          <w:position w:val="0"/>
          <w:sz w:val="24"/>
          <w:shd w:fill="auto" w:val="clear"/>
        </w:rPr>
        <w:t xml:space="preserve">. Despite the proven health advantages, people find many obstacles that keep them from exercising.</w:t>
      </w:r>
      <w:r>
        <w:rPr>
          <w:rFonts w:ascii="Calibri" w:hAnsi="Calibri" w:cs="Calibri" w:eastAsia="Calibri"/>
          <w:b/>
          <w:color w:val="0E101A"/>
          <w:spacing w:val="0"/>
          <w:position w:val="0"/>
          <w:sz w:val="24"/>
          <w:shd w:fill="auto" w:val="clear"/>
        </w:rPr>
        <w:t xml:space="preserve"> </w:t>
      </w:r>
      <w:r>
        <w:rPr>
          <w:rFonts w:ascii="Calibri" w:hAnsi="Calibri" w:cs="Calibri" w:eastAsia="Calibri"/>
          <w:color w:val="0E101A"/>
          <w:spacing w:val="0"/>
          <w:position w:val="0"/>
          <w:sz w:val="24"/>
          <w:shd w:fill="auto" w:val="clear"/>
        </w:rPr>
        <w:t xml:space="preserve">Sedentariness, usually associated with contemporary work arrangements and television/screen time, is increasingly recognized as a significant public health issue.</w:t>
      </w:r>
    </w:p>
    <w:p>
      <w:pPr>
        <w:numPr>
          <w:ilvl w:val="0"/>
          <w:numId w:val="15"/>
        </w:numPr>
        <w:tabs>
          <w:tab w:val="left" w:pos="720" w:leader="none"/>
        </w:tabs>
        <w:spacing w:before="0" w:after="0" w:line="480"/>
        <w:ind w:right="0" w:left="0" w:firstLine="0"/>
        <w:jc w:val="left"/>
        <w:rPr>
          <w:rFonts w:ascii="Calibri" w:hAnsi="Calibri" w:cs="Calibri" w:eastAsia="Calibri"/>
          <w:i/>
          <w:color w:val="0E101A"/>
          <w:spacing w:val="0"/>
          <w:position w:val="0"/>
          <w:sz w:val="24"/>
          <w:shd w:fill="auto" w:val="clear"/>
        </w:rPr>
      </w:pPr>
      <w:r>
        <w:rPr>
          <w:rFonts w:ascii="Calibri" w:hAnsi="Calibri" w:cs="Calibri" w:eastAsia="Calibri"/>
          <w:b/>
          <w:color w:val="0E101A"/>
          <w:spacing w:val="0"/>
          <w:position w:val="0"/>
          <w:sz w:val="24"/>
          <w:shd w:fill="auto" w:val="clear"/>
        </w:rPr>
        <w:t xml:space="preserve">Other Behaviours</w:t>
      </w:r>
    </w:p>
    <w:p>
      <w:pPr>
        <w:spacing w:before="0" w:after="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E101A"/>
          <w:spacing w:val="0"/>
          <w:position w:val="0"/>
          <w:sz w:val="24"/>
          <w:shd w:fill="auto" w:val="clear"/>
        </w:rPr>
        <w:t xml:space="preserve">            Lifestyle habits such as smoking substances make people more vulnerable to major diseases such as cancer and respiratory problems. They also raise their risk of developing liver health issues as highlighted by Smoking and Tobacco Use (2024). Young people develop these harmful behaviors during adolescence based on both their relationships and mental well-being. Starting these behaviors during youth makes it more difficult to avoid becoming dependent and experiencing self-harm later. How people sleep and handle stress impacts their overall health and quality of life. Not having enough sleep regularly hurts memory and study power and weakens your immune system, yet persistent stress enhances risks for heart danger and brings mental health problems </w:t>
      </w:r>
      <w:r>
        <w:rPr>
          <w:rFonts w:ascii="Calibri" w:hAnsi="Calibri" w:cs="Calibri" w:eastAsia="Calibri"/>
          <w:color w:val="auto"/>
          <w:spacing w:val="0"/>
          <w:position w:val="0"/>
          <w:sz w:val="24"/>
          <w:shd w:fill="auto" w:val="clear"/>
        </w:rPr>
        <w:t xml:space="preserve">(Colten &amp; Altevogt, 2019)</w:t>
      </w:r>
      <w:r>
        <w:rPr>
          <w:rFonts w:ascii="Calibri" w:hAnsi="Calibri" w:cs="Calibri" w:eastAsia="Calibri"/>
          <w:color w:val="0E101A"/>
          <w:spacing w:val="0"/>
          <w:position w:val="0"/>
          <w:sz w:val="24"/>
          <w:shd w:fill="auto" w:val="clear"/>
        </w:rPr>
        <w:t xml:space="preserve">. When stress becomes hard to handle, people usually use bad ways to deal with it by overeating or using drugs. Choosing healthy habits throughout life helps protect your health and creates better total wellness. Public health experts must combine all these aspects while creating programs matching life phases and group types.</w:t>
      </w:r>
    </w:p>
    <w:p>
      <w:pPr>
        <w:spacing w:before="0" w:after="0" w:line="480"/>
        <w:ind w:right="0" w:left="0" w:firstLine="0"/>
        <w:jc w:val="center"/>
        <w:rPr>
          <w:rFonts w:ascii="Calibri" w:hAnsi="Calibri" w:cs="Calibri" w:eastAsia="Calibri"/>
          <w:color w:val="0E101A"/>
          <w:spacing w:val="0"/>
          <w:position w:val="0"/>
          <w:sz w:val="24"/>
          <w:shd w:fill="auto" w:val="clear"/>
        </w:rPr>
      </w:pPr>
      <w:r>
        <w:rPr>
          <w:rFonts w:ascii="Calibri" w:hAnsi="Calibri" w:cs="Calibri" w:eastAsia="Calibri"/>
          <w:b/>
          <w:color w:val="0E101A"/>
          <w:spacing w:val="0"/>
          <w:position w:val="0"/>
          <w:sz w:val="24"/>
          <w:shd w:fill="auto" w:val="clear"/>
        </w:rPr>
        <w:t xml:space="preserve">4: Mental Health and Social Determinants of Health</w:t>
      </w:r>
    </w:p>
    <w:p>
      <w:pPr>
        <w:spacing w:before="0" w:after="0" w:line="480"/>
        <w:ind w:right="0" w:left="0" w:firstLine="0"/>
        <w:jc w:val="left"/>
        <w:rPr>
          <w:rFonts w:ascii="Calibri" w:hAnsi="Calibri" w:cs="Calibri" w:eastAsia="Calibri"/>
          <w:color w:val="0E101A"/>
          <w:spacing w:val="0"/>
          <w:position w:val="0"/>
          <w:sz w:val="24"/>
          <w:shd w:fill="auto" w:val="clear"/>
        </w:rPr>
      </w:pPr>
      <w:r>
        <w:rPr>
          <w:rFonts w:ascii="Calibri" w:hAnsi="Calibri" w:cs="Calibri" w:eastAsia="Calibri"/>
          <w:b/>
          <w:color w:val="0E101A"/>
          <w:spacing w:val="0"/>
          <w:position w:val="0"/>
          <w:sz w:val="24"/>
          <w:shd w:fill="auto" w:val="clear"/>
        </w:rPr>
        <w:t xml:space="preserve">            </w:t>
      </w:r>
      <w:r>
        <w:rPr>
          <w:rFonts w:ascii="Calibri" w:hAnsi="Calibri" w:cs="Calibri" w:eastAsia="Calibri"/>
          <w:color w:val="0E101A"/>
          <w:spacing w:val="0"/>
          <w:position w:val="0"/>
          <w:sz w:val="24"/>
          <w:shd w:fill="auto" w:val="clear"/>
        </w:rPr>
        <w:t xml:space="preserve">Mental health is integral to overall health and is highly determined by life experiences and societal conditions. Depression, anxiety, and chronic stress are some of the conditions that may arise during any phase of life and, if not treated, will lead to physical disease, social isolation, and diminished quality of life. As evidenced by the work of </w:t>
      </w:r>
      <w:r>
        <w:rPr>
          <w:rFonts w:ascii="Calibri" w:hAnsi="Calibri" w:cs="Calibri" w:eastAsia="Calibri"/>
          <w:color w:val="222222"/>
          <w:spacing w:val="0"/>
          <w:position w:val="0"/>
          <w:sz w:val="24"/>
          <w:shd w:fill="FFFFFF" w:val="clear"/>
        </w:rPr>
        <w:t xml:space="preserve">Kirkbride et al. (2024, p.60)</w:t>
      </w:r>
      <w:r>
        <w:rPr>
          <w:rFonts w:ascii="Calibri" w:hAnsi="Calibri" w:cs="Calibri" w:eastAsia="Calibri"/>
          <w:color w:val="222222"/>
          <w:spacing w:val="0"/>
          <w:position w:val="0"/>
          <w:sz w:val="20"/>
          <w:shd w:fill="FFFFFF" w:val="clear"/>
        </w:rPr>
        <w:t xml:space="preserve">, </w:t>
      </w:r>
      <w:r>
        <w:rPr>
          <w:rFonts w:ascii="Calibri" w:hAnsi="Calibri" w:cs="Calibri" w:eastAsia="Calibri"/>
          <w:color w:val="0E101A"/>
          <w:spacing w:val="0"/>
          <w:position w:val="0"/>
          <w:sz w:val="24"/>
          <w:shd w:fill="auto" w:val="clear"/>
        </w:rPr>
        <w:t xml:space="preserve">continuous life stresses, such as work, domestic life, trauma, or financial struggles, frequently determine mental health problems. Mental and physical health are also influenced by social determinants of health</w:t>
      </w:r>
      <w:r>
        <w:rPr>
          <w:rFonts w:ascii="Calibri" w:hAnsi="Calibri" w:cs="Calibri" w:eastAsia="Calibri"/>
          <w:color w:val="0E101A"/>
          <w:spacing w:val="0"/>
          <w:position w:val="0"/>
          <w:sz w:val="24"/>
          <w:shd w:fill="auto" w:val="clear"/>
        </w:rPr>
        <w:t xml:space="preserve">—</w:t>
      </w:r>
      <w:r>
        <w:rPr>
          <w:rFonts w:ascii="Calibri" w:hAnsi="Calibri" w:cs="Calibri" w:eastAsia="Calibri"/>
          <w:color w:val="0E101A"/>
          <w:spacing w:val="0"/>
          <w:position w:val="0"/>
          <w:sz w:val="24"/>
          <w:shd w:fill="auto" w:val="clear"/>
        </w:rPr>
        <w:t xml:space="preserve">the environments in which one is born, works, and grows old (Braveman 2023). These are income, education, housing, employment, and healthcare access. For example, those with low income will not be able to afford healthy food or mental health care and will thus be more vulnerable to disease. Low-quality housing and dangerous neighborhoods will increase stress and limit physical activity or social contact.</w:t>
      </w:r>
    </w:p>
    <w:p>
      <w:pPr>
        <w:spacing w:before="0" w:after="0" w:line="480"/>
        <w:ind w:right="0" w:left="0" w:firstLine="0"/>
        <w:jc w:val="left"/>
        <w:rPr>
          <w:rFonts w:ascii="Calibri" w:hAnsi="Calibri" w:cs="Calibri" w:eastAsia="Calibri"/>
          <w:color w:val="0E101A"/>
          <w:spacing w:val="0"/>
          <w:position w:val="0"/>
          <w:sz w:val="24"/>
          <w:shd w:fill="auto" w:val="clear"/>
        </w:rPr>
      </w:pPr>
      <w:r>
        <w:rPr>
          <w:rFonts w:ascii="Calibri" w:hAnsi="Calibri" w:cs="Calibri" w:eastAsia="Calibri"/>
          <w:color w:val="0E101A"/>
          <w:spacing w:val="0"/>
          <w:position w:val="0"/>
          <w:sz w:val="24"/>
          <w:shd w:fill="auto" w:val="clear"/>
        </w:rPr>
        <w:t xml:space="preserve">            Education plays a key part in developing health knowledge, increasing job chances, and building good health patterns over time. When people have robust support from family connections and community outlets, they learn easier ways to handle stress and control mental problems. Different groups throughout society lack access to necessary support systems. A study by Shukla (2022) said the  found that people from minority ethnic groups and communities who have disabilities, along with those living on low incomes, encounter built-in barriers that trigger poorer mental health responses and stop them from receiving proper care. Living with these inequalities makes it hard for disadvantaged families to move out of their current situation. Social determinants need to be linked to mental health in our overall health approach to reduce current disparities in health outcomes based on research by Whitman et al. (2022). Public health leadership must use an equal treatment system to support mental health and fix the problems that lead to poor health results.</w:t>
      </w:r>
    </w:p>
    <w:p>
      <w:pPr>
        <w:spacing w:before="0" w:after="0" w:line="480"/>
        <w:ind w:right="0" w:left="0" w:firstLine="0"/>
        <w:jc w:val="center"/>
        <w:rPr>
          <w:rFonts w:ascii="Calibri" w:hAnsi="Calibri" w:cs="Calibri" w:eastAsia="Calibri"/>
          <w:color w:val="0E101A"/>
          <w:spacing w:val="0"/>
          <w:position w:val="0"/>
          <w:sz w:val="24"/>
          <w:shd w:fill="auto" w:val="clear"/>
        </w:rPr>
      </w:pPr>
      <w:r>
        <w:rPr>
          <w:rFonts w:ascii="Calibri" w:hAnsi="Calibri" w:cs="Calibri" w:eastAsia="Calibri"/>
          <w:b/>
          <w:color w:val="0E101A"/>
          <w:spacing w:val="0"/>
          <w:position w:val="0"/>
          <w:sz w:val="24"/>
          <w:shd w:fill="auto" w:val="clear"/>
        </w:rPr>
        <w:t xml:space="preserve">Section 5: Health Interventions Across the Life Course</w:t>
      </w:r>
    </w:p>
    <w:p>
      <w:pPr>
        <w:spacing w:before="0" w:after="0" w:line="480"/>
        <w:ind w:right="0" w:left="0" w:firstLine="0"/>
        <w:jc w:val="left"/>
        <w:rPr>
          <w:rFonts w:ascii="Calibri" w:hAnsi="Calibri" w:cs="Calibri" w:eastAsia="Calibri"/>
          <w:color w:val="0E101A"/>
          <w:spacing w:val="0"/>
          <w:position w:val="0"/>
          <w:sz w:val="24"/>
          <w:shd w:fill="auto" w:val="clear"/>
        </w:rPr>
      </w:pPr>
      <w:r>
        <w:rPr>
          <w:rFonts w:ascii="Calibri" w:hAnsi="Calibri" w:cs="Calibri" w:eastAsia="Calibri"/>
          <w:color w:val="0E101A"/>
          <w:spacing w:val="0"/>
          <w:position w:val="0"/>
          <w:sz w:val="24"/>
          <w:shd w:fill="auto" w:val="clear"/>
        </w:rPr>
        <w:t xml:space="preserve">            Long-lasting well-being depends on health interventions that address different life stages because these interventions work to prevent chronic disease development based on the findings by Grover et al. (2024). Well-designed interventions deliver maximal impact when they are established before health concerns arise and support all groups of people in a continuing manner. Early-life school nutrition programs establish healthy dietary patterns while fighting childhood weight problems, specifically in neighborhoods with lower income levels.</w:t>
      </w:r>
    </w:p>
    <w:p>
      <w:pPr>
        <w:spacing w:before="0" w:after="0" w:line="48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E101A"/>
          <w:spacing w:val="0"/>
          <w:position w:val="0"/>
          <w:sz w:val="24"/>
          <w:shd w:fill="auto" w:val="clear"/>
        </w:rPr>
        <w:t xml:space="preserve">            The wellness programs offered in workplaces, including wellness facilities and counseling services with stress management training, enable adult employees to sustain healthier lives while decreasing work absences. Local well-being facilities and community health promotion initiatives enable residents to acquire beneficial education and practice screening services and supportive networks while learning about healthier choices for leading active lives. Adults aged 40-74 within the UK population can access no-cost health check-ups from the NHS for detecting initial signs of stroke, kidney disease, and diabetes onset </w:t>
      </w:r>
      <w:r>
        <w:rPr>
          <w:rFonts w:ascii="Calibri" w:hAnsi="Calibri" w:cs="Calibri" w:eastAsia="Calibri"/>
          <w:color w:val="auto"/>
          <w:spacing w:val="0"/>
          <w:position w:val="0"/>
          <w:sz w:val="24"/>
          <w:shd w:fill="auto" w:val="clear"/>
        </w:rPr>
        <w:t xml:space="preserve">(NHS Health Check Best practice guidance, 2017, p.12</w:t>
      </w:r>
      <w:r>
        <w:rPr>
          <w:rFonts w:ascii="Calibri" w:hAnsi="Calibri" w:cs="Calibri" w:eastAsia="Calibri"/>
          <w:color w:val="0E101A"/>
          <w:spacing w:val="0"/>
          <w:position w:val="0"/>
          <w:sz w:val="24"/>
          <w:shd w:fill="auto" w:val="clear"/>
        </w:rPr>
        <w:t xml:space="preserve">. The combination of interventions demonstrates the effectiveness of employing a life course strategy in public health to enhance population wellness results at lower costs in the coming yearss</w:t>
      </w:r>
    </w:p>
    <w:p>
      <w:pPr>
        <w:spacing w:before="0" w:after="0" w:line="480"/>
        <w:ind w:right="0" w:left="0" w:firstLine="0"/>
        <w:jc w:val="center"/>
        <w:rPr>
          <w:rFonts w:ascii="Calibri" w:hAnsi="Calibri" w:cs="Calibri" w:eastAsia="Calibri"/>
          <w:color w:val="0E101A"/>
          <w:spacing w:val="0"/>
          <w:position w:val="0"/>
          <w:sz w:val="24"/>
          <w:shd w:fill="auto" w:val="clear"/>
        </w:rPr>
      </w:pPr>
      <w:r>
        <w:rPr>
          <w:rFonts w:ascii="Calibri" w:hAnsi="Calibri" w:cs="Calibri" w:eastAsia="Calibri"/>
          <w:b/>
          <w:color w:val="0E101A"/>
          <w:spacing w:val="0"/>
          <w:position w:val="0"/>
          <w:sz w:val="24"/>
          <w:shd w:fill="auto" w:val="clear"/>
        </w:rPr>
        <w:t xml:space="preserve">Conclusion.</w:t>
      </w:r>
    </w:p>
    <w:p>
      <w:pPr>
        <w:spacing w:before="0" w:after="0" w:line="480"/>
        <w:ind w:right="0" w:left="0" w:firstLine="0"/>
        <w:jc w:val="left"/>
        <w:rPr>
          <w:rFonts w:ascii="Calibri" w:hAnsi="Calibri" w:cs="Calibri" w:eastAsia="Calibri"/>
          <w:color w:val="0E101A"/>
          <w:spacing w:val="0"/>
          <w:position w:val="0"/>
          <w:sz w:val="24"/>
          <w:shd w:fill="auto" w:val="clear"/>
        </w:rPr>
      </w:pPr>
      <w:r>
        <w:rPr>
          <w:rFonts w:ascii="Calibri" w:hAnsi="Calibri" w:cs="Calibri" w:eastAsia="Calibri"/>
          <w:color w:val="0E101A"/>
          <w:spacing w:val="0"/>
          <w:position w:val="0"/>
          <w:sz w:val="24"/>
          <w:shd w:fill="auto" w:val="clear"/>
        </w:rPr>
        <w:t xml:space="preserve">            In summary,</w:t>
      </w:r>
      <w:r>
        <w:rPr>
          <w:rFonts w:ascii="Calibri" w:hAnsi="Calibri" w:cs="Calibri" w:eastAsia="Calibri"/>
          <w:b/>
          <w:color w:val="0E101A"/>
          <w:spacing w:val="0"/>
          <w:position w:val="0"/>
          <w:sz w:val="24"/>
          <w:shd w:fill="auto" w:val="clear"/>
        </w:rPr>
        <w:t xml:space="preserve"> </w:t>
      </w:r>
      <w:r>
        <w:rPr>
          <w:rFonts w:ascii="Calibri" w:hAnsi="Calibri" w:cs="Calibri" w:eastAsia="Calibri"/>
          <w:color w:val="0E101A"/>
          <w:spacing w:val="0"/>
          <w:position w:val="0"/>
          <w:sz w:val="24"/>
          <w:shd w:fill="auto" w:val="clear"/>
        </w:rPr>
        <w:t xml:space="preserve">this report shows that our daily decisions and how we experience life at a young age affect our future health outcomes. Health outcomes depend on how different health factors interact with us throughout our lives, from childhood to adulthood. Life conditions and habits at early stages may create harmful health results, whereas supportive conditions and appropriate life patterns promote good health. The life course perspective shows that health problems develop throughout someone's life and that supportive actions should start at every life phase. Health promotion programs set up in schools, workplaces, and NHS facilities demonstrate how public health helps people avoid harm and achieve equal access to healthcare. Public health initiatives will succeed when they start early in life, combining work from different fields and fixing health inequities. Spending money for long-term age-based guidance helps build better health for everyone and stops families from needing help repeatedly.</w:t>
      </w:r>
    </w:p>
    <w:p>
      <w:pPr>
        <w:spacing w:before="0" w:after="0" w:line="480"/>
        <w:ind w:right="0" w:left="0" w:firstLine="0"/>
        <w:jc w:val="center"/>
        <w:rPr>
          <w:rFonts w:ascii="Calibri" w:hAnsi="Calibri" w:cs="Calibri" w:eastAsia="Calibri"/>
          <w:b/>
          <w:color w:val="auto"/>
          <w:spacing w:val="0"/>
          <w:position w:val="0"/>
          <w:sz w:val="24"/>
          <w:shd w:fill="auto" w:val="clear"/>
        </w:rPr>
      </w:pPr>
    </w:p>
    <w:p>
      <w:pPr>
        <w:spacing w:before="0" w:after="0" w:line="480"/>
        <w:ind w:right="0" w:left="0" w:firstLine="0"/>
        <w:jc w:val="center"/>
        <w:rPr>
          <w:rFonts w:ascii="Calibri" w:hAnsi="Calibri" w:cs="Calibri" w:eastAsia="Calibri"/>
          <w:b/>
          <w:color w:val="auto"/>
          <w:spacing w:val="0"/>
          <w:position w:val="0"/>
          <w:sz w:val="24"/>
          <w:shd w:fill="auto" w:val="clear"/>
        </w:rPr>
      </w:pPr>
    </w:p>
    <w:p>
      <w:pPr>
        <w:spacing w:before="0" w:after="0" w:line="480"/>
        <w:ind w:right="0" w:left="0" w:firstLine="0"/>
        <w:jc w:val="center"/>
        <w:rPr>
          <w:rFonts w:ascii="Calibri" w:hAnsi="Calibri" w:cs="Calibri" w:eastAsia="Calibri"/>
          <w:b/>
          <w:color w:val="auto"/>
          <w:spacing w:val="0"/>
          <w:position w:val="0"/>
          <w:sz w:val="24"/>
          <w:shd w:fill="auto" w:val="clear"/>
        </w:rPr>
      </w:pPr>
    </w:p>
    <w:p>
      <w:pPr>
        <w:spacing w:before="0" w:after="0" w:line="480"/>
        <w:ind w:right="0" w:left="0" w:firstLine="0"/>
        <w:jc w:val="left"/>
        <w:rPr>
          <w:rFonts w:ascii="Calibri" w:hAnsi="Calibri" w:cs="Calibri" w:eastAsia="Calibri"/>
          <w:b/>
          <w:color w:val="auto"/>
          <w:spacing w:val="0"/>
          <w:position w:val="0"/>
          <w:sz w:val="24"/>
          <w:shd w:fill="auto" w:val="clear"/>
        </w:rPr>
      </w:pPr>
    </w:p>
    <w:p>
      <w:pPr>
        <w:spacing w:before="0" w:after="0" w:line="480"/>
        <w:ind w:right="0" w:left="0" w:firstLine="0"/>
        <w:jc w:val="left"/>
        <w:rPr>
          <w:rFonts w:ascii="Calibri" w:hAnsi="Calibri" w:cs="Calibri" w:eastAsia="Calibri"/>
          <w:b/>
          <w:color w:val="auto"/>
          <w:spacing w:val="0"/>
          <w:position w:val="0"/>
          <w:sz w:val="24"/>
          <w:shd w:fill="auto" w:val="clear"/>
        </w:rPr>
      </w:pPr>
    </w:p>
    <w:p>
      <w:pPr>
        <w:spacing w:before="0" w:after="0" w:line="480"/>
        <w:ind w:right="0" w:left="720" w:hanging="72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Reference List</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Breiner, H., Ford, M. and Gadsden, V.L. (2016). Parenting Knowledge, Attitudes, and Practices. [online] Nih.gov. Available at: </w:t>
      </w:r>
      <w:hyperlink xmlns:r="http://schemas.openxmlformats.org/officeDocument/2006/relationships" r:id="docRId0">
        <w:r>
          <w:rPr>
            <w:rFonts w:ascii="Calibri" w:hAnsi="Calibri" w:cs="Calibri" w:eastAsia="Calibri"/>
            <w:color w:val="0563C1"/>
            <w:spacing w:val="0"/>
            <w:position w:val="0"/>
            <w:sz w:val="24"/>
            <w:u w:val="single"/>
            <w:shd w:fill="auto" w:val="clear"/>
          </w:rPr>
          <w:t xml:space="preserve">https://www.ncbi.nlm.nih.gov/books/NBK402020</w:t>
        </w:r>
      </w:hyperlink>
      <w:r>
        <w:rPr>
          <w:rFonts w:ascii="Calibri" w:hAnsi="Calibri" w:cs="Calibri" w:eastAsia="Calibri"/>
          <w:color w:val="auto"/>
          <w:spacing w:val="0"/>
          <w:position w:val="0"/>
          <w:sz w:val="24"/>
          <w:shd w:fill="auto" w:val="clear"/>
        </w:rPr>
        <w:t xml:space="preserve">. </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Braveman, P., 2023. The social determinants of health and health disparities. Oxford University Press.</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Colten, H.R. and Altevogt, B.M. (2019). Extent and health consequences of chronic sleep loss and sleep disorders. [online] nih.gov. Available at: </w:t>
      </w:r>
      <w:hyperlink xmlns:r="http://schemas.openxmlformats.org/officeDocument/2006/relationships" r:id="docRId1">
        <w:r>
          <w:rPr>
            <w:rFonts w:ascii="Calibri" w:hAnsi="Calibri" w:cs="Calibri" w:eastAsia="Calibri"/>
            <w:color w:val="0563C1"/>
            <w:spacing w:val="0"/>
            <w:position w:val="0"/>
            <w:sz w:val="24"/>
            <w:u w:val="single"/>
            <w:shd w:fill="auto" w:val="clear"/>
          </w:rPr>
          <w:t xml:space="preserve">https://www.ncbi.nlm.nih.gov/books/NBK19961/</w:t>
        </w:r>
      </w:hyperlink>
      <w:r>
        <w:rPr>
          <w:rFonts w:ascii="Calibri" w:hAnsi="Calibri" w:cs="Calibri" w:eastAsia="Calibri"/>
          <w:color w:val="auto"/>
          <w:spacing w:val="0"/>
          <w:position w:val="0"/>
          <w:sz w:val="24"/>
          <w:shd w:fill="auto" w:val="clear"/>
        </w:rPr>
        <w:t xml:space="preserve">.</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Gkintoni, E., Vantaraki, F., Skoulidi, C., Anastassopoulos, P. and Vantarakis, A., 2024. Promoting physical and mental health among children and adolescents via gamification</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A conceptual systematic review. Behavioral Sciences, 14(2), p.102.</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Fitzgerald, S.A., Fitzgerald, H.T., Fitzgerald, N.M., Fitzgerald, T.R. and Fitzgerald, D.A., 2022. Somatic, psychological and economic benefits of regular physical activity beginning in childhood. Journal of paediatrics and child health, 58(2), pp.238-242.</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Grover, S., Avasthi, A. and Majid, A., 2024. Clinical Practice Guidelines for mental health and well-being in patients with chronic medical illnesses. </w:t>
      </w:r>
      <w:r>
        <w:rPr>
          <w:rFonts w:ascii="Calibri" w:hAnsi="Calibri" w:cs="Calibri" w:eastAsia="Calibri"/>
          <w:i/>
          <w:color w:val="auto"/>
          <w:spacing w:val="0"/>
          <w:position w:val="0"/>
          <w:sz w:val="24"/>
          <w:shd w:fill="auto" w:val="clear"/>
        </w:rPr>
        <w:t xml:space="preserve">Indian Journal of Psychiatry</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66</w:t>
      </w:r>
      <w:r>
        <w:rPr>
          <w:rFonts w:ascii="Calibri" w:hAnsi="Calibri" w:cs="Calibri" w:eastAsia="Calibri"/>
          <w:color w:val="auto"/>
          <w:spacing w:val="0"/>
          <w:position w:val="0"/>
          <w:sz w:val="24"/>
          <w:shd w:fill="auto" w:val="clear"/>
        </w:rPr>
        <w:t xml:space="preserve">(Suppl 2), pp.S338-S352.</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Lustig, R.H. (2020). Ultra processed Food: Addictive, Toxic, and Ready for Regulation. </w:t>
        <w:tab/>
      </w:r>
      <w:r>
        <w:rPr>
          <w:rFonts w:ascii="Calibri" w:hAnsi="Calibri" w:cs="Calibri" w:eastAsia="Calibri"/>
          <w:i/>
          <w:color w:val="auto"/>
          <w:spacing w:val="0"/>
          <w:position w:val="0"/>
          <w:sz w:val="24"/>
          <w:shd w:fill="auto" w:val="clear"/>
        </w:rPr>
        <w:t xml:space="preserve">Nutrients</w:t>
      </w:r>
      <w:r>
        <w:rPr>
          <w:rFonts w:ascii="Calibri" w:hAnsi="Calibri" w:cs="Calibri" w:eastAsia="Calibri"/>
          <w:color w:val="auto"/>
          <w:spacing w:val="0"/>
          <w:position w:val="0"/>
          <w:sz w:val="24"/>
          <w:shd w:fill="auto" w:val="clear"/>
        </w:rPr>
        <w:t xml:space="preserve">, [online] 12(11), p.3401. doi:https://doi.org/10.3390/nu12113401.</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Kirkbride, J.B., Anglin, D.M., Colman, I., Dykxhoorn, J., Jones, P.B., Patalay, P., Pitman, A., Soneson, E., Steare, T., Wright, T. and Griffiths, S.L., 2024. The social determinants of mental health and disorder: evidence, prevention and recommendations. World psychiatry, 23(1), pp.58-90.</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Mastorci, F., Lazzeri, M.F.L., Vassalle, C. and Pingitore, A., 2024. The transition from childhood to adolescence: Between health and vulnerability. Children, 11(8), p.989.</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Meherali, S., Punjani, N., Louie-Poon, S., Abdul Rahim, K., Das, J.K., Salam, R.A. and Lassi, Z.S., 2021. Mental health of children and adolescents amidst COVID-19 and past pandemics: a rapid systematic review.</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NHS Health Check Best practice guidance. (2017). Available at: </w:t>
      </w:r>
      <w:hyperlink xmlns:r="http://schemas.openxmlformats.org/officeDocument/2006/relationships" r:id="docRId2">
        <w:r>
          <w:rPr>
            <w:rFonts w:ascii="Calibri" w:hAnsi="Calibri" w:cs="Calibri" w:eastAsia="Calibri"/>
            <w:color w:val="0000FF"/>
            <w:spacing w:val="0"/>
            <w:position w:val="0"/>
            <w:sz w:val="24"/>
            <w:u w:val="single"/>
            <w:shd w:fill="auto" w:val="clear"/>
          </w:rPr>
          <w:t xml:space="preserve">https://www.england.nhs.uk/london/wp-content/uploads/sites/8/2019/08/2.1.7-NHS-Health-Check-Best-Practice-Guidance-2017.pdf</w:t>
        </w:r>
      </w:hyperlink>
      <w:r>
        <w:rPr>
          <w:rFonts w:ascii="Calibri" w:hAnsi="Calibri" w:cs="Calibri" w:eastAsia="Calibri"/>
          <w:color w:val="auto"/>
          <w:spacing w:val="0"/>
          <w:position w:val="0"/>
          <w:sz w:val="24"/>
          <w:shd w:fill="auto" w:val="clear"/>
        </w:rPr>
        <w:t xml:space="preserve">.</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Smith, K.E. and Pollak, S.D. (2020). Early Life Stress and development: Potential Mechanisms for Adverse Outcomes. Journal of Neurodevelopmental Disorders, [online] 12(1). doi: </w:t>
      </w:r>
      <w:hyperlink xmlns:r="http://schemas.openxmlformats.org/officeDocument/2006/relationships" r:id="docRId3">
        <w:r>
          <w:rPr>
            <w:rFonts w:ascii="Calibri" w:hAnsi="Calibri" w:cs="Calibri" w:eastAsia="Calibri"/>
            <w:color w:val="0000FF"/>
            <w:spacing w:val="0"/>
            <w:position w:val="0"/>
            <w:sz w:val="24"/>
            <w:u w:val="single"/>
            <w:shd w:fill="auto" w:val="clear"/>
          </w:rPr>
          <w:t xml:space="preserve">https://doi.org/10.1186/s11689-020-09337-y</w:t>
        </w:r>
      </w:hyperlink>
      <w:r>
        <w:rPr>
          <w:rFonts w:ascii="Calibri" w:hAnsi="Calibri" w:cs="Calibri" w:eastAsia="Calibri"/>
          <w:color w:val="auto"/>
          <w:spacing w:val="0"/>
          <w:position w:val="0"/>
          <w:sz w:val="24"/>
          <w:shd w:fill="auto" w:val="clear"/>
        </w:rPr>
        <w:t xml:space="preserve">.</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Shukla, D. (2022). Mental healthcare for marginalized groups: Barriers to access. [online] Medical News Today. Available at: </w:t>
      </w:r>
      <w:hyperlink xmlns:r="http://schemas.openxmlformats.org/officeDocument/2006/relationships" r:id="docRId4">
        <w:r>
          <w:rPr>
            <w:rFonts w:ascii="Calibri" w:hAnsi="Calibri" w:cs="Calibri" w:eastAsia="Calibri"/>
            <w:color w:val="0000FF"/>
            <w:spacing w:val="0"/>
            <w:position w:val="0"/>
            <w:sz w:val="24"/>
            <w:u w:val="single"/>
            <w:shd w:fill="auto" w:val="clear"/>
          </w:rPr>
          <w:t xml:space="preserve">https://www.medicalnewstoday.com/articles/why-mental-healthcare-is-less-accessible-to-marginalized-communities</w:t>
        </w:r>
      </w:hyperlink>
      <w:r>
        <w:rPr>
          <w:rFonts w:ascii="Calibri" w:hAnsi="Calibri" w:cs="Calibri" w:eastAsia="Calibri"/>
          <w:color w:val="auto"/>
          <w:spacing w:val="0"/>
          <w:position w:val="0"/>
          <w:sz w:val="24"/>
          <w:shd w:fill="auto" w:val="clear"/>
        </w:rPr>
        <w:t xml:space="preserve">.</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Smoking and Tobacco Use. (2024). Cigarette Smoking. [online] Available at: </w:t>
      </w:r>
      <w:hyperlink xmlns:r="http://schemas.openxmlformats.org/officeDocument/2006/relationships" r:id="docRId5">
        <w:r>
          <w:rPr>
            <w:rFonts w:ascii="Calibri" w:hAnsi="Calibri" w:cs="Calibri" w:eastAsia="Calibri"/>
            <w:color w:val="0000FF"/>
            <w:spacing w:val="0"/>
            <w:position w:val="0"/>
            <w:sz w:val="24"/>
            <w:u w:val="single"/>
            <w:shd w:fill="auto" w:val="clear"/>
          </w:rPr>
          <w:t xml:space="preserve">https://www.cdc.gov/tobacco/about/index.html</w:t>
        </w:r>
      </w:hyperlink>
      <w:r>
        <w:rPr>
          <w:rFonts w:ascii="Calibri" w:hAnsi="Calibri" w:cs="Calibri" w:eastAsia="Calibri"/>
          <w:color w:val="auto"/>
          <w:spacing w:val="0"/>
          <w:position w:val="0"/>
          <w:sz w:val="24"/>
          <w:shd w:fill="auto" w:val="clear"/>
        </w:rPr>
        <w:t xml:space="preserve"> [Accessed 5 May 2025].</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Webster, E. (2022). The Impact of Adverse Childhood Experiences on Health and Development in Young Children. Global Pediatric Health, [online] 9(9). doi: </w:t>
      </w:r>
      <w:hyperlink xmlns:r="http://schemas.openxmlformats.org/officeDocument/2006/relationships" r:id="docRId6">
        <w:r>
          <w:rPr>
            <w:rFonts w:ascii="Calibri" w:hAnsi="Calibri" w:cs="Calibri" w:eastAsia="Calibri"/>
            <w:color w:val="0000FF"/>
            <w:spacing w:val="0"/>
            <w:position w:val="0"/>
            <w:sz w:val="24"/>
            <w:u w:val="single"/>
            <w:shd w:fill="auto" w:val="clear"/>
          </w:rPr>
          <w:t xml:space="preserve">https://doi.org/10.1177/2333794x221078708</w:t>
        </w:r>
      </w:hyperlink>
      <w:r>
        <w:rPr>
          <w:rFonts w:ascii="Calibri" w:hAnsi="Calibri" w:cs="Calibri" w:eastAsia="Calibri"/>
          <w:color w:val="auto"/>
          <w:spacing w:val="0"/>
          <w:position w:val="0"/>
          <w:sz w:val="24"/>
          <w:shd w:fill="auto" w:val="clear"/>
        </w:rPr>
        <w:t xml:space="preserve">.</w:t>
      </w:r>
    </w:p>
    <w:p>
      <w:pPr>
        <w:spacing w:before="0" w:after="0" w:line="480"/>
        <w:ind w:right="0" w:left="720" w:hanging="72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Whitman, A., De Lew, N., Chappel, A., Aysola, V., Zuckerman, R. and Sommers, B. (2022). Addressing Social Determinants of Health: Examples of Successful Evidence-Based Strategies and Current Federal Efforts. [online] Available at: </w:t>
      </w:r>
      <w:hyperlink xmlns:r="http://schemas.openxmlformats.org/officeDocument/2006/relationships" r:id="docRId7">
        <w:r>
          <w:rPr>
            <w:rFonts w:ascii="Calibri" w:hAnsi="Calibri" w:cs="Calibri" w:eastAsia="Calibri"/>
            <w:color w:val="0000FF"/>
            <w:spacing w:val="0"/>
            <w:position w:val="0"/>
            <w:sz w:val="24"/>
            <w:u w:val="single"/>
            <w:shd w:fill="auto" w:val="clear"/>
          </w:rPr>
          <w:t xml:space="preserve">https://aspe.hhs.gov/sites/default/files/documents/e2b650cd64cf84aae8ff0fae7474af82/SDOH-Evidence-Review.pdf</w:t>
        </w:r>
      </w:hyperlink>
      <w:r>
        <w:rPr>
          <w:rFonts w:ascii="Calibri" w:hAnsi="Calibri" w:cs="Calibri" w:eastAsia="Calibri"/>
          <w:color w:val="auto"/>
          <w:spacing w:val="0"/>
          <w:position w:val="0"/>
          <w:sz w:val="24"/>
          <w:shd w:fill="auto" w:val="clear"/>
        </w:rPr>
        <w:t xml:space="preserve">.</w:t>
      </w:r>
    </w:p>
    <w:p>
      <w:pPr>
        <w:spacing w:before="0" w:after="0" w:line="480"/>
        <w:ind w:right="0" w:left="0" w:firstLine="0"/>
        <w:jc w:val="left"/>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11">
    <w:abstractNumId w:val="12"/>
  </w:num>
  <w:num w:numId="13">
    <w:abstractNumId w:val="6"/>
  </w:num>
  <w:num w:numId="1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186/s11689-020-09337-y" Id="docRId3" Type="http://schemas.openxmlformats.org/officeDocument/2006/relationships/hyperlink" /><Relationship TargetMode="External" Target="https://aspe.hhs.gov/sites/default/files/documents/e2b650cd64cf84aae8ff0fae7474af82/SDOH-Evidence-Review.pdf" Id="docRId7" Type="http://schemas.openxmlformats.org/officeDocument/2006/relationships/hyperlink" /><Relationship TargetMode="External" Target="https://www.ncbi.nlm.nih.gov/books/NBK402020" Id="docRId0" Type="http://schemas.openxmlformats.org/officeDocument/2006/relationships/hyperlink" /><Relationship TargetMode="External" Target="https://www.england.nhs.uk/london/wp-content/uploads/sites/8/2019/08/2.1.7-NHS-Health-Check-Best-Practice-Guidance-2017.pdf" Id="docRId2" Type="http://schemas.openxmlformats.org/officeDocument/2006/relationships/hyperlink" /><Relationship TargetMode="External" Target="https://www.medicalnewstoday.com/articles/why-mental-healthcare-is-less-accessible-to-marginalized-communities" Id="docRId4" Type="http://schemas.openxmlformats.org/officeDocument/2006/relationships/hyperlink" /><Relationship TargetMode="External" Target="https://doi.org/10.1177/2333794x221078708" Id="docRId6" Type="http://schemas.openxmlformats.org/officeDocument/2006/relationships/hyperlink" /><Relationship Target="numbering.xml" Id="docRId8" Type="http://schemas.openxmlformats.org/officeDocument/2006/relationships/numbering" /><Relationship TargetMode="External" Target="https://www.ncbi.nlm.nih.gov/books/NBK19961/" Id="docRId1" Type="http://schemas.openxmlformats.org/officeDocument/2006/relationships/hyperlink" /><Relationship TargetMode="External" Target="https://www.cdc.gov/tobacco/about/index.html" Id="docRId5" Type="http://schemas.openxmlformats.org/officeDocument/2006/relationships/hyperlink" /><Relationship Target="styles.xml" Id="docRId9" Type="http://schemas.openxmlformats.org/officeDocument/2006/relationships/styles" /></Relationships>
</file>