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1FF11" w14:textId="119A7E3D" w:rsidR="005F102E" w:rsidRPr="00553244" w:rsidRDefault="005F102E" w:rsidP="00A767A1">
      <w:pPr>
        <w:spacing w:after="0" w:line="276" w:lineRule="auto"/>
        <w:ind w:right="531"/>
        <w:rPr>
          <w:rFonts w:ascii="Arial" w:eastAsia="Times New Roman" w:hAnsi="Arial" w:cs="Arial"/>
          <w:b/>
          <w:bCs/>
          <w:u w:val="single"/>
          <w:lang w:eastAsia="en-GB"/>
        </w:rPr>
      </w:pPr>
      <w:r w:rsidRPr="00553244">
        <w:rPr>
          <w:rFonts w:ascii="Arial" w:eastAsia="Times New Roman" w:hAnsi="Arial" w:cs="Arial"/>
          <w:b/>
          <w:bCs/>
          <w:u w:val="single"/>
          <w:lang w:eastAsia="en-GB"/>
        </w:rPr>
        <w:t xml:space="preserve">Corey Miller </w:t>
      </w:r>
      <w:r w:rsidR="00FB7874" w:rsidRPr="00553244">
        <w:rPr>
          <w:rFonts w:ascii="Arial" w:eastAsia="Times New Roman" w:hAnsi="Arial" w:cs="Arial"/>
          <w:b/>
          <w:bCs/>
          <w:u w:val="single"/>
          <w:lang w:eastAsia="en-GB"/>
        </w:rPr>
        <w:t>–</w:t>
      </w:r>
      <w:r w:rsidRPr="00553244">
        <w:rPr>
          <w:rFonts w:ascii="Arial" w:eastAsia="Times New Roman" w:hAnsi="Arial" w:cs="Arial"/>
          <w:b/>
          <w:bCs/>
          <w:u w:val="single"/>
          <w:lang w:eastAsia="en-GB"/>
        </w:rPr>
        <w:t xml:space="preserve"> 2245849</w:t>
      </w:r>
    </w:p>
    <w:p w14:paraId="52030E8B" w14:textId="77777777" w:rsidR="00FB7874" w:rsidRPr="00553244" w:rsidRDefault="00FB7874" w:rsidP="00A767A1">
      <w:pPr>
        <w:spacing w:after="0" w:line="276" w:lineRule="auto"/>
        <w:ind w:right="531"/>
        <w:rPr>
          <w:rFonts w:ascii="Arial" w:eastAsia="Times New Roman" w:hAnsi="Arial" w:cs="Arial"/>
          <w:b/>
          <w:bCs/>
          <w:u w:val="single"/>
          <w:lang w:eastAsia="en-GB"/>
        </w:rPr>
      </w:pPr>
    </w:p>
    <w:p w14:paraId="2CAC45C2" w14:textId="59A6373D" w:rsidR="00A767A1" w:rsidRPr="00553244" w:rsidRDefault="00000571" w:rsidP="00A767A1">
      <w:pPr>
        <w:spacing w:after="0" w:line="276" w:lineRule="auto"/>
        <w:ind w:right="531"/>
        <w:rPr>
          <w:rFonts w:ascii="Arial" w:eastAsia="Times New Roman" w:hAnsi="Arial" w:cs="Arial"/>
          <w:b/>
          <w:bCs/>
          <w:u w:val="single"/>
          <w:lang w:eastAsia="en-GB"/>
        </w:rPr>
      </w:pPr>
      <w:r w:rsidRPr="00553244">
        <w:rPr>
          <w:rFonts w:ascii="Arial" w:eastAsia="Times New Roman" w:hAnsi="Arial" w:cs="Arial"/>
          <w:b/>
          <w:bCs/>
          <w:u w:val="single"/>
          <w:lang w:eastAsia="en-GB"/>
        </w:rPr>
        <w:t xml:space="preserve">Essay 1 </w:t>
      </w:r>
    </w:p>
    <w:p w14:paraId="3081B3AB" w14:textId="77777777" w:rsidR="00346A42" w:rsidRPr="00553244" w:rsidRDefault="00346A42" w:rsidP="00A767A1">
      <w:pPr>
        <w:spacing w:after="0" w:line="276" w:lineRule="auto"/>
        <w:ind w:right="531"/>
        <w:rPr>
          <w:rFonts w:ascii="Arial" w:eastAsia="Times New Roman" w:hAnsi="Arial" w:cs="Arial"/>
          <w:lang w:eastAsia="en-GB"/>
        </w:rPr>
      </w:pPr>
    </w:p>
    <w:p w14:paraId="5877D215" w14:textId="26019DA6" w:rsidR="00A767A1" w:rsidRPr="00553244" w:rsidRDefault="00A767A1" w:rsidP="00A767A1">
      <w:pPr>
        <w:spacing w:after="0" w:line="240" w:lineRule="auto"/>
        <w:rPr>
          <w:rFonts w:ascii="Arial" w:eastAsia="Times New Roman" w:hAnsi="Arial" w:cs="Arial"/>
          <w:lang w:eastAsia="en-GB"/>
        </w:rPr>
      </w:pPr>
      <w:r w:rsidRPr="00553244">
        <w:rPr>
          <w:rFonts w:ascii="Arial" w:eastAsia="Times New Roman" w:hAnsi="Arial" w:cs="Arial"/>
          <w:lang w:eastAsia="en-GB"/>
        </w:rPr>
        <w:t xml:space="preserve">This essay will address the policies and practices employed by police officers to curtail wrongdoing and malpractice, providing a fair and impartial response that identifies the profession's advantages and disadvantages as well as how they could boost public trust in law enforcement. This essay will </w:t>
      </w:r>
      <w:r w:rsidR="00877E82" w:rsidRPr="00553244">
        <w:rPr>
          <w:rFonts w:ascii="Arial" w:eastAsia="Times New Roman" w:hAnsi="Arial" w:cs="Arial"/>
          <w:lang w:eastAsia="en-GB"/>
        </w:rPr>
        <w:t>con</w:t>
      </w:r>
      <w:r w:rsidR="001E0F7E" w:rsidRPr="00553244">
        <w:rPr>
          <w:rFonts w:ascii="Arial" w:eastAsia="Times New Roman" w:hAnsi="Arial" w:cs="Arial"/>
          <w:lang w:eastAsia="en-GB"/>
        </w:rPr>
        <w:t>cent</w:t>
      </w:r>
      <w:r w:rsidR="00877E82" w:rsidRPr="00553244">
        <w:rPr>
          <w:rFonts w:ascii="Arial" w:eastAsia="Times New Roman" w:hAnsi="Arial" w:cs="Arial"/>
          <w:lang w:eastAsia="en-GB"/>
        </w:rPr>
        <w:t>rate</w:t>
      </w:r>
      <w:r w:rsidRPr="00553244">
        <w:rPr>
          <w:rFonts w:ascii="Arial" w:eastAsia="Times New Roman" w:hAnsi="Arial" w:cs="Arial"/>
          <w:lang w:eastAsia="en-GB"/>
        </w:rPr>
        <w:t xml:space="preserve"> on the following two procedures, </w:t>
      </w:r>
      <w:r w:rsidR="00877E82" w:rsidRPr="00553244">
        <w:rPr>
          <w:rFonts w:ascii="Arial" w:eastAsia="Times New Roman" w:hAnsi="Arial" w:cs="Arial"/>
          <w:lang w:eastAsia="en-GB"/>
        </w:rPr>
        <w:t xml:space="preserve">Section one of the </w:t>
      </w:r>
      <w:r w:rsidRPr="00553244">
        <w:rPr>
          <w:rFonts w:ascii="Arial" w:eastAsia="Times New Roman" w:hAnsi="Arial" w:cs="Arial"/>
          <w:lang w:eastAsia="en-GB"/>
        </w:rPr>
        <w:t>Police and Criminal Evidence Act 1984 and the use of Body-worn video</w:t>
      </w:r>
      <w:r w:rsidR="00BB342C" w:rsidRPr="00553244">
        <w:rPr>
          <w:rFonts w:ascii="Arial" w:eastAsia="Times New Roman" w:hAnsi="Arial" w:cs="Arial"/>
          <w:lang w:eastAsia="en-GB"/>
        </w:rPr>
        <w:t xml:space="preserve"> and how the IOPC plays a crucial role in ensuring accountability within police. </w:t>
      </w:r>
    </w:p>
    <w:p w14:paraId="2CEA3B19" w14:textId="77777777" w:rsidR="00D457C1" w:rsidRPr="00553244" w:rsidRDefault="00D457C1" w:rsidP="00A767A1">
      <w:pPr>
        <w:spacing w:after="0" w:line="240" w:lineRule="auto"/>
        <w:rPr>
          <w:rFonts w:ascii="Arial" w:eastAsia="Times New Roman" w:hAnsi="Arial" w:cs="Arial"/>
          <w:lang w:eastAsia="en-GB"/>
        </w:rPr>
      </w:pPr>
    </w:p>
    <w:p w14:paraId="1D61DB1D" w14:textId="1EC26ABE" w:rsidR="00A767A1" w:rsidRPr="00553244" w:rsidRDefault="00877E82" w:rsidP="00A767A1">
      <w:pPr>
        <w:spacing w:after="0" w:line="240" w:lineRule="auto"/>
        <w:rPr>
          <w:rFonts w:ascii="Arial" w:hAnsi="Arial" w:cs="Arial"/>
        </w:rPr>
      </w:pPr>
      <w:r w:rsidRPr="00553244">
        <w:rPr>
          <w:rFonts w:ascii="Arial" w:eastAsia="Times New Roman" w:hAnsi="Arial" w:cs="Arial"/>
          <w:lang w:eastAsia="en-GB"/>
        </w:rPr>
        <w:t xml:space="preserve">In accordance with Section One of the Police and Criminal Evidence Act of 1984, officers are permitted to search people in public areas for </w:t>
      </w:r>
      <w:r w:rsidRPr="00553244">
        <w:rPr>
          <w:rFonts w:ascii="Arial" w:hAnsi="Arial" w:cs="Arial"/>
        </w:rPr>
        <w:t xml:space="preserve">stolen or prohibited articles, prohibited fireworks or bladed or sharply pointed articles. Many people argue that </w:t>
      </w:r>
      <w:r w:rsidR="00970334" w:rsidRPr="00553244">
        <w:rPr>
          <w:rFonts w:ascii="Arial" w:hAnsi="Arial" w:cs="Arial"/>
        </w:rPr>
        <w:t xml:space="preserve">this power under PACE is used to reduce misconduct and increase public confidence. However, this power is not without its critics which can highlight potential malpractice and abuse of power within the police and reduce the members of public trust. </w:t>
      </w:r>
    </w:p>
    <w:p w14:paraId="1A8790A1" w14:textId="77777777" w:rsidR="00970334" w:rsidRPr="00553244" w:rsidRDefault="00970334" w:rsidP="00A767A1">
      <w:pPr>
        <w:spacing w:after="0" w:line="240" w:lineRule="auto"/>
        <w:rPr>
          <w:rFonts w:ascii="Arial" w:hAnsi="Arial" w:cs="Arial"/>
        </w:rPr>
      </w:pPr>
    </w:p>
    <w:p w14:paraId="1EE57F7F" w14:textId="7A368098" w:rsidR="00376F20" w:rsidRPr="00553244" w:rsidRDefault="00376F20" w:rsidP="006A33D3">
      <w:pPr>
        <w:rPr>
          <w:rFonts w:ascii="Arial" w:eastAsia="Times New Roman" w:hAnsi="Arial" w:cs="Arial"/>
          <w:lang w:eastAsia="en-GB"/>
        </w:rPr>
      </w:pPr>
      <w:r w:rsidRPr="00553244">
        <w:rPr>
          <w:rFonts w:ascii="Arial" w:eastAsia="Times New Roman" w:hAnsi="Arial" w:cs="Arial"/>
          <w:lang w:eastAsia="en-GB"/>
        </w:rPr>
        <w:t>Greater accountability and professionalism are two of the main justifications in favour of stop and search power. Officers must follow certain protocols and guidelines when conducting stop and search procedures in order to comply with legal requirements. Due to the possibility of scrutiny and resolution for protocol misconduct, this may mitigate discriminatory practices. (</w:t>
      </w:r>
      <w:proofErr w:type="spellStart"/>
      <w:r w:rsidRPr="00553244">
        <w:rPr>
          <w:rFonts w:ascii="Arial" w:eastAsia="Times New Roman" w:hAnsi="Arial" w:cs="Arial"/>
          <w:lang w:eastAsia="en-GB"/>
        </w:rPr>
        <w:t>Delsol</w:t>
      </w:r>
      <w:proofErr w:type="spellEnd"/>
      <w:r w:rsidRPr="00553244">
        <w:rPr>
          <w:rFonts w:ascii="Arial" w:eastAsia="Times New Roman" w:hAnsi="Arial" w:cs="Arial"/>
          <w:lang w:eastAsia="en-GB"/>
        </w:rPr>
        <w:t xml:space="preserve"> &amp; Shiner, 2015). The public can be reassured that the police are actively trying to keep the community safe by seeing stop and search operations in action. Because of this visibility, the public feels that proactive steps are being taken to avoid crime, which boosts public trust (Bradford, 201</w:t>
      </w:r>
      <w:r w:rsidR="006A33D3" w:rsidRPr="00553244">
        <w:rPr>
          <w:rFonts w:ascii="Arial" w:eastAsia="Times New Roman" w:hAnsi="Arial" w:cs="Arial"/>
          <w:lang w:eastAsia="en-GB"/>
        </w:rPr>
        <w:t>4</w:t>
      </w:r>
      <w:r w:rsidRPr="00553244">
        <w:rPr>
          <w:rFonts w:ascii="Arial" w:eastAsia="Times New Roman" w:hAnsi="Arial" w:cs="Arial"/>
          <w:lang w:eastAsia="en-GB"/>
        </w:rPr>
        <w:t>)</w:t>
      </w:r>
      <w:r w:rsidR="00073A57" w:rsidRPr="00553244">
        <w:rPr>
          <w:rFonts w:ascii="Arial" w:eastAsia="Times New Roman" w:hAnsi="Arial" w:cs="Arial"/>
          <w:lang w:eastAsia="en-GB"/>
        </w:rPr>
        <w:t xml:space="preserve">. Any biases in ways that they executed their stop and search operations can be found and addressed with the aid of the data collection and analysis. Police officers can enhance public view of police impartiality and fairness by monitoring stop and search procedures to make sure their powers are applied fairly (Bowling &amp; Phillips, 2007). </w:t>
      </w:r>
    </w:p>
    <w:p w14:paraId="00AC97E1" w14:textId="0A5BA1C5" w:rsidR="00376F20" w:rsidRPr="00553244" w:rsidRDefault="00BC35F9" w:rsidP="00376F20">
      <w:pPr>
        <w:spacing w:after="0" w:line="240" w:lineRule="auto"/>
        <w:rPr>
          <w:rFonts w:ascii="Arial" w:eastAsia="Times New Roman" w:hAnsi="Arial" w:cs="Arial"/>
          <w:lang w:eastAsia="en-GB"/>
        </w:rPr>
      </w:pPr>
      <w:r w:rsidRPr="00553244">
        <w:rPr>
          <w:rFonts w:ascii="Arial" w:eastAsia="Times New Roman" w:hAnsi="Arial" w:cs="Arial"/>
          <w:lang w:eastAsia="en-GB"/>
        </w:rPr>
        <w:t>Although there are policies regarding stops and searches, there remains a chance that police will misuse their powers. Research has demonstrated that these actions disproportionately affect minority populations, giving rise to claims of discrimination and racial profiling (Eastwood,</w:t>
      </w:r>
      <w:r w:rsidR="001330B7" w:rsidRPr="00553244">
        <w:rPr>
          <w:rFonts w:ascii="Arial" w:eastAsia="Times New Roman" w:hAnsi="Arial" w:cs="Arial"/>
          <w:lang w:eastAsia="en-GB"/>
        </w:rPr>
        <w:t xml:space="preserve"> N. Shiner, M. and Bear, D.</w:t>
      </w:r>
      <w:r w:rsidRPr="00553244">
        <w:rPr>
          <w:rFonts w:ascii="Arial" w:eastAsia="Times New Roman" w:hAnsi="Arial" w:cs="Arial"/>
          <w:lang w:eastAsia="en-GB"/>
        </w:rPr>
        <w:t xml:space="preserve"> 2013).  </w:t>
      </w:r>
      <w:r w:rsidR="0073297E" w:rsidRPr="00553244">
        <w:rPr>
          <w:rFonts w:ascii="Arial" w:eastAsia="Times New Roman" w:hAnsi="Arial" w:cs="Arial"/>
          <w:lang w:eastAsia="en-GB"/>
        </w:rPr>
        <w:t>The frequent use of stop and search can put a strain on the relationships with the police and the community. If individuals feel that that they are being harassed or unfairly treated this can lead to resentment and a lack of cooperation and trust with police officers. This can adversely affect the relationship between the police and members of the public (Quinton,</w:t>
      </w:r>
      <w:r w:rsidR="001330B7" w:rsidRPr="00553244">
        <w:rPr>
          <w:rFonts w:ascii="Arial" w:eastAsia="Times New Roman" w:hAnsi="Arial" w:cs="Arial"/>
          <w:lang w:eastAsia="en-GB"/>
        </w:rPr>
        <w:t xml:space="preserve"> P. Bland, N. and Miller, J.</w:t>
      </w:r>
      <w:r w:rsidR="0073297E" w:rsidRPr="00553244">
        <w:rPr>
          <w:rFonts w:ascii="Arial" w:eastAsia="Times New Roman" w:hAnsi="Arial" w:cs="Arial"/>
          <w:lang w:eastAsia="en-GB"/>
        </w:rPr>
        <w:t xml:space="preserve"> 2000) </w:t>
      </w:r>
    </w:p>
    <w:p w14:paraId="2E84CEDA" w14:textId="77777777" w:rsidR="00A767A1" w:rsidRPr="00553244" w:rsidRDefault="00A767A1" w:rsidP="00A767A1">
      <w:pPr>
        <w:spacing w:after="0" w:line="240" w:lineRule="auto"/>
        <w:rPr>
          <w:rFonts w:ascii="Arial" w:eastAsia="Times New Roman" w:hAnsi="Arial" w:cs="Arial"/>
          <w:lang w:eastAsia="en-GB"/>
        </w:rPr>
      </w:pPr>
    </w:p>
    <w:p w14:paraId="1D06F251" w14:textId="77777777" w:rsidR="00346A42" w:rsidRPr="00553244" w:rsidRDefault="00346A42" w:rsidP="00346A42">
      <w:pPr>
        <w:spacing w:after="0" w:line="240" w:lineRule="auto"/>
        <w:rPr>
          <w:rFonts w:ascii="Arial" w:eastAsia="Times New Roman" w:hAnsi="Arial" w:cs="Arial"/>
          <w:lang w:eastAsia="en-GB"/>
        </w:rPr>
      </w:pPr>
      <w:r w:rsidRPr="00553244">
        <w:rPr>
          <w:rFonts w:ascii="Arial" w:eastAsia="Times New Roman" w:hAnsi="Arial" w:cs="Arial"/>
          <w:lang w:eastAsia="en-GB"/>
        </w:rPr>
        <w:t xml:space="preserve">Police officers in the United Kingdom have been using body cameras for a number of years. In order to promote more accountability, transparency, and public trust in the police and the public, these cameras are a crucial instrument. Body-worn cameras were introduced in an effort to increase public trust while identifying and reducing police inappropriate behaviour and malpractice. </w:t>
      </w:r>
    </w:p>
    <w:p w14:paraId="603012C4" w14:textId="77777777" w:rsidR="00285105" w:rsidRPr="00553244" w:rsidRDefault="00285105" w:rsidP="00346A42">
      <w:pPr>
        <w:spacing w:after="0" w:line="240" w:lineRule="auto"/>
        <w:rPr>
          <w:rFonts w:ascii="Arial" w:eastAsia="Times New Roman" w:hAnsi="Arial" w:cs="Arial"/>
          <w:lang w:eastAsia="en-GB"/>
        </w:rPr>
      </w:pPr>
    </w:p>
    <w:p w14:paraId="6A297B81" w14:textId="4845073B" w:rsidR="00E266B0" w:rsidRPr="00553244" w:rsidRDefault="00D067EC" w:rsidP="00E266B0">
      <w:pPr>
        <w:rPr>
          <w:rFonts w:ascii="Arial" w:eastAsia="Times New Roman" w:hAnsi="Arial" w:cs="Arial"/>
          <w:lang w:eastAsia="en-GB"/>
        </w:rPr>
      </w:pPr>
      <w:r w:rsidRPr="00553244">
        <w:rPr>
          <w:rFonts w:ascii="Arial" w:eastAsia="Times New Roman" w:hAnsi="Arial" w:cs="Arial"/>
          <w:lang w:eastAsia="en-GB"/>
        </w:rPr>
        <w:t xml:space="preserve">Body worn cameras offer self -awareness amongst officers and members of the public, leading to more professional behaviour and accountability. According to Ariel, </w:t>
      </w:r>
      <w:proofErr w:type="gramStart"/>
      <w:r w:rsidRPr="00553244">
        <w:rPr>
          <w:rFonts w:ascii="Arial" w:eastAsia="Times New Roman" w:hAnsi="Arial" w:cs="Arial"/>
          <w:lang w:eastAsia="en-GB"/>
        </w:rPr>
        <w:t>Farrar</w:t>
      </w:r>
      <w:proofErr w:type="gramEnd"/>
      <w:r w:rsidRPr="00553244">
        <w:rPr>
          <w:rFonts w:ascii="Arial" w:eastAsia="Times New Roman" w:hAnsi="Arial" w:cs="Arial"/>
          <w:lang w:eastAsia="en-GB"/>
        </w:rPr>
        <w:t xml:space="preserve"> and Sutherland (2015) body-worn cameras have been linked to a 50% decrease in force used and a 90% decrease in complaints. This illustrates how body-worn cameras have the ability to discourage wrongdoing and malpractice. </w:t>
      </w:r>
      <w:r w:rsidR="00E266B0" w:rsidRPr="00553244">
        <w:rPr>
          <w:rFonts w:ascii="Arial" w:eastAsia="Times New Roman" w:hAnsi="Arial" w:cs="Arial"/>
          <w:lang w:eastAsia="en-GB"/>
        </w:rPr>
        <w:t xml:space="preserve">Body-worn cameras encourage transparency, which is crucial for gaining the public's trust. When people feel that police activities are being observed and analysed, it creates a sense of justice and responsibility. A study by Braga, </w:t>
      </w:r>
      <w:proofErr w:type="spellStart"/>
      <w:r w:rsidR="00E266B0" w:rsidRPr="00553244">
        <w:rPr>
          <w:rFonts w:ascii="Arial" w:eastAsia="Times New Roman" w:hAnsi="Arial" w:cs="Arial"/>
          <w:lang w:eastAsia="en-GB"/>
        </w:rPr>
        <w:lastRenderedPageBreak/>
        <w:t>Coldren</w:t>
      </w:r>
      <w:proofErr w:type="spellEnd"/>
      <w:r w:rsidR="00E266B0" w:rsidRPr="00553244">
        <w:rPr>
          <w:rFonts w:ascii="Arial" w:eastAsia="Times New Roman" w:hAnsi="Arial" w:cs="Arial"/>
          <w:lang w:eastAsia="en-GB"/>
        </w:rPr>
        <w:t xml:space="preserve">, Sousa, Rodriguez and </w:t>
      </w:r>
      <w:proofErr w:type="spellStart"/>
      <w:r w:rsidR="00E266B0" w:rsidRPr="00553244">
        <w:rPr>
          <w:rFonts w:ascii="Arial" w:eastAsia="Times New Roman" w:hAnsi="Arial" w:cs="Arial"/>
          <w:lang w:eastAsia="en-GB"/>
        </w:rPr>
        <w:t>Alper</w:t>
      </w:r>
      <w:proofErr w:type="spellEnd"/>
      <w:r w:rsidR="00E266B0" w:rsidRPr="00553244">
        <w:rPr>
          <w:rFonts w:ascii="Arial" w:eastAsia="Times New Roman" w:hAnsi="Arial" w:cs="Arial"/>
          <w:lang w:eastAsia="en-GB"/>
        </w:rPr>
        <w:t xml:space="preserve"> (2018) demonstrates how the adoption of body-worn cameras greatly enhanced the public's view of police legitimacy in those places. </w:t>
      </w:r>
    </w:p>
    <w:p w14:paraId="43167634" w14:textId="060C8445" w:rsidR="00BB342C" w:rsidRPr="00553244" w:rsidRDefault="007271FF" w:rsidP="006A33D3">
      <w:pPr>
        <w:rPr>
          <w:rFonts w:ascii="Arial" w:eastAsia="Times New Roman" w:hAnsi="Arial" w:cs="Arial"/>
          <w:lang w:eastAsia="en-GB"/>
        </w:rPr>
      </w:pPr>
      <w:r w:rsidRPr="00553244">
        <w:rPr>
          <w:rFonts w:ascii="Arial" w:eastAsia="Times New Roman" w:hAnsi="Arial" w:cs="Arial"/>
          <w:lang w:eastAsia="en-GB"/>
        </w:rPr>
        <w:t xml:space="preserve">Although using body-worn cameras has benefits, there are drawbacks and difficulties as well. For both </w:t>
      </w:r>
      <w:r w:rsidR="001E0F7E" w:rsidRPr="00553244">
        <w:rPr>
          <w:rFonts w:ascii="Arial" w:eastAsia="Times New Roman" w:hAnsi="Arial" w:cs="Arial"/>
          <w:lang w:eastAsia="en-GB"/>
        </w:rPr>
        <w:t>police officers</w:t>
      </w:r>
      <w:r w:rsidRPr="00553244">
        <w:rPr>
          <w:rFonts w:ascii="Arial" w:eastAsia="Times New Roman" w:hAnsi="Arial" w:cs="Arial"/>
          <w:lang w:eastAsia="en-GB"/>
        </w:rPr>
        <w:t xml:space="preserve"> and members of the public, the ongoing recording of incidents might give rise to serious privacy concerns. </w:t>
      </w:r>
      <w:r w:rsidR="00E266B0" w:rsidRPr="00553244">
        <w:rPr>
          <w:rFonts w:ascii="Arial" w:eastAsia="Times New Roman" w:hAnsi="Arial" w:cs="Arial"/>
          <w:lang w:eastAsia="en-GB"/>
        </w:rPr>
        <w:t xml:space="preserve">According to Stanley (2015) </w:t>
      </w:r>
      <w:r w:rsidRPr="00553244">
        <w:rPr>
          <w:rFonts w:ascii="Arial" w:eastAsia="Times New Roman" w:hAnsi="Arial" w:cs="Arial"/>
          <w:lang w:eastAsia="en-GB"/>
        </w:rPr>
        <w:t>Sensitive information could be captured or misused, which could result in a violation of someone's privacy rights. The effectiveness of the body-worn camera may potentially be impacted by officers who selectively activate or deactivate their cameras. Taylor (2016) points out that there have been numerous instances of officers failing to activate their body cameras during important occurrences, raising concerns about the consistency and dependability of body camera us</w:t>
      </w:r>
      <w:r w:rsidR="00FF1D9C" w:rsidRPr="00553244">
        <w:rPr>
          <w:rFonts w:ascii="Arial" w:eastAsia="Times New Roman" w:hAnsi="Arial" w:cs="Arial"/>
          <w:lang w:eastAsia="en-GB"/>
        </w:rPr>
        <w:t>e.</w:t>
      </w:r>
    </w:p>
    <w:p w14:paraId="52FDBF7E" w14:textId="528B7D27" w:rsidR="00FF1D9C" w:rsidRPr="00553244" w:rsidRDefault="00BB342C" w:rsidP="006A33D3">
      <w:pPr>
        <w:rPr>
          <w:rFonts w:ascii="Arial" w:eastAsia="Times New Roman" w:hAnsi="Arial" w:cs="Arial"/>
          <w:lang w:eastAsia="en-GB"/>
        </w:rPr>
      </w:pPr>
      <w:r w:rsidRPr="00553244">
        <w:rPr>
          <w:rFonts w:ascii="Arial" w:eastAsia="Times New Roman" w:hAnsi="Arial" w:cs="Arial"/>
          <w:lang w:eastAsia="en-GB"/>
        </w:rPr>
        <w:t xml:space="preserve">The Independent Office for Police Conduct plays a key role withing police force in England and Wales. The IOPC investigates complaints and allegations of misconduct involving members of the police force. Smith, G (2009) emphasises the importance of organisations like the IOPC in making sure that police complaints are treated fairly. On the other hand, these bodies' ability to function impartially is what determines how effective they are. </w:t>
      </w:r>
    </w:p>
    <w:p w14:paraId="0F4B3143" w14:textId="52AD977A" w:rsidR="00FF1D9C" w:rsidRPr="00553244" w:rsidRDefault="00FF1D9C" w:rsidP="00FF1D9C">
      <w:pPr>
        <w:spacing w:after="0" w:line="240" w:lineRule="auto"/>
        <w:rPr>
          <w:rFonts w:ascii="Arial" w:eastAsia="Times New Roman" w:hAnsi="Arial" w:cs="Arial"/>
          <w:lang w:eastAsia="en-GB"/>
        </w:rPr>
      </w:pPr>
      <w:r w:rsidRPr="00553244">
        <w:rPr>
          <w:rFonts w:ascii="Arial" w:eastAsia="Times New Roman" w:hAnsi="Arial" w:cs="Arial"/>
          <w:lang w:eastAsia="en-GB"/>
        </w:rPr>
        <w:t xml:space="preserve">The ability to stop and search someone can be highly helpful in reducing misconduct and improving public trust. Search operations can help create safer neighbourhoods and stronger community ties by guaranteeing accountability and discouraging criminal activity. If these powers are not used responsibly, there is a chance that they may be abused, which could strain the community and reduce the public's trust in their local police officers. </w:t>
      </w:r>
    </w:p>
    <w:p w14:paraId="6FBE3918" w14:textId="691AC1A5" w:rsidR="001A2AE4" w:rsidRPr="00553244" w:rsidRDefault="001A2AE4" w:rsidP="00FF1D9C">
      <w:pPr>
        <w:rPr>
          <w:rFonts w:ascii="Arial" w:eastAsia="Times New Roman" w:hAnsi="Arial" w:cs="Arial"/>
          <w:color w:val="000000" w:themeColor="text1"/>
          <w:lang w:eastAsia="en-GB"/>
        </w:rPr>
      </w:pPr>
      <w:r w:rsidRPr="00553244">
        <w:rPr>
          <w:rFonts w:ascii="Arial" w:eastAsia="Times New Roman" w:hAnsi="Arial" w:cs="Arial"/>
          <w:color w:val="000000" w:themeColor="text1"/>
          <w:lang w:eastAsia="en-GB"/>
        </w:rPr>
        <w:t>A major development in police technology, body-worn cameras have the potential to lower police misconduct and malpractice while also boosting public confidence. The evidence suggests that body-worn cameras appear to be able to promote greater responsibility, improved professional behaviour, and transparency. To fully utilise the body-worn camera, however, issues like privacy concerns and selective activation need to be addressed.</w:t>
      </w:r>
    </w:p>
    <w:p w14:paraId="0030EC6E" w14:textId="0A012896" w:rsidR="00000571" w:rsidRPr="00553244" w:rsidRDefault="00000571" w:rsidP="00FF1D9C">
      <w:pPr>
        <w:rPr>
          <w:rFonts w:ascii="Arial" w:eastAsia="Times New Roman" w:hAnsi="Arial" w:cs="Arial"/>
          <w:b/>
          <w:bCs/>
          <w:color w:val="000000" w:themeColor="text1"/>
          <w:u w:val="single"/>
          <w:lang w:eastAsia="en-GB"/>
        </w:rPr>
      </w:pPr>
      <w:r w:rsidRPr="00553244">
        <w:rPr>
          <w:rFonts w:ascii="Arial" w:eastAsia="Times New Roman" w:hAnsi="Arial" w:cs="Arial"/>
          <w:b/>
          <w:bCs/>
          <w:color w:val="000000" w:themeColor="text1"/>
          <w:u w:val="single"/>
          <w:lang w:eastAsia="en-GB"/>
        </w:rPr>
        <w:t xml:space="preserve">Essay 2 </w:t>
      </w:r>
    </w:p>
    <w:p w14:paraId="0D3FF2D2" w14:textId="68465D46" w:rsidR="00000571" w:rsidRPr="00553244" w:rsidRDefault="00000571" w:rsidP="00000571">
      <w:pPr>
        <w:spacing w:after="0" w:line="240" w:lineRule="auto"/>
        <w:rPr>
          <w:rFonts w:ascii="Arial" w:eastAsia="Times New Roman" w:hAnsi="Arial" w:cs="Arial"/>
          <w:lang w:eastAsia="en-GB"/>
        </w:rPr>
      </w:pPr>
      <w:r w:rsidRPr="00553244">
        <w:rPr>
          <w:rFonts w:ascii="Arial" w:eastAsia="Times New Roman" w:hAnsi="Arial" w:cs="Arial"/>
          <w:lang w:eastAsia="en-GB"/>
        </w:rPr>
        <w:t>This essay will address the</w:t>
      </w:r>
      <w:r w:rsidRPr="00000571">
        <w:rPr>
          <w:rFonts w:ascii="Arial" w:eastAsia="Times New Roman" w:hAnsi="Arial" w:cs="Arial"/>
          <w:lang w:eastAsia="en-GB"/>
        </w:rPr>
        <w:t xml:space="preserve"> </w:t>
      </w:r>
      <w:r w:rsidR="00991731" w:rsidRPr="00553244">
        <w:rPr>
          <w:rFonts w:ascii="Arial" w:eastAsia="Times New Roman" w:hAnsi="Arial" w:cs="Arial"/>
          <w:lang w:eastAsia="en-GB"/>
        </w:rPr>
        <w:t xml:space="preserve">characteristics that make a </w:t>
      </w:r>
      <w:r w:rsidRPr="00000571">
        <w:rPr>
          <w:rFonts w:ascii="Arial" w:eastAsia="Times New Roman" w:hAnsi="Arial" w:cs="Arial"/>
          <w:lang w:eastAsia="en-GB"/>
        </w:rPr>
        <w:t>per</w:t>
      </w:r>
      <w:r w:rsidR="00991731" w:rsidRPr="00553244">
        <w:rPr>
          <w:rFonts w:ascii="Arial" w:eastAsia="Times New Roman" w:hAnsi="Arial" w:cs="Arial"/>
          <w:lang w:eastAsia="en-GB"/>
        </w:rPr>
        <w:t>son vulnerable to exploitation</w:t>
      </w:r>
      <w:r w:rsidRPr="00000571">
        <w:rPr>
          <w:rFonts w:ascii="Arial" w:eastAsia="Times New Roman" w:hAnsi="Arial" w:cs="Arial"/>
          <w:lang w:eastAsia="en-GB"/>
        </w:rPr>
        <w:t xml:space="preserve"> by criminal gangs, with particular attention paid to psychological qualities, family dynamics, socioeconomic considerations, and living conditions. Criminal gangs can and will take advantage of people in a variety of ways depending on their personal, societal, and environmental circumstances. Developing and enhancing successful measures to stop this from happening to such people depends in large part on comprehending and recognising these traits. </w:t>
      </w:r>
    </w:p>
    <w:p w14:paraId="1B9AD002" w14:textId="77777777" w:rsidR="00991731" w:rsidRPr="00553244" w:rsidRDefault="00991731" w:rsidP="00991731">
      <w:pPr>
        <w:spacing w:after="0" w:line="240" w:lineRule="auto"/>
        <w:rPr>
          <w:rFonts w:ascii="Arial" w:eastAsia="Times New Roman" w:hAnsi="Arial" w:cs="Arial"/>
          <w:lang w:eastAsia="en-GB"/>
        </w:rPr>
      </w:pPr>
    </w:p>
    <w:p w14:paraId="31C27121" w14:textId="77777777" w:rsidR="00991731" w:rsidRPr="00553244" w:rsidRDefault="00991731" w:rsidP="00991731">
      <w:pPr>
        <w:rPr>
          <w:rFonts w:ascii="Arial" w:eastAsia="Times New Roman" w:hAnsi="Arial" w:cs="Arial"/>
          <w:lang w:eastAsia="en-GB"/>
        </w:rPr>
      </w:pPr>
      <w:r w:rsidRPr="00991731">
        <w:rPr>
          <w:rFonts w:ascii="Arial" w:eastAsia="Times New Roman" w:hAnsi="Arial" w:cs="Arial"/>
          <w:lang w:eastAsia="en-GB"/>
        </w:rPr>
        <w:t xml:space="preserve">People from low-income origins are particularly vulnerable to being taken advantage of. Because poverty reduces chances for employment, it becomes easier for gangs to attract new members of the neighbourhood. Economic depravity, according to Decker and Van Winkle (1996), drives young individuals to join gangs in search of financial support, social mobility, and gain. The temptation of rapid financial gain sometimes outweighs the dangers of becoming involved in a gang. </w:t>
      </w:r>
      <w:r w:rsidRPr="00553244">
        <w:rPr>
          <w:rFonts w:ascii="Arial" w:eastAsia="Times New Roman" w:hAnsi="Arial" w:cs="Arial"/>
          <w:lang w:eastAsia="en-GB"/>
        </w:rPr>
        <w:t xml:space="preserve">There is a strong correlation between gang affiliation and engagement and educational failure as well as low school engagement. Thornberry (2003) discovered a high correlation between gang involvement and subpar academic achievement as well as truancy. Schools in low-income communities frequently lack the funding necessary to provide at-risk children with the necessary support, which raises dropout rates and makes them more vulnerable to gang recruitment. </w:t>
      </w:r>
    </w:p>
    <w:p w14:paraId="6D4E089A" w14:textId="77777777" w:rsidR="00F712A1" w:rsidRPr="00553244" w:rsidRDefault="0017248A" w:rsidP="00F712A1">
      <w:pPr>
        <w:rPr>
          <w:rFonts w:ascii="Arial" w:eastAsia="Times New Roman" w:hAnsi="Arial" w:cs="Arial"/>
          <w:lang w:eastAsia="en-GB"/>
        </w:rPr>
      </w:pPr>
      <w:r w:rsidRPr="0017248A">
        <w:rPr>
          <w:rFonts w:ascii="Arial" w:eastAsia="Times New Roman" w:hAnsi="Arial" w:cs="Arial"/>
          <w:lang w:eastAsia="en-GB"/>
        </w:rPr>
        <w:t xml:space="preserve">People who lack a sense of self-worth and identity may be more vulnerable to the influence of gangs. For people who want for a feeling of identity and belonging, gangs frequently offer </w:t>
      </w:r>
      <w:r w:rsidRPr="0017248A">
        <w:rPr>
          <w:rFonts w:ascii="Arial" w:eastAsia="Times New Roman" w:hAnsi="Arial" w:cs="Arial"/>
          <w:lang w:eastAsia="en-GB"/>
        </w:rPr>
        <w:lastRenderedPageBreak/>
        <w:t>it. According to Vigil (1988), people who feel excluded or alienated from society at large can find a sense of purpose and a substitute family structure in gangs</w:t>
      </w:r>
      <w:r w:rsidR="00F712A1" w:rsidRPr="00553244">
        <w:rPr>
          <w:rFonts w:ascii="Arial" w:eastAsia="Times New Roman" w:hAnsi="Arial" w:cs="Arial"/>
          <w:lang w:eastAsia="en-GB"/>
        </w:rPr>
        <w:t xml:space="preserve">. </w:t>
      </w:r>
      <w:r w:rsidR="00F712A1" w:rsidRPr="00553244">
        <w:rPr>
          <w:rFonts w:ascii="Arial" w:eastAsia="Times New Roman" w:hAnsi="Arial" w:cs="Arial"/>
          <w:lang w:eastAsia="en-GB"/>
        </w:rPr>
        <w:t xml:space="preserve">Physical characteristics like impulsivity and a willingness to take risks are also linked to involvement in gangs. According to Lahey (1999), those who exhibit those characteristics are more likely to participate in criminal activity and be drawn to the thrill and prestige that gang life is thought to provide. </w:t>
      </w:r>
    </w:p>
    <w:p w14:paraId="55F771DB" w14:textId="30EEB5C0" w:rsidR="001B1D2B" w:rsidRPr="00553244" w:rsidRDefault="001B1D2B" w:rsidP="001B1D2B">
      <w:pPr>
        <w:rPr>
          <w:rFonts w:ascii="Arial" w:eastAsia="Times New Roman" w:hAnsi="Arial" w:cs="Arial"/>
          <w:lang w:eastAsia="en-GB"/>
        </w:rPr>
      </w:pPr>
      <w:r w:rsidRPr="001B1D2B">
        <w:rPr>
          <w:rFonts w:ascii="Arial" w:eastAsia="Times New Roman" w:hAnsi="Arial" w:cs="Arial"/>
          <w:lang w:eastAsia="en-GB"/>
        </w:rPr>
        <w:t xml:space="preserve">Family dynamics and structure can have a significant impact on a person's susceptibility to gang exploitation. According to research by </w:t>
      </w:r>
      <w:proofErr w:type="spellStart"/>
      <w:r w:rsidRPr="001B1D2B">
        <w:rPr>
          <w:rFonts w:ascii="Arial" w:eastAsia="Times New Roman" w:hAnsi="Arial" w:cs="Arial"/>
          <w:lang w:eastAsia="en-GB"/>
        </w:rPr>
        <w:t>Eebensen</w:t>
      </w:r>
      <w:proofErr w:type="spellEnd"/>
      <w:r w:rsidRPr="001B1D2B">
        <w:rPr>
          <w:rFonts w:ascii="Arial" w:eastAsia="Times New Roman" w:hAnsi="Arial" w:cs="Arial"/>
          <w:lang w:eastAsia="en-GB"/>
        </w:rPr>
        <w:t xml:space="preserve"> (2001), there is a considerable positive correlation between family dysfunction and gang involvement. This includes substance addiction, domestic violence, and criminal behaviour inside the family. Many young people who seek guidance and safety from gangs may do so because of a lack of parental supervision and support.</w:t>
      </w:r>
      <w:r w:rsidRPr="00553244">
        <w:rPr>
          <w:rFonts w:ascii="Arial" w:hAnsi="Arial" w:cs="Arial"/>
        </w:rPr>
        <w:t xml:space="preserve"> </w:t>
      </w:r>
      <w:r w:rsidRPr="00553244">
        <w:rPr>
          <w:rFonts w:ascii="Arial" w:eastAsia="Times New Roman" w:hAnsi="Arial" w:cs="Arial"/>
          <w:lang w:eastAsia="en-GB"/>
        </w:rPr>
        <w:t xml:space="preserve">Additionally, there is proof that gang membership is transmitted through </w:t>
      </w:r>
      <w:r w:rsidR="008C585B" w:rsidRPr="00553244">
        <w:rPr>
          <w:rFonts w:ascii="Arial" w:eastAsia="Times New Roman" w:hAnsi="Arial" w:cs="Arial"/>
          <w:lang w:eastAsia="en-GB"/>
        </w:rPr>
        <w:t>association</w:t>
      </w:r>
      <w:r w:rsidRPr="00553244">
        <w:rPr>
          <w:rFonts w:ascii="Arial" w:eastAsia="Times New Roman" w:hAnsi="Arial" w:cs="Arial"/>
          <w:lang w:eastAsia="en-GB"/>
        </w:rPr>
        <w:t xml:space="preserve">. According to </w:t>
      </w:r>
      <w:proofErr w:type="spellStart"/>
      <w:r w:rsidRPr="00553244">
        <w:rPr>
          <w:rFonts w:ascii="Arial" w:eastAsia="Times New Roman" w:hAnsi="Arial" w:cs="Arial"/>
          <w:lang w:eastAsia="en-GB"/>
        </w:rPr>
        <w:t>Pryooz</w:t>
      </w:r>
      <w:proofErr w:type="spellEnd"/>
      <w:r w:rsidRPr="00553244">
        <w:rPr>
          <w:rFonts w:ascii="Arial" w:eastAsia="Times New Roman" w:hAnsi="Arial" w:cs="Arial"/>
          <w:lang w:eastAsia="en-GB"/>
        </w:rPr>
        <w:t xml:space="preserve"> and Decker's (2013) research, children who grow up around gang members or others involved in organised crime are far more likely to become members of gangs themselves. This pattern normalises it within families, making it exceedingly challenging for succeeding generations to escape its impact. </w:t>
      </w:r>
    </w:p>
    <w:p w14:paraId="50EE4379" w14:textId="77777777" w:rsidR="006464A5" w:rsidRPr="00553244" w:rsidRDefault="006464A5" w:rsidP="006464A5">
      <w:pPr>
        <w:rPr>
          <w:rFonts w:ascii="Arial" w:eastAsia="Times New Roman" w:hAnsi="Arial" w:cs="Arial"/>
          <w:lang w:eastAsia="en-GB"/>
        </w:rPr>
      </w:pPr>
      <w:r w:rsidRPr="006464A5">
        <w:rPr>
          <w:rFonts w:ascii="Arial" w:eastAsia="Times New Roman" w:hAnsi="Arial" w:cs="Arial"/>
          <w:lang w:eastAsia="en-GB"/>
        </w:rPr>
        <w:t xml:space="preserve">Living conditions have a big impact on a person's vulnerability to being taken advantage of and involved in gangs. According to Sampson, </w:t>
      </w:r>
      <w:proofErr w:type="spellStart"/>
      <w:r w:rsidRPr="006464A5">
        <w:rPr>
          <w:rFonts w:ascii="Arial" w:eastAsia="Times New Roman" w:hAnsi="Arial" w:cs="Arial"/>
          <w:lang w:eastAsia="en-GB"/>
        </w:rPr>
        <w:t>Raudenbush</w:t>
      </w:r>
      <w:proofErr w:type="spellEnd"/>
      <w:r w:rsidRPr="006464A5">
        <w:rPr>
          <w:rFonts w:ascii="Arial" w:eastAsia="Times New Roman" w:hAnsi="Arial" w:cs="Arial"/>
          <w:lang w:eastAsia="en-GB"/>
        </w:rPr>
        <w:t xml:space="preserve">, and Earls (1997), neighbourhoods with high rates of unemployment, poverty, and crime create an environment that is conducive to gang activity. It is simpler for gangs to operate and recruit in these places due to the absence of social cohesiveness and group productivity. </w:t>
      </w:r>
      <w:r w:rsidRPr="00553244">
        <w:rPr>
          <w:rFonts w:ascii="Arial" w:eastAsia="Times New Roman" w:hAnsi="Arial" w:cs="Arial"/>
          <w:lang w:eastAsia="en-GB"/>
        </w:rPr>
        <w:t xml:space="preserve">Peer influence is a powerful factor in gang recruitment especially adolescents. </w:t>
      </w:r>
      <w:r w:rsidRPr="00553244">
        <w:rPr>
          <w:rFonts w:ascii="Arial" w:eastAsia="Times New Roman" w:hAnsi="Arial" w:cs="Arial"/>
          <w:lang w:eastAsia="en-GB"/>
        </w:rPr>
        <w:t xml:space="preserve">According to Warr (2002), people may join gangs due to peer pressure and a need for social approval. Teens who hang out with troubled classmates are considerably more likely to take on similar attitudes and practices, which makes them more vulnerable to gang exploitation. </w:t>
      </w:r>
    </w:p>
    <w:p w14:paraId="3E91D21E" w14:textId="3F64066E" w:rsidR="00ED46BB" w:rsidRPr="00553244" w:rsidRDefault="00ED46BB" w:rsidP="00ED46BB">
      <w:pPr>
        <w:spacing w:after="0" w:line="240" w:lineRule="auto"/>
        <w:rPr>
          <w:rFonts w:ascii="Arial" w:eastAsia="Times New Roman" w:hAnsi="Arial" w:cs="Arial"/>
          <w:lang w:eastAsia="en-GB"/>
        </w:rPr>
      </w:pPr>
      <w:r w:rsidRPr="00ED46BB">
        <w:rPr>
          <w:rFonts w:ascii="Arial" w:eastAsia="Times New Roman" w:hAnsi="Arial" w:cs="Arial"/>
          <w:lang w:eastAsia="en-GB"/>
        </w:rPr>
        <w:t>Multi-Agency Public Protection Arrangements is referred to as MAPPA. In the UK, there is a legal system in place to handle the risks associated with violent and sexual offenders. Ensuring public safety and lowering the likelihood that these people would commit crimes agai</w:t>
      </w:r>
      <w:r w:rsidR="00D12264" w:rsidRPr="00553244">
        <w:rPr>
          <w:rFonts w:ascii="Arial" w:eastAsia="Times New Roman" w:hAnsi="Arial" w:cs="Arial"/>
          <w:lang w:eastAsia="en-GB"/>
        </w:rPr>
        <w:t>n and to prevent the recruitment of individuals into gang culture is the main objective of MAPPA</w:t>
      </w:r>
      <w:r w:rsidRPr="00ED46BB">
        <w:rPr>
          <w:rFonts w:ascii="Arial" w:eastAsia="Times New Roman" w:hAnsi="Arial" w:cs="Arial"/>
          <w:lang w:eastAsia="en-GB"/>
        </w:rPr>
        <w:t>. Together with other p</w:t>
      </w:r>
      <w:r w:rsidR="00D12264" w:rsidRPr="00553244">
        <w:rPr>
          <w:rFonts w:ascii="Arial" w:eastAsia="Times New Roman" w:hAnsi="Arial" w:cs="Arial"/>
          <w:lang w:eastAsia="en-GB"/>
        </w:rPr>
        <w:t>artner agencies</w:t>
      </w:r>
      <w:r w:rsidRPr="00ED46BB">
        <w:rPr>
          <w:rFonts w:ascii="Arial" w:eastAsia="Times New Roman" w:hAnsi="Arial" w:cs="Arial"/>
          <w:lang w:eastAsia="en-GB"/>
        </w:rPr>
        <w:t xml:space="preserve"> including housing, health, and social services, this framework calls for cooperation between a number of agencies, including the police, probation service, and prison service. </w:t>
      </w:r>
    </w:p>
    <w:p w14:paraId="43E4C47B" w14:textId="77777777" w:rsidR="00ED46BB" w:rsidRPr="00553244" w:rsidRDefault="00ED46BB" w:rsidP="00ED46BB">
      <w:pPr>
        <w:spacing w:after="0" w:line="240" w:lineRule="auto"/>
        <w:rPr>
          <w:rFonts w:ascii="Arial" w:eastAsia="Times New Roman" w:hAnsi="Arial" w:cs="Arial"/>
          <w:lang w:eastAsia="en-GB"/>
        </w:rPr>
      </w:pPr>
    </w:p>
    <w:p w14:paraId="20854C1F" w14:textId="7B36B039" w:rsidR="00401FD5" w:rsidRPr="00553244" w:rsidRDefault="00401FD5" w:rsidP="006464A5">
      <w:pPr>
        <w:rPr>
          <w:rFonts w:ascii="Arial" w:eastAsia="Times New Roman" w:hAnsi="Arial" w:cs="Arial"/>
          <w:lang w:eastAsia="en-GB"/>
        </w:rPr>
      </w:pPr>
      <w:r w:rsidRPr="00553244">
        <w:rPr>
          <w:rFonts w:ascii="Arial" w:eastAsia="Times New Roman" w:hAnsi="Arial" w:cs="Arial"/>
          <w:lang w:eastAsia="en-GB"/>
        </w:rPr>
        <w:t xml:space="preserve">MAPPA classifies offenders unto three </w:t>
      </w:r>
      <w:r w:rsidR="00C631B1" w:rsidRPr="00553244">
        <w:rPr>
          <w:rFonts w:ascii="Arial" w:eastAsia="Times New Roman" w:hAnsi="Arial" w:cs="Arial"/>
          <w:lang w:eastAsia="en-GB"/>
        </w:rPr>
        <w:t>categories.</w:t>
      </w:r>
    </w:p>
    <w:p w14:paraId="748E68E1" w14:textId="2713A782" w:rsidR="00C631B1" w:rsidRPr="00553244" w:rsidRDefault="00C631B1" w:rsidP="006464A5">
      <w:pPr>
        <w:rPr>
          <w:rFonts w:ascii="Arial" w:eastAsia="Times New Roman" w:hAnsi="Arial" w:cs="Arial"/>
          <w:lang w:eastAsia="en-GB"/>
        </w:rPr>
      </w:pPr>
      <w:r w:rsidRPr="00553244">
        <w:rPr>
          <w:rFonts w:ascii="Arial" w:eastAsia="Times New Roman" w:hAnsi="Arial" w:cs="Arial"/>
          <w:lang w:eastAsia="en-GB"/>
        </w:rPr>
        <w:t xml:space="preserve">Category 1: Registered sexual offenders </w:t>
      </w:r>
    </w:p>
    <w:p w14:paraId="160570C6" w14:textId="0D252648" w:rsidR="00C631B1" w:rsidRPr="00553244" w:rsidRDefault="00C631B1" w:rsidP="006464A5">
      <w:pPr>
        <w:rPr>
          <w:rFonts w:ascii="Arial" w:eastAsia="Times New Roman" w:hAnsi="Arial" w:cs="Arial"/>
          <w:lang w:eastAsia="en-GB"/>
        </w:rPr>
      </w:pPr>
      <w:r w:rsidRPr="00553244">
        <w:rPr>
          <w:rFonts w:ascii="Arial" w:eastAsia="Times New Roman" w:hAnsi="Arial" w:cs="Arial"/>
          <w:lang w:eastAsia="en-GB"/>
        </w:rPr>
        <w:t xml:space="preserve">Category 2: Violent offenders sentenced to imprisonment for 12 months or more.  </w:t>
      </w:r>
    </w:p>
    <w:p w14:paraId="475C7272" w14:textId="78A4AB24" w:rsidR="00C631B1" w:rsidRPr="00553244" w:rsidRDefault="00C631B1" w:rsidP="006464A5">
      <w:pPr>
        <w:rPr>
          <w:rFonts w:ascii="Arial" w:eastAsia="Times New Roman" w:hAnsi="Arial" w:cs="Arial"/>
          <w:lang w:eastAsia="en-GB"/>
        </w:rPr>
      </w:pPr>
      <w:r w:rsidRPr="00553244">
        <w:rPr>
          <w:rFonts w:ascii="Arial" w:eastAsia="Times New Roman" w:hAnsi="Arial" w:cs="Arial"/>
          <w:lang w:eastAsia="en-GB"/>
        </w:rPr>
        <w:t xml:space="preserve">Category 3: Other dangerous offenders who pose a serious risk to the public. </w:t>
      </w:r>
    </w:p>
    <w:p w14:paraId="2B7C0164" w14:textId="77777777" w:rsidR="00ED46BB" w:rsidRPr="00553244" w:rsidRDefault="00ED46BB" w:rsidP="00ED46BB">
      <w:pPr>
        <w:spacing w:after="0" w:line="240" w:lineRule="auto"/>
        <w:rPr>
          <w:rFonts w:ascii="Arial" w:eastAsia="Times New Roman" w:hAnsi="Arial" w:cs="Arial"/>
          <w:lang w:eastAsia="en-GB"/>
        </w:rPr>
      </w:pPr>
      <w:r w:rsidRPr="00ED46BB">
        <w:rPr>
          <w:rFonts w:ascii="Arial" w:eastAsia="Times New Roman" w:hAnsi="Arial" w:cs="Arial"/>
          <w:lang w:eastAsia="en-GB"/>
        </w:rPr>
        <w:t xml:space="preserve">From standard agency management to active multi-agency management, each category relates to a distinct level of management. According to </w:t>
      </w:r>
      <w:proofErr w:type="spellStart"/>
      <w:r w:rsidRPr="00ED46BB">
        <w:rPr>
          <w:rFonts w:ascii="Arial" w:eastAsia="Times New Roman" w:hAnsi="Arial" w:cs="Arial"/>
          <w:lang w:eastAsia="en-GB"/>
        </w:rPr>
        <w:t>Kemshall</w:t>
      </w:r>
      <w:proofErr w:type="spellEnd"/>
      <w:r w:rsidRPr="00ED46BB">
        <w:rPr>
          <w:rFonts w:ascii="Arial" w:eastAsia="Times New Roman" w:hAnsi="Arial" w:cs="Arial"/>
          <w:lang w:eastAsia="en-GB"/>
        </w:rPr>
        <w:t xml:space="preserve"> and Maguire (2001), the categorisation aids in setting priorities for the degree of supervision and intervention needed for each offender. </w:t>
      </w:r>
    </w:p>
    <w:p w14:paraId="64E4D53E" w14:textId="77777777" w:rsidR="00477681" w:rsidRPr="00553244" w:rsidRDefault="00477681" w:rsidP="00ED46BB">
      <w:pPr>
        <w:spacing w:after="0" w:line="240" w:lineRule="auto"/>
        <w:rPr>
          <w:rFonts w:ascii="Arial" w:eastAsia="Times New Roman" w:hAnsi="Arial" w:cs="Arial"/>
          <w:lang w:eastAsia="en-GB"/>
        </w:rPr>
      </w:pPr>
    </w:p>
    <w:p w14:paraId="3431518A" w14:textId="30E80436" w:rsidR="000A1421" w:rsidRPr="000A1421" w:rsidRDefault="000A1421" w:rsidP="000A1421">
      <w:pPr>
        <w:spacing w:after="0" w:line="240" w:lineRule="auto"/>
        <w:rPr>
          <w:rFonts w:ascii="Arial" w:eastAsia="Times New Roman" w:hAnsi="Arial" w:cs="Arial"/>
          <w:lang w:eastAsia="en-GB"/>
        </w:rPr>
      </w:pPr>
      <w:r w:rsidRPr="000A1421">
        <w:rPr>
          <w:rFonts w:ascii="Arial" w:eastAsia="Times New Roman" w:hAnsi="Arial" w:cs="Arial"/>
          <w:lang w:eastAsia="en-GB"/>
        </w:rPr>
        <w:t>MAPPA has contributed to increased public safety by efficiently managing the hazards that offenders pose to members of the public and community. MAPPA guarantees that criminals are monitored and supervised which helps and prevents re-offending</w:t>
      </w:r>
      <w:r w:rsidR="00D12264" w:rsidRPr="00553244">
        <w:rPr>
          <w:rFonts w:ascii="Arial" w:eastAsia="Times New Roman" w:hAnsi="Arial" w:cs="Arial"/>
          <w:lang w:eastAsia="en-GB"/>
        </w:rPr>
        <w:t xml:space="preserve"> which is common with individuals that are involved or recruited into gangs</w:t>
      </w:r>
      <w:r w:rsidRPr="000A1421">
        <w:rPr>
          <w:rFonts w:ascii="Arial" w:eastAsia="Times New Roman" w:hAnsi="Arial" w:cs="Arial"/>
          <w:lang w:eastAsia="en-GB"/>
        </w:rPr>
        <w:t xml:space="preserve">. Risk assessments are used by MAPPA, enabling customised actions that are essential for controlling high-risk offenders. Research </w:t>
      </w:r>
      <w:r w:rsidRPr="000A1421">
        <w:rPr>
          <w:rFonts w:ascii="Arial" w:eastAsia="Times New Roman" w:hAnsi="Arial" w:cs="Arial"/>
          <w:lang w:eastAsia="en-GB"/>
        </w:rPr>
        <w:lastRenderedPageBreak/>
        <w:t>has indicated that the use of MAPPA has resulted in a reduction in the rates of significant reoffending among offenders under observation (</w:t>
      </w:r>
      <w:proofErr w:type="spellStart"/>
      <w:r w:rsidRPr="000A1421">
        <w:rPr>
          <w:rFonts w:ascii="Arial" w:eastAsia="Times New Roman" w:hAnsi="Arial" w:cs="Arial"/>
          <w:lang w:eastAsia="en-GB"/>
        </w:rPr>
        <w:t>Kemshell</w:t>
      </w:r>
      <w:proofErr w:type="spellEnd"/>
      <w:r w:rsidRPr="000A1421">
        <w:rPr>
          <w:rFonts w:ascii="Arial" w:eastAsia="Times New Roman" w:hAnsi="Arial" w:cs="Arial"/>
          <w:lang w:eastAsia="en-GB"/>
        </w:rPr>
        <w:t xml:space="preserve"> and Maguire 2001, 2007).</w:t>
      </w:r>
    </w:p>
    <w:p w14:paraId="6A08D87C" w14:textId="5F9F49CE" w:rsidR="006464A5" w:rsidRPr="006464A5" w:rsidRDefault="006464A5" w:rsidP="006464A5">
      <w:pPr>
        <w:spacing w:after="0" w:line="240" w:lineRule="auto"/>
        <w:rPr>
          <w:rFonts w:ascii="Arial" w:eastAsia="Times New Roman" w:hAnsi="Arial" w:cs="Arial"/>
          <w:lang w:eastAsia="en-GB"/>
        </w:rPr>
      </w:pPr>
    </w:p>
    <w:p w14:paraId="2F7D2F09" w14:textId="4EB7B06B" w:rsidR="000A1421" w:rsidRPr="00E51324" w:rsidRDefault="00E51324" w:rsidP="000A1421">
      <w:pPr>
        <w:spacing w:after="0" w:line="240" w:lineRule="auto"/>
        <w:rPr>
          <w:rFonts w:ascii="Arial" w:eastAsia="Times New Roman" w:hAnsi="Arial" w:cs="Arial"/>
          <w:lang w:eastAsia="en-GB"/>
        </w:rPr>
      </w:pPr>
      <w:r w:rsidRPr="00E51324">
        <w:rPr>
          <w:rFonts w:ascii="Arial" w:eastAsia="Times New Roman" w:hAnsi="Arial" w:cs="Arial"/>
          <w:lang w:eastAsia="en-GB"/>
        </w:rPr>
        <w:t xml:space="preserve">The characteristics that leave people open to being taken advantage of by criminal organisations are complex and include environmental, family, psychological, and socioeconomic aspects. A comprehensive strategy that promotes healthy family dynamics, increases community resilience, improves economic possibilities, and offers educational support is needed to address these vulnerabilities. Through comprehension of the risk variables that mitigate them, society can enhance its ability to safeguard individuals from the perils of gang exploitation. </w:t>
      </w:r>
      <w:r w:rsidR="000A1421" w:rsidRPr="00553244">
        <w:rPr>
          <w:rFonts w:ascii="Arial" w:eastAsia="Times New Roman" w:hAnsi="Arial" w:cs="Arial"/>
          <w:lang w:eastAsia="en-GB"/>
        </w:rPr>
        <w:t>MAPPA has a profound impact on the management of high-risk offenders in the UK enhancing public safety and reassurance improving multi-agency collaboration and comprehensive risk management. MAPP</w:t>
      </w:r>
      <w:r w:rsidR="000A1421" w:rsidRPr="00553244">
        <w:rPr>
          <w:rFonts w:ascii="Arial" w:eastAsia="Times New Roman" w:hAnsi="Arial" w:cs="Arial"/>
          <w:lang w:eastAsia="en-GB"/>
        </w:rPr>
        <w:t>A</w:t>
      </w:r>
      <w:r w:rsidR="000A1421" w:rsidRPr="00553244">
        <w:rPr>
          <w:rFonts w:ascii="Arial" w:eastAsia="Times New Roman" w:hAnsi="Arial" w:cs="Arial"/>
          <w:lang w:eastAsia="en-GB"/>
        </w:rPr>
        <w:t xml:space="preserve"> practices are detrimental and necessary to address the issues that offenders can create to members of the public and community.</w:t>
      </w:r>
    </w:p>
    <w:p w14:paraId="1BF9C103" w14:textId="7082491A" w:rsidR="00E51324" w:rsidRPr="00E51324" w:rsidRDefault="00E51324" w:rsidP="00E51324">
      <w:pPr>
        <w:spacing w:after="0" w:line="240" w:lineRule="auto"/>
        <w:rPr>
          <w:rFonts w:ascii="Arial" w:eastAsia="Times New Roman" w:hAnsi="Arial" w:cs="Arial"/>
          <w:lang w:eastAsia="en-GB"/>
        </w:rPr>
      </w:pPr>
    </w:p>
    <w:p w14:paraId="7FBE2436" w14:textId="14F3EB3F" w:rsidR="001B1D2B" w:rsidRPr="00553244" w:rsidRDefault="00AF1998" w:rsidP="001B1D2B">
      <w:pPr>
        <w:spacing w:after="0" w:line="240" w:lineRule="auto"/>
        <w:rPr>
          <w:rFonts w:ascii="Arial" w:eastAsia="Times New Roman" w:hAnsi="Arial" w:cs="Arial"/>
          <w:b/>
          <w:bCs/>
          <w:u w:val="single"/>
          <w:lang w:eastAsia="en-GB"/>
        </w:rPr>
      </w:pPr>
      <w:r w:rsidRPr="00553244">
        <w:rPr>
          <w:rFonts w:ascii="Arial" w:eastAsia="Times New Roman" w:hAnsi="Arial" w:cs="Arial"/>
          <w:b/>
          <w:bCs/>
          <w:u w:val="single"/>
          <w:lang w:eastAsia="en-GB"/>
        </w:rPr>
        <w:t>Essay 3</w:t>
      </w:r>
    </w:p>
    <w:p w14:paraId="05D4F090" w14:textId="77777777" w:rsidR="00403991" w:rsidRPr="00553244" w:rsidRDefault="00403991" w:rsidP="00403991">
      <w:pPr>
        <w:spacing w:after="0" w:line="240" w:lineRule="auto"/>
        <w:rPr>
          <w:rFonts w:ascii="Arial" w:eastAsia="Times New Roman" w:hAnsi="Arial" w:cs="Arial"/>
          <w:lang w:eastAsia="en-GB"/>
        </w:rPr>
      </w:pPr>
    </w:p>
    <w:p w14:paraId="31773783" w14:textId="5C60F583" w:rsidR="00646141" w:rsidRPr="00553244" w:rsidRDefault="00646141" w:rsidP="00646141">
      <w:pPr>
        <w:spacing w:after="0" w:line="240" w:lineRule="auto"/>
        <w:rPr>
          <w:rFonts w:ascii="Arial" w:eastAsia="Times New Roman" w:hAnsi="Arial" w:cs="Arial"/>
          <w:lang w:eastAsia="en-GB"/>
        </w:rPr>
      </w:pPr>
      <w:r w:rsidRPr="00646141">
        <w:rPr>
          <w:rFonts w:ascii="Arial" w:eastAsia="Times New Roman" w:hAnsi="Arial" w:cs="Arial"/>
          <w:lang w:eastAsia="en-GB"/>
        </w:rPr>
        <w:t>Early intervention aims to address factors that predispose young people to criminal behaviour before such behaviour becomes ingrained. These interventions are based on the belief that early identification and support can divert young individuals from pathways leading to crime. This essay discusses whether early intervention is an effective way of preventing youths from offending and what increases or detracts from in which those interventions from their effectiveness</w:t>
      </w:r>
      <w:r w:rsidRPr="00553244">
        <w:rPr>
          <w:rFonts w:ascii="Arial" w:eastAsia="Times New Roman" w:hAnsi="Arial" w:cs="Arial"/>
          <w:lang w:eastAsia="en-GB"/>
        </w:rPr>
        <w:t xml:space="preserve"> (Farrington &amp; Welsh, 200</w:t>
      </w:r>
      <w:r w:rsidR="00CF298B" w:rsidRPr="00553244">
        <w:rPr>
          <w:rFonts w:ascii="Arial" w:eastAsia="Times New Roman" w:hAnsi="Arial" w:cs="Arial"/>
          <w:lang w:eastAsia="en-GB"/>
        </w:rPr>
        <w:t>8</w:t>
      </w:r>
      <w:r w:rsidRPr="00553244">
        <w:rPr>
          <w:rFonts w:ascii="Arial" w:eastAsia="Times New Roman" w:hAnsi="Arial" w:cs="Arial"/>
          <w:lang w:eastAsia="en-GB"/>
        </w:rPr>
        <w:t xml:space="preserve">) </w:t>
      </w:r>
    </w:p>
    <w:p w14:paraId="69B6642F" w14:textId="77777777" w:rsidR="00646141" w:rsidRPr="00553244" w:rsidRDefault="00646141" w:rsidP="00646141">
      <w:pPr>
        <w:spacing w:after="0" w:line="240" w:lineRule="auto"/>
        <w:rPr>
          <w:rFonts w:ascii="Arial" w:eastAsia="Times New Roman" w:hAnsi="Arial" w:cs="Arial"/>
          <w:lang w:eastAsia="en-GB"/>
        </w:rPr>
      </w:pPr>
    </w:p>
    <w:p w14:paraId="393EB0D9" w14:textId="77777777" w:rsidR="006C5C4A" w:rsidRPr="00553244" w:rsidRDefault="00BD32F6" w:rsidP="006C5C4A">
      <w:pPr>
        <w:rPr>
          <w:rFonts w:ascii="Arial" w:eastAsia="Times New Roman" w:hAnsi="Arial" w:cs="Arial"/>
          <w:lang w:eastAsia="en-GB"/>
        </w:rPr>
      </w:pPr>
      <w:r w:rsidRPr="00BD32F6">
        <w:rPr>
          <w:rFonts w:ascii="Arial" w:eastAsia="Times New Roman" w:hAnsi="Arial" w:cs="Arial"/>
          <w:lang w:eastAsia="en-GB"/>
        </w:rPr>
        <w:t xml:space="preserve">Early intervention programs fall into three general categories: community-based, school-based, and family-based programs. Family-based programs focus on family dynamics and parenting techniques in an effort to improve parental abilities and fortify family ties. Nurses visit at-risk families in their homes as part of initiatives like the Nurse-Family Partnership, providing them with advice on healthy habits and childrearing. </w:t>
      </w:r>
      <w:r w:rsidRPr="00553244">
        <w:rPr>
          <w:rFonts w:ascii="Arial" w:eastAsia="Times New Roman" w:hAnsi="Arial" w:cs="Arial"/>
          <w:lang w:eastAsia="en-GB"/>
        </w:rPr>
        <w:t xml:space="preserve">(Old, 1998). </w:t>
      </w:r>
      <w:r w:rsidRPr="00553244">
        <w:rPr>
          <w:rFonts w:ascii="Arial" w:eastAsia="Times New Roman" w:hAnsi="Arial" w:cs="Arial"/>
          <w:lang w:eastAsia="en-GB"/>
        </w:rPr>
        <w:t xml:space="preserve">Programs run in schools put a strong emphasis on conduct and academic involvement. Initiatives such as Positive Action and the Good Behaviour Game are designed to increase academic performance, lessen disruptive behaviour, and build social skills. (Embry, 2002). </w:t>
      </w:r>
      <w:r w:rsidR="006C5C4A" w:rsidRPr="00553244">
        <w:rPr>
          <w:rFonts w:ascii="Arial" w:eastAsia="Times New Roman" w:hAnsi="Arial" w:cs="Arial"/>
          <w:lang w:eastAsia="en-GB"/>
        </w:rPr>
        <w:t xml:space="preserve">Youth centres and community-based programs that offer safe recreational activities and wholesome role models. One such program that provides one-on-one mentoring connections and encourages healthy growth is Big Brothers Big Sisters (Tierney, Grossman, &amp; Resch, 1995). </w:t>
      </w:r>
    </w:p>
    <w:p w14:paraId="5728B4C4" w14:textId="68589C02" w:rsidR="00BA4D3D" w:rsidRPr="00553244" w:rsidRDefault="006C5C4A" w:rsidP="00BA4D3D">
      <w:pPr>
        <w:rPr>
          <w:rFonts w:ascii="Arial" w:eastAsia="Times New Roman" w:hAnsi="Arial" w:cs="Arial"/>
          <w:lang w:eastAsia="en-GB"/>
        </w:rPr>
      </w:pPr>
      <w:r w:rsidRPr="006C5C4A">
        <w:rPr>
          <w:rFonts w:ascii="Arial" w:eastAsia="Times New Roman" w:hAnsi="Arial" w:cs="Arial"/>
          <w:lang w:eastAsia="en-GB"/>
        </w:rPr>
        <w:t xml:space="preserve">Studies reveal that delinquency rates can be considerably decreased with early intervention. Early family and parenting treatments were successful in lowering problematic behaviours in children, such as aggression and delinquency, according to a meta-analysis conducted by Piquero (2009). </w:t>
      </w:r>
      <w:r w:rsidRPr="00553244">
        <w:rPr>
          <w:rFonts w:ascii="Arial" w:eastAsia="Times New Roman" w:hAnsi="Arial" w:cs="Arial"/>
          <w:lang w:eastAsia="en-GB"/>
        </w:rPr>
        <w:t xml:space="preserve">School-based initiatives frequently result in increased academic achievement and decreased absenteeism, both of which are associated with decreased crime rates. For example, it has been demonstrated that the </w:t>
      </w:r>
      <w:r w:rsidR="00BA4D3D" w:rsidRPr="00553244">
        <w:rPr>
          <w:rFonts w:ascii="Arial" w:eastAsia="Times New Roman" w:hAnsi="Arial" w:cs="Arial"/>
          <w:lang w:eastAsia="en-GB"/>
        </w:rPr>
        <w:t>good</w:t>
      </w:r>
      <w:r w:rsidRPr="00553244">
        <w:rPr>
          <w:rFonts w:ascii="Arial" w:eastAsia="Times New Roman" w:hAnsi="Arial" w:cs="Arial"/>
          <w:lang w:eastAsia="en-GB"/>
        </w:rPr>
        <w:t xml:space="preserve"> conduct game increases student involvement and decreases disruptive conduct (Embry, 2002). </w:t>
      </w:r>
      <w:r w:rsidR="00BA4D3D" w:rsidRPr="00553244">
        <w:rPr>
          <w:rFonts w:ascii="Arial" w:eastAsia="Times New Roman" w:hAnsi="Arial" w:cs="Arial"/>
          <w:lang w:eastAsia="en-GB"/>
        </w:rPr>
        <w:t>Social and emotional skill development programs have the potential to decrease antisocial behaviour and enhance interactions with adults and peers. These abilities are essential for reducing the negative effects of risk factors linked to delinquency (</w:t>
      </w:r>
      <w:proofErr w:type="spellStart"/>
      <w:r w:rsidR="00BA4D3D" w:rsidRPr="00553244">
        <w:rPr>
          <w:rFonts w:ascii="Arial" w:eastAsia="Times New Roman" w:hAnsi="Arial" w:cs="Arial"/>
          <w:lang w:eastAsia="en-GB"/>
        </w:rPr>
        <w:t>Durlak</w:t>
      </w:r>
      <w:proofErr w:type="spellEnd"/>
      <w:r w:rsidR="00BA4D3D" w:rsidRPr="00553244">
        <w:rPr>
          <w:rFonts w:ascii="Arial" w:eastAsia="Times New Roman" w:hAnsi="Arial" w:cs="Arial"/>
          <w:lang w:eastAsia="en-GB"/>
        </w:rPr>
        <w:t xml:space="preserve">, </w:t>
      </w:r>
      <w:r w:rsidR="00BA4D3D" w:rsidRPr="00553244">
        <w:rPr>
          <w:rFonts w:ascii="Arial" w:eastAsia="Times New Roman" w:hAnsi="Arial" w:cs="Arial"/>
          <w:lang w:eastAsia="en-GB"/>
        </w:rPr>
        <w:t xml:space="preserve">2011). </w:t>
      </w:r>
    </w:p>
    <w:p w14:paraId="381B3105" w14:textId="77777777" w:rsidR="00BA4D3D" w:rsidRPr="00BA4D3D" w:rsidRDefault="00BA4D3D" w:rsidP="00BA4D3D">
      <w:pPr>
        <w:spacing w:after="0" w:line="240" w:lineRule="auto"/>
        <w:rPr>
          <w:rFonts w:ascii="Arial" w:eastAsia="Times New Roman" w:hAnsi="Arial" w:cs="Arial"/>
          <w:lang w:eastAsia="en-GB"/>
        </w:rPr>
      </w:pPr>
      <w:r w:rsidRPr="00BA4D3D">
        <w:rPr>
          <w:rFonts w:ascii="Arial" w:eastAsia="Times New Roman" w:hAnsi="Arial" w:cs="Arial"/>
          <w:lang w:eastAsia="en-GB"/>
        </w:rPr>
        <w:t xml:space="preserve">Programs that start early and offer ongoing assistance throughout time tend to be more successful. According to Olds (1998), sustained involvement facilitates the progressive development of protective variables and the reinforcement of beneficial behaviours. </w:t>
      </w:r>
    </w:p>
    <w:p w14:paraId="32C74599" w14:textId="7778B1D2" w:rsidR="000D5C6E" w:rsidRPr="00553244" w:rsidRDefault="007F3136" w:rsidP="000D5C6E">
      <w:pPr>
        <w:rPr>
          <w:rFonts w:ascii="Arial" w:eastAsia="Times New Roman" w:hAnsi="Arial" w:cs="Arial"/>
          <w:lang w:eastAsia="en-GB"/>
        </w:rPr>
      </w:pPr>
      <w:r w:rsidRPr="007F3136">
        <w:rPr>
          <w:rFonts w:ascii="Arial" w:eastAsia="Times New Roman" w:hAnsi="Arial" w:cs="Arial"/>
          <w:lang w:eastAsia="en-GB"/>
        </w:rPr>
        <w:t>Comprehensive programs offer a holistic support system that covers the different needs of at-risk adolescents. Interventions that address numerous risk factors, including family, school, and community impacts, are more likely to work (Farrington &amp; Welsh, 2007</w:t>
      </w:r>
      <w:r w:rsidR="00FF1A61" w:rsidRPr="00553244">
        <w:rPr>
          <w:rFonts w:ascii="Arial" w:eastAsia="Times New Roman" w:hAnsi="Arial" w:cs="Arial"/>
          <w:lang w:eastAsia="en-GB"/>
        </w:rPr>
        <w:t>).</w:t>
      </w:r>
      <w:r w:rsidR="000D5C6E" w:rsidRPr="00553244">
        <w:rPr>
          <w:rFonts w:ascii="Arial" w:hAnsi="Arial" w:cs="Arial"/>
        </w:rPr>
        <w:t xml:space="preserve"> </w:t>
      </w:r>
      <w:r w:rsidR="000D5C6E" w:rsidRPr="00553244">
        <w:rPr>
          <w:rFonts w:ascii="Arial" w:eastAsia="Times New Roman" w:hAnsi="Arial" w:cs="Arial"/>
          <w:lang w:eastAsia="en-GB"/>
        </w:rPr>
        <w:t xml:space="preserve">The </w:t>
      </w:r>
      <w:r w:rsidR="000D5C6E" w:rsidRPr="00553244">
        <w:rPr>
          <w:rFonts w:ascii="Arial" w:eastAsia="Times New Roman" w:hAnsi="Arial" w:cs="Arial"/>
          <w:lang w:eastAsia="en-GB"/>
        </w:rPr>
        <w:lastRenderedPageBreak/>
        <w:t>effectiveness of early intervention projects typically depends on the quality and consistency of the personnel participating. Skilled practitioners who can create trust and rapport with young people and their families are vital for the success of these programs (Lipsey &amp; Wilson, 1988).</w:t>
      </w:r>
    </w:p>
    <w:p w14:paraId="0D1554EC" w14:textId="71AEDED1" w:rsidR="0047144A" w:rsidRPr="00553244" w:rsidRDefault="00DF6C16" w:rsidP="00F642FC">
      <w:pPr>
        <w:rPr>
          <w:rFonts w:ascii="Arial" w:eastAsia="Times New Roman" w:hAnsi="Arial" w:cs="Arial"/>
          <w:lang w:eastAsia="en-GB"/>
        </w:rPr>
      </w:pPr>
      <w:r w:rsidRPr="00DF6C16">
        <w:rPr>
          <w:rFonts w:ascii="Arial" w:eastAsia="Times New Roman" w:hAnsi="Arial" w:cs="Arial"/>
          <w:lang w:eastAsia="en-GB"/>
        </w:rPr>
        <w:t>Programs with inadequate funding may not have the means to offer the kind of comprehensive support that is required, which could result in uneven service delivery and decreased program quality (</w:t>
      </w:r>
      <w:proofErr w:type="spellStart"/>
      <w:r w:rsidRPr="00DF6C16">
        <w:rPr>
          <w:rFonts w:ascii="Arial" w:eastAsia="Times New Roman" w:hAnsi="Arial" w:cs="Arial"/>
          <w:lang w:eastAsia="en-GB"/>
        </w:rPr>
        <w:t>Fegan</w:t>
      </w:r>
      <w:proofErr w:type="spellEnd"/>
      <w:r w:rsidRPr="00DF6C16">
        <w:rPr>
          <w:rFonts w:ascii="Arial" w:eastAsia="Times New Roman" w:hAnsi="Arial" w:cs="Arial"/>
          <w:lang w:eastAsia="en-GB"/>
        </w:rPr>
        <w:t xml:space="preserve"> &amp; Lindsey, 2014</w:t>
      </w:r>
      <w:r w:rsidRPr="00553244">
        <w:rPr>
          <w:rFonts w:ascii="Arial" w:eastAsia="Times New Roman" w:hAnsi="Arial" w:cs="Arial"/>
          <w:lang w:eastAsia="en-GB"/>
        </w:rPr>
        <w:t xml:space="preserve">). </w:t>
      </w:r>
      <w:r w:rsidR="00F642FC" w:rsidRPr="00553244">
        <w:rPr>
          <w:rFonts w:ascii="Arial" w:eastAsia="Times New Roman" w:hAnsi="Arial" w:cs="Arial"/>
          <w:lang w:eastAsia="en-GB"/>
        </w:rPr>
        <w:t xml:space="preserve">Programs must be flexible and sensitive to the individual circumstances of the youth they serve (Lipsey &amp; Wilson 1988). One </w:t>
      </w:r>
      <w:r w:rsidR="00FF1A61" w:rsidRPr="00553244">
        <w:rPr>
          <w:rFonts w:ascii="Arial" w:eastAsia="Times New Roman" w:hAnsi="Arial" w:cs="Arial"/>
          <w:lang w:eastAsia="en-GB"/>
        </w:rPr>
        <w:t>s</w:t>
      </w:r>
      <w:r w:rsidR="00F642FC" w:rsidRPr="00553244">
        <w:rPr>
          <w:rFonts w:ascii="Arial" w:eastAsia="Times New Roman" w:hAnsi="Arial" w:cs="Arial"/>
          <w:lang w:eastAsia="en-GB"/>
        </w:rPr>
        <w:t xml:space="preserve">ize </w:t>
      </w:r>
      <w:r w:rsidR="00FF1A61" w:rsidRPr="00553244">
        <w:rPr>
          <w:rFonts w:ascii="Arial" w:eastAsia="Times New Roman" w:hAnsi="Arial" w:cs="Arial"/>
          <w:lang w:eastAsia="en-GB"/>
        </w:rPr>
        <w:t>f</w:t>
      </w:r>
      <w:r w:rsidR="00F642FC" w:rsidRPr="00553244">
        <w:rPr>
          <w:rFonts w:ascii="Arial" w:eastAsia="Times New Roman" w:hAnsi="Arial" w:cs="Arial"/>
          <w:lang w:eastAsia="en-GB"/>
        </w:rPr>
        <w:t xml:space="preserve">its </w:t>
      </w:r>
      <w:r w:rsidR="00FF1A61" w:rsidRPr="00553244">
        <w:rPr>
          <w:rFonts w:ascii="Arial" w:eastAsia="Times New Roman" w:hAnsi="Arial" w:cs="Arial"/>
          <w:lang w:eastAsia="en-GB"/>
        </w:rPr>
        <w:t>a</w:t>
      </w:r>
      <w:r w:rsidR="00F642FC" w:rsidRPr="00553244">
        <w:rPr>
          <w:rFonts w:ascii="Arial" w:eastAsia="Times New Roman" w:hAnsi="Arial" w:cs="Arial"/>
          <w:lang w:eastAsia="en-GB"/>
        </w:rPr>
        <w:t>ll approaches frequently fail to address specific needs of each person. Programs are less effective when families and communities are not actively engaged. Resistance or lack of involvement form these stakeholders can undermine the program</w:t>
      </w:r>
      <w:r w:rsidR="00FF1A61" w:rsidRPr="00553244">
        <w:rPr>
          <w:rFonts w:ascii="Arial" w:eastAsia="Times New Roman" w:hAnsi="Arial" w:cs="Arial"/>
          <w:lang w:eastAsia="en-GB"/>
        </w:rPr>
        <w:t>me</w:t>
      </w:r>
      <w:r w:rsidR="00F642FC" w:rsidRPr="00553244">
        <w:rPr>
          <w:rFonts w:ascii="Arial" w:eastAsia="Times New Roman" w:hAnsi="Arial" w:cs="Arial"/>
          <w:lang w:eastAsia="en-GB"/>
        </w:rPr>
        <w:t xml:space="preserve"> goals (Piquero 2009).</w:t>
      </w:r>
    </w:p>
    <w:p w14:paraId="1B956FEB" w14:textId="77777777" w:rsidR="0047144A" w:rsidRPr="00553244" w:rsidRDefault="0047144A" w:rsidP="0047144A">
      <w:pPr>
        <w:spacing w:after="0" w:line="240" w:lineRule="auto"/>
        <w:rPr>
          <w:rFonts w:ascii="Arial" w:eastAsia="Times New Roman" w:hAnsi="Arial" w:cs="Arial"/>
          <w:lang w:eastAsia="en-GB"/>
        </w:rPr>
      </w:pPr>
      <w:r w:rsidRPr="0047144A">
        <w:rPr>
          <w:rFonts w:ascii="Arial" w:eastAsia="Times New Roman" w:hAnsi="Arial" w:cs="Arial"/>
          <w:lang w:eastAsia="en-GB"/>
        </w:rPr>
        <w:t xml:space="preserve">The first act of criminal activity or delinquent behaviour is referred to as the start of offending. Developing successful prevention and intervention techniques requires an understanding of the reasons behind people's initial criminal behaviour. Numerous criminological theories, each concentrating on distinct elements and procedures, provide explanations for the beginning of criminal activity. </w:t>
      </w:r>
    </w:p>
    <w:p w14:paraId="1211AA47" w14:textId="77777777" w:rsidR="0047144A" w:rsidRPr="00553244" w:rsidRDefault="0047144A" w:rsidP="0047144A">
      <w:pPr>
        <w:spacing w:after="0" w:line="240" w:lineRule="auto"/>
        <w:rPr>
          <w:rFonts w:ascii="Arial" w:eastAsia="Times New Roman" w:hAnsi="Arial" w:cs="Arial"/>
          <w:lang w:eastAsia="en-GB"/>
        </w:rPr>
      </w:pPr>
    </w:p>
    <w:p w14:paraId="201E2DF7" w14:textId="35E436FE" w:rsidR="00DB7B16" w:rsidRPr="00DB7B16" w:rsidRDefault="00FF4060" w:rsidP="00DB7B16">
      <w:pPr>
        <w:spacing w:after="0" w:line="240" w:lineRule="auto"/>
        <w:rPr>
          <w:rFonts w:ascii="Arial" w:eastAsia="Times New Roman" w:hAnsi="Arial" w:cs="Arial"/>
          <w:lang w:eastAsia="en-GB"/>
        </w:rPr>
      </w:pPr>
      <w:r w:rsidRPr="00FF4060">
        <w:rPr>
          <w:rFonts w:ascii="Arial" w:eastAsia="Times New Roman" w:hAnsi="Arial" w:cs="Arial"/>
          <w:lang w:eastAsia="en-GB"/>
        </w:rPr>
        <w:t>The</w:t>
      </w:r>
      <w:r w:rsidR="00FF1A61" w:rsidRPr="00553244">
        <w:rPr>
          <w:rFonts w:ascii="Arial" w:eastAsia="Times New Roman" w:hAnsi="Arial" w:cs="Arial"/>
          <w:lang w:eastAsia="en-GB"/>
        </w:rPr>
        <w:t xml:space="preserve"> theory</w:t>
      </w:r>
      <w:r w:rsidRPr="00FF4060">
        <w:rPr>
          <w:rFonts w:ascii="Arial" w:eastAsia="Times New Roman" w:hAnsi="Arial" w:cs="Arial"/>
          <w:lang w:eastAsia="en-GB"/>
        </w:rPr>
        <w:t xml:space="preserve"> of Terrie Moffitt (1993) makes a distinction between two categories of criminals. "Life-course persistent" and "limited to adolescence." Adolescent-limited offenders are largely motivated to commit crimes during their teens by peer pressure and the difference between their biological and social maturations. Life-course persistent offenders commit crimes from a young age into adulthood, frequently as a result of neuropsychological disorders and traumatic early experiences that interfere with normal development. </w:t>
      </w:r>
      <w:r w:rsidR="00DB7B16" w:rsidRPr="00DB7B16">
        <w:rPr>
          <w:rFonts w:ascii="Arial" w:eastAsia="Times New Roman" w:hAnsi="Arial" w:cs="Arial"/>
          <w:lang w:eastAsia="en-GB"/>
        </w:rPr>
        <w:t xml:space="preserve">The age-graded theory of informal social control developed by Sampson and </w:t>
      </w:r>
      <w:proofErr w:type="spellStart"/>
      <w:r w:rsidR="00DB7B16" w:rsidRPr="00DB7B16">
        <w:rPr>
          <w:rFonts w:ascii="Arial" w:eastAsia="Times New Roman" w:hAnsi="Arial" w:cs="Arial"/>
          <w:lang w:eastAsia="en-GB"/>
        </w:rPr>
        <w:t>Laub</w:t>
      </w:r>
      <w:proofErr w:type="spellEnd"/>
      <w:r w:rsidR="00DB7B16" w:rsidRPr="00DB7B16">
        <w:rPr>
          <w:rFonts w:ascii="Arial" w:eastAsia="Times New Roman" w:hAnsi="Arial" w:cs="Arial"/>
          <w:lang w:eastAsia="en-GB"/>
        </w:rPr>
        <w:t xml:space="preserve"> (1993) highlights the importance of social ties at various phases of life. This idea holds that while weak or broken relationships might cause the onset of offending, strong bonds to family, job, and education can prevent offending. The idea also emphasises how crucial turning events are in changing criminal trajectories, including marriage or steady work. </w:t>
      </w:r>
    </w:p>
    <w:p w14:paraId="60713160" w14:textId="31AA88D7" w:rsidR="00DB7B16" w:rsidRPr="00553244" w:rsidRDefault="00DB7B16" w:rsidP="00FF4060">
      <w:pPr>
        <w:spacing w:after="0" w:line="240" w:lineRule="auto"/>
        <w:rPr>
          <w:rFonts w:ascii="Arial" w:eastAsia="Times New Roman" w:hAnsi="Arial" w:cs="Arial"/>
          <w:lang w:eastAsia="en-GB"/>
        </w:rPr>
      </w:pPr>
    </w:p>
    <w:p w14:paraId="466463F0" w14:textId="77777777" w:rsidR="00505E40" w:rsidRPr="00553244" w:rsidRDefault="00684D95" w:rsidP="00505E40">
      <w:pPr>
        <w:rPr>
          <w:rFonts w:ascii="Arial" w:eastAsia="Times New Roman" w:hAnsi="Arial" w:cs="Arial"/>
          <w:lang w:eastAsia="en-GB"/>
        </w:rPr>
      </w:pPr>
      <w:r w:rsidRPr="00684D95">
        <w:rPr>
          <w:rFonts w:ascii="Arial" w:eastAsia="Times New Roman" w:hAnsi="Arial" w:cs="Arial"/>
          <w:lang w:eastAsia="en-GB"/>
        </w:rPr>
        <w:t>The success of these programs and initiatives depends on early and sustained engagement, qualified personnel, and the ability to address multiple risk factors. However, obstacles like insufficient funding, lack of engagement, and inadequate tailoring can detract from their effectiveness. As a result, policy makers and practitioners must ensure that early intervention programs are adequately supported and customised to meet the diverse needs of the at-risk youth. Early intervention is an effective means of preventing youth offending, particularly when programs are comprehensive, well-funded, and engage families and communities.</w:t>
      </w:r>
      <w:r w:rsidR="00181AA1" w:rsidRPr="00553244">
        <w:rPr>
          <w:rFonts w:ascii="Arial" w:eastAsia="Times New Roman" w:hAnsi="Arial" w:cs="Arial"/>
          <w:lang w:eastAsia="en-GB"/>
        </w:rPr>
        <w:t xml:space="preserve"> Var</w:t>
      </w:r>
      <w:r w:rsidR="00505E40" w:rsidRPr="00553244">
        <w:rPr>
          <w:rFonts w:ascii="Arial" w:eastAsia="Times New Roman" w:hAnsi="Arial" w:cs="Arial"/>
          <w:lang w:eastAsia="en-GB"/>
        </w:rPr>
        <w:t>ious</w:t>
      </w:r>
      <w:r w:rsidR="00181AA1" w:rsidRPr="00553244">
        <w:rPr>
          <w:rFonts w:ascii="Arial" w:eastAsia="Times New Roman" w:hAnsi="Arial" w:cs="Arial"/>
          <w:lang w:eastAsia="en-GB"/>
        </w:rPr>
        <w:t xml:space="preserve"> theories offer insights into the onset of offending, each emphasizing different factors and mechanisms. Development and life-course theories highlight the importance of early life experiences and social bonds</w:t>
      </w:r>
      <w:r w:rsidR="00505E40" w:rsidRPr="00553244">
        <w:rPr>
          <w:rFonts w:ascii="Arial" w:eastAsia="Times New Roman" w:hAnsi="Arial" w:cs="Arial"/>
          <w:lang w:eastAsia="en-GB"/>
        </w:rPr>
        <w:t xml:space="preserve">. Together these theories provide a comprehensive understanding of the complex interplay of how factors can contribute to the onset of offending. </w:t>
      </w:r>
      <w:r w:rsidR="00505E40" w:rsidRPr="00553244">
        <w:rPr>
          <w:rFonts w:ascii="Arial" w:eastAsia="Times New Roman" w:hAnsi="Arial" w:cs="Arial"/>
          <w:lang w:eastAsia="en-GB"/>
        </w:rPr>
        <w:t xml:space="preserve">Many theories, each focussing on distinct elements and procedures, provide insights into the beginning of criminal activity. Theories of development and the life course emphasise the significance of social ties and early experiences. When combined, these ideas offer a thorough comprehension of the intricate interactions between various elements that might lead to the initiation of criminal activity. </w:t>
      </w:r>
    </w:p>
    <w:p w14:paraId="29ED03AD" w14:textId="07CDF8FF" w:rsidR="000D5F8B" w:rsidRPr="00553244" w:rsidRDefault="000D5F8B" w:rsidP="00505E40">
      <w:pPr>
        <w:rPr>
          <w:rFonts w:ascii="Arial" w:eastAsia="Times New Roman" w:hAnsi="Arial" w:cs="Arial"/>
          <w:b/>
          <w:bCs/>
          <w:u w:val="single"/>
          <w:lang w:eastAsia="en-GB"/>
        </w:rPr>
      </w:pPr>
      <w:r w:rsidRPr="00553244">
        <w:rPr>
          <w:rFonts w:ascii="Arial" w:eastAsia="Times New Roman" w:hAnsi="Arial" w:cs="Arial"/>
          <w:b/>
          <w:bCs/>
          <w:u w:val="single"/>
          <w:lang w:eastAsia="en-GB"/>
        </w:rPr>
        <w:t>Essay 4</w:t>
      </w:r>
    </w:p>
    <w:p w14:paraId="659B6FC7" w14:textId="235BB655" w:rsidR="00634692" w:rsidRPr="00553244" w:rsidRDefault="00634692" w:rsidP="00634692">
      <w:pPr>
        <w:spacing w:after="0" w:line="240" w:lineRule="auto"/>
        <w:rPr>
          <w:rFonts w:ascii="Arial" w:eastAsia="Times New Roman" w:hAnsi="Arial" w:cs="Arial"/>
          <w:lang w:eastAsia="en-GB"/>
        </w:rPr>
      </w:pPr>
      <w:r w:rsidRPr="00634692">
        <w:rPr>
          <w:rFonts w:ascii="Arial" w:eastAsia="Times New Roman" w:hAnsi="Arial" w:cs="Arial"/>
          <w:lang w:eastAsia="en-GB"/>
        </w:rPr>
        <w:t xml:space="preserve">The United Kingdom has long been acknowledged for its multicultural society, which encompasses a wide range of populations with different ethnic, religious, and cultural backgrounds. Because of this diversity, policing has several difficulties, both in terms of the </w:t>
      </w:r>
      <w:r w:rsidRPr="00634692">
        <w:rPr>
          <w:rFonts w:ascii="Arial" w:eastAsia="Times New Roman" w:hAnsi="Arial" w:cs="Arial"/>
          <w:lang w:eastAsia="en-GB"/>
        </w:rPr>
        <w:lastRenderedPageBreak/>
        <w:t xml:space="preserve">makeup of the police force and in terms of the way the police interact with various groups. The efficiency </w:t>
      </w:r>
      <w:r w:rsidR="005A0CEE" w:rsidRPr="00634692">
        <w:rPr>
          <w:rFonts w:ascii="Arial" w:eastAsia="Times New Roman" w:hAnsi="Arial" w:cs="Arial"/>
          <w:lang w:eastAsia="en-GB"/>
        </w:rPr>
        <w:t xml:space="preserve">of </w:t>
      </w:r>
      <w:r w:rsidR="005A0CEE">
        <w:rPr>
          <w:rFonts w:ascii="Arial" w:eastAsia="Times New Roman" w:hAnsi="Arial" w:cs="Arial"/>
          <w:lang w:eastAsia="en-GB"/>
        </w:rPr>
        <w:t>the police forces</w:t>
      </w:r>
      <w:r w:rsidRPr="00634692">
        <w:rPr>
          <w:rFonts w:ascii="Arial" w:eastAsia="Times New Roman" w:hAnsi="Arial" w:cs="Arial"/>
          <w:lang w:eastAsia="en-GB"/>
        </w:rPr>
        <w:t xml:space="preserve"> problem of accepting variety is a subject of continuous discourse, shaped by past conflicts, existing legal structures, and current advancements. This essay looks at how far UK policing has come to accept diversity, </w:t>
      </w:r>
      <w:r w:rsidR="005A0CEE" w:rsidRPr="00634692">
        <w:rPr>
          <w:rFonts w:ascii="Arial" w:eastAsia="Times New Roman" w:hAnsi="Arial" w:cs="Arial"/>
          <w:lang w:eastAsia="en-GB"/>
        </w:rPr>
        <w:t>considering</w:t>
      </w:r>
      <w:r w:rsidRPr="00634692">
        <w:rPr>
          <w:rFonts w:ascii="Arial" w:eastAsia="Times New Roman" w:hAnsi="Arial" w:cs="Arial"/>
          <w:lang w:eastAsia="en-GB"/>
        </w:rPr>
        <w:t xml:space="preserve"> both the diversity within police forces and their own internal diversity as well as the tactics used to interact with a variety of </w:t>
      </w:r>
      <w:r w:rsidR="009E1013">
        <w:rPr>
          <w:rFonts w:ascii="Arial" w:eastAsia="Times New Roman" w:hAnsi="Arial" w:cs="Arial"/>
          <w:lang w:eastAsia="en-GB"/>
        </w:rPr>
        <w:t xml:space="preserve">communities. </w:t>
      </w:r>
    </w:p>
    <w:p w14:paraId="6DB91C30" w14:textId="77777777" w:rsidR="00634692" w:rsidRPr="00553244" w:rsidRDefault="00634692" w:rsidP="00634692">
      <w:pPr>
        <w:spacing w:after="0" w:line="240" w:lineRule="auto"/>
        <w:rPr>
          <w:rFonts w:ascii="Arial" w:eastAsia="Times New Roman" w:hAnsi="Arial" w:cs="Arial"/>
          <w:lang w:eastAsia="en-GB"/>
        </w:rPr>
      </w:pPr>
    </w:p>
    <w:p w14:paraId="4EDFBCBF" w14:textId="7B2D7C58" w:rsidR="00BD3A91" w:rsidRPr="00553244" w:rsidRDefault="00DF6EC2" w:rsidP="00DF6EC2">
      <w:pPr>
        <w:rPr>
          <w:rFonts w:ascii="Arial" w:eastAsia="Times New Roman" w:hAnsi="Arial" w:cs="Arial"/>
          <w:lang w:eastAsia="en-GB"/>
        </w:rPr>
      </w:pPr>
      <w:r w:rsidRPr="00DF6EC2">
        <w:rPr>
          <w:rFonts w:ascii="Arial" w:eastAsia="Times New Roman" w:hAnsi="Arial" w:cs="Arial"/>
          <w:lang w:eastAsia="en-GB"/>
        </w:rPr>
        <w:t xml:space="preserve">In the past, the police in the UK have had difficulty with inclusion and diversity issues. For a long time, people's perception of the police was that they were primarily male and white, with little representation from communities of colour. The impression of the police as an organisation that did not comprehend or reflect the diverse society it served by this lack of representation (Bowling &amp; Phillips, 2003). Numerous legislative and regulatory frameworks have served as a guide for efforts to increase diversity within the police force. </w:t>
      </w:r>
    </w:p>
    <w:p w14:paraId="61D9884E" w14:textId="24F97DEF" w:rsidR="002366AE" w:rsidRPr="002366AE" w:rsidRDefault="002366AE" w:rsidP="005D754E">
      <w:pPr>
        <w:spacing w:after="0" w:line="240" w:lineRule="auto"/>
        <w:jc w:val="both"/>
        <w:rPr>
          <w:rFonts w:ascii="Arial" w:eastAsia="Times New Roman" w:hAnsi="Arial" w:cs="Arial"/>
          <w:lang w:eastAsia="en-GB"/>
        </w:rPr>
      </w:pPr>
      <w:r w:rsidRPr="002366AE">
        <w:rPr>
          <w:rFonts w:ascii="Arial" w:eastAsia="Times New Roman" w:hAnsi="Arial" w:cs="Arial"/>
          <w:lang w:eastAsia="en-GB"/>
        </w:rPr>
        <w:t>Officers from ethnic minorities are supported by initiatives like the national mentoring</w:t>
      </w:r>
      <w:r w:rsidR="005D754E">
        <w:rPr>
          <w:rFonts w:ascii="Arial" w:eastAsia="Times New Roman" w:hAnsi="Arial" w:cs="Arial"/>
          <w:lang w:eastAsia="en-GB"/>
        </w:rPr>
        <w:t xml:space="preserve"> scheme </w:t>
      </w:r>
      <w:r w:rsidRPr="002366AE">
        <w:rPr>
          <w:rFonts w:ascii="Arial" w:eastAsia="Times New Roman" w:hAnsi="Arial" w:cs="Arial"/>
          <w:lang w:eastAsia="en-GB"/>
        </w:rPr>
        <w:t xml:space="preserve">which aims to remove obstacles to professional advancement and retention. One of the most important aspects of increased participation is diversifying the police force itself. Using focused campaigns and programs for positive action, efforts have been undertaken to increase the recruitment of officers from a variety of backgrounds. To further assist </w:t>
      </w:r>
      <w:r w:rsidR="00105585">
        <w:rPr>
          <w:rFonts w:ascii="Arial" w:eastAsia="Times New Roman" w:hAnsi="Arial" w:cs="Arial"/>
          <w:lang w:eastAsia="en-GB"/>
        </w:rPr>
        <w:t xml:space="preserve">the </w:t>
      </w:r>
      <w:r w:rsidR="00DA18D2">
        <w:rPr>
          <w:rFonts w:ascii="Arial" w:eastAsia="Times New Roman" w:hAnsi="Arial" w:cs="Arial"/>
          <w:lang w:eastAsia="en-GB"/>
        </w:rPr>
        <w:t xml:space="preserve">police </w:t>
      </w:r>
      <w:r w:rsidR="00DA18D2" w:rsidRPr="002366AE">
        <w:rPr>
          <w:rFonts w:ascii="Arial" w:eastAsia="Times New Roman" w:hAnsi="Arial" w:cs="Arial"/>
          <w:lang w:eastAsia="en-GB"/>
        </w:rPr>
        <w:t>in</w:t>
      </w:r>
      <w:r w:rsidRPr="002366AE">
        <w:rPr>
          <w:rFonts w:ascii="Arial" w:eastAsia="Times New Roman" w:hAnsi="Arial" w:cs="Arial"/>
          <w:lang w:eastAsia="en-GB"/>
        </w:rPr>
        <w:t xml:space="preserve"> appreciating and comprehending cultural diversity, police training programs increasingly include cultural competency training as a required component (Cashmore, 2001). </w:t>
      </w:r>
    </w:p>
    <w:p w14:paraId="2BA830E8" w14:textId="77777777" w:rsidR="00A23DD6" w:rsidRDefault="00A23DD6" w:rsidP="00D4431C">
      <w:pPr>
        <w:rPr>
          <w:rFonts w:ascii="Arial" w:eastAsia="Times New Roman" w:hAnsi="Arial" w:cs="Arial"/>
          <w:lang w:eastAsia="en-GB"/>
        </w:rPr>
      </w:pPr>
    </w:p>
    <w:p w14:paraId="3794AA9D" w14:textId="7C8F9731" w:rsidR="00BD3A91" w:rsidRPr="00553244" w:rsidRDefault="00DF6EC2" w:rsidP="00D4431C">
      <w:pPr>
        <w:rPr>
          <w:rFonts w:ascii="Arial" w:eastAsia="Times New Roman" w:hAnsi="Arial" w:cs="Arial"/>
          <w:lang w:eastAsia="en-GB"/>
        </w:rPr>
      </w:pPr>
      <w:r w:rsidRPr="00553244">
        <w:rPr>
          <w:rFonts w:ascii="Arial" w:eastAsia="Times New Roman" w:hAnsi="Arial" w:cs="Arial"/>
          <w:lang w:eastAsia="en-GB"/>
        </w:rPr>
        <w:t>Following the investigation into Stephen Lawrence's murder, the Macpherson Report (1999) called for greater diversity and inclusion in the police force and exposed institutional racism. This led to important policy changes, such as the Race Relations Act 2000, which required all authorities</w:t>
      </w:r>
      <w:r w:rsidRPr="00553244">
        <w:rPr>
          <w:rFonts w:ascii="Arial" w:eastAsia="Times New Roman" w:hAnsi="Arial" w:cs="Arial"/>
          <w:lang w:eastAsia="en-GB"/>
        </w:rPr>
        <w:t xml:space="preserve">, </w:t>
      </w:r>
      <w:r w:rsidRPr="00553244">
        <w:rPr>
          <w:rFonts w:ascii="Arial" w:eastAsia="Times New Roman" w:hAnsi="Arial" w:cs="Arial"/>
          <w:lang w:eastAsia="en-GB"/>
        </w:rPr>
        <w:t>including the police</w:t>
      </w:r>
      <w:r w:rsidRPr="00553244">
        <w:rPr>
          <w:rFonts w:ascii="Arial" w:eastAsia="Times New Roman" w:hAnsi="Arial" w:cs="Arial"/>
          <w:lang w:eastAsia="en-GB"/>
        </w:rPr>
        <w:t xml:space="preserve"> </w:t>
      </w:r>
      <w:r w:rsidRPr="00553244">
        <w:rPr>
          <w:rFonts w:ascii="Arial" w:eastAsia="Times New Roman" w:hAnsi="Arial" w:cs="Arial"/>
          <w:lang w:eastAsia="en-GB"/>
        </w:rPr>
        <w:t xml:space="preserve">to </w:t>
      </w:r>
      <w:r w:rsidRPr="00553244">
        <w:rPr>
          <w:rFonts w:ascii="Arial" w:eastAsia="Times New Roman" w:hAnsi="Arial" w:cs="Arial"/>
          <w:lang w:eastAsia="en-GB"/>
        </w:rPr>
        <w:t>improve r</w:t>
      </w:r>
      <w:r w:rsidRPr="00553244">
        <w:rPr>
          <w:rFonts w:ascii="Arial" w:eastAsia="Times New Roman" w:hAnsi="Arial" w:cs="Arial"/>
          <w:lang w:eastAsia="en-GB"/>
        </w:rPr>
        <w:t xml:space="preserve">acial equality. </w:t>
      </w:r>
      <w:r w:rsidR="00BD3A91" w:rsidRPr="00BD3A91">
        <w:rPr>
          <w:rFonts w:ascii="Arial" w:eastAsia="Times New Roman" w:hAnsi="Arial" w:cs="Arial"/>
          <w:lang w:eastAsia="en-GB"/>
        </w:rPr>
        <w:t xml:space="preserve">The goal of diversifying the police workforce has made progress since the release of the Macpherson Report. Although it still does not fully reflect the variety of the UK population, the percentage of police officers from ethnic minority backgrounds has increased recently (Home office, 2021). To draw and keep officers from a variety of backgrounds, programs like diversity training, mentorship programs, and recruitment campaigns have been put in place. </w:t>
      </w:r>
    </w:p>
    <w:p w14:paraId="4BA13B48" w14:textId="41EBA4A4" w:rsidR="00D4431C" w:rsidRPr="00553244" w:rsidRDefault="00D4431C" w:rsidP="00D4431C">
      <w:pPr>
        <w:spacing w:after="0" w:line="240" w:lineRule="auto"/>
        <w:rPr>
          <w:rFonts w:ascii="Arial" w:eastAsia="Times New Roman" w:hAnsi="Arial" w:cs="Arial"/>
          <w:lang w:eastAsia="en-GB"/>
        </w:rPr>
      </w:pPr>
      <w:r w:rsidRPr="00D4431C">
        <w:rPr>
          <w:rFonts w:ascii="Arial" w:eastAsia="Times New Roman" w:hAnsi="Arial" w:cs="Arial"/>
          <w:lang w:eastAsia="en-GB"/>
        </w:rPr>
        <w:t xml:space="preserve">Across the United Kingdom, police forces continue to face challenges. According to a National Police Chiefs Council (NPCC) research, discrimination against and obstacles to career advancement still </w:t>
      </w:r>
      <w:r w:rsidR="004449A2">
        <w:rPr>
          <w:rFonts w:ascii="Arial" w:eastAsia="Times New Roman" w:hAnsi="Arial" w:cs="Arial"/>
          <w:lang w:eastAsia="en-GB"/>
        </w:rPr>
        <w:t xml:space="preserve">effect </w:t>
      </w:r>
      <w:r w:rsidRPr="00D4431C">
        <w:rPr>
          <w:rFonts w:ascii="Arial" w:eastAsia="Times New Roman" w:hAnsi="Arial" w:cs="Arial"/>
          <w:lang w:eastAsia="en-GB"/>
        </w:rPr>
        <w:t xml:space="preserve">police from minority backgrounds. Furthermore, there is a need for better representation of women and other marginalised groups, like the LGBTQ+ population (Loftus, 2009). </w:t>
      </w:r>
    </w:p>
    <w:p w14:paraId="4191662D" w14:textId="77777777" w:rsidR="00D4431C" w:rsidRPr="00553244" w:rsidRDefault="00D4431C" w:rsidP="00D4431C">
      <w:pPr>
        <w:spacing w:after="0" w:line="240" w:lineRule="auto"/>
        <w:rPr>
          <w:rFonts w:ascii="Arial" w:eastAsia="Times New Roman" w:hAnsi="Arial" w:cs="Arial"/>
          <w:lang w:eastAsia="en-GB"/>
        </w:rPr>
      </w:pPr>
    </w:p>
    <w:p w14:paraId="09824EBF" w14:textId="03700A6C" w:rsidR="00525802" w:rsidRPr="00525802" w:rsidRDefault="00D4431C" w:rsidP="00525802">
      <w:pPr>
        <w:spacing w:after="0" w:line="240" w:lineRule="auto"/>
        <w:rPr>
          <w:rFonts w:ascii="Arial" w:eastAsia="Times New Roman" w:hAnsi="Arial" w:cs="Arial"/>
          <w:lang w:eastAsia="en-GB"/>
        </w:rPr>
      </w:pPr>
      <w:r w:rsidRPr="00D4431C">
        <w:rPr>
          <w:rFonts w:ascii="Arial" w:eastAsia="Times New Roman" w:hAnsi="Arial" w:cs="Arial"/>
          <w:lang w:eastAsia="en-GB"/>
        </w:rPr>
        <w:t xml:space="preserve">A multicultural society requires effective involvement with its communities in order to maintain law and order. One important tactic in this regard has been community policing, which places an emphasis on fostering connections and trust between the public and the police. Efforts to enhance communication and cooperation with diverse groups include the creation of community liaison officers, neighbourhood policing teams, and alliances with community organisations. </w:t>
      </w:r>
      <w:r w:rsidR="00525802" w:rsidRPr="00525802">
        <w:rPr>
          <w:rFonts w:ascii="Arial" w:eastAsia="Times New Roman" w:hAnsi="Arial" w:cs="Arial"/>
          <w:lang w:eastAsia="en-GB"/>
        </w:rPr>
        <w:t>To improve the interaction between the police and different communities, a number of targeted programs have been introduced. The National Black Police Association (NBPA) and other like organisations, for instance, have supported community outreach initiatives and offered training on cultural sensitivity in an effort to enhance links between the police and the community (Rowe</w:t>
      </w:r>
      <w:r w:rsidR="00525802" w:rsidRPr="00553244">
        <w:rPr>
          <w:rFonts w:ascii="Arial" w:eastAsia="Times New Roman" w:hAnsi="Arial" w:cs="Arial"/>
          <w:lang w:eastAsia="en-GB"/>
        </w:rPr>
        <w:t xml:space="preserve">, 2004). </w:t>
      </w:r>
    </w:p>
    <w:p w14:paraId="0D159EEA" w14:textId="77777777" w:rsidR="000B1607" w:rsidRPr="00553244" w:rsidRDefault="000B1607" w:rsidP="00634692">
      <w:pPr>
        <w:spacing w:after="0" w:line="240" w:lineRule="auto"/>
        <w:rPr>
          <w:rFonts w:ascii="Arial" w:eastAsia="Times New Roman" w:hAnsi="Arial" w:cs="Arial"/>
          <w:lang w:eastAsia="en-GB"/>
        </w:rPr>
      </w:pPr>
    </w:p>
    <w:p w14:paraId="33A73AF3" w14:textId="77777777" w:rsidR="00AE77D7" w:rsidRPr="00553244" w:rsidRDefault="00AE77D7" w:rsidP="00AE77D7">
      <w:pPr>
        <w:spacing w:after="0" w:line="240" w:lineRule="auto"/>
        <w:rPr>
          <w:rFonts w:ascii="Arial" w:eastAsia="Times New Roman" w:hAnsi="Arial" w:cs="Arial"/>
          <w:lang w:eastAsia="en-GB"/>
        </w:rPr>
      </w:pPr>
      <w:r w:rsidRPr="00553244">
        <w:rPr>
          <w:rFonts w:ascii="Arial" w:eastAsia="Times New Roman" w:hAnsi="Arial" w:cs="Arial"/>
          <w:lang w:eastAsia="en-GB"/>
        </w:rPr>
        <w:t xml:space="preserve">Neighbourhood policing teams were introduced into police forces across the UK as part of a broader community policing strategy, focussing on building local relationships and solving community-specific issues. These teams are intended to be visible and accessible offering reassurance and fostering collaboration with residents, including those from ethnic minority backgrounds (Innes, 2006). Neighbourhood Policing Teams engage in regular consultations </w:t>
      </w:r>
      <w:r w:rsidRPr="00553244">
        <w:rPr>
          <w:rFonts w:ascii="Arial" w:eastAsia="Times New Roman" w:hAnsi="Arial" w:cs="Arial"/>
          <w:lang w:eastAsia="en-GB"/>
        </w:rPr>
        <w:lastRenderedPageBreak/>
        <w:t xml:space="preserve">with community groups and involve them in local decision-making processes. This engagement helps to tailor policing strategies to specific needs and concerns of different communities, promoting inclusivity and responsiveness. </w:t>
      </w:r>
    </w:p>
    <w:p w14:paraId="02F37F59" w14:textId="77777777" w:rsidR="00AE77D7" w:rsidRPr="00553244" w:rsidRDefault="00AE77D7" w:rsidP="00AE77D7">
      <w:pPr>
        <w:spacing w:after="0" w:line="240" w:lineRule="auto"/>
        <w:rPr>
          <w:rFonts w:ascii="Arial" w:eastAsia="Times New Roman" w:hAnsi="Arial" w:cs="Arial"/>
          <w:lang w:eastAsia="en-GB"/>
        </w:rPr>
      </w:pPr>
    </w:p>
    <w:p w14:paraId="48139707" w14:textId="418D0680" w:rsidR="00AE77D7" w:rsidRPr="00553244" w:rsidRDefault="00B141E7" w:rsidP="00495965">
      <w:pPr>
        <w:rPr>
          <w:rFonts w:ascii="Arial" w:eastAsia="Times New Roman" w:hAnsi="Arial" w:cs="Arial"/>
          <w:lang w:eastAsia="en-GB"/>
        </w:rPr>
      </w:pPr>
      <w:r w:rsidRPr="00B141E7">
        <w:rPr>
          <w:rFonts w:ascii="Arial" w:eastAsia="Times New Roman" w:hAnsi="Arial" w:cs="Arial"/>
          <w:lang w:eastAsia="en-GB"/>
        </w:rPr>
        <w:t xml:space="preserve">Important obstacles continue to exist in spite of the efforts. Particularly in light of high-profile occurrences and cases of suspected misbehaviour, there is still a view that the police are an organisation that does not fully comprehend or respect ethnic minority populations. According to Loftus (2009), establishing trust is a continuous process, and failures can immediately impede development. </w:t>
      </w:r>
      <w:r w:rsidRPr="00553244">
        <w:rPr>
          <w:rFonts w:ascii="Arial" w:eastAsia="Times New Roman" w:hAnsi="Arial" w:cs="Arial"/>
          <w:lang w:eastAsia="en-GB"/>
        </w:rPr>
        <w:t xml:space="preserve">Furthermore, various communities and geographical areas may experience considerable differences in the efficacy of participation. While certain areas have achieved success with partnership models, others continue to face persistent problems with friction and mistrust. The discrepancy shows that additional national standards and procedures are required. </w:t>
      </w:r>
    </w:p>
    <w:p w14:paraId="721E94C0" w14:textId="77777777" w:rsidR="0016542A" w:rsidRPr="0016542A" w:rsidRDefault="00130FFB" w:rsidP="0016542A">
      <w:pPr>
        <w:rPr>
          <w:rFonts w:ascii="Times New Roman" w:eastAsia="Times New Roman" w:hAnsi="Times New Roman" w:cs="Times New Roman"/>
          <w:sz w:val="24"/>
          <w:szCs w:val="24"/>
          <w:lang w:eastAsia="en-GB"/>
        </w:rPr>
      </w:pPr>
      <w:r w:rsidRPr="00130FFB">
        <w:rPr>
          <w:rFonts w:ascii="Arial" w:eastAsia="Times New Roman" w:hAnsi="Arial" w:cs="Arial"/>
          <w:lang w:eastAsia="en-GB"/>
        </w:rPr>
        <w:t xml:space="preserve">Even while the UK police force is now far more diverse and engages with diverse communities more effectively, there are still many obstacles to overcome. Although the number of women and members of ethnic minorities in the police has increased, more work is still required to remove obstacles to advancement and guarantee that there is no exclusive culture within the force. </w:t>
      </w:r>
      <w:r w:rsidR="0016542A" w:rsidRPr="0016542A">
        <w:rPr>
          <w:rFonts w:ascii="Arial" w:eastAsia="Times New Roman" w:hAnsi="Arial" w:cs="Arial"/>
          <w:lang w:eastAsia="en-GB"/>
        </w:rPr>
        <w:t>Similarly, community engagement initiatives have proven to be helpful; nevertheless, they still require expansion and enhancement to effectively address issues of bias, trust, and cultural competence.</w:t>
      </w:r>
    </w:p>
    <w:p w14:paraId="54665248" w14:textId="36903B8E" w:rsidR="007615C3" w:rsidRPr="007615C3" w:rsidRDefault="007615C3" w:rsidP="007615C3">
      <w:pPr>
        <w:spacing w:after="0" w:line="240" w:lineRule="auto"/>
        <w:rPr>
          <w:rFonts w:ascii="Arial" w:eastAsia="Times New Roman" w:hAnsi="Arial" w:cs="Arial"/>
          <w:lang w:eastAsia="en-GB"/>
        </w:rPr>
      </w:pPr>
      <w:r w:rsidRPr="007615C3">
        <w:rPr>
          <w:rFonts w:ascii="Arial" w:eastAsia="Times New Roman" w:hAnsi="Arial" w:cs="Arial"/>
          <w:lang w:eastAsia="en-GB"/>
        </w:rPr>
        <w:t xml:space="preserve">Policing tactics need to be continually reviewed and modified with a commitment to openness, responsibility, and inclusivity in order to properly account for the variety of the UK. Targeted </w:t>
      </w:r>
      <w:r w:rsidRPr="00553244">
        <w:rPr>
          <w:rFonts w:ascii="Arial" w:eastAsia="Times New Roman" w:hAnsi="Arial" w:cs="Arial"/>
          <w:lang w:eastAsia="en-GB"/>
        </w:rPr>
        <w:t>training</w:t>
      </w:r>
      <w:r w:rsidRPr="007615C3">
        <w:rPr>
          <w:rFonts w:ascii="Arial" w:eastAsia="Times New Roman" w:hAnsi="Arial" w:cs="Arial"/>
          <w:lang w:eastAsia="en-GB"/>
        </w:rPr>
        <w:t xml:space="preserve"> police</w:t>
      </w:r>
      <w:r w:rsidRPr="00553244">
        <w:rPr>
          <w:rFonts w:ascii="Arial" w:eastAsia="Times New Roman" w:hAnsi="Arial" w:cs="Arial"/>
          <w:lang w:eastAsia="en-GB"/>
        </w:rPr>
        <w:t xml:space="preserve"> officers</w:t>
      </w:r>
      <w:r w:rsidRPr="007615C3">
        <w:rPr>
          <w:rFonts w:ascii="Arial" w:eastAsia="Times New Roman" w:hAnsi="Arial" w:cs="Arial"/>
          <w:lang w:eastAsia="en-GB"/>
        </w:rPr>
        <w:t>, strong monitoring procedures, and continual community discussion are crucial elements of a policing paradigm that may successfully support multicultural society.</w:t>
      </w:r>
    </w:p>
    <w:p w14:paraId="71C35DCE" w14:textId="77777777" w:rsidR="00DF6EC2" w:rsidRPr="00553244" w:rsidRDefault="00DF6EC2" w:rsidP="00634692">
      <w:pPr>
        <w:spacing w:after="0" w:line="240" w:lineRule="auto"/>
        <w:rPr>
          <w:rFonts w:ascii="Arial" w:eastAsia="Times New Roman" w:hAnsi="Arial" w:cs="Arial"/>
          <w:lang w:eastAsia="en-GB"/>
        </w:rPr>
      </w:pPr>
    </w:p>
    <w:p w14:paraId="6A962273" w14:textId="77777777" w:rsidR="00DF6EC2" w:rsidRPr="00634692" w:rsidRDefault="00DF6EC2" w:rsidP="00634692">
      <w:pPr>
        <w:spacing w:after="0" w:line="240" w:lineRule="auto"/>
        <w:rPr>
          <w:rFonts w:ascii="Arial" w:eastAsia="Times New Roman" w:hAnsi="Arial" w:cs="Arial"/>
          <w:lang w:eastAsia="en-GB"/>
        </w:rPr>
      </w:pPr>
    </w:p>
    <w:p w14:paraId="7DB025F5" w14:textId="145AB705" w:rsidR="00684D95" w:rsidRPr="00553244" w:rsidRDefault="00684D95" w:rsidP="00684D95">
      <w:pPr>
        <w:spacing w:after="0" w:line="240" w:lineRule="auto"/>
        <w:rPr>
          <w:rFonts w:ascii="Arial" w:eastAsia="Times New Roman" w:hAnsi="Arial" w:cs="Arial"/>
          <w:lang w:eastAsia="en-GB"/>
        </w:rPr>
      </w:pPr>
    </w:p>
    <w:p w14:paraId="51D8DE7E" w14:textId="77777777" w:rsidR="00175BF1" w:rsidRPr="00684D95" w:rsidRDefault="00175BF1" w:rsidP="00684D95">
      <w:pPr>
        <w:spacing w:after="0" w:line="240" w:lineRule="auto"/>
        <w:rPr>
          <w:rFonts w:ascii="Arial" w:eastAsia="Times New Roman" w:hAnsi="Arial" w:cs="Arial"/>
          <w:lang w:eastAsia="en-GB"/>
        </w:rPr>
      </w:pPr>
    </w:p>
    <w:p w14:paraId="2F99141F" w14:textId="77777777" w:rsidR="00F642FC" w:rsidRPr="00553244" w:rsidRDefault="00F642FC" w:rsidP="00DF6C16">
      <w:pPr>
        <w:spacing w:after="0" w:line="240" w:lineRule="auto"/>
        <w:rPr>
          <w:rFonts w:ascii="Arial" w:eastAsia="Times New Roman" w:hAnsi="Arial" w:cs="Arial"/>
          <w:lang w:eastAsia="en-GB"/>
        </w:rPr>
      </w:pPr>
    </w:p>
    <w:p w14:paraId="45E50F2A" w14:textId="77777777" w:rsidR="006C5C4A" w:rsidRPr="00553244" w:rsidRDefault="006C5C4A" w:rsidP="006C5C4A">
      <w:pPr>
        <w:rPr>
          <w:rFonts w:ascii="Arial" w:eastAsia="Times New Roman" w:hAnsi="Arial" w:cs="Arial"/>
          <w:lang w:eastAsia="en-GB"/>
        </w:rPr>
      </w:pPr>
    </w:p>
    <w:p w14:paraId="74668029" w14:textId="77777777" w:rsidR="006C5C4A" w:rsidRPr="00553244" w:rsidRDefault="006C5C4A" w:rsidP="006C5C4A">
      <w:pPr>
        <w:rPr>
          <w:rFonts w:ascii="Arial" w:eastAsia="Times New Roman" w:hAnsi="Arial" w:cs="Arial"/>
          <w:lang w:eastAsia="en-GB"/>
        </w:rPr>
      </w:pPr>
    </w:p>
    <w:p w14:paraId="1624E6DC" w14:textId="35135318" w:rsidR="00BD32F6" w:rsidRPr="00553244" w:rsidRDefault="00BD32F6" w:rsidP="00BD32F6">
      <w:pPr>
        <w:rPr>
          <w:rFonts w:ascii="Arial" w:eastAsia="Times New Roman" w:hAnsi="Arial" w:cs="Arial"/>
          <w:lang w:eastAsia="en-GB"/>
        </w:rPr>
      </w:pPr>
    </w:p>
    <w:p w14:paraId="5A9BE9A2" w14:textId="20B940D1" w:rsidR="00BD32F6" w:rsidRPr="00553244" w:rsidRDefault="00BD32F6" w:rsidP="00BD32F6">
      <w:pPr>
        <w:spacing w:after="0" w:line="240" w:lineRule="auto"/>
        <w:rPr>
          <w:rFonts w:ascii="Arial" w:eastAsia="Times New Roman" w:hAnsi="Arial" w:cs="Arial"/>
          <w:lang w:eastAsia="en-GB"/>
        </w:rPr>
      </w:pPr>
    </w:p>
    <w:p w14:paraId="03257F16" w14:textId="77777777" w:rsidR="00BD32F6" w:rsidRPr="00BD32F6" w:rsidRDefault="00BD32F6" w:rsidP="00BD32F6">
      <w:pPr>
        <w:spacing w:after="0" w:line="240" w:lineRule="auto"/>
        <w:rPr>
          <w:rFonts w:ascii="Arial" w:eastAsia="Times New Roman" w:hAnsi="Arial" w:cs="Arial"/>
          <w:lang w:eastAsia="en-GB"/>
        </w:rPr>
      </w:pPr>
    </w:p>
    <w:p w14:paraId="0D59514A" w14:textId="77777777" w:rsidR="00553244" w:rsidRPr="00553244" w:rsidRDefault="00553244" w:rsidP="006960EE">
      <w:pPr>
        <w:rPr>
          <w:rFonts w:ascii="Arial" w:eastAsia="Times New Roman" w:hAnsi="Arial" w:cs="Arial"/>
          <w:lang w:eastAsia="en-GB"/>
        </w:rPr>
      </w:pPr>
    </w:p>
    <w:p w14:paraId="60B35618" w14:textId="77777777" w:rsidR="00553244" w:rsidRPr="00553244" w:rsidRDefault="00553244" w:rsidP="006960EE">
      <w:pPr>
        <w:rPr>
          <w:rFonts w:ascii="Arial" w:hAnsi="Arial" w:cs="Arial"/>
          <w:color w:val="222222"/>
          <w:shd w:val="clear" w:color="auto" w:fill="FFFFFF"/>
        </w:rPr>
      </w:pPr>
    </w:p>
    <w:p w14:paraId="0EA1E220" w14:textId="77777777" w:rsidR="00E36B97" w:rsidRDefault="00E36B97" w:rsidP="006960EE">
      <w:pPr>
        <w:rPr>
          <w:rFonts w:ascii="Arial" w:hAnsi="Arial" w:cs="Arial"/>
          <w:b/>
          <w:bCs/>
          <w:color w:val="222222"/>
          <w:u w:val="single"/>
          <w:shd w:val="clear" w:color="auto" w:fill="FFFFFF"/>
        </w:rPr>
      </w:pPr>
    </w:p>
    <w:p w14:paraId="278DD3E1" w14:textId="77777777" w:rsidR="00E36B97" w:rsidRDefault="00E36B97" w:rsidP="006960EE">
      <w:pPr>
        <w:rPr>
          <w:rFonts w:ascii="Arial" w:hAnsi="Arial" w:cs="Arial"/>
          <w:b/>
          <w:bCs/>
          <w:color w:val="222222"/>
          <w:u w:val="single"/>
          <w:shd w:val="clear" w:color="auto" w:fill="FFFFFF"/>
        </w:rPr>
      </w:pPr>
    </w:p>
    <w:p w14:paraId="11797CB0" w14:textId="77777777" w:rsidR="00E36B97" w:rsidRDefault="00E36B97" w:rsidP="006960EE">
      <w:pPr>
        <w:rPr>
          <w:rFonts w:ascii="Arial" w:hAnsi="Arial" w:cs="Arial"/>
          <w:b/>
          <w:bCs/>
          <w:color w:val="222222"/>
          <w:u w:val="single"/>
          <w:shd w:val="clear" w:color="auto" w:fill="FFFFFF"/>
        </w:rPr>
      </w:pPr>
    </w:p>
    <w:p w14:paraId="31A1BC18" w14:textId="77777777" w:rsidR="00E36B97" w:rsidRDefault="00E36B97" w:rsidP="006960EE">
      <w:pPr>
        <w:rPr>
          <w:rFonts w:ascii="Arial" w:hAnsi="Arial" w:cs="Arial"/>
          <w:b/>
          <w:bCs/>
          <w:color w:val="222222"/>
          <w:u w:val="single"/>
          <w:shd w:val="clear" w:color="auto" w:fill="FFFFFF"/>
        </w:rPr>
      </w:pPr>
    </w:p>
    <w:p w14:paraId="0537C0F8" w14:textId="77777777" w:rsidR="00E36B97" w:rsidRDefault="00E36B97" w:rsidP="006960EE">
      <w:pPr>
        <w:rPr>
          <w:rFonts w:ascii="Arial" w:hAnsi="Arial" w:cs="Arial"/>
          <w:b/>
          <w:bCs/>
          <w:color w:val="222222"/>
          <w:u w:val="single"/>
          <w:shd w:val="clear" w:color="auto" w:fill="FFFFFF"/>
        </w:rPr>
      </w:pPr>
    </w:p>
    <w:p w14:paraId="6545F3B1" w14:textId="77777777" w:rsidR="00E36B97" w:rsidRDefault="00E36B97" w:rsidP="006960EE">
      <w:pPr>
        <w:rPr>
          <w:rFonts w:ascii="Arial" w:hAnsi="Arial" w:cs="Arial"/>
          <w:b/>
          <w:bCs/>
          <w:color w:val="222222"/>
          <w:u w:val="single"/>
          <w:shd w:val="clear" w:color="auto" w:fill="FFFFFF"/>
        </w:rPr>
      </w:pPr>
    </w:p>
    <w:p w14:paraId="47D5CC06" w14:textId="77777777" w:rsidR="00E36B97" w:rsidRDefault="00E36B97" w:rsidP="006960EE">
      <w:pPr>
        <w:rPr>
          <w:rFonts w:ascii="Arial" w:hAnsi="Arial" w:cs="Arial"/>
          <w:b/>
          <w:bCs/>
          <w:color w:val="222222"/>
          <w:u w:val="single"/>
          <w:shd w:val="clear" w:color="auto" w:fill="FFFFFF"/>
        </w:rPr>
      </w:pPr>
    </w:p>
    <w:p w14:paraId="622583A6" w14:textId="47A2B3BA" w:rsidR="00553244" w:rsidRPr="00553244" w:rsidRDefault="00553244" w:rsidP="006960EE">
      <w:pPr>
        <w:rPr>
          <w:rFonts w:ascii="Arial" w:hAnsi="Arial" w:cs="Arial"/>
          <w:b/>
          <w:bCs/>
          <w:color w:val="222222"/>
          <w:u w:val="single"/>
          <w:shd w:val="clear" w:color="auto" w:fill="FFFFFF"/>
        </w:rPr>
      </w:pPr>
      <w:r w:rsidRPr="00553244">
        <w:rPr>
          <w:rFonts w:ascii="Arial" w:hAnsi="Arial" w:cs="Arial"/>
          <w:b/>
          <w:bCs/>
          <w:color w:val="222222"/>
          <w:u w:val="single"/>
          <w:shd w:val="clear" w:color="auto" w:fill="FFFFFF"/>
        </w:rPr>
        <w:lastRenderedPageBreak/>
        <w:t>Bibliography</w:t>
      </w:r>
    </w:p>
    <w:p w14:paraId="6C1DCD94" w14:textId="77777777" w:rsidR="00A815E8" w:rsidRPr="00A815E8" w:rsidRDefault="00A815E8" w:rsidP="006960EE">
      <w:pPr>
        <w:rPr>
          <w:rFonts w:ascii="Arial" w:eastAsia="Times New Roman" w:hAnsi="Arial" w:cs="Arial"/>
          <w:lang w:eastAsia="en-GB"/>
        </w:rPr>
      </w:pPr>
      <w:r w:rsidRPr="00A815E8">
        <w:rPr>
          <w:rFonts w:ascii="Arial" w:hAnsi="Arial" w:cs="Arial"/>
          <w:color w:val="222222"/>
          <w:shd w:val="clear" w:color="auto" w:fill="FFFFFF"/>
        </w:rPr>
        <w:t>Ariel, B., Farrar, W.A. and Sutherland, A., 2015. The effect of police body-worn cameras on use of force and citizens’ complaints against the police: A randomized controlled trial. </w:t>
      </w:r>
      <w:r w:rsidRPr="00A815E8">
        <w:rPr>
          <w:rFonts w:ascii="Arial" w:hAnsi="Arial" w:cs="Arial"/>
          <w:i/>
          <w:iCs/>
          <w:color w:val="222222"/>
          <w:shd w:val="clear" w:color="auto" w:fill="FFFFFF"/>
        </w:rPr>
        <w:t>Journal of quantitative criminology</w:t>
      </w:r>
      <w:r w:rsidRPr="00A815E8">
        <w:rPr>
          <w:rFonts w:ascii="Arial" w:hAnsi="Arial" w:cs="Arial"/>
          <w:color w:val="222222"/>
          <w:shd w:val="clear" w:color="auto" w:fill="FFFFFF"/>
        </w:rPr>
        <w:t>, </w:t>
      </w:r>
      <w:r w:rsidRPr="00A815E8">
        <w:rPr>
          <w:rFonts w:ascii="Arial" w:hAnsi="Arial" w:cs="Arial"/>
          <w:i/>
          <w:iCs/>
          <w:color w:val="222222"/>
          <w:shd w:val="clear" w:color="auto" w:fill="FFFFFF"/>
        </w:rPr>
        <w:t>31</w:t>
      </w:r>
      <w:r w:rsidRPr="00A815E8">
        <w:rPr>
          <w:rFonts w:ascii="Arial" w:hAnsi="Arial" w:cs="Arial"/>
          <w:color w:val="222222"/>
          <w:shd w:val="clear" w:color="auto" w:fill="FFFFFF"/>
        </w:rPr>
        <w:t>, pp.509-535.</w:t>
      </w:r>
    </w:p>
    <w:p w14:paraId="4E6488B2"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Bowling, B. and Phillips, C., 2007. Disproportionate and discriminatory: Reviewing the evidence on police stop and search. </w:t>
      </w:r>
      <w:r w:rsidRPr="00A815E8">
        <w:rPr>
          <w:rFonts w:ascii="Arial" w:hAnsi="Arial" w:cs="Arial"/>
          <w:i/>
          <w:iCs/>
          <w:color w:val="222222"/>
          <w:shd w:val="clear" w:color="auto" w:fill="FFFFFF"/>
        </w:rPr>
        <w:t>The modern law review</w:t>
      </w:r>
      <w:r w:rsidRPr="00A815E8">
        <w:rPr>
          <w:rFonts w:ascii="Arial" w:hAnsi="Arial" w:cs="Arial"/>
          <w:color w:val="222222"/>
          <w:shd w:val="clear" w:color="auto" w:fill="FFFFFF"/>
        </w:rPr>
        <w:t>, </w:t>
      </w:r>
      <w:r w:rsidRPr="00A815E8">
        <w:rPr>
          <w:rFonts w:ascii="Arial" w:hAnsi="Arial" w:cs="Arial"/>
          <w:i/>
          <w:iCs/>
          <w:color w:val="222222"/>
          <w:shd w:val="clear" w:color="auto" w:fill="FFFFFF"/>
        </w:rPr>
        <w:t>70</w:t>
      </w:r>
      <w:r w:rsidRPr="00A815E8">
        <w:rPr>
          <w:rFonts w:ascii="Arial" w:hAnsi="Arial" w:cs="Arial"/>
          <w:color w:val="222222"/>
          <w:shd w:val="clear" w:color="auto" w:fill="FFFFFF"/>
        </w:rPr>
        <w:t>(6), pp.936-961.</w:t>
      </w:r>
    </w:p>
    <w:p w14:paraId="01DCFE18"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 xml:space="preserve">Bowling, B., &amp; Phillips, c. 2003 Racism, Crime and Justice. </w:t>
      </w:r>
    </w:p>
    <w:p w14:paraId="160C81A3"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 xml:space="preserve">Bradford, B., 2014. Policing and social identity: Procedural justice, </w:t>
      </w:r>
      <w:proofErr w:type="gramStart"/>
      <w:r w:rsidRPr="00A815E8">
        <w:rPr>
          <w:rFonts w:ascii="Arial" w:hAnsi="Arial" w:cs="Arial"/>
          <w:color w:val="222222"/>
          <w:shd w:val="clear" w:color="auto" w:fill="FFFFFF"/>
        </w:rPr>
        <w:t>inclusion</w:t>
      </w:r>
      <w:proofErr w:type="gramEnd"/>
      <w:r w:rsidRPr="00A815E8">
        <w:rPr>
          <w:rFonts w:ascii="Arial" w:hAnsi="Arial" w:cs="Arial"/>
          <w:color w:val="222222"/>
          <w:shd w:val="clear" w:color="auto" w:fill="FFFFFF"/>
        </w:rPr>
        <w:t xml:space="preserve"> and cooperation between police and public. </w:t>
      </w:r>
      <w:r w:rsidRPr="00A815E8">
        <w:rPr>
          <w:rFonts w:ascii="Arial" w:hAnsi="Arial" w:cs="Arial"/>
          <w:i/>
          <w:iCs/>
          <w:color w:val="222222"/>
          <w:shd w:val="clear" w:color="auto" w:fill="FFFFFF"/>
        </w:rPr>
        <w:t>Policing and society</w:t>
      </w:r>
      <w:r w:rsidRPr="00A815E8">
        <w:rPr>
          <w:rFonts w:ascii="Arial" w:hAnsi="Arial" w:cs="Arial"/>
          <w:color w:val="222222"/>
          <w:shd w:val="clear" w:color="auto" w:fill="FFFFFF"/>
        </w:rPr>
        <w:t xml:space="preserve">. </w:t>
      </w:r>
    </w:p>
    <w:p w14:paraId="78D6166B" w14:textId="77777777" w:rsidR="00A815E8" w:rsidRPr="00A815E8" w:rsidRDefault="00A815E8">
      <w:pPr>
        <w:rPr>
          <w:rFonts w:ascii="Arial" w:hAnsi="Arial" w:cs="Arial"/>
          <w:i/>
          <w:iCs/>
          <w:color w:val="222222"/>
          <w:shd w:val="clear" w:color="auto" w:fill="FFFFFF"/>
        </w:rPr>
      </w:pPr>
      <w:r w:rsidRPr="00A815E8">
        <w:rPr>
          <w:rFonts w:ascii="Arial" w:hAnsi="Arial" w:cs="Arial"/>
          <w:color w:val="222222"/>
          <w:shd w:val="clear" w:color="auto" w:fill="FFFFFF"/>
        </w:rPr>
        <w:t xml:space="preserve">Braga, A., </w:t>
      </w:r>
      <w:proofErr w:type="spellStart"/>
      <w:r w:rsidRPr="00A815E8">
        <w:rPr>
          <w:rFonts w:ascii="Arial" w:hAnsi="Arial" w:cs="Arial"/>
          <w:color w:val="222222"/>
          <w:shd w:val="clear" w:color="auto" w:fill="FFFFFF"/>
        </w:rPr>
        <w:t>Coldren</w:t>
      </w:r>
      <w:proofErr w:type="spellEnd"/>
      <w:r w:rsidRPr="00A815E8">
        <w:rPr>
          <w:rFonts w:ascii="Arial" w:hAnsi="Arial" w:cs="Arial"/>
          <w:color w:val="222222"/>
          <w:shd w:val="clear" w:color="auto" w:fill="FFFFFF"/>
        </w:rPr>
        <w:t xml:space="preserve"> Jr, J.R., Sousa, W., Rodriguez, D. and </w:t>
      </w:r>
      <w:proofErr w:type="spellStart"/>
      <w:r w:rsidRPr="00A815E8">
        <w:rPr>
          <w:rFonts w:ascii="Arial" w:hAnsi="Arial" w:cs="Arial"/>
          <w:color w:val="222222"/>
          <w:shd w:val="clear" w:color="auto" w:fill="FFFFFF"/>
        </w:rPr>
        <w:t>Alper</w:t>
      </w:r>
      <w:proofErr w:type="spellEnd"/>
      <w:r w:rsidRPr="00A815E8">
        <w:rPr>
          <w:rFonts w:ascii="Arial" w:hAnsi="Arial" w:cs="Arial"/>
          <w:color w:val="222222"/>
          <w:shd w:val="clear" w:color="auto" w:fill="FFFFFF"/>
        </w:rPr>
        <w:t>, O., 2017. The benefits of body-worn cameras: new findings from a randomized controlled trial at the Las Vegas Metropolitan Police. </w:t>
      </w:r>
      <w:r w:rsidRPr="00A815E8">
        <w:rPr>
          <w:rFonts w:ascii="Arial" w:hAnsi="Arial" w:cs="Arial"/>
          <w:i/>
          <w:iCs/>
          <w:color w:val="222222"/>
          <w:shd w:val="clear" w:color="auto" w:fill="FFFFFF"/>
        </w:rPr>
        <w:t xml:space="preserve">National Institute of Justice Journal, 279, 1-12. </w:t>
      </w:r>
    </w:p>
    <w:p w14:paraId="4826ED4C"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Cashmore, E., 2001. The experiences of ethnic minority police officers in Britain: under-recruitment and racial profiling in a performance culture. </w:t>
      </w:r>
      <w:r w:rsidRPr="00A815E8">
        <w:rPr>
          <w:rFonts w:ascii="Arial" w:hAnsi="Arial" w:cs="Arial"/>
          <w:i/>
          <w:iCs/>
          <w:color w:val="222222"/>
          <w:shd w:val="clear" w:color="auto" w:fill="FFFFFF"/>
        </w:rPr>
        <w:t>Ethnic and racial studies</w:t>
      </w:r>
      <w:r w:rsidRPr="00A815E8">
        <w:rPr>
          <w:rFonts w:ascii="Arial" w:hAnsi="Arial" w:cs="Arial"/>
          <w:color w:val="222222"/>
          <w:shd w:val="clear" w:color="auto" w:fill="FFFFFF"/>
        </w:rPr>
        <w:t>, </w:t>
      </w:r>
      <w:r w:rsidRPr="00A815E8">
        <w:rPr>
          <w:rFonts w:ascii="Arial" w:hAnsi="Arial" w:cs="Arial"/>
          <w:i/>
          <w:iCs/>
          <w:color w:val="222222"/>
          <w:shd w:val="clear" w:color="auto" w:fill="FFFFFF"/>
        </w:rPr>
        <w:t>24</w:t>
      </w:r>
      <w:r w:rsidRPr="00A815E8">
        <w:rPr>
          <w:rFonts w:ascii="Arial" w:hAnsi="Arial" w:cs="Arial"/>
          <w:color w:val="222222"/>
          <w:shd w:val="clear" w:color="auto" w:fill="FFFFFF"/>
        </w:rPr>
        <w:t>(4), pp.642-659.</w:t>
      </w:r>
    </w:p>
    <w:p w14:paraId="186A6224"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Decker, S.H. and Van Winkle, B., 1996. </w:t>
      </w:r>
      <w:r w:rsidRPr="00A815E8">
        <w:rPr>
          <w:rFonts w:ascii="Arial" w:hAnsi="Arial" w:cs="Arial"/>
          <w:i/>
          <w:iCs/>
          <w:color w:val="222222"/>
          <w:shd w:val="clear" w:color="auto" w:fill="FFFFFF"/>
        </w:rPr>
        <w:t>Life in the gang: Family, friends, and violence</w:t>
      </w:r>
      <w:r w:rsidRPr="00A815E8">
        <w:rPr>
          <w:rFonts w:ascii="Arial" w:hAnsi="Arial" w:cs="Arial"/>
          <w:color w:val="222222"/>
          <w:shd w:val="clear" w:color="auto" w:fill="FFFFFF"/>
        </w:rPr>
        <w:t>. Cambridge University Press.</w:t>
      </w:r>
    </w:p>
    <w:p w14:paraId="4443B746" w14:textId="77777777" w:rsidR="00A815E8" w:rsidRPr="00A815E8" w:rsidRDefault="00A815E8">
      <w:pPr>
        <w:rPr>
          <w:rFonts w:ascii="Arial" w:hAnsi="Arial" w:cs="Arial"/>
          <w:color w:val="222222"/>
          <w:shd w:val="clear" w:color="auto" w:fill="FFFFFF"/>
        </w:rPr>
      </w:pPr>
      <w:proofErr w:type="spellStart"/>
      <w:r w:rsidRPr="00A815E8">
        <w:rPr>
          <w:rFonts w:ascii="Arial" w:hAnsi="Arial" w:cs="Arial"/>
          <w:color w:val="222222"/>
          <w:shd w:val="clear" w:color="auto" w:fill="FFFFFF"/>
        </w:rPr>
        <w:t>Durlak</w:t>
      </w:r>
      <w:proofErr w:type="spellEnd"/>
      <w:r w:rsidRPr="00A815E8">
        <w:rPr>
          <w:rFonts w:ascii="Arial" w:hAnsi="Arial" w:cs="Arial"/>
          <w:color w:val="222222"/>
          <w:shd w:val="clear" w:color="auto" w:fill="FFFFFF"/>
        </w:rPr>
        <w:t xml:space="preserve">, J.A., Weissberg, R.P., </w:t>
      </w:r>
      <w:proofErr w:type="spellStart"/>
      <w:r w:rsidRPr="00A815E8">
        <w:rPr>
          <w:rFonts w:ascii="Arial" w:hAnsi="Arial" w:cs="Arial"/>
          <w:color w:val="222222"/>
          <w:shd w:val="clear" w:color="auto" w:fill="FFFFFF"/>
        </w:rPr>
        <w:t>Dymnicki</w:t>
      </w:r>
      <w:proofErr w:type="spellEnd"/>
      <w:r w:rsidRPr="00A815E8">
        <w:rPr>
          <w:rFonts w:ascii="Arial" w:hAnsi="Arial" w:cs="Arial"/>
          <w:color w:val="222222"/>
          <w:shd w:val="clear" w:color="auto" w:fill="FFFFFF"/>
        </w:rPr>
        <w:t xml:space="preserve">, A.B., Taylor, </w:t>
      </w:r>
      <w:proofErr w:type="gramStart"/>
      <w:r w:rsidRPr="00A815E8">
        <w:rPr>
          <w:rFonts w:ascii="Arial" w:hAnsi="Arial" w:cs="Arial"/>
          <w:color w:val="222222"/>
          <w:shd w:val="clear" w:color="auto" w:fill="FFFFFF"/>
        </w:rPr>
        <w:t>R.D.</w:t>
      </w:r>
      <w:proofErr w:type="gramEnd"/>
      <w:r w:rsidRPr="00A815E8">
        <w:rPr>
          <w:rFonts w:ascii="Arial" w:hAnsi="Arial" w:cs="Arial"/>
          <w:color w:val="222222"/>
          <w:shd w:val="clear" w:color="auto" w:fill="FFFFFF"/>
        </w:rPr>
        <w:t xml:space="preserve"> and </w:t>
      </w:r>
      <w:proofErr w:type="spellStart"/>
      <w:r w:rsidRPr="00A815E8">
        <w:rPr>
          <w:rFonts w:ascii="Arial" w:hAnsi="Arial" w:cs="Arial"/>
          <w:color w:val="222222"/>
          <w:shd w:val="clear" w:color="auto" w:fill="FFFFFF"/>
        </w:rPr>
        <w:t>Schellinger</w:t>
      </w:r>
      <w:proofErr w:type="spellEnd"/>
      <w:r w:rsidRPr="00A815E8">
        <w:rPr>
          <w:rFonts w:ascii="Arial" w:hAnsi="Arial" w:cs="Arial"/>
          <w:color w:val="222222"/>
          <w:shd w:val="clear" w:color="auto" w:fill="FFFFFF"/>
        </w:rPr>
        <w:t>, K.B., 2011. The impact of enhancing students’ social and emotional learning: A meta</w:t>
      </w:r>
      <w:r w:rsidRPr="00A815E8">
        <w:rPr>
          <w:rFonts w:ascii="Cambria Math" w:hAnsi="Cambria Math" w:cs="Cambria Math"/>
          <w:color w:val="222222"/>
          <w:shd w:val="clear" w:color="auto" w:fill="FFFFFF"/>
        </w:rPr>
        <w:t>‐</w:t>
      </w:r>
      <w:r w:rsidRPr="00A815E8">
        <w:rPr>
          <w:rFonts w:ascii="Arial" w:hAnsi="Arial" w:cs="Arial"/>
          <w:color w:val="222222"/>
          <w:shd w:val="clear" w:color="auto" w:fill="FFFFFF"/>
        </w:rPr>
        <w:t>analysis of school</w:t>
      </w:r>
      <w:r w:rsidRPr="00A815E8">
        <w:rPr>
          <w:rFonts w:ascii="Cambria Math" w:hAnsi="Cambria Math" w:cs="Cambria Math"/>
          <w:color w:val="222222"/>
          <w:shd w:val="clear" w:color="auto" w:fill="FFFFFF"/>
        </w:rPr>
        <w:t>‐</w:t>
      </w:r>
      <w:r w:rsidRPr="00A815E8">
        <w:rPr>
          <w:rFonts w:ascii="Arial" w:hAnsi="Arial" w:cs="Arial"/>
          <w:color w:val="222222"/>
          <w:shd w:val="clear" w:color="auto" w:fill="FFFFFF"/>
        </w:rPr>
        <w:t>based universal interventions. </w:t>
      </w:r>
      <w:r w:rsidRPr="00A815E8">
        <w:rPr>
          <w:rFonts w:ascii="Arial" w:hAnsi="Arial" w:cs="Arial"/>
          <w:i/>
          <w:iCs/>
          <w:color w:val="222222"/>
          <w:shd w:val="clear" w:color="auto" w:fill="FFFFFF"/>
        </w:rPr>
        <w:t>Child development</w:t>
      </w:r>
      <w:r w:rsidRPr="00A815E8">
        <w:rPr>
          <w:rFonts w:ascii="Arial" w:hAnsi="Arial" w:cs="Arial"/>
          <w:color w:val="222222"/>
          <w:shd w:val="clear" w:color="auto" w:fill="FFFFFF"/>
        </w:rPr>
        <w:t>, </w:t>
      </w:r>
      <w:r w:rsidRPr="00A815E8">
        <w:rPr>
          <w:rFonts w:ascii="Arial" w:hAnsi="Arial" w:cs="Arial"/>
          <w:i/>
          <w:iCs/>
          <w:color w:val="222222"/>
          <w:shd w:val="clear" w:color="auto" w:fill="FFFFFF"/>
        </w:rPr>
        <w:t>82</w:t>
      </w:r>
      <w:r w:rsidRPr="00A815E8">
        <w:rPr>
          <w:rFonts w:ascii="Arial" w:hAnsi="Arial" w:cs="Arial"/>
          <w:color w:val="222222"/>
          <w:shd w:val="clear" w:color="auto" w:fill="FFFFFF"/>
        </w:rPr>
        <w:t>(1), pp.405-432.</w:t>
      </w:r>
    </w:p>
    <w:p w14:paraId="74DADB1B"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Eastwood, N., Shiner, M. and Bear, D., 2013. The numbers in black and white: Ethnic disparities in the policing and prosecution of drug offences in England and Wales.</w:t>
      </w:r>
    </w:p>
    <w:p w14:paraId="0B14A37B" w14:textId="05BA8788"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 xml:space="preserve">Embry, D.D., 2002. The Good </w:t>
      </w:r>
      <w:r w:rsidR="00E43477" w:rsidRPr="00A815E8">
        <w:rPr>
          <w:rFonts w:ascii="Arial" w:hAnsi="Arial" w:cs="Arial"/>
          <w:color w:val="222222"/>
          <w:shd w:val="clear" w:color="auto" w:fill="FFFFFF"/>
        </w:rPr>
        <w:t>Behaviour</w:t>
      </w:r>
      <w:r w:rsidRPr="00A815E8">
        <w:rPr>
          <w:rFonts w:ascii="Arial" w:hAnsi="Arial" w:cs="Arial"/>
          <w:color w:val="222222"/>
          <w:shd w:val="clear" w:color="auto" w:fill="FFFFFF"/>
        </w:rPr>
        <w:t xml:space="preserve"> Game: A best practice candidate as a universal </w:t>
      </w:r>
      <w:proofErr w:type="spellStart"/>
      <w:r w:rsidRPr="00A815E8">
        <w:rPr>
          <w:rFonts w:ascii="Arial" w:hAnsi="Arial" w:cs="Arial"/>
          <w:color w:val="222222"/>
          <w:shd w:val="clear" w:color="auto" w:fill="FFFFFF"/>
        </w:rPr>
        <w:t>behavioral</w:t>
      </w:r>
      <w:proofErr w:type="spellEnd"/>
      <w:r w:rsidRPr="00A815E8">
        <w:rPr>
          <w:rFonts w:ascii="Arial" w:hAnsi="Arial" w:cs="Arial"/>
          <w:color w:val="222222"/>
          <w:shd w:val="clear" w:color="auto" w:fill="FFFFFF"/>
        </w:rPr>
        <w:t xml:space="preserve"> vaccine. </w:t>
      </w:r>
      <w:r w:rsidRPr="00A815E8">
        <w:rPr>
          <w:rFonts w:ascii="Arial" w:hAnsi="Arial" w:cs="Arial"/>
          <w:i/>
          <w:iCs/>
          <w:color w:val="222222"/>
          <w:shd w:val="clear" w:color="auto" w:fill="FFFFFF"/>
        </w:rPr>
        <w:t>Clinical child and family psychology review</w:t>
      </w:r>
      <w:r w:rsidRPr="00A815E8">
        <w:rPr>
          <w:rFonts w:ascii="Arial" w:hAnsi="Arial" w:cs="Arial"/>
          <w:color w:val="222222"/>
          <w:shd w:val="clear" w:color="auto" w:fill="FFFFFF"/>
        </w:rPr>
        <w:t>, </w:t>
      </w:r>
      <w:r w:rsidRPr="00A815E8">
        <w:rPr>
          <w:rFonts w:ascii="Arial" w:hAnsi="Arial" w:cs="Arial"/>
          <w:i/>
          <w:iCs/>
          <w:color w:val="222222"/>
          <w:shd w:val="clear" w:color="auto" w:fill="FFFFFF"/>
        </w:rPr>
        <w:t>5</w:t>
      </w:r>
      <w:r w:rsidRPr="00A815E8">
        <w:rPr>
          <w:rFonts w:ascii="Arial" w:hAnsi="Arial" w:cs="Arial"/>
          <w:color w:val="222222"/>
          <w:shd w:val="clear" w:color="auto" w:fill="FFFFFF"/>
        </w:rPr>
        <w:t>, pp.273-297.</w:t>
      </w:r>
    </w:p>
    <w:p w14:paraId="31D06526" w14:textId="77777777" w:rsidR="00A815E8" w:rsidRPr="00A815E8" w:rsidRDefault="00A815E8">
      <w:pPr>
        <w:rPr>
          <w:rFonts w:ascii="Arial" w:hAnsi="Arial" w:cs="Arial"/>
          <w:i/>
          <w:iCs/>
          <w:color w:val="222222"/>
          <w:shd w:val="clear" w:color="auto" w:fill="FFFFFF"/>
        </w:rPr>
      </w:pPr>
      <w:proofErr w:type="spellStart"/>
      <w:r w:rsidRPr="00A815E8">
        <w:rPr>
          <w:rFonts w:ascii="Arial" w:hAnsi="Arial" w:cs="Arial"/>
          <w:color w:val="222222"/>
          <w:shd w:val="clear" w:color="auto" w:fill="FFFFFF"/>
        </w:rPr>
        <w:t>Esbensen</w:t>
      </w:r>
      <w:proofErr w:type="spellEnd"/>
      <w:r w:rsidRPr="00A815E8">
        <w:rPr>
          <w:rFonts w:ascii="Arial" w:hAnsi="Arial" w:cs="Arial"/>
          <w:color w:val="222222"/>
          <w:shd w:val="clear" w:color="auto" w:fill="FFFFFF"/>
        </w:rPr>
        <w:t xml:space="preserve">, F.A., Peterson, D., Taylor, T.J. and </w:t>
      </w:r>
      <w:proofErr w:type="spellStart"/>
      <w:r w:rsidRPr="00A815E8">
        <w:rPr>
          <w:rFonts w:ascii="Arial" w:hAnsi="Arial" w:cs="Arial"/>
          <w:color w:val="222222"/>
          <w:shd w:val="clear" w:color="auto" w:fill="FFFFFF"/>
        </w:rPr>
        <w:t>Freng</w:t>
      </w:r>
      <w:proofErr w:type="spellEnd"/>
      <w:r w:rsidRPr="00A815E8">
        <w:rPr>
          <w:rFonts w:ascii="Arial" w:hAnsi="Arial" w:cs="Arial"/>
          <w:color w:val="222222"/>
          <w:shd w:val="clear" w:color="auto" w:fill="FFFFFF"/>
        </w:rPr>
        <w:t>, A., 2009. Similarities and differences in risk factors for violent offending and gang membership. </w:t>
      </w:r>
      <w:r w:rsidRPr="00A815E8">
        <w:rPr>
          <w:rFonts w:ascii="Arial" w:hAnsi="Arial" w:cs="Arial"/>
          <w:i/>
          <w:iCs/>
          <w:color w:val="222222"/>
          <w:shd w:val="clear" w:color="auto" w:fill="FFFFFF"/>
        </w:rPr>
        <w:t>Australian &amp; New Zealand Journal of Criminology</w:t>
      </w:r>
      <w:r w:rsidRPr="00A815E8">
        <w:rPr>
          <w:rFonts w:ascii="Arial" w:hAnsi="Arial" w:cs="Arial"/>
          <w:color w:val="222222"/>
          <w:shd w:val="clear" w:color="auto" w:fill="FFFFFF"/>
        </w:rPr>
        <w:t>, </w:t>
      </w:r>
      <w:r w:rsidRPr="00A815E8">
        <w:rPr>
          <w:rFonts w:ascii="Arial" w:hAnsi="Arial" w:cs="Arial"/>
          <w:i/>
          <w:iCs/>
          <w:color w:val="222222"/>
          <w:shd w:val="clear" w:color="auto" w:fill="FFFFFF"/>
        </w:rPr>
        <w:t>34 (3), 300-316.</w:t>
      </w:r>
    </w:p>
    <w:p w14:paraId="22C536E0" w14:textId="77777777" w:rsidR="00A815E8" w:rsidRPr="00A815E8" w:rsidRDefault="00A815E8">
      <w:pPr>
        <w:rPr>
          <w:rFonts w:ascii="Arial" w:hAnsi="Arial" w:cs="Arial"/>
          <w:i/>
          <w:iCs/>
        </w:rPr>
      </w:pPr>
      <w:r w:rsidRPr="00A815E8">
        <w:rPr>
          <w:rFonts w:ascii="Arial" w:hAnsi="Arial" w:cs="Arial"/>
        </w:rPr>
        <w:t xml:space="preserve">Fagan, A. A., &amp; Lindsey, A.M. (2014) The state of the science of prevention of health and behaviour problems among adolescents. </w:t>
      </w:r>
      <w:r w:rsidRPr="00A815E8">
        <w:rPr>
          <w:rFonts w:ascii="Arial" w:hAnsi="Arial" w:cs="Arial"/>
          <w:i/>
          <w:iCs/>
        </w:rPr>
        <w:t xml:space="preserve">Paediatric Clinics of North America, 61(6), 1261-1278. </w:t>
      </w:r>
    </w:p>
    <w:p w14:paraId="02D70193"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Farrington, D.P. and Welsh, B.C., 2008. Saving children from a life of crime: Early risk factors and effective interventions.</w:t>
      </w:r>
    </w:p>
    <w:p w14:paraId="0D6421D9" w14:textId="77777777" w:rsidR="00A815E8" w:rsidRPr="00A815E8" w:rsidRDefault="00A815E8">
      <w:pPr>
        <w:rPr>
          <w:rFonts w:ascii="Arial" w:hAnsi="Arial" w:cs="Arial"/>
          <w:i/>
          <w:iCs/>
          <w:color w:val="222222"/>
          <w:shd w:val="clear" w:color="auto" w:fill="FFFFFF"/>
        </w:rPr>
      </w:pPr>
      <w:r w:rsidRPr="00A815E8">
        <w:rPr>
          <w:rFonts w:ascii="Arial" w:hAnsi="Arial" w:cs="Arial"/>
          <w:color w:val="222222"/>
          <w:shd w:val="clear" w:color="auto" w:fill="FFFFFF"/>
        </w:rPr>
        <w:t xml:space="preserve">Home office. 2021. </w:t>
      </w:r>
      <w:r w:rsidRPr="00A815E8">
        <w:rPr>
          <w:rFonts w:ascii="Arial" w:hAnsi="Arial" w:cs="Arial"/>
          <w:i/>
          <w:iCs/>
          <w:color w:val="222222"/>
          <w:shd w:val="clear" w:color="auto" w:fill="FFFFFF"/>
        </w:rPr>
        <w:t xml:space="preserve">Police Workforce, England, and Wales: 31 March 2021 Statistical Bulletin. </w:t>
      </w:r>
    </w:p>
    <w:p w14:paraId="55733336"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Innes, M., 2006. Policing uncertainty: Countering terror through community intelligence and democratic policing</w:t>
      </w:r>
      <w:r w:rsidRPr="00A815E8">
        <w:rPr>
          <w:rFonts w:ascii="Arial" w:hAnsi="Arial" w:cs="Arial"/>
          <w:color w:val="222222"/>
          <w:shd w:val="clear" w:color="auto" w:fill="FFFFFF"/>
        </w:rPr>
        <w:t xml:space="preserve">. </w:t>
      </w:r>
    </w:p>
    <w:p w14:paraId="3F8083FF" w14:textId="77777777" w:rsidR="00A815E8" w:rsidRPr="00A815E8" w:rsidRDefault="00A815E8">
      <w:pPr>
        <w:rPr>
          <w:rFonts w:ascii="Arial" w:hAnsi="Arial" w:cs="Arial"/>
          <w:color w:val="222222"/>
          <w:shd w:val="clear" w:color="auto" w:fill="FFFFFF"/>
        </w:rPr>
      </w:pPr>
      <w:proofErr w:type="spellStart"/>
      <w:r w:rsidRPr="00A815E8">
        <w:rPr>
          <w:rFonts w:ascii="Arial" w:hAnsi="Arial" w:cs="Arial"/>
          <w:color w:val="222222"/>
          <w:shd w:val="clear" w:color="auto" w:fill="FFFFFF"/>
        </w:rPr>
        <w:t>Kemshall</w:t>
      </w:r>
      <w:proofErr w:type="spellEnd"/>
      <w:r w:rsidRPr="00A815E8">
        <w:rPr>
          <w:rFonts w:ascii="Arial" w:hAnsi="Arial" w:cs="Arial"/>
          <w:color w:val="222222"/>
          <w:shd w:val="clear" w:color="auto" w:fill="FFFFFF"/>
        </w:rPr>
        <w:t xml:space="preserve">, H. and Maguire, M., 2001. Public protection, </w:t>
      </w:r>
      <w:proofErr w:type="gramStart"/>
      <w:r w:rsidRPr="00A815E8">
        <w:rPr>
          <w:rFonts w:ascii="Arial" w:hAnsi="Arial" w:cs="Arial"/>
          <w:color w:val="222222"/>
          <w:shd w:val="clear" w:color="auto" w:fill="FFFFFF"/>
        </w:rPr>
        <w:t>partnership</w:t>
      </w:r>
      <w:proofErr w:type="gramEnd"/>
      <w:r w:rsidRPr="00A815E8">
        <w:rPr>
          <w:rFonts w:ascii="Arial" w:hAnsi="Arial" w:cs="Arial"/>
          <w:color w:val="222222"/>
          <w:shd w:val="clear" w:color="auto" w:fill="FFFFFF"/>
        </w:rPr>
        <w:t xml:space="preserve"> and risk </w:t>
      </w:r>
      <w:proofErr w:type="spellStart"/>
      <w:r w:rsidRPr="00A815E8">
        <w:rPr>
          <w:rFonts w:ascii="Arial" w:hAnsi="Arial" w:cs="Arial"/>
          <w:color w:val="222222"/>
          <w:shd w:val="clear" w:color="auto" w:fill="FFFFFF"/>
        </w:rPr>
        <w:t>penality</w:t>
      </w:r>
      <w:proofErr w:type="spellEnd"/>
      <w:r w:rsidRPr="00A815E8">
        <w:rPr>
          <w:rFonts w:ascii="Arial" w:hAnsi="Arial" w:cs="Arial"/>
          <w:color w:val="222222"/>
          <w:shd w:val="clear" w:color="auto" w:fill="FFFFFF"/>
        </w:rPr>
        <w:t>: The multi-agency risk management of sexual and violent offenders. </w:t>
      </w:r>
      <w:r w:rsidRPr="00A815E8">
        <w:rPr>
          <w:rFonts w:ascii="Arial" w:hAnsi="Arial" w:cs="Arial"/>
          <w:i/>
          <w:iCs/>
          <w:color w:val="222222"/>
          <w:shd w:val="clear" w:color="auto" w:fill="FFFFFF"/>
        </w:rPr>
        <w:t>Punishment &amp; Society</w:t>
      </w:r>
      <w:r w:rsidRPr="00A815E8">
        <w:rPr>
          <w:rFonts w:ascii="Arial" w:hAnsi="Arial" w:cs="Arial"/>
          <w:color w:val="222222"/>
          <w:shd w:val="clear" w:color="auto" w:fill="FFFFFF"/>
        </w:rPr>
        <w:t>, </w:t>
      </w:r>
      <w:r w:rsidRPr="00A815E8">
        <w:rPr>
          <w:rFonts w:ascii="Arial" w:hAnsi="Arial" w:cs="Arial"/>
          <w:i/>
          <w:iCs/>
          <w:color w:val="222222"/>
          <w:shd w:val="clear" w:color="auto" w:fill="FFFFFF"/>
        </w:rPr>
        <w:t>3</w:t>
      </w:r>
      <w:r w:rsidRPr="00A815E8">
        <w:rPr>
          <w:rFonts w:ascii="Arial" w:hAnsi="Arial" w:cs="Arial"/>
          <w:color w:val="222222"/>
          <w:shd w:val="clear" w:color="auto" w:fill="FFFFFF"/>
        </w:rPr>
        <w:t>(2), pp.237-264.</w:t>
      </w:r>
    </w:p>
    <w:p w14:paraId="40549E43"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lastRenderedPageBreak/>
        <w:t xml:space="preserve">Lahey, B.B., Waldman, I.D. and McBurnett, K., 1999. Annotation: The development of antisocial </w:t>
      </w:r>
      <w:r w:rsidRPr="00A815E8">
        <w:rPr>
          <w:rFonts w:ascii="Arial" w:hAnsi="Arial" w:cs="Arial"/>
          <w:color w:val="222222"/>
          <w:shd w:val="clear" w:color="auto" w:fill="FFFFFF"/>
        </w:rPr>
        <w:t>behaviour</w:t>
      </w:r>
      <w:r w:rsidRPr="00A815E8">
        <w:rPr>
          <w:rFonts w:ascii="Arial" w:hAnsi="Arial" w:cs="Arial"/>
          <w:color w:val="222222"/>
          <w:shd w:val="clear" w:color="auto" w:fill="FFFFFF"/>
        </w:rPr>
        <w:t>: An integrative causal model. </w:t>
      </w:r>
      <w:r w:rsidRPr="00A815E8">
        <w:rPr>
          <w:rFonts w:ascii="Arial" w:hAnsi="Arial" w:cs="Arial"/>
          <w:i/>
          <w:iCs/>
          <w:color w:val="222222"/>
          <w:shd w:val="clear" w:color="auto" w:fill="FFFFFF"/>
        </w:rPr>
        <w:t>The Journal of Child Psychology and Psychiatry and Allied Disciplines</w:t>
      </w:r>
      <w:r w:rsidRPr="00A815E8">
        <w:rPr>
          <w:rFonts w:ascii="Arial" w:hAnsi="Arial" w:cs="Arial"/>
          <w:color w:val="222222"/>
          <w:shd w:val="clear" w:color="auto" w:fill="FFFFFF"/>
        </w:rPr>
        <w:t>, </w:t>
      </w:r>
      <w:r w:rsidRPr="00A815E8">
        <w:rPr>
          <w:rFonts w:ascii="Arial" w:hAnsi="Arial" w:cs="Arial"/>
          <w:i/>
          <w:iCs/>
          <w:color w:val="222222"/>
          <w:shd w:val="clear" w:color="auto" w:fill="FFFFFF"/>
        </w:rPr>
        <w:t>40</w:t>
      </w:r>
      <w:r w:rsidRPr="00A815E8">
        <w:rPr>
          <w:rFonts w:ascii="Arial" w:hAnsi="Arial" w:cs="Arial"/>
          <w:color w:val="222222"/>
          <w:shd w:val="clear" w:color="auto" w:fill="FFFFFF"/>
        </w:rPr>
        <w:t>(5), pp.669-682.</w:t>
      </w:r>
    </w:p>
    <w:p w14:paraId="094834E7"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 xml:space="preserve">Lipsey, M.W. and Wilson, D., </w:t>
      </w:r>
      <w:proofErr w:type="gramStart"/>
      <w:r w:rsidRPr="00A815E8">
        <w:rPr>
          <w:rFonts w:ascii="Arial" w:hAnsi="Arial" w:cs="Arial"/>
          <w:color w:val="222222"/>
          <w:shd w:val="clear" w:color="auto" w:fill="FFFFFF"/>
        </w:rPr>
        <w:t>PB.(</w:t>
      </w:r>
      <w:proofErr w:type="gramEnd"/>
      <w:r w:rsidRPr="00A815E8">
        <w:rPr>
          <w:rFonts w:ascii="Arial" w:hAnsi="Arial" w:cs="Arial"/>
          <w:color w:val="222222"/>
          <w:shd w:val="clear" w:color="auto" w:fill="FFFFFF"/>
        </w:rPr>
        <w:t>1998). Effective intervention for serious juvenile offenders. </w:t>
      </w:r>
      <w:r w:rsidRPr="00A815E8">
        <w:rPr>
          <w:rFonts w:ascii="Arial" w:hAnsi="Arial" w:cs="Arial"/>
          <w:i/>
          <w:iCs/>
          <w:color w:val="222222"/>
          <w:shd w:val="clear" w:color="auto" w:fill="FFFFFF"/>
        </w:rPr>
        <w:t>Serious and violent juvenile offenders</w:t>
      </w:r>
      <w:r w:rsidRPr="00A815E8">
        <w:rPr>
          <w:rFonts w:ascii="Arial" w:hAnsi="Arial" w:cs="Arial"/>
          <w:color w:val="222222"/>
          <w:shd w:val="clear" w:color="auto" w:fill="FFFFFF"/>
        </w:rPr>
        <w:t>, pp.313-345.</w:t>
      </w:r>
    </w:p>
    <w:p w14:paraId="32223D1D" w14:textId="77777777" w:rsidR="00A815E8" w:rsidRPr="00A815E8" w:rsidRDefault="00A815E8">
      <w:pPr>
        <w:rPr>
          <w:rFonts w:ascii="Arial" w:hAnsi="Arial" w:cs="Arial"/>
          <w:i/>
          <w:iCs/>
          <w:color w:val="222222"/>
          <w:shd w:val="clear" w:color="auto" w:fill="FFFFFF"/>
        </w:rPr>
      </w:pPr>
      <w:r w:rsidRPr="00A815E8">
        <w:rPr>
          <w:rFonts w:ascii="Arial" w:hAnsi="Arial" w:cs="Arial"/>
          <w:color w:val="222222"/>
          <w:shd w:val="clear" w:color="auto" w:fill="FFFFFF"/>
        </w:rPr>
        <w:t xml:space="preserve">Loftus, B. 2009. Police culture in a changing world. </w:t>
      </w:r>
      <w:r w:rsidRPr="00A815E8">
        <w:rPr>
          <w:rFonts w:ascii="Arial" w:hAnsi="Arial" w:cs="Arial"/>
          <w:i/>
          <w:iCs/>
          <w:color w:val="222222"/>
          <w:shd w:val="clear" w:color="auto" w:fill="FFFFFF"/>
        </w:rPr>
        <w:t xml:space="preserve">Policing, 4(3), 233-239. </w:t>
      </w:r>
    </w:p>
    <w:p w14:paraId="668F480A" w14:textId="77777777" w:rsidR="00A815E8" w:rsidRPr="00A815E8" w:rsidRDefault="00A815E8">
      <w:pPr>
        <w:rPr>
          <w:rFonts w:ascii="Arial" w:hAnsi="Arial" w:cs="Arial"/>
          <w:color w:val="222222"/>
          <w:shd w:val="clear" w:color="auto" w:fill="FFFFFF"/>
        </w:rPr>
      </w:pPr>
      <w:proofErr w:type="spellStart"/>
      <w:r w:rsidRPr="00A815E8">
        <w:rPr>
          <w:rFonts w:ascii="Arial" w:hAnsi="Arial" w:cs="Arial"/>
          <w:color w:val="222222"/>
          <w:shd w:val="clear" w:color="auto" w:fill="FFFFFF"/>
        </w:rPr>
        <w:t>Mapherson</w:t>
      </w:r>
      <w:proofErr w:type="spellEnd"/>
      <w:r w:rsidRPr="00A815E8">
        <w:rPr>
          <w:rFonts w:ascii="Arial" w:hAnsi="Arial" w:cs="Arial"/>
          <w:color w:val="222222"/>
          <w:shd w:val="clear" w:color="auto" w:fill="FFFFFF"/>
        </w:rPr>
        <w:t xml:space="preserve">, W. 1999. </w:t>
      </w:r>
      <w:r w:rsidRPr="00A815E8">
        <w:rPr>
          <w:rFonts w:ascii="Arial" w:hAnsi="Arial" w:cs="Arial"/>
          <w:i/>
          <w:iCs/>
          <w:color w:val="222222"/>
          <w:shd w:val="clear" w:color="auto" w:fill="FFFFFF"/>
        </w:rPr>
        <w:t>The Stephen Lawrence inquiry.</w:t>
      </w:r>
      <w:r w:rsidRPr="00A815E8">
        <w:rPr>
          <w:rFonts w:ascii="Arial" w:hAnsi="Arial" w:cs="Arial"/>
          <w:color w:val="222222"/>
          <w:shd w:val="clear" w:color="auto" w:fill="FFFFFF"/>
        </w:rPr>
        <w:t xml:space="preserve"> </w:t>
      </w:r>
    </w:p>
    <w:p w14:paraId="21CBA4EA" w14:textId="77777777" w:rsidR="00A815E8" w:rsidRPr="00A815E8" w:rsidRDefault="00A815E8">
      <w:pPr>
        <w:rPr>
          <w:rFonts w:ascii="Arial" w:hAnsi="Arial" w:cs="Arial"/>
          <w:i/>
          <w:iCs/>
          <w:color w:val="222222"/>
          <w:shd w:val="clear" w:color="auto" w:fill="FFFFFF"/>
        </w:rPr>
      </w:pPr>
      <w:r w:rsidRPr="00A815E8">
        <w:rPr>
          <w:rFonts w:ascii="Arial" w:hAnsi="Arial" w:cs="Arial"/>
          <w:color w:val="222222"/>
          <w:shd w:val="clear" w:color="auto" w:fill="FFFFFF"/>
        </w:rPr>
        <w:t xml:space="preserve">Moffitt, T.E., 2017. Adolescence-limited and life-course-persistent antisocial </w:t>
      </w:r>
      <w:r w:rsidRPr="00A815E8">
        <w:rPr>
          <w:rFonts w:ascii="Arial" w:hAnsi="Arial" w:cs="Arial"/>
          <w:color w:val="222222"/>
          <w:shd w:val="clear" w:color="auto" w:fill="FFFFFF"/>
        </w:rPr>
        <w:t>behaviour</w:t>
      </w:r>
      <w:r w:rsidRPr="00A815E8">
        <w:rPr>
          <w:rFonts w:ascii="Arial" w:hAnsi="Arial" w:cs="Arial"/>
          <w:color w:val="222222"/>
          <w:shd w:val="clear" w:color="auto" w:fill="FFFFFF"/>
        </w:rPr>
        <w:t>: A developmental taxonomy. </w:t>
      </w:r>
      <w:r w:rsidRPr="00A815E8">
        <w:rPr>
          <w:rFonts w:ascii="Arial" w:hAnsi="Arial" w:cs="Arial"/>
          <w:i/>
          <w:iCs/>
          <w:color w:val="222222"/>
          <w:shd w:val="clear" w:color="auto" w:fill="FFFFFF"/>
        </w:rPr>
        <w:t xml:space="preserve">Phycological Review, 100(4), 674-701. </w:t>
      </w:r>
    </w:p>
    <w:p w14:paraId="1C827376" w14:textId="77777777" w:rsidR="00A815E8" w:rsidRPr="00A815E8" w:rsidRDefault="00A815E8">
      <w:pPr>
        <w:rPr>
          <w:rFonts w:ascii="Arial" w:hAnsi="Arial" w:cs="Arial"/>
          <w:i/>
          <w:iCs/>
        </w:rPr>
      </w:pPr>
      <w:r w:rsidRPr="00A815E8">
        <w:rPr>
          <w:rFonts w:ascii="Arial" w:hAnsi="Arial" w:cs="Arial"/>
          <w:color w:val="222222"/>
          <w:shd w:val="clear" w:color="auto" w:fill="FFFFFF"/>
        </w:rPr>
        <w:t xml:space="preserve">Olds, D., Henderson Jr, C.R., Cole, R., </w:t>
      </w:r>
      <w:proofErr w:type="spellStart"/>
      <w:r w:rsidRPr="00A815E8">
        <w:rPr>
          <w:rFonts w:ascii="Arial" w:hAnsi="Arial" w:cs="Arial"/>
          <w:color w:val="222222"/>
          <w:shd w:val="clear" w:color="auto" w:fill="FFFFFF"/>
        </w:rPr>
        <w:t>Eckenrode</w:t>
      </w:r>
      <w:proofErr w:type="spellEnd"/>
      <w:r w:rsidRPr="00A815E8">
        <w:rPr>
          <w:rFonts w:ascii="Arial" w:hAnsi="Arial" w:cs="Arial"/>
          <w:color w:val="222222"/>
          <w:shd w:val="clear" w:color="auto" w:fill="FFFFFF"/>
        </w:rPr>
        <w:t xml:space="preserve">, J., </w:t>
      </w:r>
      <w:proofErr w:type="spellStart"/>
      <w:r w:rsidRPr="00A815E8">
        <w:rPr>
          <w:rFonts w:ascii="Arial" w:hAnsi="Arial" w:cs="Arial"/>
          <w:color w:val="222222"/>
          <w:shd w:val="clear" w:color="auto" w:fill="FFFFFF"/>
        </w:rPr>
        <w:t>Kitzman</w:t>
      </w:r>
      <w:proofErr w:type="spellEnd"/>
      <w:r w:rsidRPr="00A815E8">
        <w:rPr>
          <w:rFonts w:ascii="Arial" w:hAnsi="Arial" w:cs="Arial"/>
          <w:color w:val="222222"/>
          <w:shd w:val="clear" w:color="auto" w:fill="FFFFFF"/>
        </w:rPr>
        <w:t xml:space="preserve">, H., </w:t>
      </w:r>
      <w:proofErr w:type="spellStart"/>
      <w:r w:rsidRPr="00A815E8">
        <w:rPr>
          <w:rFonts w:ascii="Arial" w:hAnsi="Arial" w:cs="Arial"/>
          <w:color w:val="222222"/>
          <w:shd w:val="clear" w:color="auto" w:fill="FFFFFF"/>
        </w:rPr>
        <w:t>Luckey</w:t>
      </w:r>
      <w:proofErr w:type="spellEnd"/>
      <w:r w:rsidRPr="00A815E8">
        <w:rPr>
          <w:rFonts w:ascii="Arial" w:hAnsi="Arial" w:cs="Arial"/>
          <w:color w:val="222222"/>
          <w:shd w:val="clear" w:color="auto" w:fill="FFFFFF"/>
        </w:rPr>
        <w:t xml:space="preserve">, D., Pettitt, L., </w:t>
      </w:r>
      <w:proofErr w:type="spellStart"/>
      <w:r w:rsidRPr="00A815E8">
        <w:rPr>
          <w:rFonts w:ascii="Arial" w:hAnsi="Arial" w:cs="Arial"/>
          <w:color w:val="222222"/>
          <w:shd w:val="clear" w:color="auto" w:fill="FFFFFF"/>
        </w:rPr>
        <w:t>Sidora</w:t>
      </w:r>
      <w:proofErr w:type="spellEnd"/>
      <w:r w:rsidRPr="00A815E8">
        <w:rPr>
          <w:rFonts w:ascii="Arial" w:hAnsi="Arial" w:cs="Arial"/>
          <w:color w:val="222222"/>
          <w:shd w:val="clear" w:color="auto" w:fill="FFFFFF"/>
        </w:rPr>
        <w:t xml:space="preserve">, K., Morris, P. and Powers, J., 1998. Long-term effects of nurse home visitation on children's criminal and antisocial </w:t>
      </w:r>
      <w:r w:rsidRPr="00A815E8">
        <w:rPr>
          <w:rFonts w:ascii="Arial" w:hAnsi="Arial" w:cs="Arial"/>
          <w:color w:val="222222"/>
          <w:shd w:val="clear" w:color="auto" w:fill="FFFFFF"/>
        </w:rPr>
        <w:t>behaviour</w:t>
      </w:r>
      <w:r w:rsidRPr="00A815E8">
        <w:rPr>
          <w:rFonts w:ascii="Arial" w:hAnsi="Arial" w:cs="Arial"/>
          <w:color w:val="222222"/>
          <w:shd w:val="clear" w:color="auto" w:fill="FFFFFF"/>
        </w:rPr>
        <w:t>: 15-year follow-up of a randomized controlled trial. </w:t>
      </w:r>
      <w:r w:rsidRPr="00A815E8">
        <w:rPr>
          <w:rFonts w:ascii="Arial" w:hAnsi="Arial" w:cs="Arial"/>
          <w:i/>
          <w:iCs/>
          <w:color w:val="222222"/>
          <w:shd w:val="clear" w:color="auto" w:fill="FFFFFF"/>
        </w:rPr>
        <w:t>Jama</w:t>
      </w:r>
      <w:r w:rsidRPr="00A815E8">
        <w:rPr>
          <w:rFonts w:ascii="Arial" w:hAnsi="Arial" w:cs="Arial"/>
          <w:color w:val="222222"/>
          <w:shd w:val="clear" w:color="auto" w:fill="FFFFFF"/>
        </w:rPr>
        <w:t>, </w:t>
      </w:r>
      <w:r w:rsidRPr="00A815E8">
        <w:rPr>
          <w:rFonts w:ascii="Arial" w:hAnsi="Arial" w:cs="Arial"/>
          <w:i/>
          <w:iCs/>
          <w:color w:val="222222"/>
          <w:shd w:val="clear" w:color="auto" w:fill="FFFFFF"/>
        </w:rPr>
        <w:t>280</w:t>
      </w:r>
      <w:r w:rsidRPr="00A815E8">
        <w:rPr>
          <w:rFonts w:ascii="Arial" w:hAnsi="Arial" w:cs="Arial"/>
          <w:color w:val="222222"/>
          <w:shd w:val="clear" w:color="auto" w:fill="FFFFFF"/>
        </w:rPr>
        <w:t>(14), pp.1238-1244.</w:t>
      </w:r>
    </w:p>
    <w:p w14:paraId="53943029"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 xml:space="preserve">Piquero, A.R., Farrington, D.P., Welsh, B.C., Tremblay, </w:t>
      </w:r>
      <w:proofErr w:type="gramStart"/>
      <w:r w:rsidRPr="00A815E8">
        <w:rPr>
          <w:rFonts w:ascii="Arial" w:hAnsi="Arial" w:cs="Arial"/>
          <w:color w:val="222222"/>
          <w:shd w:val="clear" w:color="auto" w:fill="FFFFFF"/>
        </w:rPr>
        <w:t>R.</w:t>
      </w:r>
      <w:proofErr w:type="gramEnd"/>
      <w:r w:rsidRPr="00A815E8">
        <w:rPr>
          <w:rFonts w:ascii="Arial" w:hAnsi="Arial" w:cs="Arial"/>
          <w:color w:val="222222"/>
          <w:shd w:val="clear" w:color="auto" w:fill="FFFFFF"/>
        </w:rPr>
        <w:t xml:space="preserve"> and Jennings, W.G., 2009. Effects of early family/parent training programs on antisocial </w:t>
      </w:r>
      <w:r w:rsidRPr="00A815E8">
        <w:rPr>
          <w:rFonts w:ascii="Arial" w:hAnsi="Arial" w:cs="Arial"/>
          <w:color w:val="222222"/>
          <w:shd w:val="clear" w:color="auto" w:fill="FFFFFF"/>
        </w:rPr>
        <w:t>behaviour</w:t>
      </w:r>
      <w:r w:rsidRPr="00A815E8">
        <w:rPr>
          <w:rFonts w:ascii="Arial" w:hAnsi="Arial" w:cs="Arial"/>
          <w:color w:val="222222"/>
          <w:shd w:val="clear" w:color="auto" w:fill="FFFFFF"/>
        </w:rPr>
        <w:t xml:space="preserve"> and delinquency. </w:t>
      </w:r>
      <w:r w:rsidRPr="00A815E8">
        <w:rPr>
          <w:rFonts w:ascii="Arial" w:hAnsi="Arial" w:cs="Arial"/>
          <w:i/>
          <w:iCs/>
          <w:color w:val="222222"/>
          <w:shd w:val="clear" w:color="auto" w:fill="FFFFFF"/>
        </w:rPr>
        <w:t>Journal of Experimental Criminology</w:t>
      </w:r>
      <w:r w:rsidRPr="00A815E8">
        <w:rPr>
          <w:rFonts w:ascii="Arial" w:hAnsi="Arial" w:cs="Arial"/>
          <w:color w:val="222222"/>
          <w:shd w:val="clear" w:color="auto" w:fill="FFFFFF"/>
        </w:rPr>
        <w:t>, </w:t>
      </w:r>
      <w:r w:rsidRPr="00A815E8">
        <w:rPr>
          <w:rFonts w:ascii="Arial" w:hAnsi="Arial" w:cs="Arial"/>
          <w:i/>
          <w:iCs/>
          <w:color w:val="222222"/>
          <w:shd w:val="clear" w:color="auto" w:fill="FFFFFF"/>
        </w:rPr>
        <w:t>5</w:t>
      </w:r>
      <w:r w:rsidRPr="00A815E8">
        <w:rPr>
          <w:rFonts w:ascii="Arial" w:hAnsi="Arial" w:cs="Arial"/>
          <w:color w:val="222222"/>
          <w:shd w:val="clear" w:color="auto" w:fill="FFFFFF"/>
        </w:rPr>
        <w:t>, pp.83-120.</w:t>
      </w:r>
    </w:p>
    <w:p w14:paraId="77087ADE" w14:textId="77777777" w:rsidR="00A815E8" w:rsidRPr="00A815E8" w:rsidRDefault="00A815E8">
      <w:pPr>
        <w:rPr>
          <w:rFonts w:ascii="Arial" w:hAnsi="Arial" w:cs="Arial"/>
          <w:color w:val="222222"/>
          <w:shd w:val="clear" w:color="auto" w:fill="FFFFFF"/>
        </w:rPr>
      </w:pPr>
      <w:proofErr w:type="spellStart"/>
      <w:r w:rsidRPr="00A815E8">
        <w:rPr>
          <w:rFonts w:ascii="Arial" w:hAnsi="Arial" w:cs="Arial"/>
          <w:color w:val="222222"/>
          <w:shd w:val="clear" w:color="auto" w:fill="FFFFFF"/>
        </w:rPr>
        <w:t>Pyrooz</w:t>
      </w:r>
      <w:proofErr w:type="spellEnd"/>
      <w:r w:rsidRPr="00A815E8">
        <w:rPr>
          <w:rFonts w:ascii="Arial" w:hAnsi="Arial" w:cs="Arial"/>
          <w:color w:val="222222"/>
          <w:shd w:val="clear" w:color="auto" w:fill="FFFFFF"/>
        </w:rPr>
        <w:t>, D.C. and Decker, S.H., 2011. Motives and methods for leaving the gang: Understanding the process of gang desistance. </w:t>
      </w:r>
      <w:r w:rsidRPr="00A815E8">
        <w:rPr>
          <w:rFonts w:ascii="Arial" w:hAnsi="Arial" w:cs="Arial"/>
          <w:i/>
          <w:iCs/>
          <w:color w:val="222222"/>
          <w:shd w:val="clear" w:color="auto" w:fill="FFFFFF"/>
        </w:rPr>
        <w:t>Journal of Criminal Justice</w:t>
      </w:r>
      <w:r w:rsidRPr="00A815E8">
        <w:rPr>
          <w:rFonts w:ascii="Arial" w:hAnsi="Arial" w:cs="Arial"/>
          <w:i/>
          <w:iCs/>
          <w:color w:val="222222"/>
          <w:shd w:val="clear" w:color="auto" w:fill="FFFFFF"/>
        </w:rPr>
        <w:t>, 41(2), 73-84.</w:t>
      </w:r>
    </w:p>
    <w:p w14:paraId="1B5E9F05"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Quinton, P., Bland, N., Miller, J. and Willis, C.F., 2000. </w:t>
      </w:r>
      <w:r w:rsidRPr="00A815E8">
        <w:rPr>
          <w:rFonts w:ascii="Arial" w:hAnsi="Arial" w:cs="Arial"/>
          <w:i/>
          <w:iCs/>
          <w:color w:val="222222"/>
          <w:shd w:val="clear" w:color="auto" w:fill="FFFFFF"/>
        </w:rPr>
        <w:t>Police stops, decision-making and practice</w:t>
      </w:r>
      <w:r w:rsidRPr="00A815E8">
        <w:rPr>
          <w:rFonts w:ascii="Arial" w:hAnsi="Arial" w:cs="Arial"/>
          <w:color w:val="222222"/>
          <w:shd w:val="clear" w:color="auto" w:fill="FFFFFF"/>
        </w:rPr>
        <w:t> (Vol. 130). London: Home Office.</w:t>
      </w:r>
    </w:p>
    <w:p w14:paraId="18074CC6" w14:textId="77777777" w:rsidR="00A815E8" w:rsidRPr="00A815E8" w:rsidRDefault="00A815E8">
      <w:pPr>
        <w:rPr>
          <w:rFonts w:ascii="Arial" w:hAnsi="Arial" w:cs="Arial"/>
          <w:i/>
          <w:iCs/>
          <w:color w:val="222222"/>
          <w:shd w:val="clear" w:color="auto" w:fill="FFFFFF"/>
        </w:rPr>
      </w:pPr>
      <w:r w:rsidRPr="00A815E8">
        <w:rPr>
          <w:rFonts w:ascii="Arial" w:hAnsi="Arial" w:cs="Arial"/>
          <w:color w:val="222222"/>
          <w:shd w:val="clear" w:color="auto" w:fill="FFFFFF"/>
        </w:rPr>
        <w:t xml:space="preserve">Rowe, M. 2004. </w:t>
      </w:r>
      <w:r w:rsidRPr="00A815E8">
        <w:rPr>
          <w:rFonts w:ascii="Arial" w:hAnsi="Arial" w:cs="Arial"/>
          <w:i/>
          <w:iCs/>
          <w:color w:val="222222"/>
          <w:shd w:val="clear" w:color="auto" w:fill="FFFFFF"/>
        </w:rPr>
        <w:t xml:space="preserve">Policing, Race and Racism. </w:t>
      </w:r>
      <w:proofErr w:type="spellStart"/>
      <w:r w:rsidRPr="00A815E8">
        <w:rPr>
          <w:rFonts w:ascii="Arial" w:hAnsi="Arial" w:cs="Arial"/>
          <w:i/>
          <w:iCs/>
          <w:color w:val="222222"/>
          <w:shd w:val="clear" w:color="auto" w:fill="FFFFFF"/>
        </w:rPr>
        <w:t>Wilan</w:t>
      </w:r>
      <w:proofErr w:type="spellEnd"/>
      <w:r w:rsidRPr="00A815E8">
        <w:rPr>
          <w:rFonts w:ascii="Arial" w:hAnsi="Arial" w:cs="Arial"/>
          <w:i/>
          <w:iCs/>
          <w:color w:val="222222"/>
          <w:shd w:val="clear" w:color="auto" w:fill="FFFFFF"/>
        </w:rPr>
        <w:t xml:space="preserve"> Publishing. </w:t>
      </w:r>
    </w:p>
    <w:p w14:paraId="6B19061E" w14:textId="77777777" w:rsidR="00A815E8" w:rsidRPr="00A815E8" w:rsidRDefault="00A815E8">
      <w:pPr>
        <w:rPr>
          <w:rFonts w:ascii="Arial" w:hAnsi="Arial" w:cs="Arial"/>
          <w:i/>
          <w:iCs/>
        </w:rPr>
      </w:pPr>
      <w:r w:rsidRPr="00A815E8">
        <w:rPr>
          <w:rFonts w:ascii="Arial" w:hAnsi="Arial" w:cs="Arial"/>
          <w:color w:val="222222"/>
          <w:shd w:val="clear" w:color="auto" w:fill="FFFFFF"/>
        </w:rPr>
        <w:t xml:space="preserve">Sampson, R.J. and </w:t>
      </w:r>
      <w:proofErr w:type="spellStart"/>
      <w:r w:rsidRPr="00A815E8">
        <w:rPr>
          <w:rFonts w:ascii="Arial" w:hAnsi="Arial" w:cs="Arial"/>
          <w:color w:val="222222"/>
          <w:shd w:val="clear" w:color="auto" w:fill="FFFFFF"/>
        </w:rPr>
        <w:t>Laub</w:t>
      </w:r>
      <w:proofErr w:type="spellEnd"/>
      <w:r w:rsidRPr="00A815E8">
        <w:rPr>
          <w:rFonts w:ascii="Arial" w:hAnsi="Arial" w:cs="Arial"/>
          <w:color w:val="222222"/>
          <w:shd w:val="clear" w:color="auto" w:fill="FFFFFF"/>
        </w:rPr>
        <w:t>, J.H., 1993. Crime in the making: Pathways and turning points through life. </w:t>
      </w:r>
    </w:p>
    <w:p w14:paraId="3A0CA3F6"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 xml:space="preserve">Sampson, R.J., </w:t>
      </w:r>
      <w:proofErr w:type="spellStart"/>
      <w:r w:rsidRPr="00A815E8">
        <w:rPr>
          <w:rFonts w:ascii="Arial" w:hAnsi="Arial" w:cs="Arial"/>
          <w:color w:val="222222"/>
          <w:shd w:val="clear" w:color="auto" w:fill="FFFFFF"/>
        </w:rPr>
        <w:t>Raudenbush</w:t>
      </w:r>
      <w:proofErr w:type="spellEnd"/>
      <w:r w:rsidRPr="00A815E8">
        <w:rPr>
          <w:rFonts w:ascii="Arial" w:hAnsi="Arial" w:cs="Arial"/>
          <w:color w:val="222222"/>
          <w:shd w:val="clear" w:color="auto" w:fill="FFFFFF"/>
        </w:rPr>
        <w:t xml:space="preserve">, S.W. and Earls, F., 1997. </w:t>
      </w:r>
      <w:proofErr w:type="spellStart"/>
      <w:r w:rsidRPr="00A815E8">
        <w:rPr>
          <w:rFonts w:ascii="Arial" w:hAnsi="Arial" w:cs="Arial"/>
          <w:color w:val="222222"/>
          <w:shd w:val="clear" w:color="auto" w:fill="FFFFFF"/>
        </w:rPr>
        <w:t>Neighborhoods</w:t>
      </w:r>
      <w:proofErr w:type="spellEnd"/>
      <w:r w:rsidRPr="00A815E8">
        <w:rPr>
          <w:rFonts w:ascii="Arial" w:hAnsi="Arial" w:cs="Arial"/>
          <w:color w:val="222222"/>
          <w:shd w:val="clear" w:color="auto" w:fill="FFFFFF"/>
        </w:rPr>
        <w:t xml:space="preserve"> and violent crime: A multilevel study of collective efficacy. </w:t>
      </w:r>
      <w:r w:rsidRPr="00A815E8">
        <w:rPr>
          <w:rFonts w:ascii="Arial" w:hAnsi="Arial" w:cs="Arial"/>
          <w:i/>
          <w:iCs/>
          <w:color w:val="222222"/>
          <w:shd w:val="clear" w:color="auto" w:fill="FFFFFF"/>
        </w:rPr>
        <w:t>science</w:t>
      </w:r>
      <w:r w:rsidRPr="00A815E8">
        <w:rPr>
          <w:rFonts w:ascii="Arial" w:hAnsi="Arial" w:cs="Arial"/>
          <w:color w:val="222222"/>
          <w:shd w:val="clear" w:color="auto" w:fill="FFFFFF"/>
        </w:rPr>
        <w:t>, </w:t>
      </w:r>
      <w:r w:rsidRPr="00A815E8">
        <w:rPr>
          <w:rFonts w:ascii="Arial" w:hAnsi="Arial" w:cs="Arial"/>
          <w:i/>
          <w:iCs/>
          <w:color w:val="222222"/>
          <w:shd w:val="clear" w:color="auto" w:fill="FFFFFF"/>
        </w:rPr>
        <w:t>277</w:t>
      </w:r>
      <w:r w:rsidRPr="00A815E8">
        <w:rPr>
          <w:rFonts w:ascii="Arial" w:hAnsi="Arial" w:cs="Arial"/>
          <w:color w:val="222222"/>
          <w:shd w:val="clear" w:color="auto" w:fill="FFFFFF"/>
        </w:rPr>
        <w:t>(5328), pp.918-924.</w:t>
      </w:r>
    </w:p>
    <w:p w14:paraId="11FADFF9"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 xml:space="preserve">Shiner, M. and </w:t>
      </w:r>
      <w:proofErr w:type="spellStart"/>
      <w:r w:rsidRPr="00A815E8">
        <w:rPr>
          <w:rFonts w:ascii="Arial" w:hAnsi="Arial" w:cs="Arial"/>
          <w:color w:val="222222"/>
          <w:shd w:val="clear" w:color="auto" w:fill="FFFFFF"/>
        </w:rPr>
        <w:t>Delsol</w:t>
      </w:r>
      <w:proofErr w:type="spellEnd"/>
      <w:r w:rsidRPr="00A815E8">
        <w:rPr>
          <w:rFonts w:ascii="Arial" w:hAnsi="Arial" w:cs="Arial"/>
          <w:color w:val="222222"/>
          <w:shd w:val="clear" w:color="auto" w:fill="FFFFFF"/>
        </w:rPr>
        <w:t>, R., 2015. The politics of the powers. In </w:t>
      </w:r>
      <w:r w:rsidRPr="00A815E8">
        <w:rPr>
          <w:rFonts w:ascii="Arial" w:hAnsi="Arial" w:cs="Arial"/>
          <w:i/>
          <w:iCs/>
          <w:color w:val="222222"/>
          <w:shd w:val="clear" w:color="auto" w:fill="FFFFFF"/>
        </w:rPr>
        <w:t>Stop and search: The anatomy of a police power</w:t>
      </w:r>
      <w:r w:rsidRPr="00A815E8">
        <w:rPr>
          <w:rFonts w:ascii="Arial" w:hAnsi="Arial" w:cs="Arial"/>
          <w:color w:val="222222"/>
          <w:shd w:val="clear" w:color="auto" w:fill="FFFFFF"/>
        </w:rPr>
        <w:t> (pp. 31-56). London: Palgrave Macmillan UK.</w:t>
      </w:r>
    </w:p>
    <w:p w14:paraId="606F117F"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 xml:space="preserve">Smith, G., 2010. Every complaint </w:t>
      </w:r>
      <w:proofErr w:type="gramStart"/>
      <w:r w:rsidRPr="00A815E8">
        <w:rPr>
          <w:rFonts w:ascii="Arial" w:hAnsi="Arial" w:cs="Arial"/>
          <w:color w:val="222222"/>
          <w:shd w:val="clear" w:color="auto" w:fill="FFFFFF"/>
        </w:rPr>
        <w:t>matters</w:t>
      </w:r>
      <w:proofErr w:type="gramEnd"/>
      <w:r w:rsidRPr="00A815E8">
        <w:rPr>
          <w:rFonts w:ascii="Arial" w:hAnsi="Arial" w:cs="Arial"/>
          <w:color w:val="222222"/>
          <w:shd w:val="clear" w:color="auto" w:fill="FFFFFF"/>
        </w:rPr>
        <w:t>: Human Rights Commissioner's opinion concerning independent and effective determination of complaints against the police.</w:t>
      </w:r>
    </w:p>
    <w:p w14:paraId="1FFF1E43"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Stanley, J., 2015. Police body-mounted cameras: With right policies in place, a win for all. </w:t>
      </w:r>
      <w:r w:rsidRPr="00A815E8">
        <w:rPr>
          <w:rFonts w:ascii="Arial" w:hAnsi="Arial" w:cs="Arial"/>
          <w:i/>
          <w:iCs/>
          <w:color w:val="222222"/>
          <w:shd w:val="clear" w:color="auto" w:fill="FFFFFF"/>
        </w:rPr>
        <w:t>American Civil Liberties Union</w:t>
      </w:r>
      <w:r w:rsidRPr="00A815E8">
        <w:rPr>
          <w:rFonts w:ascii="Arial" w:hAnsi="Arial" w:cs="Arial"/>
          <w:color w:val="222222"/>
          <w:shd w:val="clear" w:color="auto" w:fill="FFFFFF"/>
        </w:rPr>
        <w:t>.</w:t>
      </w:r>
    </w:p>
    <w:p w14:paraId="1938C41D"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Taylor, E., 2016. Lights, camera, redaction… Police body-worn cameras; autonomy, discretion, and accountability. </w:t>
      </w:r>
      <w:r w:rsidRPr="00A815E8">
        <w:rPr>
          <w:rFonts w:ascii="Arial" w:hAnsi="Arial" w:cs="Arial"/>
          <w:i/>
          <w:iCs/>
          <w:color w:val="222222"/>
          <w:shd w:val="clear" w:color="auto" w:fill="FFFFFF"/>
        </w:rPr>
        <w:t>Surveillance &amp; society</w:t>
      </w:r>
      <w:r w:rsidRPr="00A815E8">
        <w:rPr>
          <w:rFonts w:ascii="Arial" w:hAnsi="Arial" w:cs="Arial"/>
          <w:color w:val="222222"/>
          <w:shd w:val="clear" w:color="auto" w:fill="FFFFFF"/>
        </w:rPr>
        <w:t>, </w:t>
      </w:r>
      <w:r w:rsidRPr="00A815E8">
        <w:rPr>
          <w:rFonts w:ascii="Arial" w:hAnsi="Arial" w:cs="Arial"/>
          <w:i/>
          <w:iCs/>
          <w:color w:val="222222"/>
          <w:shd w:val="clear" w:color="auto" w:fill="FFFFFF"/>
        </w:rPr>
        <w:t>14</w:t>
      </w:r>
      <w:r w:rsidRPr="00A815E8">
        <w:rPr>
          <w:rFonts w:ascii="Arial" w:hAnsi="Arial" w:cs="Arial"/>
          <w:color w:val="222222"/>
          <w:shd w:val="clear" w:color="auto" w:fill="FFFFFF"/>
        </w:rPr>
        <w:t>(1), pp.128-132.</w:t>
      </w:r>
    </w:p>
    <w:p w14:paraId="31C842DC"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 xml:space="preserve">Thornberry, T.P., Lizotte, A.J., </w:t>
      </w:r>
      <w:proofErr w:type="spellStart"/>
      <w:r w:rsidRPr="00A815E8">
        <w:rPr>
          <w:rFonts w:ascii="Arial" w:hAnsi="Arial" w:cs="Arial"/>
          <w:color w:val="222222"/>
          <w:shd w:val="clear" w:color="auto" w:fill="FFFFFF"/>
        </w:rPr>
        <w:t>Krohn</w:t>
      </w:r>
      <w:proofErr w:type="spellEnd"/>
      <w:r w:rsidRPr="00A815E8">
        <w:rPr>
          <w:rFonts w:ascii="Arial" w:hAnsi="Arial" w:cs="Arial"/>
          <w:color w:val="222222"/>
          <w:shd w:val="clear" w:color="auto" w:fill="FFFFFF"/>
        </w:rPr>
        <w:t xml:space="preserve">, M.D., Farnworth, </w:t>
      </w:r>
      <w:proofErr w:type="gramStart"/>
      <w:r w:rsidRPr="00A815E8">
        <w:rPr>
          <w:rFonts w:ascii="Arial" w:hAnsi="Arial" w:cs="Arial"/>
          <w:color w:val="222222"/>
          <w:shd w:val="clear" w:color="auto" w:fill="FFFFFF"/>
        </w:rPr>
        <w:t>M.</w:t>
      </w:r>
      <w:proofErr w:type="gramEnd"/>
      <w:r w:rsidRPr="00A815E8">
        <w:rPr>
          <w:rFonts w:ascii="Arial" w:hAnsi="Arial" w:cs="Arial"/>
          <w:color w:val="222222"/>
          <w:shd w:val="clear" w:color="auto" w:fill="FFFFFF"/>
        </w:rPr>
        <w:t xml:space="preserve"> and Jang, S.J., 1991. Testing interactional theory: An examination of reciprocal causal relationships among family, school, and delinquency. </w:t>
      </w:r>
      <w:r w:rsidRPr="00A815E8">
        <w:rPr>
          <w:rFonts w:ascii="Arial" w:hAnsi="Arial" w:cs="Arial"/>
          <w:i/>
          <w:iCs/>
          <w:color w:val="222222"/>
          <w:shd w:val="clear" w:color="auto" w:fill="FFFFFF"/>
        </w:rPr>
        <w:t>Journal of Criminal Law and Criminology</w:t>
      </w:r>
      <w:r w:rsidRPr="00A815E8">
        <w:rPr>
          <w:rFonts w:ascii="Arial" w:hAnsi="Arial" w:cs="Arial"/>
          <w:color w:val="222222"/>
          <w:shd w:val="clear" w:color="auto" w:fill="FFFFFF"/>
        </w:rPr>
        <w:t>, pp.3-35.</w:t>
      </w:r>
    </w:p>
    <w:p w14:paraId="6AB9BFD8"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t>Tierney, J.P., 1995. Making a Difference. An Impact Study of Big Brothers/Big Sisters.</w:t>
      </w:r>
    </w:p>
    <w:p w14:paraId="7301BE12" w14:textId="77777777" w:rsidR="00A815E8" w:rsidRPr="00A815E8" w:rsidRDefault="00A815E8">
      <w:pPr>
        <w:rPr>
          <w:rFonts w:ascii="Arial" w:hAnsi="Arial" w:cs="Arial"/>
        </w:rPr>
      </w:pPr>
      <w:r w:rsidRPr="00A815E8">
        <w:rPr>
          <w:rFonts w:ascii="Arial" w:hAnsi="Arial" w:cs="Arial"/>
          <w:color w:val="222222"/>
          <w:shd w:val="clear" w:color="auto" w:fill="FFFFFF"/>
        </w:rPr>
        <w:t>Vigil, J.D., 1988. </w:t>
      </w:r>
      <w:r w:rsidRPr="00A815E8">
        <w:rPr>
          <w:rFonts w:ascii="Arial" w:hAnsi="Arial" w:cs="Arial"/>
          <w:i/>
          <w:iCs/>
          <w:color w:val="222222"/>
          <w:shd w:val="clear" w:color="auto" w:fill="FFFFFF"/>
        </w:rPr>
        <w:t>Barrio gangs: Street life and identity in Southern California</w:t>
      </w:r>
      <w:r w:rsidRPr="00A815E8">
        <w:rPr>
          <w:rFonts w:ascii="Arial" w:hAnsi="Arial" w:cs="Arial"/>
          <w:color w:val="222222"/>
          <w:shd w:val="clear" w:color="auto" w:fill="FFFFFF"/>
        </w:rPr>
        <w:t>. University of Texas Press.</w:t>
      </w:r>
    </w:p>
    <w:p w14:paraId="24E5BB5E" w14:textId="77777777" w:rsidR="00A815E8" w:rsidRPr="00A815E8" w:rsidRDefault="00A815E8">
      <w:pPr>
        <w:rPr>
          <w:rFonts w:ascii="Arial" w:hAnsi="Arial" w:cs="Arial"/>
          <w:color w:val="222222"/>
          <w:shd w:val="clear" w:color="auto" w:fill="FFFFFF"/>
        </w:rPr>
      </w:pPr>
      <w:r w:rsidRPr="00A815E8">
        <w:rPr>
          <w:rFonts w:ascii="Arial" w:hAnsi="Arial" w:cs="Arial"/>
          <w:color w:val="222222"/>
          <w:shd w:val="clear" w:color="auto" w:fill="FFFFFF"/>
        </w:rPr>
        <w:lastRenderedPageBreak/>
        <w:t>Warr, M., 2002. </w:t>
      </w:r>
      <w:r w:rsidRPr="00A815E8">
        <w:rPr>
          <w:rFonts w:ascii="Arial" w:hAnsi="Arial" w:cs="Arial"/>
          <w:i/>
          <w:iCs/>
          <w:color w:val="222222"/>
          <w:shd w:val="clear" w:color="auto" w:fill="FFFFFF"/>
        </w:rPr>
        <w:t>Companions in crime: The social aspects of criminal conduct</w:t>
      </w:r>
      <w:r w:rsidRPr="00A815E8">
        <w:rPr>
          <w:rFonts w:ascii="Arial" w:hAnsi="Arial" w:cs="Arial"/>
          <w:color w:val="222222"/>
          <w:shd w:val="clear" w:color="auto" w:fill="FFFFFF"/>
        </w:rPr>
        <w:t>. Cambridge University Press.</w:t>
      </w:r>
    </w:p>
    <w:p w14:paraId="5B2A0A1C" w14:textId="77777777" w:rsidR="00FC072D" w:rsidRPr="00BB5E04" w:rsidRDefault="00FC072D">
      <w:pPr>
        <w:rPr>
          <w:rFonts w:ascii="Arial" w:hAnsi="Arial" w:cs="Arial"/>
          <w:i/>
          <w:iCs/>
          <w:color w:val="222222"/>
          <w:shd w:val="clear" w:color="auto" w:fill="FFFFFF"/>
        </w:rPr>
      </w:pPr>
    </w:p>
    <w:p w14:paraId="14FF3BB5" w14:textId="77777777" w:rsidR="00BB5E04" w:rsidRPr="00BB5E04" w:rsidRDefault="00BB5E04">
      <w:pPr>
        <w:rPr>
          <w:rFonts w:ascii="Arial" w:hAnsi="Arial" w:cs="Arial"/>
          <w:i/>
          <w:iCs/>
          <w:color w:val="222222"/>
          <w:shd w:val="clear" w:color="auto" w:fill="FFFFFF"/>
        </w:rPr>
      </w:pPr>
    </w:p>
    <w:p w14:paraId="57D9B8F2" w14:textId="77777777" w:rsidR="00AA49C9" w:rsidRPr="00E91DC8" w:rsidRDefault="00AA49C9">
      <w:pPr>
        <w:rPr>
          <w:rFonts w:ascii="Arial" w:hAnsi="Arial" w:cs="Arial"/>
          <w:i/>
          <w:iCs/>
          <w:color w:val="222222"/>
          <w:shd w:val="clear" w:color="auto" w:fill="FFFFFF"/>
        </w:rPr>
      </w:pPr>
    </w:p>
    <w:p w14:paraId="6C578E34" w14:textId="77777777" w:rsidR="00E91DC8" w:rsidRDefault="00E91DC8">
      <w:pPr>
        <w:rPr>
          <w:rFonts w:ascii="Arial" w:hAnsi="Arial" w:cs="Arial"/>
          <w:color w:val="222222"/>
          <w:shd w:val="clear" w:color="auto" w:fill="FFFFFF"/>
        </w:rPr>
      </w:pPr>
    </w:p>
    <w:p w14:paraId="781FF6E4" w14:textId="77777777" w:rsidR="00E36B97" w:rsidRPr="00553244" w:rsidRDefault="00E36B97">
      <w:pPr>
        <w:rPr>
          <w:rFonts w:ascii="Arial" w:hAnsi="Arial" w:cs="Arial"/>
          <w:color w:val="222222"/>
          <w:shd w:val="clear" w:color="auto" w:fill="FFFFFF"/>
        </w:rPr>
      </w:pPr>
    </w:p>
    <w:sectPr w:rsidR="00E36B97" w:rsidRPr="005532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30009"/>
    <w:multiLevelType w:val="hybridMultilevel"/>
    <w:tmpl w:val="F4260D58"/>
    <w:lvl w:ilvl="0" w:tplc="7A708A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26470C"/>
    <w:multiLevelType w:val="hybridMultilevel"/>
    <w:tmpl w:val="AD507C5A"/>
    <w:lvl w:ilvl="0" w:tplc="F208AEA4">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77906"/>
    <w:multiLevelType w:val="hybridMultilevel"/>
    <w:tmpl w:val="66B21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81779A"/>
    <w:multiLevelType w:val="hybridMultilevel"/>
    <w:tmpl w:val="5A82B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E74DA4"/>
    <w:multiLevelType w:val="hybridMultilevel"/>
    <w:tmpl w:val="A36601D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E597615"/>
    <w:multiLevelType w:val="hybridMultilevel"/>
    <w:tmpl w:val="630C53E2"/>
    <w:lvl w:ilvl="0" w:tplc="F208AEA4">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16cid:durableId="575627716">
    <w:abstractNumId w:val="6"/>
  </w:num>
  <w:num w:numId="2" w16cid:durableId="1498375759">
    <w:abstractNumId w:val="2"/>
  </w:num>
  <w:num w:numId="3" w16cid:durableId="645091124">
    <w:abstractNumId w:val="0"/>
  </w:num>
  <w:num w:numId="4" w16cid:durableId="1307974636">
    <w:abstractNumId w:val="5"/>
  </w:num>
  <w:num w:numId="5" w16cid:durableId="1656226651">
    <w:abstractNumId w:val="4"/>
  </w:num>
  <w:num w:numId="6" w16cid:durableId="1941058820">
    <w:abstractNumId w:val="1"/>
  </w:num>
  <w:num w:numId="7" w16cid:durableId="3787513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7A1"/>
    <w:rsid w:val="00000571"/>
    <w:rsid w:val="00010E2E"/>
    <w:rsid w:val="00073A57"/>
    <w:rsid w:val="000941B3"/>
    <w:rsid w:val="000A1421"/>
    <w:rsid w:val="000A71BA"/>
    <w:rsid w:val="000B1607"/>
    <w:rsid w:val="000D0B8E"/>
    <w:rsid w:val="000D1299"/>
    <w:rsid w:val="000D5C6E"/>
    <w:rsid w:val="000D5F8B"/>
    <w:rsid w:val="00102853"/>
    <w:rsid w:val="00105585"/>
    <w:rsid w:val="001254E1"/>
    <w:rsid w:val="00130FFB"/>
    <w:rsid w:val="001330B7"/>
    <w:rsid w:val="0016542A"/>
    <w:rsid w:val="0017248A"/>
    <w:rsid w:val="00175BF1"/>
    <w:rsid w:val="00181AA1"/>
    <w:rsid w:val="001A2AE4"/>
    <w:rsid w:val="001B1D2B"/>
    <w:rsid w:val="001E0F7E"/>
    <w:rsid w:val="00214F3C"/>
    <w:rsid w:val="00223D23"/>
    <w:rsid w:val="0022598A"/>
    <w:rsid w:val="002338C4"/>
    <w:rsid w:val="002366AE"/>
    <w:rsid w:val="0028104E"/>
    <w:rsid w:val="00285105"/>
    <w:rsid w:val="00316D09"/>
    <w:rsid w:val="00346A42"/>
    <w:rsid w:val="00376F20"/>
    <w:rsid w:val="003B4BBD"/>
    <w:rsid w:val="003D3E93"/>
    <w:rsid w:val="00401FD5"/>
    <w:rsid w:val="00403991"/>
    <w:rsid w:val="004406EA"/>
    <w:rsid w:val="004449A2"/>
    <w:rsid w:val="0047144A"/>
    <w:rsid w:val="00477681"/>
    <w:rsid w:val="00490AA6"/>
    <w:rsid w:val="00495965"/>
    <w:rsid w:val="004B71BB"/>
    <w:rsid w:val="004C2115"/>
    <w:rsid w:val="004E0F2D"/>
    <w:rsid w:val="00505E40"/>
    <w:rsid w:val="005253D7"/>
    <w:rsid w:val="00525802"/>
    <w:rsid w:val="005276D6"/>
    <w:rsid w:val="00553244"/>
    <w:rsid w:val="0056142E"/>
    <w:rsid w:val="005932BA"/>
    <w:rsid w:val="00595578"/>
    <w:rsid w:val="005A0CEE"/>
    <w:rsid w:val="005C4076"/>
    <w:rsid w:val="005D754E"/>
    <w:rsid w:val="005F102E"/>
    <w:rsid w:val="00623BDE"/>
    <w:rsid w:val="00634692"/>
    <w:rsid w:val="00646141"/>
    <w:rsid w:val="006464A5"/>
    <w:rsid w:val="00684D95"/>
    <w:rsid w:val="006960EE"/>
    <w:rsid w:val="006A33D3"/>
    <w:rsid w:val="006C2674"/>
    <w:rsid w:val="006C5C4A"/>
    <w:rsid w:val="007271FF"/>
    <w:rsid w:val="0073297E"/>
    <w:rsid w:val="007615C3"/>
    <w:rsid w:val="007C59CC"/>
    <w:rsid w:val="007E7A8F"/>
    <w:rsid w:val="007F3136"/>
    <w:rsid w:val="00843FFA"/>
    <w:rsid w:val="00877E82"/>
    <w:rsid w:val="008C585B"/>
    <w:rsid w:val="00914DB5"/>
    <w:rsid w:val="00927A89"/>
    <w:rsid w:val="00941D06"/>
    <w:rsid w:val="0096317D"/>
    <w:rsid w:val="00970334"/>
    <w:rsid w:val="00991731"/>
    <w:rsid w:val="009B7E9F"/>
    <w:rsid w:val="009C6528"/>
    <w:rsid w:val="009E1013"/>
    <w:rsid w:val="00A170D8"/>
    <w:rsid w:val="00A23DD6"/>
    <w:rsid w:val="00A74A05"/>
    <w:rsid w:val="00A767A1"/>
    <w:rsid w:val="00A815E8"/>
    <w:rsid w:val="00AA49C9"/>
    <w:rsid w:val="00AB1F2E"/>
    <w:rsid w:val="00AB28CE"/>
    <w:rsid w:val="00AE77D7"/>
    <w:rsid w:val="00AF1998"/>
    <w:rsid w:val="00B01D3D"/>
    <w:rsid w:val="00B0462D"/>
    <w:rsid w:val="00B1143D"/>
    <w:rsid w:val="00B1226C"/>
    <w:rsid w:val="00B141E7"/>
    <w:rsid w:val="00B25221"/>
    <w:rsid w:val="00BA4D3D"/>
    <w:rsid w:val="00BB342C"/>
    <w:rsid w:val="00BB5E04"/>
    <w:rsid w:val="00BC35F9"/>
    <w:rsid w:val="00BD32F6"/>
    <w:rsid w:val="00BD3A91"/>
    <w:rsid w:val="00BE461E"/>
    <w:rsid w:val="00BF617B"/>
    <w:rsid w:val="00C024CF"/>
    <w:rsid w:val="00C25731"/>
    <w:rsid w:val="00C631B1"/>
    <w:rsid w:val="00C76E0E"/>
    <w:rsid w:val="00C90E6E"/>
    <w:rsid w:val="00CF298B"/>
    <w:rsid w:val="00D067EC"/>
    <w:rsid w:val="00D12264"/>
    <w:rsid w:val="00D4431C"/>
    <w:rsid w:val="00D457C1"/>
    <w:rsid w:val="00D80661"/>
    <w:rsid w:val="00DA18D2"/>
    <w:rsid w:val="00DB7B16"/>
    <w:rsid w:val="00DD1341"/>
    <w:rsid w:val="00DD2CB8"/>
    <w:rsid w:val="00DF6C16"/>
    <w:rsid w:val="00DF6EC2"/>
    <w:rsid w:val="00E00EB3"/>
    <w:rsid w:val="00E21E02"/>
    <w:rsid w:val="00E266B0"/>
    <w:rsid w:val="00E30DA0"/>
    <w:rsid w:val="00E36B97"/>
    <w:rsid w:val="00E43477"/>
    <w:rsid w:val="00E51324"/>
    <w:rsid w:val="00E91DC8"/>
    <w:rsid w:val="00EB5C9B"/>
    <w:rsid w:val="00ED46BB"/>
    <w:rsid w:val="00EE5043"/>
    <w:rsid w:val="00F317F5"/>
    <w:rsid w:val="00F34F5B"/>
    <w:rsid w:val="00F642FC"/>
    <w:rsid w:val="00F712A1"/>
    <w:rsid w:val="00FB7874"/>
    <w:rsid w:val="00FC072D"/>
    <w:rsid w:val="00FC3227"/>
    <w:rsid w:val="00FF1A61"/>
    <w:rsid w:val="00FF1D9C"/>
    <w:rsid w:val="00FF4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342BE"/>
  <w15:chartTrackingRefBased/>
  <w15:docId w15:val="{69EAC2FC-EC9A-4CD9-9998-564180110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7A1"/>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67A1"/>
    <w:pPr>
      <w:ind w:left="720"/>
      <w:contextualSpacing/>
    </w:pPr>
  </w:style>
  <w:style w:type="paragraph" w:styleId="NormalWeb">
    <w:name w:val="Normal (Web)"/>
    <w:basedOn w:val="Normal"/>
    <w:uiPriority w:val="99"/>
    <w:semiHidden/>
    <w:unhideWhenUsed/>
    <w:rsid w:val="00A767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0">
    <w:name w:val="css-0"/>
    <w:basedOn w:val="DefaultParagraphFont"/>
    <w:rsid w:val="001A2AE4"/>
  </w:style>
  <w:style w:type="character" w:customStyle="1" w:styleId="css-rh820s">
    <w:name w:val="css-rh820s"/>
    <w:basedOn w:val="DefaultParagraphFont"/>
    <w:rsid w:val="001A2AE4"/>
  </w:style>
  <w:style w:type="character" w:customStyle="1" w:styleId="css-15iwe0d">
    <w:name w:val="css-15iwe0d"/>
    <w:basedOn w:val="DefaultParagraphFont"/>
    <w:rsid w:val="001A2AE4"/>
  </w:style>
  <w:style w:type="character" w:customStyle="1" w:styleId="css-2yp7ui">
    <w:name w:val="css-2yp7ui"/>
    <w:basedOn w:val="DefaultParagraphFont"/>
    <w:rsid w:val="001A2A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8108">
      <w:bodyDiv w:val="1"/>
      <w:marLeft w:val="0"/>
      <w:marRight w:val="0"/>
      <w:marTop w:val="0"/>
      <w:marBottom w:val="0"/>
      <w:divBdr>
        <w:top w:val="none" w:sz="0" w:space="0" w:color="auto"/>
        <w:left w:val="none" w:sz="0" w:space="0" w:color="auto"/>
        <w:bottom w:val="none" w:sz="0" w:space="0" w:color="auto"/>
        <w:right w:val="none" w:sz="0" w:space="0" w:color="auto"/>
      </w:divBdr>
    </w:div>
    <w:div w:id="78259624">
      <w:bodyDiv w:val="1"/>
      <w:marLeft w:val="0"/>
      <w:marRight w:val="0"/>
      <w:marTop w:val="0"/>
      <w:marBottom w:val="0"/>
      <w:divBdr>
        <w:top w:val="none" w:sz="0" w:space="0" w:color="auto"/>
        <w:left w:val="none" w:sz="0" w:space="0" w:color="auto"/>
        <w:bottom w:val="none" w:sz="0" w:space="0" w:color="auto"/>
        <w:right w:val="none" w:sz="0" w:space="0" w:color="auto"/>
      </w:divBdr>
    </w:div>
    <w:div w:id="94717534">
      <w:bodyDiv w:val="1"/>
      <w:marLeft w:val="0"/>
      <w:marRight w:val="0"/>
      <w:marTop w:val="0"/>
      <w:marBottom w:val="0"/>
      <w:divBdr>
        <w:top w:val="none" w:sz="0" w:space="0" w:color="auto"/>
        <w:left w:val="none" w:sz="0" w:space="0" w:color="auto"/>
        <w:bottom w:val="none" w:sz="0" w:space="0" w:color="auto"/>
        <w:right w:val="none" w:sz="0" w:space="0" w:color="auto"/>
      </w:divBdr>
    </w:div>
    <w:div w:id="126121593">
      <w:bodyDiv w:val="1"/>
      <w:marLeft w:val="0"/>
      <w:marRight w:val="0"/>
      <w:marTop w:val="0"/>
      <w:marBottom w:val="0"/>
      <w:divBdr>
        <w:top w:val="none" w:sz="0" w:space="0" w:color="auto"/>
        <w:left w:val="none" w:sz="0" w:space="0" w:color="auto"/>
        <w:bottom w:val="none" w:sz="0" w:space="0" w:color="auto"/>
        <w:right w:val="none" w:sz="0" w:space="0" w:color="auto"/>
      </w:divBdr>
    </w:div>
    <w:div w:id="129176909">
      <w:bodyDiv w:val="1"/>
      <w:marLeft w:val="0"/>
      <w:marRight w:val="0"/>
      <w:marTop w:val="0"/>
      <w:marBottom w:val="0"/>
      <w:divBdr>
        <w:top w:val="none" w:sz="0" w:space="0" w:color="auto"/>
        <w:left w:val="none" w:sz="0" w:space="0" w:color="auto"/>
        <w:bottom w:val="none" w:sz="0" w:space="0" w:color="auto"/>
        <w:right w:val="none" w:sz="0" w:space="0" w:color="auto"/>
      </w:divBdr>
    </w:div>
    <w:div w:id="147595014">
      <w:bodyDiv w:val="1"/>
      <w:marLeft w:val="0"/>
      <w:marRight w:val="0"/>
      <w:marTop w:val="0"/>
      <w:marBottom w:val="0"/>
      <w:divBdr>
        <w:top w:val="none" w:sz="0" w:space="0" w:color="auto"/>
        <w:left w:val="none" w:sz="0" w:space="0" w:color="auto"/>
        <w:bottom w:val="none" w:sz="0" w:space="0" w:color="auto"/>
        <w:right w:val="none" w:sz="0" w:space="0" w:color="auto"/>
      </w:divBdr>
    </w:div>
    <w:div w:id="178937629">
      <w:bodyDiv w:val="1"/>
      <w:marLeft w:val="0"/>
      <w:marRight w:val="0"/>
      <w:marTop w:val="0"/>
      <w:marBottom w:val="0"/>
      <w:divBdr>
        <w:top w:val="none" w:sz="0" w:space="0" w:color="auto"/>
        <w:left w:val="none" w:sz="0" w:space="0" w:color="auto"/>
        <w:bottom w:val="none" w:sz="0" w:space="0" w:color="auto"/>
        <w:right w:val="none" w:sz="0" w:space="0" w:color="auto"/>
      </w:divBdr>
    </w:div>
    <w:div w:id="210385129">
      <w:bodyDiv w:val="1"/>
      <w:marLeft w:val="0"/>
      <w:marRight w:val="0"/>
      <w:marTop w:val="0"/>
      <w:marBottom w:val="0"/>
      <w:divBdr>
        <w:top w:val="none" w:sz="0" w:space="0" w:color="auto"/>
        <w:left w:val="none" w:sz="0" w:space="0" w:color="auto"/>
        <w:bottom w:val="none" w:sz="0" w:space="0" w:color="auto"/>
        <w:right w:val="none" w:sz="0" w:space="0" w:color="auto"/>
      </w:divBdr>
    </w:div>
    <w:div w:id="219483917">
      <w:bodyDiv w:val="1"/>
      <w:marLeft w:val="0"/>
      <w:marRight w:val="0"/>
      <w:marTop w:val="0"/>
      <w:marBottom w:val="0"/>
      <w:divBdr>
        <w:top w:val="none" w:sz="0" w:space="0" w:color="auto"/>
        <w:left w:val="none" w:sz="0" w:space="0" w:color="auto"/>
        <w:bottom w:val="none" w:sz="0" w:space="0" w:color="auto"/>
        <w:right w:val="none" w:sz="0" w:space="0" w:color="auto"/>
      </w:divBdr>
    </w:div>
    <w:div w:id="221333596">
      <w:bodyDiv w:val="1"/>
      <w:marLeft w:val="0"/>
      <w:marRight w:val="0"/>
      <w:marTop w:val="0"/>
      <w:marBottom w:val="0"/>
      <w:divBdr>
        <w:top w:val="none" w:sz="0" w:space="0" w:color="auto"/>
        <w:left w:val="none" w:sz="0" w:space="0" w:color="auto"/>
        <w:bottom w:val="none" w:sz="0" w:space="0" w:color="auto"/>
        <w:right w:val="none" w:sz="0" w:space="0" w:color="auto"/>
      </w:divBdr>
    </w:div>
    <w:div w:id="228342240">
      <w:bodyDiv w:val="1"/>
      <w:marLeft w:val="0"/>
      <w:marRight w:val="0"/>
      <w:marTop w:val="0"/>
      <w:marBottom w:val="0"/>
      <w:divBdr>
        <w:top w:val="none" w:sz="0" w:space="0" w:color="auto"/>
        <w:left w:val="none" w:sz="0" w:space="0" w:color="auto"/>
        <w:bottom w:val="none" w:sz="0" w:space="0" w:color="auto"/>
        <w:right w:val="none" w:sz="0" w:space="0" w:color="auto"/>
      </w:divBdr>
    </w:div>
    <w:div w:id="239147091">
      <w:bodyDiv w:val="1"/>
      <w:marLeft w:val="0"/>
      <w:marRight w:val="0"/>
      <w:marTop w:val="0"/>
      <w:marBottom w:val="0"/>
      <w:divBdr>
        <w:top w:val="none" w:sz="0" w:space="0" w:color="auto"/>
        <w:left w:val="none" w:sz="0" w:space="0" w:color="auto"/>
        <w:bottom w:val="none" w:sz="0" w:space="0" w:color="auto"/>
        <w:right w:val="none" w:sz="0" w:space="0" w:color="auto"/>
      </w:divBdr>
    </w:div>
    <w:div w:id="261111806">
      <w:bodyDiv w:val="1"/>
      <w:marLeft w:val="0"/>
      <w:marRight w:val="0"/>
      <w:marTop w:val="0"/>
      <w:marBottom w:val="0"/>
      <w:divBdr>
        <w:top w:val="none" w:sz="0" w:space="0" w:color="auto"/>
        <w:left w:val="none" w:sz="0" w:space="0" w:color="auto"/>
        <w:bottom w:val="none" w:sz="0" w:space="0" w:color="auto"/>
        <w:right w:val="none" w:sz="0" w:space="0" w:color="auto"/>
      </w:divBdr>
    </w:div>
    <w:div w:id="265425913">
      <w:bodyDiv w:val="1"/>
      <w:marLeft w:val="0"/>
      <w:marRight w:val="0"/>
      <w:marTop w:val="0"/>
      <w:marBottom w:val="0"/>
      <w:divBdr>
        <w:top w:val="none" w:sz="0" w:space="0" w:color="auto"/>
        <w:left w:val="none" w:sz="0" w:space="0" w:color="auto"/>
        <w:bottom w:val="none" w:sz="0" w:space="0" w:color="auto"/>
        <w:right w:val="none" w:sz="0" w:space="0" w:color="auto"/>
      </w:divBdr>
    </w:div>
    <w:div w:id="297879684">
      <w:bodyDiv w:val="1"/>
      <w:marLeft w:val="0"/>
      <w:marRight w:val="0"/>
      <w:marTop w:val="0"/>
      <w:marBottom w:val="0"/>
      <w:divBdr>
        <w:top w:val="none" w:sz="0" w:space="0" w:color="auto"/>
        <w:left w:val="none" w:sz="0" w:space="0" w:color="auto"/>
        <w:bottom w:val="none" w:sz="0" w:space="0" w:color="auto"/>
        <w:right w:val="none" w:sz="0" w:space="0" w:color="auto"/>
      </w:divBdr>
    </w:div>
    <w:div w:id="301615644">
      <w:bodyDiv w:val="1"/>
      <w:marLeft w:val="0"/>
      <w:marRight w:val="0"/>
      <w:marTop w:val="0"/>
      <w:marBottom w:val="0"/>
      <w:divBdr>
        <w:top w:val="none" w:sz="0" w:space="0" w:color="auto"/>
        <w:left w:val="none" w:sz="0" w:space="0" w:color="auto"/>
        <w:bottom w:val="none" w:sz="0" w:space="0" w:color="auto"/>
        <w:right w:val="none" w:sz="0" w:space="0" w:color="auto"/>
      </w:divBdr>
    </w:div>
    <w:div w:id="340157088">
      <w:bodyDiv w:val="1"/>
      <w:marLeft w:val="0"/>
      <w:marRight w:val="0"/>
      <w:marTop w:val="0"/>
      <w:marBottom w:val="0"/>
      <w:divBdr>
        <w:top w:val="none" w:sz="0" w:space="0" w:color="auto"/>
        <w:left w:val="none" w:sz="0" w:space="0" w:color="auto"/>
        <w:bottom w:val="none" w:sz="0" w:space="0" w:color="auto"/>
        <w:right w:val="none" w:sz="0" w:space="0" w:color="auto"/>
      </w:divBdr>
    </w:div>
    <w:div w:id="349601701">
      <w:bodyDiv w:val="1"/>
      <w:marLeft w:val="0"/>
      <w:marRight w:val="0"/>
      <w:marTop w:val="0"/>
      <w:marBottom w:val="0"/>
      <w:divBdr>
        <w:top w:val="none" w:sz="0" w:space="0" w:color="auto"/>
        <w:left w:val="none" w:sz="0" w:space="0" w:color="auto"/>
        <w:bottom w:val="none" w:sz="0" w:space="0" w:color="auto"/>
        <w:right w:val="none" w:sz="0" w:space="0" w:color="auto"/>
      </w:divBdr>
    </w:div>
    <w:div w:id="396826244">
      <w:bodyDiv w:val="1"/>
      <w:marLeft w:val="0"/>
      <w:marRight w:val="0"/>
      <w:marTop w:val="0"/>
      <w:marBottom w:val="0"/>
      <w:divBdr>
        <w:top w:val="none" w:sz="0" w:space="0" w:color="auto"/>
        <w:left w:val="none" w:sz="0" w:space="0" w:color="auto"/>
        <w:bottom w:val="none" w:sz="0" w:space="0" w:color="auto"/>
        <w:right w:val="none" w:sz="0" w:space="0" w:color="auto"/>
      </w:divBdr>
    </w:div>
    <w:div w:id="473182459">
      <w:bodyDiv w:val="1"/>
      <w:marLeft w:val="0"/>
      <w:marRight w:val="0"/>
      <w:marTop w:val="0"/>
      <w:marBottom w:val="0"/>
      <w:divBdr>
        <w:top w:val="none" w:sz="0" w:space="0" w:color="auto"/>
        <w:left w:val="none" w:sz="0" w:space="0" w:color="auto"/>
        <w:bottom w:val="none" w:sz="0" w:space="0" w:color="auto"/>
        <w:right w:val="none" w:sz="0" w:space="0" w:color="auto"/>
      </w:divBdr>
    </w:div>
    <w:div w:id="478113750">
      <w:bodyDiv w:val="1"/>
      <w:marLeft w:val="0"/>
      <w:marRight w:val="0"/>
      <w:marTop w:val="0"/>
      <w:marBottom w:val="0"/>
      <w:divBdr>
        <w:top w:val="none" w:sz="0" w:space="0" w:color="auto"/>
        <w:left w:val="none" w:sz="0" w:space="0" w:color="auto"/>
        <w:bottom w:val="none" w:sz="0" w:space="0" w:color="auto"/>
        <w:right w:val="none" w:sz="0" w:space="0" w:color="auto"/>
      </w:divBdr>
    </w:div>
    <w:div w:id="510340998">
      <w:bodyDiv w:val="1"/>
      <w:marLeft w:val="0"/>
      <w:marRight w:val="0"/>
      <w:marTop w:val="0"/>
      <w:marBottom w:val="0"/>
      <w:divBdr>
        <w:top w:val="none" w:sz="0" w:space="0" w:color="auto"/>
        <w:left w:val="none" w:sz="0" w:space="0" w:color="auto"/>
        <w:bottom w:val="none" w:sz="0" w:space="0" w:color="auto"/>
        <w:right w:val="none" w:sz="0" w:space="0" w:color="auto"/>
      </w:divBdr>
    </w:div>
    <w:div w:id="528951318">
      <w:bodyDiv w:val="1"/>
      <w:marLeft w:val="0"/>
      <w:marRight w:val="0"/>
      <w:marTop w:val="0"/>
      <w:marBottom w:val="0"/>
      <w:divBdr>
        <w:top w:val="none" w:sz="0" w:space="0" w:color="auto"/>
        <w:left w:val="none" w:sz="0" w:space="0" w:color="auto"/>
        <w:bottom w:val="none" w:sz="0" w:space="0" w:color="auto"/>
        <w:right w:val="none" w:sz="0" w:space="0" w:color="auto"/>
      </w:divBdr>
    </w:div>
    <w:div w:id="561909300">
      <w:bodyDiv w:val="1"/>
      <w:marLeft w:val="0"/>
      <w:marRight w:val="0"/>
      <w:marTop w:val="0"/>
      <w:marBottom w:val="0"/>
      <w:divBdr>
        <w:top w:val="none" w:sz="0" w:space="0" w:color="auto"/>
        <w:left w:val="none" w:sz="0" w:space="0" w:color="auto"/>
        <w:bottom w:val="none" w:sz="0" w:space="0" w:color="auto"/>
        <w:right w:val="none" w:sz="0" w:space="0" w:color="auto"/>
      </w:divBdr>
    </w:div>
    <w:div w:id="569077007">
      <w:bodyDiv w:val="1"/>
      <w:marLeft w:val="0"/>
      <w:marRight w:val="0"/>
      <w:marTop w:val="0"/>
      <w:marBottom w:val="0"/>
      <w:divBdr>
        <w:top w:val="none" w:sz="0" w:space="0" w:color="auto"/>
        <w:left w:val="none" w:sz="0" w:space="0" w:color="auto"/>
        <w:bottom w:val="none" w:sz="0" w:space="0" w:color="auto"/>
        <w:right w:val="none" w:sz="0" w:space="0" w:color="auto"/>
      </w:divBdr>
    </w:div>
    <w:div w:id="629439812">
      <w:bodyDiv w:val="1"/>
      <w:marLeft w:val="0"/>
      <w:marRight w:val="0"/>
      <w:marTop w:val="0"/>
      <w:marBottom w:val="0"/>
      <w:divBdr>
        <w:top w:val="none" w:sz="0" w:space="0" w:color="auto"/>
        <w:left w:val="none" w:sz="0" w:space="0" w:color="auto"/>
        <w:bottom w:val="none" w:sz="0" w:space="0" w:color="auto"/>
        <w:right w:val="none" w:sz="0" w:space="0" w:color="auto"/>
      </w:divBdr>
    </w:div>
    <w:div w:id="632910543">
      <w:bodyDiv w:val="1"/>
      <w:marLeft w:val="0"/>
      <w:marRight w:val="0"/>
      <w:marTop w:val="0"/>
      <w:marBottom w:val="0"/>
      <w:divBdr>
        <w:top w:val="none" w:sz="0" w:space="0" w:color="auto"/>
        <w:left w:val="none" w:sz="0" w:space="0" w:color="auto"/>
        <w:bottom w:val="none" w:sz="0" w:space="0" w:color="auto"/>
        <w:right w:val="none" w:sz="0" w:space="0" w:color="auto"/>
      </w:divBdr>
    </w:div>
    <w:div w:id="641034177">
      <w:bodyDiv w:val="1"/>
      <w:marLeft w:val="0"/>
      <w:marRight w:val="0"/>
      <w:marTop w:val="0"/>
      <w:marBottom w:val="0"/>
      <w:divBdr>
        <w:top w:val="none" w:sz="0" w:space="0" w:color="auto"/>
        <w:left w:val="none" w:sz="0" w:space="0" w:color="auto"/>
        <w:bottom w:val="none" w:sz="0" w:space="0" w:color="auto"/>
        <w:right w:val="none" w:sz="0" w:space="0" w:color="auto"/>
      </w:divBdr>
    </w:div>
    <w:div w:id="657458352">
      <w:bodyDiv w:val="1"/>
      <w:marLeft w:val="0"/>
      <w:marRight w:val="0"/>
      <w:marTop w:val="0"/>
      <w:marBottom w:val="0"/>
      <w:divBdr>
        <w:top w:val="none" w:sz="0" w:space="0" w:color="auto"/>
        <w:left w:val="none" w:sz="0" w:space="0" w:color="auto"/>
        <w:bottom w:val="none" w:sz="0" w:space="0" w:color="auto"/>
        <w:right w:val="none" w:sz="0" w:space="0" w:color="auto"/>
      </w:divBdr>
    </w:div>
    <w:div w:id="682561047">
      <w:bodyDiv w:val="1"/>
      <w:marLeft w:val="0"/>
      <w:marRight w:val="0"/>
      <w:marTop w:val="0"/>
      <w:marBottom w:val="0"/>
      <w:divBdr>
        <w:top w:val="none" w:sz="0" w:space="0" w:color="auto"/>
        <w:left w:val="none" w:sz="0" w:space="0" w:color="auto"/>
        <w:bottom w:val="none" w:sz="0" w:space="0" w:color="auto"/>
        <w:right w:val="none" w:sz="0" w:space="0" w:color="auto"/>
      </w:divBdr>
    </w:div>
    <w:div w:id="693464098">
      <w:bodyDiv w:val="1"/>
      <w:marLeft w:val="0"/>
      <w:marRight w:val="0"/>
      <w:marTop w:val="0"/>
      <w:marBottom w:val="0"/>
      <w:divBdr>
        <w:top w:val="none" w:sz="0" w:space="0" w:color="auto"/>
        <w:left w:val="none" w:sz="0" w:space="0" w:color="auto"/>
        <w:bottom w:val="none" w:sz="0" w:space="0" w:color="auto"/>
        <w:right w:val="none" w:sz="0" w:space="0" w:color="auto"/>
      </w:divBdr>
    </w:div>
    <w:div w:id="700664764">
      <w:bodyDiv w:val="1"/>
      <w:marLeft w:val="0"/>
      <w:marRight w:val="0"/>
      <w:marTop w:val="0"/>
      <w:marBottom w:val="0"/>
      <w:divBdr>
        <w:top w:val="none" w:sz="0" w:space="0" w:color="auto"/>
        <w:left w:val="none" w:sz="0" w:space="0" w:color="auto"/>
        <w:bottom w:val="none" w:sz="0" w:space="0" w:color="auto"/>
        <w:right w:val="none" w:sz="0" w:space="0" w:color="auto"/>
      </w:divBdr>
    </w:div>
    <w:div w:id="762917795">
      <w:bodyDiv w:val="1"/>
      <w:marLeft w:val="0"/>
      <w:marRight w:val="0"/>
      <w:marTop w:val="0"/>
      <w:marBottom w:val="0"/>
      <w:divBdr>
        <w:top w:val="none" w:sz="0" w:space="0" w:color="auto"/>
        <w:left w:val="none" w:sz="0" w:space="0" w:color="auto"/>
        <w:bottom w:val="none" w:sz="0" w:space="0" w:color="auto"/>
        <w:right w:val="none" w:sz="0" w:space="0" w:color="auto"/>
      </w:divBdr>
    </w:div>
    <w:div w:id="828907617">
      <w:bodyDiv w:val="1"/>
      <w:marLeft w:val="0"/>
      <w:marRight w:val="0"/>
      <w:marTop w:val="0"/>
      <w:marBottom w:val="0"/>
      <w:divBdr>
        <w:top w:val="none" w:sz="0" w:space="0" w:color="auto"/>
        <w:left w:val="none" w:sz="0" w:space="0" w:color="auto"/>
        <w:bottom w:val="none" w:sz="0" w:space="0" w:color="auto"/>
        <w:right w:val="none" w:sz="0" w:space="0" w:color="auto"/>
      </w:divBdr>
    </w:div>
    <w:div w:id="848762153">
      <w:bodyDiv w:val="1"/>
      <w:marLeft w:val="0"/>
      <w:marRight w:val="0"/>
      <w:marTop w:val="0"/>
      <w:marBottom w:val="0"/>
      <w:divBdr>
        <w:top w:val="none" w:sz="0" w:space="0" w:color="auto"/>
        <w:left w:val="none" w:sz="0" w:space="0" w:color="auto"/>
        <w:bottom w:val="none" w:sz="0" w:space="0" w:color="auto"/>
        <w:right w:val="none" w:sz="0" w:space="0" w:color="auto"/>
      </w:divBdr>
    </w:div>
    <w:div w:id="902521535">
      <w:bodyDiv w:val="1"/>
      <w:marLeft w:val="0"/>
      <w:marRight w:val="0"/>
      <w:marTop w:val="0"/>
      <w:marBottom w:val="0"/>
      <w:divBdr>
        <w:top w:val="none" w:sz="0" w:space="0" w:color="auto"/>
        <w:left w:val="none" w:sz="0" w:space="0" w:color="auto"/>
        <w:bottom w:val="none" w:sz="0" w:space="0" w:color="auto"/>
        <w:right w:val="none" w:sz="0" w:space="0" w:color="auto"/>
      </w:divBdr>
    </w:div>
    <w:div w:id="944463326">
      <w:bodyDiv w:val="1"/>
      <w:marLeft w:val="0"/>
      <w:marRight w:val="0"/>
      <w:marTop w:val="0"/>
      <w:marBottom w:val="0"/>
      <w:divBdr>
        <w:top w:val="none" w:sz="0" w:space="0" w:color="auto"/>
        <w:left w:val="none" w:sz="0" w:space="0" w:color="auto"/>
        <w:bottom w:val="none" w:sz="0" w:space="0" w:color="auto"/>
        <w:right w:val="none" w:sz="0" w:space="0" w:color="auto"/>
      </w:divBdr>
    </w:div>
    <w:div w:id="1076392276">
      <w:bodyDiv w:val="1"/>
      <w:marLeft w:val="0"/>
      <w:marRight w:val="0"/>
      <w:marTop w:val="0"/>
      <w:marBottom w:val="0"/>
      <w:divBdr>
        <w:top w:val="none" w:sz="0" w:space="0" w:color="auto"/>
        <w:left w:val="none" w:sz="0" w:space="0" w:color="auto"/>
        <w:bottom w:val="none" w:sz="0" w:space="0" w:color="auto"/>
        <w:right w:val="none" w:sz="0" w:space="0" w:color="auto"/>
      </w:divBdr>
    </w:div>
    <w:div w:id="1104228168">
      <w:bodyDiv w:val="1"/>
      <w:marLeft w:val="0"/>
      <w:marRight w:val="0"/>
      <w:marTop w:val="0"/>
      <w:marBottom w:val="0"/>
      <w:divBdr>
        <w:top w:val="none" w:sz="0" w:space="0" w:color="auto"/>
        <w:left w:val="none" w:sz="0" w:space="0" w:color="auto"/>
        <w:bottom w:val="none" w:sz="0" w:space="0" w:color="auto"/>
        <w:right w:val="none" w:sz="0" w:space="0" w:color="auto"/>
      </w:divBdr>
    </w:div>
    <w:div w:id="1105230848">
      <w:bodyDiv w:val="1"/>
      <w:marLeft w:val="0"/>
      <w:marRight w:val="0"/>
      <w:marTop w:val="0"/>
      <w:marBottom w:val="0"/>
      <w:divBdr>
        <w:top w:val="none" w:sz="0" w:space="0" w:color="auto"/>
        <w:left w:val="none" w:sz="0" w:space="0" w:color="auto"/>
        <w:bottom w:val="none" w:sz="0" w:space="0" w:color="auto"/>
        <w:right w:val="none" w:sz="0" w:space="0" w:color="auto"/>
      </w:divBdr>
    </w:div>
    <w:div w:id="1114515078">
      <w:bodyDiv w:val="1"/>
      <w:marLeft w:val="0"/>
      <w:marRight w:val="0"/>
      <w:marTop w:val="0"/>
      <w:marBottom w:val="0"/>
      <w:divBdr>
        <w:top w:val="none" w:sz="0" w:space="0" w:color="auto"/>
        <w:left w:val="none" w:sz="0" w:space="0" w:color="auto"/>
        <w:bottom w:val="none" w:sz="0" w:space="0" w:color="auto"/>
        <w:right w:val="none" w:sz="0" w:space="0" w:color="auto"/>
      </w:divBdr>
    </w:div>
    <w:div w:id="1170755939">
      <w:bodyDiv w:val="1"/>
      <w:marLeft w:val="0"/>
      <w:marRight w:val="0"/>
      <w:marTop w:val="0"/>
      <w:marBottom w:val="0"/>
      <w:divBdr>
        <w:top w:val="none" w:sz="0" w:space="0" w:color="auto"/>
        <w:left w:val="none" w:sz="0" w:space="0" w:color="auto"/>
        <w:bottom w:val="none" w:sz="0" w:space="0" w:color="auto"/>
        <w:right w:val="none" w:sz="0" w:space="0" w:color="auto"/>
      </w:divBdr>
    </w:div>
    <w:div w:id="1175145378">
      <w:bodyDiv w:val="1"/>
      <w:marLeft w:val="0"/>
      <w:marRight w:val="0"/>
      <w:marTop w:val="0"/>
      <w:marBottom w:val="0"/>
      <w:divBdr>
        <w:top w:val="none" w:sz="0" w:space="0" w:color="auto"/>
        <w:left w:val="none" w:sz="0" w:space="0" w:color="auto"/>
        <w:bottom w:val="none" w:sz="0" w:space="0" w:color="auto"/>
        <w:right w:val="none" w:sz="0" w:space="0" w:color="auto"/>
      </w:divBdr>
    </w:div>
    <w:div w:id="1179737205">
      <w:bodyDiv w:val="1"/>
      <w:marLeft w:val="0"/>
      <w:marRight w:val="0"/>
      <w:marTop w:val="0"/>
      <w:marBottom w:val="0"/>
      <w:divBdr>
        <w:top w:val="none" w:sz="0" w:space="0" w:color="auto"/>
        <w:left w:val="none" w:sz="0" w:space="0" w:color="auto"/>
        <w:bottom w:val="none" w:sz="0" w:space="0" w:color="auto"/>
        <w:right w:val="none" w:sz="0" w:space="0" w:color="auto"/>
      </w:divBdr>
    </w:div>
    <w:div w:id="1202208324">
      <w:bodyDiv w:val="1"/>
      <w:marLeft w:val="0"/>
      <w:marRight w:val="0"/>
      <w:marTop w:val="0"/>
      <w:marBottom w:val="0"/>
      <w:divBdr>
        <w:top w:val="none" w:sz="0" w:space="0" w:color="auto"/>
        <w:left w:val="none" w:sz="0" w:space="0" w:color="auto"/>
        <w:bottom w:val="none" w:sz="0" w:space="0" w:color="auto"/>
        <w:right w:val="none" w:sz="0" w:space="0" w:color="auto"/>
      </w:divBdr>
    </w:div>
    <w:div w:id="1241328325">
      <w:bodyDiv w:val="1"/>
      <w:marLeft w:val="0"/>
      <w:marRight w:val="0"/>
      <w:marTop w:val="0"/>
      <w:marBottom w:val="0"/>
      <w:divBdr>
        <w:top w:val="none" w:sz="0" w:space="0" w:color="auto"/>
        <w:left w:val="none" w:sz="0" w:space="0" w:color="auto"/>
        <w:bottom w:val="none" w:sz="0" w:space="0" w:color="auto"/>
        <w:right w:val="none" w:sz="0" w:space="0" w:color="auto"/>
      </w:divBdr>
    </w:div>
    <w:div w:id="1310399225">
      <w:bodyDiv w:val="1"/>
      <w:marLeft w:val="0"/>
      <w:marRight w:val="0"/>
      <w:marTop w:val="0"/>
      <w:marBottom w:val="0"/>
      <w:divBdr>
        <w:top w:val="none" w:sz="0" w:space="0" w:color="auto"/>
        <w:left w:val="none" w:sz="0" w:space="0" w:color="auto"/>
        <w:bottom w:val="none" w:sz="0" w:space="0" w:color="auto"/>
        <w:right w:val="none" w:sz="0" w:space="0" w:color="auto"/>
      </w:divBdr>
    </w:div>
    <w:div w:id="1406151406">
      <w:bodyDiv w:val="1"/>
      <w:marLeft w:val="0"/>
      <w:marRight w:val="0"/>
      <w:marTop w:val="0"/>
      <w:marBottom w:val="0"/>
      <w:divBdr>
        <w:top w:val="none" w:sz="0" w:space="0" w:color="auto"/>
        <w:left w:val="none" w:sz="0" w:space="0" w:color="auto"/>
        <w:bottom w:val="none" w:sz="0" w:space="0" w:color="auto"/>
        <w:right w:val="none" w:sz="0" w:space="0" w:color="auto"/>
      </w:divBdr>
    </w:div>
    <w:div w:id="1461916424">
      <w:bodyDiv w:val="1"/>
      <w:marLeft w:val="0"/>
      <w:marRight w:val="0"/>
      <w:marTop w:val="0"/>
      <w:marBottom w:val="0"/>
      <w:divBdr>
        <w:top w:val="none" w:sz="0" w:space="0" w:color="auto"/>
        <w:left w:val="none" w:sz="0" w:space="0" w:color="auto"/>
        <w:bottom w:val="none" w:sz="0" w:space="0" w:color="auto"/>
        <w:right w:val="none" w:sz="0" w:space="0" w:color="auto"/>
      </w:divBdr>
    </w:div>
    <w:div w:id="1471433656">
      <w:bodyDiv w:val="1"/>
      <w:marLeft w:val="0"/>
      <w:marRight w:val="0"/>
      <w:marTop w:val="0"/>
      <w:marBottom w:val="0"/>
      <w:divBdr>
        <w:top w:val="none" w:sz="0" w:space="0" w:color="auto"/>
        <w:left w:val="none" w:sz="0" w:space="0" w:color="auto"/>
        <w:bottom w:val="none" w:sz="0" w:space="0" w:color="auto"/>
        <w:right w:val="none" w:sz="0" w:space="0" w:color="auto"/>
      </w:divBdr>
    </w:div>
    <w:div w:id="1501848541">
      <w:bodyDiv w:val="1"/>
      <w:marLeft w:val="0"/>
      <w:marRight w:val="0"/>
      <w:marTop w:val="0"/>
      <w:marBottom w:val="0"/>
      <w:divBdr>
        <w:top w:val="none" w:sz="0" w:space="0" w:color="auto"/>
        <w:left w:val="none" w:sz="0" w:space="0" w:color="auto"/>
        <w:bottom w:val="none" w:sz="0" w:space="0" w:color="auto"/>
        <w:right w:val="none" w:sz="0" w:space="0" w:color="auto"/>
      </w:divBdr>
    </w:div>
    <w:div w:id="1515456363">
      <w:bodyDiv w:val="1"/>
      <w:marLeft w:val="0"/>
      <w:marRight w:val="0"/>
      <w:marTop w:val="0"/>
      <w:marBottom w:val="0"/>
      <w:divBdr>
        <w:top w:val="none" w:sz="0" w:space="0" w:color="auto"/>
        <w:left w:val="none" w:sz="0" w:space="0" w:color="auto"/>
        <w:bottom w:val="none" w:sz="0" w:space="0" w:color="auto"/>
        <w:right w:val="none" w:sz="0" w:space="0" w:color="auto"/>
      </w:divBdr>
    </w:div>
    <w:div w:id="1519274975">
      <w:bodyDiv w:val="1"/>
      <w:marLeft w:val="0"/>
      <w:marRight w:val="0"/>
      <w:marTop w:val="0"/>
      <w:marBottom w:val="0"/>
      <w:divBdr>
        <w:top w:val="none" w:sz="0" w:space="0" w:color="auto"/>
        <w:left w:val="none" w:sz="0" w:space="0" w:color="auto"/>
        <w:bottom w:val="none" w:sz="0" w:space="0" w:color="auto"/>
        <w:right w:val="none" w:sz="0" w:space="0" w:color="auto"/>
      </w:divBdr>
    </w:div>
    <w:div w:id="1556694004">
      <w:bodyDiv w:val="1"/>
      <w:marLeft w:val="0"/>
      <w:marRight w:val="0"/>
      <w:marTop w:val="0"/>
      <w:marBottom w:val="0"/>
      <w:divBdr>
        <w:top w:val="none" w:sz="0" w:space="0" w:color="auto"/>
        <w:left w:val="none" w:sz="0" w:space="0" w:color="auto"/>
        <w:bottom w:val="none" w:sz="0" w:space="0" w:color="auto"/>
        <w:right w:val="none" w:sz="0" w:space="0" w:color="auto"/>
      </w:divBdr>
    </w:div>
    <w:div w:id="1575578674">
      <w:bodyDiv w:val="1"/>
      <w:marLeft w:val="0"/>
      <w:marRight w:val="0"/>
      <w:marTop w:val="0"/>
      <w:marBottom w:val="0"/>
      <w:divBdr>
        <w:top w:val="none" w:sz="0" w:space="0" w:color="auto"/>
        <w:left w:val="none" w:sz="0" w:space="0" w:color="auto"/>
        <w:bottom w:val="none" w:sz="0" w:space="0" w:color="auto"/>
        <w:right w:val="none" w:sz="0" w:space="0" w:color="auto"/>
      </w:divBdr>
    </w:div>
    <w:div w:id="1596942095">
      <w:bodyDiv w:val="1"/>
      <w:marLeft w:val="0"/>
      <w:marRight w:val="0"/>
      <w:marTop w:val="0"/>
      <w:marBottom w:val="0"/>
      <w:divBdr>
        <w:top w:val="none" w:sz="0" w:space="0" w:color="auto"/>
        <w:left w:val="none" w:sz="0" w:space="0" w:color="auto"/>
        <w:bottom w:val="none" w:sz="0" w:space="0" w:color="auto"/>
        <w:right w:val="none" w:sz="0" w:space="0" w:color="auto"/>
      </w:divBdr>
    </w:div>
    <w:div w:id="1613004483">
      <w:bodyDiv w:val="1"/>
      <w:marLeft w:val="0"/>
      <w:marRight w:val="0"/>
      <w:marTop w:val="0"/>
      <w:marBottom w:val="0"/>
      <w:divBdr>
        <w:top w:val="none" w:sz="0" w:space="0" w:color="auto"/>
        <w:left w:val="none" w:sz="0" w:space="0" w:color="auto"/>
        <w:bottom w:val="none" w:sz="0" w:space="0" w:color="auto"/>
        <w:right w:val="none" w:sz="0" w:space="0" w:color="auto"/>
      </w:divBdr>
    </w:div>
    <w:div w:id="1620526142">
      <w:bodyDiv w:val="1"/>
      <w:marLeft w:val="0"/>
      <w:marRight w:val="0"/>
      <w:marTop w:val="0"/>
      <w:marBottom w:val="0"/>
      <w:divBdr>
        <w:top w:val="none" w:sz="0" w:space="0" w:color="auto"/>
        <w:left w:val="none" w:sz="0" w:space="0" w:color="auto"/>
        <w:bottom w:val="none" w:sz="0" w:space="0" w:color="auto"/>
        <w:right w:val="none" w:sz="0" w:space="0" w:color="auto"/>
      </w:divBdr>
    </w:div>
    <w:div w:id="1624848420">
      <w:bodyDiv w:val="1"/>
      <w:marLeft w:val="0"/>
      <w:marRight w:val="0"/>
      <w:marTop w:val="0"/>
      <w:marBottom w:val="0"/>
      <w:divBdr>
        <w:top w:val="none" w:sz="0" w:space="0" w:color="auto"/>
        <w:left w:val="none" w:sz="0" w:space="0" w:color="auto"/>
        <w:bottom w:val="none" w:sz="0" w:space="0" w:color="auto"/>
        <w:right w:val="none" w:sz="0" w:space="0" w:color="auto"/>
      </w:divBdr>
    </w:div>
    <w:div w:id="1698235898">
      <w:bodyDiv w:val="1"/>
      <w:marLeft w:val="0"/>
      <w:marRight w:val="0"/>
      <w:marTop w:val="0"/>
      <w:marBottom w:val="0"/>
      <w:divBdr>
        <w:top w:val="none" w:sz="0" w:space="0" w:color="auto"/>
        <w:left w:val="none" w:sz="0" w:space="0" w:color="auto"/>
        <w:bottom w:val="none" w:sz="0" w:space="0" w:color="auto"/>
        <w:right w:val="none" w:sz="0" w:space="0" w:color="auto"/>
      </w:divBdr>
    </w:div>
    <w:div w:id="1750538246">
      <w:bodyDiv w:val="1"/>
      <w:marLeft w:val="0"/>
      <w:marRight w:val="0"/>
      <w:marTop w:val="0"/>
      <w:marBottom w:val="0"/>
      <w:divBdr>
        <w:top w:val="none" w:sz="0" w:space="0" w:color="auto"/>
        <w:left w:val="none" w:sz="0" w:space="0" w:color="auto"/>
        <w:bottom w:val="none" w:sz="0" w:space="0" w:color="auto"/>
        <w:right w:val="none" w:sz="0" w:space="0" w:color="auto"/>
      </w:divBdr>
    </w:div>
    <w:div w:id="1770927113">
      <w:bodyDiv w:val="1"/>
      <w:marLeft w:val="0"/>
      <w:marRight w:val="0"/>
      <w:marTop w:val="0"/>
      <w:marBottom w:val="0"/>
      <w:divBdr>
        <w:top w:val="none" w:sz="0" w:space="0" w:color="auto"/>
        <w:left w:val="none" w:sz="0" w:space="0" w:color="auto"/>
        <w:bottom w:val="none" w:sz="0" w:space="0" w:color="auto"/>
        <w:right w:val="none" w:sz="0" w:space="0" w:color="auto"/>
      </w:divBdr>
    </w:div>
    <w:div w:id="1827161187">
      <w:bodyDiv w:val="1"/>
      <w:marLeft w:val="0"/>
      <w:marRight w:val="0"/>
      <w:marTop w:val="0"/>
      <w:marBottom w:val="0"/>
      <w:divBdr>
        <w:top w:val="none" w:sz="0" w:space="0" w:color="auto"/>
        <w:left w:val="none" w:sz="0" w:space="0" w:color="auto"/>
        <w:bottom w:val="none" w:sz="0" w:space="0" w:color="auto"/>
        <w:right w:val="none" w:sz="0" w:space="0" w:color="auto"/>
      </w:divBdr>
    </w:div>
    <w:div w:id="1871449873">
      <w:bodyDiv w:val="1"/>
      <w:marLeft w:val="0"/>
      <w:marRight w:val="0"/>
      <w:marTop w:val="0"/>
      <w:marBottom w:val="0"/>
      <w:divBdr>
        <w:top w:val="none" w:sz="0" w:space="0" w:color="auto"/>
        <w:left w:val="none" w:sz="0" w:space="0" w:color="auto"/>
        <w:bottom w:val="none" w:sz="0" w:space="0" w:color="auto"/>
        <w:right w:val="none" w:sz="0" w:space="0" w:color="auto"/>
      </w:divBdr>
    </w:div>
    <w:div w:id="1873035713">
      <w:bodyDiv w:val="1"/>
      <w:marLeft w:val="0"/>
      <w:marRight w:val="0"/>
      <w:marTop w:val="0"/>
      <w:marBottom w:val="0"/>
      <w:divBdr>
        <w:top w:val="none" w:sz="0" w:space="0" w:color="auto"/>
        <w:left w:val="none" w:sz="0" w:space="0" w:color="auto"/>
        <w:bottom w:val="none" w:sz="0" w:space="0" w:color="auto"/>
        <w:right w:val="none" w:sz="0" w:space="0" w:color="auto"/>
      </w:divBdr>
    </w:div>
    <w:div w:id="1925414642">
      <w:bodyDiv w:val="1"/>
      <w:marLeft w:val="0"/>
      <w:marRight w:val="0"/>
      <w:marTop w:val="0"/>
      <w:marBottom w:val="0"/>
      <w:divBdr>
        <w:top w:val="none" w:sz="0" w:space="0" w:color="auto"/>
        <w:left w:val="none" w:sz="0" w:space="0" w:color="auto"/>
        <w:bottom w:val="none" w:sz="0" w:space="0" w:color="auto"/>
        <w:right w:val="none" w:sz="0" w:space="0" w:color="auto"/>
      </w:divBdr>
    </w:div>
    <w:div w:id="1936396928">
      <w:bodyDiv w:val="1"/>
      <w:marLeft w:val="0"/>
      <w:marRight w:val="0"/>
      <w:marTop w:val="0"/>
      <w:marBottom w:val="0"/>
      <w:divBdr>
        <w:top w:val="none" w:sz="0" w:space="0" w:color="auto"/>
        <w:left w:val="none" w:sz="0" w:space="0" w:color="auto"/>
        <w:bottom w:val="none" w:sz="0" w:space="0" w:color="auto"/>
        <w:right w:val="none" w:sz="0" w:space="0" w:color="auto"/>
      </w:divBdr>
    </w:div>
    <w:div w:id="1958179617">
      <w:bodyDiv w:val="1"/>
      <w:marLeft w:val="0"/>
      <w:marRight w:val="0"/>
      <w:marTop w:val="0"/>
      <w:marBottom w:val="0"/>
      <w:divBdr>
        <w:top w:val="none" w:sz="0" w:space="0" w:color="auto"/>
        <w:left w:val="none" w:sz="0" w:space="0" w:color="auto"/>
        <w:bottom w:val="none" w:sz="0" w:space="0" w:color="auto"/>
        <w:right w:val="none" w:sz="0" w:space="0" w:color="auto"/>
      </w:divBdr>
    </w:div>
    <w:div w:id="1964384995">
      <w:bodyDiv w:val="1"/>
      <w:marLeft w:val="0"/>
      <w:marRight w:val="0"/>
      <w:marTop w:val="0"/>
      <w:marBottom w:val="0"/>
      <w:divBdr>
        <w:top w:val="none" w:sz="0" w:space="0" w:color="auto"/>
        <w:left w:val="none" w:sz="0" w:space="0" w:color="auto"/>
        <w:bottom w:val="none" w:sz="0" w:space="0" w:color="auto"/>
        <w:right w:val="none" w:sz="0" w:space="0" w:color="auto"/>
      </w:divBdr>
    </w:div>
    <w:div w:id="2055737351">
      <w:bodyDiv w:val="1"/>
      <w:marLeft w:val="0"/>
      <w:marRight w:val="0"/>
      <w:marTop w:val="0"/>
      <w:marBottom w:val="0"/>
      <w:divBdr>
        <w:top w:val="none" w:sz="0" w:space="0" w:color="auto"/>
        <w:left w:val="none" w:sz="0" w:space="0" w:color="auto"/>
        <w:bottom w:val="none" w:sz="0" w:space="0" w:color="auto"/>
        <w:right w:val="none" w:sz="0" w:space="0" w:color="auto"/>
      </w:divBdr>
    </w:div>
    <w:div w:id="2071152995">
      <w:bodyDiv w:val="1"/>
      <w:marLeft w:val="0"/>
      <w:marRight w:val="0"/>
      <w:marTop w:val="0"/>
      <w:marBottom w:val="0"/>
      <w:divBdr>
        <w:top w:val="none" w:sz="0" w:space="0" w:color="auto"/>
        <w:left w:val="none" w:sz="0" w:space="0" w:color="auto"/>
        <w:bottom w:val="none" w:sz="0" w:space="0" w:color="auto"/>
        <w:right w:val="none" w:sz="0" w:space="0" w:color="auto"/>
      </w:divBdr>
    </w:div>
    <w:div w:id="2081058039">
      <w:bodyDiv w:val="1"/>
      <w:marLeft w:val="0"/>
      <w:marRight w:val="0"/>
      <w:marTop w:val="0"/>
      <w:marBottom w:val="0"/>
      <w:divBdr>
        <w:top w:val="none" w:sz="0" w:space="0" w:color="auto"/>
        <w:left w:val="none" w:sz="0" w:space="0" w:color="auto"/>
        <w:bottom w:val="none" w:sz="0" w:space="0" w:color="auto"/>
        <w:right w:val="none" w:sz="0" w:space="0" w:color="auto"/>
      </w:divBdr>
    </w:div>
    <w:div w:id="2091923320">
      <w:bodyDiv w:val="1"/>
      <w:marLeft w:val="0"/>
      <w:marRight w:val="0"/>
      <w:marTop w:val="0"/>
      <w:marBottom w:val="0"/>
      <w:divBdr>
        <w:top w:val="none" w:sz="0" w:space="0" w:color="auto"/>
        <w:left w:val="none" w:sz="0" w:space="0" w:color="auto"/>
        <w:bottom w:val="none" w:sz="0" w:space="0" w:color="auto"/>
        <w:right w:val="none" w:sz="0" w:space="0" w:color="auto"/>
      </w:divBdr>
    </w:div>
    <w:div w:id="2120178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4630</Words>
  <Characters>26395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 Corey</dc:creator>
  <cp:keywords/>
  <dc:description/>
  <cp:lastModifiedBy>Miller, Corey</cp:lastModifiedBy>
  <cp:revision>2</cp:revision>
  <dcterms:created xsi:type="dcterms:W3CDTF">2024-07-29T19:23:00Z</dcterms:created>
  <dcterms:modified xsi:type="dcterms:W3CDTF">2024-07-29T19:23:00Z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2024-06-13T13:06:48Z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999712a6-b0d2-4987-b2df-23af8445fb55</vt:lpwstr>
  </property>
  <property fmtid="{D5CDD505-2E9C-101B-9397-08002B2CF9AE}" pid="8" name="MSIP_Label_f2acd28b-79a3-4a0f-b0ff-4b75658b1549_ContentBits">
    <vt:lpwstr>0</vt:lpwstr>
  </property>
</Properties>
</file>