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EC31F4" w14:textId="4139C3BA" w:rsidR="00322768" w:rsidRPr="00026197" w:rsidRDefault="00304869" w:rsidP="00304869">
      <w:pPr>
        <w:jc w:val="center"/>
        <w:rPr>
          <w:rFonts w:ascii="Calibri" w:hAnsi="Calibri" w:cs="Calibri"/>
          <w:b/>
          <w:bCs/>
          <w:sz w:val="32"/>
          <w:szCs w:val="32"/>
          <w:u w:val="single"/>
        </w:rPr>
      </w:pPr>
      <w:r w:rsidRPr="00026197">
        <w:rPr>
          <w:rFonts w:ascii="Calibri" w:hAnsi="Calibri" w:cs="Calibri"/>
          <w:b/>
          <w:bCs/>
          <w:sz w:val="32"/>
          <w:szCs w:val="32"/>
          <w:u w:val="single"/>
        </w:rPr>
        <w:t>HPLA7018 – Neronian Prose (Further Advanced)</w:t>
      </w:r>
    </w:p>
    <w:p w14:paraId="5BF6E618" w14:textId="4E8450C8" w:rsidR="00304869" w:rsidRPr="00026197" w:rsidRDefault="00304869" w:rsidP="00304869">
      <w:pPr>
        <w:jc w:val="center"/>
        <w:rPr>
          <w:rFonts w:ascii="Calibri" w:hAnsi="Calibri" w:cs="Calibri"/>
          <w:b/>
          <w:bCs/>
          <w:sz w:val="32"/>
          <w:szCs w:val="32"/>
          <w:u w:val="single"/>
        </w:rPr>
      </w:pPr>
      <w:r w:rsidRPr="00026197">
        <w:rPr>
          <w:rFonts w:ascii="Calibri" w:hAnsi="Calibri" w:cs="Calibri"/>
          <w:b/>
          <w:bCs/>
          <w:sz w:val="32"/>
          <w:szCs w:val="32"/>
          <w:u w:val="single"/>
        </w:rPr>
        <w:t>Assignment 1 – Commentary on Petronius’ Satyricon 33-34</w:t>
      </w:r>
    </w:p>
    <w:p w14:paraId="5C2898A6" w14:textId="77777777" w:rsidR="00304869" w:rsidRPr="00026197" w:rsidRDefault="00304869">
      <w:pPr>
        <w:rPr>
          <w:rFonts w:ascii="Calibri" w:hAnsi="Calibri" w:cs="Calibri"/>
        </w:rPr>
      </w:pPr>
    </w:p>
    <w:p w14:paraId="25621133" w14:textId="61410B55" w:rsidR="0000245A" w:rsidRPr="00026197" w:rsidRDefault="00B033EF" w:rsidP="003E2261">
      <w:pPr>
        <w:jc w:val="both"/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</w:pPr>
      <w:r w:rsidRPr="00026197">
        <w:rPr>
          <w:rFonts w:ascii="Calibri" w:hAnsi="Calibri" w:cs="Calibri"/>
          <w:sz w:val="24"/>
          <w:szCs w:val="24"/>
        </w:rPr>
        <w:t xml:space="preserve">Almost all modern scholarship </w:t>
      </w:r>
      <w:r w:rsidR="00FD38D8" w:rsidRPr="00026197">
        <w:rPr>
          <w:rStyle w:val="normaltextrun"/>
          <w:rFonts w:ascii="Calibri" w:hAnsi="Calibri" w:cs="Calibri"/>
          <w:color w:val="000000"/>
          <w:sz w:val="24"/>
          <w:szCs w:val="24"/>
          <w:bdr w:val="none" w:sz="0" w:space="0" w:color="auto" w:frame="1"/>
        </w:rPr>
        <w:t xml:space="preserve">(Walsh, 1997, p. xiii) believes that the Petronius who authored the </w:t>
      </w:r>
      <w:r w:rsidR="00FD38D8" w:rsidRPr="00026197">
        <w:rPr>
          <w:rStyle w:val="normaltextrun"/>
          <w:rFonts w:ascii="Calibri" w:hAnsi="Calibri" w:cs="Calibri"/>
          <w:i/>
          <w:iCs/>
          <w:color w:val="000000"/>
          <w:sz w:val="24"/>
          <w:szCs w:val="24"/>
          <w:bdr w:val="none" w:sz="0" w:space="0" w:color="auto" w:frame="1"/>
        </w:rPr>
        <w:t>Satyricon</w:t>
      </w:r>
      <w:r w:rsidR="00FD38D8" w:rsidRPr="00026197">
        <w:rPr>
          <w:rStyle w:val="normaltextrun"/>
          <w:rFonts w:ascii="Calibri" w:hAnsi="Calibri" w:cs="Calibri"/>
          <w:color w:val="000000"/>
          <w:sz w:val="24"/>
          <w:szCs w:val="24"/>
          <w:bdr w:val="none" w:sz="0" w:space="0" w:color="auto" w:frame="1"/>
        </w:rPr>
        <w:t xml:space="preserve"> is the Petronius who was </w:t>
      </w:r>
      <w:r w:rsidR="006F7CA3" w:rsidRPr="00026197">
        <w:rPr>
          <w:rStyle w:val="normaltextrun"/>
          <w:rFonts w:ascii="Calibri" w:hAnsi="Calibri" w:cs="Calibri"/>
          <w:color w:val="000000"/>
          <w:sz w:val="24"/>
          <w:szCs w:val="24"/>
          <w:bdr w:val="none" w:sz="0" w:space="0" w:color="auto" w:frame="1"/>
        </w:rPr>
        <w:t>consul suffectus in 62 CE and whose suicid</w:t>
      </w:r>
      <w:r w:rsidR="00AA1088" w:rsidRPr="00026197">
        <w:rPr>
          <w:rStyle w:val="normaltextrun"/>
          <w:rFonts w:ascii="Calibri" w:hAnsi="Calibri" w:cs="Calibri"/>
          <w:color w:val="000000"/>
          <w:sz w:val="24"/>
          <w:szCs w:val="24"/>
          <w:bdr w:val="none" w:sz="0" w:space="0" w:color="auto" w:frame="1"/>
        </w:rPr>
        <w:t>e</w:t>
      </w:r>
      <w:r w:rsidR="00D85CCF" w:rsidRPr="00026197">
        <w:rPr>
          <w:rStyle w:val="normaltextrun"/>
          <w:rFonts w:ascii="Calibri" w:hAnsi="Calibri" w:cs="Calibri"/>
          <w:color w:val="000000"/>
          <w:sz w:val="24"/>
          <w:szCs w:val="24"/>
          <w:bdr w:val="none" w:sz="0" w:space="0" w:color="auto" w:frame="1"/>
        </w:rPr>
        <w:t xml:space="preserve"> in 65 CE</w:t>
      </w:r>
      <w:r w:rsidR="007C0208" w:rsidRPr="00026197">
        <w:rPr>
          <w:rStyle w:val="normaltextrun"/>
          <w:rFonts w:ascii="Calibri" w:hAnsi="Calibri" w:cs="Calibri"/>
          <w:color w:val="000000"/>
          <w:sz w:val="24"/>
          <w:szCs w:val="24"/>
          <w:bdr w:val="none" w:sz="0" w:space="0" w:color="auto" w:frame="1"/>
        </w:rPr>
        <w:t xml:space="preserve"> </w:t>
      </w:r>
      <w:r w:rsidR="006F7CA3" w:rsidRPr="00026197">
        <w:rPr>
          <w:rStyle w:val="normaltextrun"/>
          <w:rFonts w:ascii="Calibri" w:hAnsi="Calibri" w:cs="Calibri"/>
          <w:color w:val="000000"/>
          <w:sz w:val="24"/>
          <w:szCs w:val="24"/>
          <w:bdr w:val="none" w:sz="0" w:space="0" w:color="auto" w:frame="1"/>
        </w:rPr>
        <w:t xml:space="preserve">Tacitus describes in his </w:t>
      </w:r>
      <w:r w:rsidR="006F7CA3" w:rsidRPr="00026197">
        <w:rPr>
          <w:rStyle w:val="normaltextrun"/>
          <w:rFonts w:ascii="Calibri" w:hAnsi="Calibri" w:cs="Calibri"/>
          <w:i/>
          <w:iCs/>
          <w:color w:val="000000"/>
          <w:sz w:val="24"/>
          <w:szCs w:val="24"/>
          <w:bdr w:val="none" w:sz="0" w:space="0" w:color="auto" w:frame="1"/>
        </w:rPr>
        <w:t>Annals</w:t>
      </w:r>
      <w:r w:rsidR="00B90E51" w:rsidRPr="00026197">
        <w:rPr>
          <w:rStyle w:val="FootnoteReference"/>
          <w:rFonts w:ascii="Calibri" w:hAnsi="Calibri" w:cs="Calibri"/>
          <w:i/>
          <w:iCs/>
          <w:color w:val="000000"/>
          <w:sz w:val="24"/>
          <w:szCs w:val="24"/>
          <w:bdr w:val="none" w:sz="0" w:space="0" w:color="auto" w:frame="1"/>
        </w:rPr>
        <w:footnoteReference w:id="1"/>
      </w:r>
      <w:r w:rsidR="00B90E51" w:rsidRPr="00026197">
        <w:rPr>
          <w:rStyle w:val="normaltextrun"/>
          <w:rFonts w:ascii="Calibri" w:hAnsi="Calibri" w:cs="Calibri"/>
          <w:color w:val="000000"/>
          <w:sz w:val="24"/>
          <w:szCs w:val="24"/>
          <w:bdr w:val="none" w:sz="0" w:space="0" w:color="auto" w:frame="1"/>
        </w:rPr>
        <w:t xml:space="preserve">. </w:t>
      </w:r>
      <w:r w:rsidR="007C0208" w:rsidRPr="00026197">
        <w:rPr>
          <w:rStyle w:val="normaltextrun"/>
          <w:rFonts w:ascii="Calibri" w:hAnsi="Calibri" w:cs="Calibri"/>
          <w:color w:val="000000"/>
          <w:sz w:val="24"/>
          <w:szCs w:val="24"/>
          <w:bdr w:val="none" w:sz="0" w:space="0" w:color="auto" w:frame="1"/>
        </w:rPr>
        <w:t xml:space="preserve">Many scholars believe that the </w:t>
      </w:r>
      <w:r w:rsidR="007C0208" w:rsidRPr="00026197">
        <w:rPr>
          <w:rStyle w:val="normaltextrun"/>
          <w:rFonts w:ascii="Calibri" w:hAnsi="Calibri" w:cs="Calibri"/>
          <w:i/>
          <w:iCs/>
          <w:color w:val="000000"/>
          <w:sz w:val="24"/>
          <w:szCs w:val="24"/>
          <w:bdr w:val="none" w:sz="0" w:space="0" w:color="auto" w:frame="1"/>
        </w:rPr>
        <w:t>Satyricon</w:t>
      </w:r>
      <w:r w:rsidR="007C0208" w:rsidRPr="00026197">
        <w:rPr>
          <w:rStyle w:val="normaltextrun"/>
          <w:rFonts w:ascii="Calibri" w:hAnsi="Calibri" w:cs="Calibri"/>
          <w:color w:val="000000"/>
          <w:sz w:val="24"/>
          <w:szCs w:val="24"/>
          <w:bdr w:val="none" w:sz="0" w:space="0" w:color="auto" w:frame="1"/>
        </w:rPr>
        <w:t xml:space="preserve"> was written between</w:t>
      </w:r>
      <w:r w:rsidR="003E2261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63 and 65 CE and Walsh argues that it was composed and completed in 65 CE itself (Walsh, 1997, p. xiv). </w:t>
      </w:r>
      <w:r w:rsidR="00865B8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Petronius</w:t>
      </w:r>
      <w:r w:rsidR="00B10675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’ full name is uncertain – Tacitus calls him </w:t>
      </w:r>
      <w:r w:rsidR="00715D1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Gaius Petronius</w:t>
      </w:r>
      <w:r w:rsidR="00715D1B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2"/>
      </w:r>
      <w:r w:rsidR="00B10675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, whilst the name on the Satyricon manuscript and grammarians call him Petronius Arbiter</w:t>
      </w:r>
      <w:r w:rsidR="000D66E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; it is uncertain whether his position at Nero’s court as “</w:t>
      </w:r>
      <w:r w:rsidR="005C5036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elegantiae arbiter”</w:t>
      </w:r>
      <w:r w:rsidR="005C5036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3"/>
      </w:r>
      <w:r w:rsidR="005C5036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was a pun on his name, or Arbiter becomes a nickname for him after this. </w:t>
      </w:r>
      <w:r w:rsidR="00D85CC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Tacitus </w:t>
      </w:r>
      <w:r w:rsidR="00BA3DF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gives us the clearest picture of </w:t>
      </w:r>
      <w:r w:rsidR="00D85CC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Petronius</w:t>
      </w:r>
      <w:r w:rsidR="00BA3DF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, writing that he</w:t>
      </w:r>
      <w:r w:rsidR="00D85CC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had </w:t>
      </w:r>
      <w:r w:rsidR="009E636D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achieved</w:t>
      </w:r>
      <w:r w:rsidR="001D7988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the highest stations in his senatorial career, being a proconsul of Bithynia before he </w:t>
      </w:r>
      <w:r w:rsidR="00BE13FD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became</w:t>
      </w:r>
      <w:r w:rsidR="001D7988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 consul, </w:t>
      </w:r>
      <w:r w:rsidR="00E23152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and admires his political work ethic, calling him </w:t>
      </w:r>
      <w:r w:rsidR="00A96185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“vigentem… ac parem negotiis</w:t>
      </w:r>
      <w:r w:rsidR="00BA3DF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”</w:t>
      </w:r>
      <w:r w:rsidR="00611CC4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4"/>
      </w:r>
      <w:r w:rsidR="00BA3DF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.</w:t>
      </w:r>
      <w:r w:rsidR="001D7988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FE4D8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Tacitus is more scathing of his later </w:t>
      </w:r>
      <w:r w:rsidR="00611CC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choices under Nero, stating that “hunc ignavia ad famam protulerat”</w:t>
      </w:r>
      <w:r w:rsidR="00611CC4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5"/>
      </w:r>
      <w:r w:rsidR="00611CC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. </w:t>
      </w:r>
      <w:r w:rsidR="00753F8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Neither Tacitus nor Pliny the Elder, who refers to a </w:t>
      </w:r>
      <w:r w:rsidR="00222C26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Titus Petronius</w:t>
      </w:r>
      <w:r w:rsidR="00402D45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who died during Nero’s reign</w:t>
      </w:r>
      <w:r w:rsidR="00222C26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402D45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in Book </w:t>
      </w:r>
      <w:r w:rsidR="000764F5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37</w:t>
      </w:r>
      <w:r w:rsidR="00402D45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of his </w:t>
      </w:r>
      <w:r w:rsidR="00402D45" w:rsidRPr="00026197">
        <w:rPr>
          <w:rStyle w:val="normaltextrun"/>
          <w:rFonts w:ascii="Calibri" w:hAnsi="Calibri" w:cs="Calibri"/>
          <w:i/>
          <w:iCs/>
          <w:color w:val="000000"/>
          <w:sz w:val="24"/>
          <w:szCs w:val="24"/>
          <w:shd w:val="clear" w:color="auto" w:fill="FFFFFF"/>
        </w:rPr>
        <w:t>Natural History</w:t>
      </w:r>
      <w:r w:rsidR="000764F5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6"/>
      </w:r>
      <w:r w:rsidR="00402D45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, </w:t>
      </w:r>
      <w:r w:rsidR="00E569A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mention that Petronius was a writer</w:t>
      </w:r>
      <w:r w:rsidR="00C661A7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, suggesting perhaps that his works were either not very well-known</w:t>
      </w:r>
      <w:r w:rsidR="000C2AA0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or perhaps that they were not viewed highly by the literary elite of the time, or perhaps that he </w:t>
      </w:r>
      <w:r w:rsidR="009A3E6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had only begun writing just before he died and so did not have many works for the later Tacitus and Pliny to know about. </w:t>
      </w:r>
      <w:r w:rsidR="009E7BB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The </w:t>
      </w:r>
      <w:r w:rsidR="009E7BB3" w:rsidRPr="00026197">
        <w:rPr>
          <w:rStyle w:val="normaltextrun"/>
          <w:rFonts w:ascii="Calibri" w:hAnsi="Calibri" w:cs="Calibri"/>
          <w:i/>
          <w:iCs/>
          <w:color w:val="000000"/>
          <w:sz w:val="24"/>
          <w:szCs w:val="24"/>
          <w:shd w:val="clear" w:color="auto" w:fill="FFFFFF"/>
        </w:rPr>
        <w:t>Satyricon</w:t>
      </w:r>
      <w:r w:rsidR="009E7BB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8972D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itself only partially survives: </w:t>
      </w:r>
      <w:r w:rsidR="00304C48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one source states that the surviving portion is from Books </w:t>
      </w:r>
      <w:r w:rsidR="0000245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XIV – XVI. If the </w:t>
      </w:r>
      <w:r w:rsidR="0000245A" w:rsidRPr="00026197">
        <w:rPr>
          <w:rStyle w:val="normaltextrun"/>
          <w:rFonts w:ascii="Calibri" w:hAnsi="Calibri" w:cs="Calibri"/>
          <w:i/>
          <w:iCs/>
          <w:color w:val="000000"/>
          <w:sz w:val="24"/>
          <w:szCs w:val="24"/>
          <w:shd w:val="clear" w:color="auto" w:fill="FFFFFF"/>
        </w:rPr>
        <w:t>Satyricon</w:t>
      </w:r>
      <w:r w:rsidR="0000245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ended at Book XVI</w:t>
      </w:r>
      <w:r w:rsidR="00621F4D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, </w:t>
      </w:r>
      <w:r w:rsidR="0000245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then what survives </w:t>
      </w:r>
      <w:r w:rsidR="001E1229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is less than one-fifth of the work as a whole</w:t>
      </w:r>
      <w:r w:rsidR="00621F4D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and even less if the </w:t>
      </w:r>
      <w:r w:rsidR="00621F4D" w:rsidRPr="00026197">
        <w:rPr>
          <w:rStyle w:val="normaltextrun"/>
          <w:rFonts w:ascii="Calibri" w:hAnsi="Calibri" w:cs="Calibri"/>
          <w:i/>
          <w:iCs/>
          <w:color w:val="000000"/>
          <w:sz w:val="24"/>
          <w:szCs w:val="24"/>
          <w:shd w:val="clear" w:color="auto" w:fill="FFFFFF"/>
        </w:rPr>
        <w:t>Satyricon</w:t>
      </w:r>
      <w:r w:rsidR="00621F4D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EA508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had more books than the sixteen there is evidence for. </w:t>
      </w:r>
      <w:r w:rsidR="00824C6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Thi</w:t>
      </w:r>
      <w:r w:rsidR="003600A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s makes it hard to categorise the </w:t>
      </w:r>
      <w:r w:rsidR="003600AC" w:rsidRPr="00026197">
        <w:rPr>
          <w:rStyle w:val="normaltextrun"/>
          <w:rFonts w:ascii="Calibri" w:hAnsi="Calibri" w:cs="Calibri"/>
          <w:i/>
          <w:iCs/>
          <w:color w:val="000000"/>
          <w:sz w:val="24"/>
          <w:szCs w:val="24"/>
          <w:shd w:val="clear" w:color="auto" w:fill="FFFFFF"/>
        </w:rPr>
        <w:t>Satyricon</w:t>
      </w:r>
      <w:r w:rsidR="003600A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as belonging to any one genre and </w:t>
      </w:r>
      <w:r w:rsidR="00B7776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many different aspects of it have allusions to many varied genres, such as </w:t>
      </w:r>
      <w:r w:rsidR="00D5183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epic, satire, mime, satyr-plays, symposium literature</w:t>
      </w:r>
      <w:r w:rsidR="00D5183A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7"/>
      </w:r>
      <w:r w:rsidR="00D5183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. </w:t>
      </w:r>
      <w:r w:rsidR="00A60FD9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The </w:t>
      </w:r>
      <w:r w:rsidR="00A60FD9" w:rsidRPr="00026197">
        <w:rPr>
          <w:rStyle w:val="normaltextrun"/>
          <w:rFonts w:ascii="Calibri" w:hAnsi="Calibri" w:cs="Calibri"/>
          <w:i/>
          <w:iCs/>
          <w:color w:val="000000"/>
          <w:sz w:val="24"/>
          <w:szCs w:val="24"/>
          <w:shd w:val="clear" w:color="auto" w:fill="FFFFFF"/>
        </w:rPr>
        <w:t>Satyricon</w:t>
      </w:r>
      <w:r w:rsidR="00A60FD9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is </w:t>
      </w:r>
      <w:r w:rsidR="0059216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a prose novel written in Latin</w:t>
      </w:r>
      <w:r w:rsidR="00994DC2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and it is a recollection by the narrator, Encolpius, of prior events</w:t>
      </w:r>
      <w:r w:rsidR="001D7008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and </w:t>
      </w:r>
      <w:r w:rsidR="00994DC2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details</w:t>
      </w:r>
      <w:r w:rsidR="001D7008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his adventures in a town in the Bay of Naples. </w:t>
      </w:r>
      <w:r w:rsidR="00A6517E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Prior to these passages, Encolpius and his associate</w:t>
      </w:r>
      <w:r w:rsidR="003079D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s</w:t>
      </w:r>
      <w:r w:rsidR="00A6517E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have been invited to dinner at</w:t>
      </w:r>
      <w:r w:rsidR="00695142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the house of Trimalchio, an extremely wealthy local freedman. </w:t>
      </w:r>
      <w:r w:rsidR="006C69B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They have first seen him earlier at the baths and Encolpius has detailed </w:t>
      </w:r>
      <w:r w:rsidR="00F3074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very wealthy aspects of his house since he entered it. Immediately prior to section 33, Trimalchio has been </w:t>
      </w:r>
      <w:r w:rsidR="00BE13FD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carried</w:t>
      </w:r>
      <w:r w:rsidR="00F3074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in to the dining room late, when his guests had already started on the first course</w:t>
      </w:r>
      <w:r w:rsidR="00F27D1D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and Encolpius has given details about Trimalchio’s appearance. </w:t>
      </w:r>
    </w:p>
    <w:p w14:paraId="7AA3FFA8" w14:textId="77777777" w:rsidR="004400FC" w:rsidRPr="00026197" w:rsidRDefault="004400FC" w:rsidP="003E2261">
      <w:pPr>
        <w:jc w:val="both"/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</w:pPr>
    </w:p>
    <w:p w14:paraId="35B313DF" w14:textId="0EECD575" w:rsidR="00864DFC" w:rsidRDefault="00AD069B" w:rsidP="003E2261">
      <w:pPr>
        <w:jc w:val="both"/>
        <w:rPr>
          <w:rFonts w:ascii="Calibri" w:hAnsi="Calibri" w:cs="Calibri"/>
          <w:sz w:val="24"/>
          <w:szCs w:val="24"/>
        </w:rPr>
      </w:pPr>
      <w:r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At the beginning of chapter 33, </w:t>
      </w:r>
      <w:r w:rsidR="00A7066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Petronius continues to highlight </w:t>
      </w:r>
      <w:r w:rsidR="0017584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the abundance of precious metals in Trimalchio’s house</w:t>
      </w:r>
      <w:r w:rsidR="00596412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by </w:t>
      </w:r>
      <w:r w:rsidR="00E24B94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stating that</w:t>
      </w:r>
      <w:r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Trimalchio picked at his teeth, “pinna argentea”. This echoes his description </w:t>
      </w:r>
      <w:r w:rsidR="008874E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of other precious metals </w:t>
      </w:r>
      <w:r w:rsidR="00A20F6D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he has encountered thus far, such as Trimalchio’s </w:t>
      </w:r>
      <w:r w:rsidR="00F10E8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gold bracelet</w:t>
      </w:r>
      <w:r w:rsidR="00F10E8A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8"/>
      </w:r>
      <w:r w:rsidR="00F10E8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, </w:t>
      </w:r>
      <w:r w:rsidR="00A41CE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the silver grill for sausages</w:t>
      </w:r>
      <w:r w:rsidR="00905957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9"/>
      </w:r>
      <w:r w:rsidR="00A41CE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, </w:t>
      </w:r>
      <w:r w:rsidR="00E3536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the gold box containing his hair at the Lararium</w:t>
      </w:r>
      <w:r w:rsidR="00E3536B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10"/>
      </w:r>
      <w:r w:rsidR="00E3536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and</w:t>
      </w:r>
      <w:r w:rsidR="000F746D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the silver dish that the doorkeeper was using </w:t>
      </w:r>
      <w:r w:rsidR="00B245C8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whilst shelling peas</w:t>
      </w:r>
      <w:r w:rsidR="00B245C8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11"/>
      </w:r>
      <w:r w:rsidR="00B245C8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. </w:t>
      </w:r>
      <w:r w:rsidR="00F71F41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Not only does the use of a silver toothpick impress upon the audience the amount of wealth Trimalchio has, </w:t>
      </w:r>
      <w:r w:rsidR="0030283E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but it also </w:t>
      </w:r>
      <w:r w:rsidR="00E856C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creates an image of him as </w:t>
      </w:r>
      <w:r w:rsidR="002C11C7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almost grotesquely </w:t>
      </w:r>
      <w:r w:rsidR="0003135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rich</w:t>
      </w:r>
      <w:r w:rsidR="00A31FDE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that he uses it for even the most mundane objects. </w:t>
      </w:r>
      <w:r w:rsidR="00411F1D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It also suggests to the reader that </w:t>
      </w:r>
      <w:r w:rsidR="004261C9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whilst</w:t>
      </w:r>
      <w:r w:rsidR="00411F1D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Trimalchio may have the wealth to have the most luxurious goods</w:t>
      </w:r>
      <w:r w:rsidR="0045177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, he does not have a solid grasp on social </w:t>
      </w:r>
      <w:r w:rsidR="0045177C" w:rsidRPr="00026197">
        <w:rPr>
          <w:rStyle w:val="normaltextrun"/>
          <w:rFonts w:ascii="Calibri" w:hAnsi="Calibri" w:cs="Calibri"/>
          <w:i/>
          <w:iCs/>
          <w:color w:val="000000"/>
          <w:sz w:val="24"/>
          <w:szCs w:val="24"/>
          <w:shd w:val="clear" w:color="auto" w:fill="FFFFFF"/>
        </w:rPr>
        <w:t>mores</w:t>
      </w:r>
      <w:r w:rsidR="009B72E5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which would frown on </w:t>
      </w:r>
      <w:r w:rsidR="0071379E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using a precious metal for an object </w:t>
      </w:r>
      <w:r w:rsidR="00F33B6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with a base bodily function. </w:t>
      </w:r>
      <w:r w:rsidR="00F82AF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Whilst using precious metals for objects clearly </w:t>
      </w:r>
      <w:r w:rsidR="009974AA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occurred</w:t>
      </w:r>
      <w:r w:rsidR="00F82AF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, as emperors</w:t>
      </w:r>
      <w:r w:rsidR="00162EF8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162EF8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such as Tiberius</w:t>
      </w:r>
      <w:r w:rsidR="00162EF8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12"/>
      </w:r>
      <w:r w:rsidR="00162EF8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and Nero</w:t>
      </w:r>
      <w:r w:rsidR="00162EF8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13"/>
      </w:r>
      <w:r w:rsidR="00F82AF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pass</w:t>
      </w:r>
      <w:r w:rsidR="00162EF8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ed</w:t>
      </w:r>
      <w:r w:rsidR="00F82AF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8D6DBE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sumptuary laws, </w:t>
      </w:r>
      <w:r w:rsidR="007C5C3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reports of</w:t>
      </w:r>
      <w:r w:rsidR="00162EF8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the</w:t>
      </w:r>
      <w:r w:rsidR="007C5C3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extravagances that prompted these are</w:t>
      </w:r>
      <w:r w:rsidR="006A62A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for ostentatiously </w:t>
      </w:r>
      <w:r w:rsidR="004261C9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serving food on gold plates,</w:t>
      </w:r>
      <w:r w:rsidR="006A62A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or</w:t>
      </w:r>
      <w:r w:rsidR="004261C9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the prize of Corinthian bronzes </w:t>
      </w:r>
      <w:r w:rsidR="006A62A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for example. Trimalchio’s use of </w:t>
      </w:r>
      <w:r w:rsidR="00560DBE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 </w:t>
      </w:r>
      <w:r w:rsidR="006A62A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silver</w:t>
      </w:r>
      <w:r w:rsidR="00560DBE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6A62A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toothpick goes beyond these, suggesting that he has understood the </w:t>
      </w:r>
      <w:r w:rsidR="00E92AD0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desire to display wealth, but </w:t>
      </w:r>
      <w:r w:rsidR="00B553CB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h</w:t>
      </w:r>
      <w:r w:rsidR="0074042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e misunderstands how and chooses to also display it with instru</w:t>
      </w:r>
      <w:r w:rsidR="00562AD2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ments for his bodily functions, as he did earlier in the narrative at the baths when using a silver pot to urinate in</w:t>
      </w:r>
      <w:r w:rsidR="00864DFC" w:rsidRPr="00026197">
        <w:rPr>
          <w:rStyle w:val="FootnoteReference"/>
          <w:rFonts w:ascii="Calibri" w:hAnsi="Calibri" w:cs="Calibri"/>
          <w:color w:val="000000"/>
          <w:sz w:val="24"/>
          <w:szCs w:val="24"/>
          <w:shd w:val="clear" w:color="auto" w:fill="FFFFFF"/>
        </w:rPr>
        <w:footnoteReference w:id="14"/>
      </w:r>
      <w:r w:rsidR="00562AD2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. </w:t>
      </w:r>
      <w:r w:rsidR="00864DF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Petronius </w:t>
      </w:r>
      <w:r w:rsidR="00DC152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also shows Trimalchio’s attempts to impress his guests </w:t>
      </w:r>
      <w:r w:rsidR="00572DAE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in</w:t>
      </w:r>
      <w:r w:rsidR="00DC152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the language that </w:t>
      </w:r>
      <w:r w:rsidR="00572DAE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he</w:t>
      </w:r>
      <w:r w:rsidR="00DC1523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uses. Trimalchio </w:t>
      </w:r>
      <w:r w:rsidR="000A0F17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says “suave erat” when discussing why he had not arrived earlier at the dining room. As </w:t>
      </w:r>
      <w:r w:rsidR="000D4E4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Sedgwick notes</w:t>
      </w:r>
      <w:r w:rsidR="00A655F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(Sedgwick</w:t>
      </w:r>
      <w:r w:rsidR="000D4E4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,</w:t>
      </w:r>
      <w:r w:rsidR="00A655F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1950, p. </w:t>
      </w:r>
      <w:r w:rsidR="0008058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93),</w:t>
      </w:r>
      <w:r w:rsidR="000D4E4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this is </w:t>
      </w:r>
      <w:r w:rsidR="00224FC0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a grandiloquent</w:t>
      </w:r>
      <w:r w:rsidR="00600E5E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phras</w:t>
      </w:r>
      <w:r w:rsidR="00224FC0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e</w:t>
      </w:r>
      <w:r w:rsidR="00757010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and </w:t>
      </w:r>
      <w:r w:rsidR="0000630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suggests that </w:t>
      </w:r>
      <w:r w:rsidR="00572DAE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Trimalchio</w:t>
      </w:r>
      <w:r w:rsidR="0000630C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BC5F40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wishes to </w:t>
      </w:r>
      <w:r w:rsidR="00744B2F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appear eloquent and well-educated to his guests. However, this phrase is rather at odds with his</w:t>
      </w:r>
      <w:r w:rsidR="00964571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prior action, picking his teeth, </w:t>
      </w:r>
      <w:r w:rsidR="00FF3AC1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again </w:t>
      </w:r>
      <w:r w:rsidR="00082ED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sugges</w:t>
      </w:r>
      <w:r w:rsidR="00FF3AC1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t</w:t>
      </w:r>
      <w:r w:rsidR="00572DAE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ing</w:t>
      </w:r>
      <w:r w:rsidR="00082ED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that he is</w:t>
      </w:r>
      <w:r w:rsidR="0098376E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082ED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someone who tries hard to impress others </w:t>
      </w:r>
      <w:r w:rsidR="00FF3AC1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whilst not fully understanding </w:t>
      </w:r>
      <w:r w:rsidR="006A42E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social </w:t>
      </w:r>
      <w:r w:rsidR="003F670D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customs.</w:t>
      </w:r>
      <w:r w:rsidR="00E97B39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7D0B18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Petronius </w:t>
      </w:r>
      <w:r w:rsidR="00F47A9A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also highlights the duality of Trimalchio’s character by how he constructs Trimalchio’s sentences. Trimalchio wishes to portray himself as a benevolent host, stating that </w:t>
      </w:r>
      <w:r w:rsidR="008437D4" w:rsidRPr="0002619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“omnem voluptatem mihi negavi”</w:t>
      </w:r>
      <w:r w:rsidR="003925AB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and </w:t>
      </w:r>
      <w:r w:rsidR="00E13A82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wanting his guests to feel grateful for Trimalchio foregoing</w:t>
      </w:r>
      <w:r w:rsidR="00FD3A28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his activity on their behalf. Yet immediately after this, Trimalchio reveals that he has no </w:t>
      </w:r>
      <w:r w:rsidR="00FC2CF5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such </w:t>
      </w:r>
      <w:r w:rsidR="00FD3A28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plans and will continue to play the game in the dining room, “permittitis tamen finiri lusum”. </w:t>
      </w:r>
      <w:r w:rsidR="00F4690F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The contrast between “negavi” and “permittitis”, which are </w:t>
      </w:r>
      <w:r w:rsidR="00FC2CF5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next to each </w:t>
      </w:r>
      <w:r w:rsidR="00F4690F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other, </w:t>
      </w:r>
      <w:r w:rsidR="00C619A3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highlight </w:t>
      </w:r>
      <w:r w:rsidR="00D408DA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the contradiction between the image Trimalchio tries to project of himself and </w:t>
      </w:r>
      <w:r w:rsidR="00826066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the near opposite thing he does next. Petronius also uses the narrator’s voice to guide his audience into </w:t>
      </w:r>
      <w:r w:rsidR="00DB51DD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viewing Trimalchio as someone keen to make an impression</w:t>
      </w:r>
      <w:r w:rsidR="00826066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, </w:t>
      </w:r>
      <w:r w:rsidR="0016665A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by giving Encolpius’ view on different matters. Encolpius’ </w:t>
      </w:r>
      <w:r w:rsidR="00DB51DD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description</w:t>
      </w:r>
      <w:r w:rsidR="0016665A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of the replacement gold and silver coins for the game as a “rem omnium delicatissimam”</w:t>
      </w:r>
      <w:r w:rsidR="002C1D1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FB3C6A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suggests that </w:t>
      </w:r>
      <w:r w:rsidR="00FC2CF5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it</w:t>
      </w:r>
      <w:r w:rsidR="00FB3C6A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created </w:t>
      </w:r>
      <w:r w:rsidR="007426E6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 very favourable impression, enhanced by </w:t>
      </w:r>
      <w:r w:rsidR="00B42F0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the superlative. At this point in the narrative, although Trimalchio has made some social </w:t>
      </w:r>
      <w:r w:rsidR="00D25177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faux pas</w:t>
      </w:r>
      <w:r w:rsidR="00B42F0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, </w:t>
      </w:r>
      <w:r w:rsidR="0080395C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his use of wealth </w:t>
      </w:r>
      <w:r w:rsidR="00FC2CF5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for</w:t>
      </w:r>
      <w:r w:rsidR="00CE02A3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decorati</w:t>
      </w:r>
      <w:r w:rsidR="00FC2CF5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on</w:t>
      </w:r>
      <w:r w:rsidR="00CE02A3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is impressive rather than repulsive. This is deepened by the chiastic structure of the following sentence </w:t>
      </w:r>
      <w:r w:rsidR="00CE02A3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lastRenderedPageBreak/>
        <w:t xml:space="preserve">describing the </w:t>
      </w:r>
      <w:r w:rsidR="00BF2FB3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game, “</w:t>
      </w:r>
      <w:r w:rsidR="00BF2FB3" w:rsidRPr="00026197">
        <w:rPr>
          <w:rFonts w:ascii="Calibri" w:hAnsi="Calibri" w:cs="Calibri"/>
          <w:sz w:val="24"/>
          <w:szCs w:val="24"/>
        </w:rPr>
        <w:t xml:space="preserve">pro calculis enim albis ac nigris aureos argenteosque habebat </w:t>
      </w:r>
      <w:r w:rsidR="00BF2FB3">
        <w:rPr>
          <w:rFonts w:ascii="Calibri" w:hAnsi="Calibri" w:cs="Calibri"/>
          <w:sz w:val="24"/>
          <w:szCs w:val="24"/>
        </w:rPr>
        <w:t xml:space="preserve">denarios”, </w:t>
      </w:r>
      <w:r w:rsidR="005C7D2E">
        <w:rPr>
          <w:rFonts w:ascii="Calibri" w:hAnsi="Calibri" w:cs="Calibri"/>
          <w:sz w:val="24"/>
          <w:szCs w:val="24"/>
        </w:rPr>
        <w:t>focusing the audience’s attention on these counters to admire them.</w:t>
      </w:r>
      <w:r w:rsidR="007F71C4">
        <w:rPr>
          <w:rFonts w:ascii="Calibri" w:hAnsi="Calibri" w:cs="Calibri"/>
          <w:sz w:val="24"/>
          <w:szCs w:val="24"/>
        </w:rPr>
        <w:t xml:space="preserve"> Nevertheless, Trimalchio</w:t>
      </w:r>
      <w:r w:rsidR="003E4589">
        <w:rPr>
          <w:rFonts w:ascii="Calibri" w:hAnsi="Calibri" w:cs="Calibri"/>
          <w:sz w:val="24"/>
          <w:szCs w:val="24"/>
        </w:rPr>
        <w:t xml:space="preserve"> then </w:t>
      </w:r>
      <w:r w:rsidR="007F71C4">
        <w:rPr>
          <w:rFonts w:ascii="Calibri" w:hAnsi="Calibri" w:cs="Calibri"/>
          <w:sz w:val="24"/>
          <w:szCs w:val="24"/>
        </w:rPr>
        <w:t>create</w:t>
      </w:r>
      <w:r w:rsidR="003E4589">
        <w:rPr>
          <w:rFonts w:ascii="Calibri" w:hAnsi="Calibri" w:cs="Calibri"/>
          <w:sz w:val="24"/>
          <w:szCs w:val="24"/>
        </w:rPr>
        <w:t>s</w:t>
      </w:r>
      <w:r w:rsidR="007F71C4">
        <w:rPr>
          <w:rFonts w:ascii="Calibri" w:hAnsi="Calibri" w:cs="Calibri"/>
          <w:sz w:val="24"/>
          <w:szCs w:val="24"/>
        </w:rPr>
        <w:t xml:space="preserve"> a </w:t>
      </w:r>
      <w:r w:rsidR="00962E16">
        <w:rPr>
          <w:rFonts w:ascii="Calibri" w:hAnsi="Calibri" w:cs="Calibri"/>
          <w:sz w:val="24"/>
          <w:szCs w:val="24"/>
        </w:rPr>
        <w:t xml:space="preserve">more </w:t>
      </w:r>
      <w:r w:rsidR="009F3C7F">
        <w:rPr>
          <w:rFonts w:ascii="Calibri" w:hAnsi="Calibri" w:cs="Calibri"/>
          <w:sz w:val="24"/>
          <w:szCs w:val="24"/>
        </w:rPr>
        <w:t>uncouth impression of him</w:t>
      </w:r>
      <w:r w:rsidR="003E4589">
        <w:rPr>
          <w:rFonts w:ascii="Calibri" w:hAnsi="Calibri" w:cs="Calibri"/>
          <w:sz w:val="24"/>
          <w:szCs w:val="24"/>
        </w:rPr>
        <w:t>self</w:t>
      </w:r>
      <w:r w:rsidR="009F3C7F">
        <w:rPr>
          <w:rFonts w:ascii="Calibri" w:hAnsi="Calibri" w:cs="Calibri"/>
          <w:sz w:val="24"/>
          <w:szCs w:val="24"/>
        </w:rPr>
        <w:t>, as he “</w:t>
      </w:r>
      <w:r w:rsidR="009F3C7F" w:rsidRPr="00026197">
        <w:rPr>
          <w:rFonts w:ascii="Calibri" w:hAnsi="Calibri" w:cs="Calibri"/>
          <w:sz w:val="24"/>
          <w:szCs w:val="24"/>
        </w:rPr>
        <w:t>omnium textorum dicta inter lusum consumit</w:t>
      </w:r>
      <w:r w:rsidR="009F3C7F">
        <w:rPr>
          <w:rFonts w:ascii="Calibri" w:hAnsi="Calibri" w:cs="Calibri"/>
          <w:sz w:val="24"/>
          <w:szCs w:val="24"/>
        </w:rPr>
        <w:t>”. Whilst</w:t>
      </w:r>
      <w:r w:rsidR="003E4589">
        <w:rPr>
          <w:rFonts w:ascii="Calibri" w:hAnsi="Calibri" w:cs="Calibri"/>
          <w:sz w:val="24"/>
          <w:szCs w:val="24"/>
        </w:rPr>
        <w:t xml:space="preserve"> the</w:t>
      </w:r>
      <w:r w:rsidR="009F3C7F">
        <w:rPr>
          <w:rFonts w:ascii="Calibri" w:hAnsi="Calibri" w:cs="Calibri"/>
          <w:sz w:val="24"/>
          <w:szCs w:val="24"/>
        </w:rPr>
        <w:t xml:space="preserve"> ex</w:t>
      </w:r>
      <w:r w:rsidR="000F4BFD">
        <w:rPr>
          <w:rFonts w:ascii="Calibri" w:hAnsi="Calibri" w:cs="Calibri"/>
          <w:sz w:val="24"/>
          <w:szCs w:val="24"/>
        </w:rPr>
        <w:t>act colloquial meaning of this phrase</w:t>
      </w:r>
      <w:r w:rsidR="003E4589">
        <w:rPr>
          <w:rFonts w:ascii="Calibri" w:hAnsi="Calibri" w:cs="Calibri"/>
          <w:sz w:val="24"/>
          <w:szCs w:val="24"/>
        </w:rPr>
        <w:t xml:space="preserve"> </w:t>
      </w:r>
      <w:r w:rsidR="003E4589">
        <w:rPr>
          <w:rFonts w:ascii="Calibri" w:hAnsi="Calibri" w:cs="Calibri"/>
          <w:sz w:val="24"/>
          <w:szCs w:val="24"/>
        </w:rPr>
        <w:t>is un</w:t>
      </w:r>
      <w:r w:rsidR="003E4589">
        <w:rPr>
          <w:rFonts w:ascii="Calibri" w:hAnsi="Calibri" w:cs="Calibri"/>
          <w:sz w:val="24"/>
          <w:szCs w:val="24"/>
        </w:rPr>
        <w:t>certain</w:t>
      </w:r>
      <w:r w:rsidR="000F4BFD">
        <w:rPr>
          <w:rFonts w:ascii="Calibri" w:hAnsi="Calibri" w:cs="Calibri"/>
          <w:sz w:val="24"/>
          <w:szCs w:val="24"/>
        </w:rPr>
        <w:t xml:space="preserve">, the context suggests that Trimalchio is either swearing or using other foul language, which is a stark contrast to the refined </w:t>
      </w:r>
      <w:r w:rsidR="007D0B57">
        <w:rPr>
          <w:rFonts w:ascii="Calibri" w:hAnsi="Calibri" w:cs="Calibri"/>
          <w:sz w:val="24"/>
          <w:szCs w:val="24"/>
        </w:rPr>
        <w:t xml:space="preserve">and extravagant gameboard. </w:t>
      </w:r>
      <w:r w:rsidR="00017B36">
        <w:rPr>
          <w:rFonts w:ascii="Calibri" w:hAnsi="Calibri" w:cs="Calibri"/>
          <w:sz w:val="24"/>
          <w:szCs w:val="24"/>
        </w:rPr>
        <w:t xml:space="preserve">Within this chapter there is an emerging pattern of Petronius </w:t>
      </w:r>
      <w:r w:rsidR="001B59F8">
        <w:rPr>
          <w:rFonts w:ascii="Calibri" w:hAnsi="Calibri" w:cs="Calibri"/>
          <w:sz w:val="24"/>
          <w:szCs w:val="24"/>
        </w:rPr>
        <w:t>using immediate contrasts between Trimalchio</w:t>
      </w:r>
      <w:r w:rsidR="00427E67">
        <w:rPr>
          <w:rFonts w:ascii="Calibri" w:hAnsi="Calibri" w:cs="Calibri"/>
          <w:sz w:val="24"/>
          <w:szCs w:val="24"/>
        </w:rPr>
        <w:t xml:space="preserve"> </w:t>
      </w:r>
      <w:r w:rsidR="001B59F8">
        <w:rPr>
          <w:rFonts w:ascii="Calibri" w:hAnsi="Calibri" w:cs="Calibri"/>
          <w:sz w:val="24"/>
          <w:szCs w:val="24"/>
        </w:rPr>
        <w:t>as an eloquent, rich</w:t>
      </w:r>
      <w:r w:rsidR="00427E67">
        <w:rPr>
          <w:rFonts w:ascii="Calibri" w:hAnsi="Calibri" w:cs="Calibri"/>
          <w:sz w:val="24"/>
          <w:szCs w:val="24"/>
        </w:rPr>
        <w:t xml:space="preserve"> and sophisticated member of society and the </w:t>
      </w:r>
      <w:r w:rsidR="009B1FD7">
        <w:rPr>
          <w:rFonts w:ascii="Calibri" w:hAnsi="Calibri" w:cs="Calibri"/>
          <w:sz w:val="24"/>
          <w:szCs w:val="24"/>
        </w:rPr>
        <w:t xml:space="preserve">crassness of his actions or words. </w:t>
      </w:r>
    </w:p>
    <w:p w14:paraId="29F27EA4" w14:textId="77777777" w:rsidR="009B1FD7" w:rsidRDefault="009B1FD7" w:rsidP="003E2261">
      <w:pPr>
        <w:jc w:val="both"/>
        <w:rPr>
          <w:rFonts w:ascii="Calibri" w:hAnsi="Calibri" w:cs="Calibri"/>
          <w:sz w:val="24"/>
          <w:szCs w:val="24"/>
        </w:rPr>
      </w:pPr>
    </w:p>
    <w:p w14:paraId="7A12C0AF" w14:textId="5D8753DB" w:rsidR="009B1FD7" w:rsidRDefault="00E71643" w:rsidP="003E2261">
      <w:pPr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next event </w:t>
      </w:r>
      <w:r w:rsidR="00D83509">
        <w:rPr>
          <w:rFonts w:ascii="Calibri" w:hAnsi="Calibri" w:cs="Calibri"/>
          <w:sz w:val="24"/>
          <w:szCs w:val="24"/>
        </w:rPr>
        <w:t xml:space="preserve">is accompanied by music, “symphonia strepente”. </w:t>
      </w:r>
      <w:r w:rsidR="00580D1E">
        <w:rPr>
          <w:rFonts w:ascii="Calibri" w:hAnsi="Calibri" w:cs="Calibri"/>
          <w:sz w:val="24"/>
          <w:szCs w:val="24"/>
        </w:rPr>
        <w:t>There has already been music in the previous chapter</w:t>
      </w:r>
      <w:r w:rsidR="00F12C39">
        <w:rPr>
          <w:rFonts w:ascii="Calibri" w:hAnsi="Calibri" w:cs="Calibri"/>
          <w:sz w:val="24"/>
          <w:szCs w:val="24"/>
        </w:rPr>
        <w:t xml:space="preserve"> as Trimalchio is carried into the dining room, but it appears </w:t>
      </w:r>
      <w:r w:rsidR="002B08B9">
        <w:rPr>
          <w:rFonts w:ascii="Calibri" w:hAnsi="Calibri" w:cs="Calibri"/>
          <w:sz w:val="24"/>
          <w:szCs w:val="24"/>
        </w:rPr>
        <w:t>now</w:t>
      </w:r>
      <w:r w:rsidR="00F12C39">
        <w:rPr>
          <w:rFonts w:ascii="Calibri" w:hAnsi="Calibri" w:cs="Calibri"/>
          <w:sz w:val="24"/>
          <w:szCs w:val="24"/>
        </w:rPr>
        <w:t xml:space="preserve"> that the music is going to continue. </w:t>
      </w:r>
      <w:r w:rsidR="004D5027">
        <w:rPr>
          <w:rFonts w:ascii="Calibri" w:hAnsi="Calibri" w:cs="Calibri"/>
          <w:sz w:val="24"/>
          <w:szCs w:val="24"/>
        </w:rPr>
        <w:t xml:space="preserve">However, Petronius’ use of language implies that the </w:t>
      </w:r>
      <w:r w:rsidR="00C645E1">
        <w:rPr>
          <w:rFonts w:ascii="Calibri" w:hAnsi="Calibri" w:cs="Calibri"/>
          <w:sz w:val="24"/>
          <w:szCs w:val="24"/>
        </w:rPr>
        <w:t xml:space="preserve">music was too loud and brash for the occasion; </w:t>
      </w:r>
      <w:r w:rsidR="006332D9">
        <w:rPr>
          <w:rFonts w:ascii="Calibri" w:hAnsi="Calibri" w:cs="Calibri"/>
          <w:sz w:val="24"/>
          <w:szCs w:val="24"/>
        </w:rPr>
        <w:t xml:space="preserve">“strepeo” </w:t>
      </w:r>
      <w:r w:rsidR="00DC2335">
        <w:rPr>
          <w:rFonts w:ascii="Calibri" w:hAnsi="Calibri" w:cs="Calibri"/>
          <w:sz w:val="24"/>
          <w:szCs w:val="24"/>
        </w:rPr>
        <w:t>means to be loud, to rumble,</w:t>
      </w:r>
      <w:r w:rsidR="000B4B17">
        <w:rPr>
          <w:rFonts w:ascii="Calibri" w:hAnsi="Calibri" w:cs="Calibri"/>
          <w:sz w:val="24"/>
          <w:szCs w:val="24"/>
        </w:rPr>
        <w:t xml:space="preserve"> or</w:t>
      </w:r>
      <w:r w:rsidR="00DC2335">
        <w:rPr>
          <w:rFonts w:ascii="Calibri" w:hAnsi="Calibri" w:cs="Calibri"/>
          <w:sz w:val="24"/>
          <w:szCs w:val="24"/>
        </w:rPr>
        <w:t xml:space="preserve"> to resound</w:t>
      </w:r>
      <w:r w:rsidR="000B4B17">
        <w:rPr>
          <w:rFonts w:ascii="Calibri" w:hAnsi="Calibri" w:cs="Calibri"/>
          <w:sz w:val="24"/>
          <w:szCs w:val="24"/>
        </w:rPr>
        <w:t xml:space="preserve"> </w:t>
      </w:r>
      <w:r w:rsidR="00B74D05">
        <w:rPr>
          <w:rFonts w:ascii="Calibri" w:hAnsi="Calibri" w:cs="Calibri"/>
          <w:sz w:val="24"/>
          <w:szCs w:val="24"/>
        </w:rPr>
        <w:t>(Simpson, 1968, p</w:t>
      </w:r>
      <w:r w:rsidR="003F1C5A">
        <w:rPr>
          <w:rFonts w:ascii="Calibri" w:hAnsi="Calibri" w:cs="Calibri"/>
          <w:sz w:val="24"/>
          <w:szCs w:val="24"/>
        </w:rPr>
        <w:t>. 572)</w:t>
      </w:r>
      <w:r w:rsidR="00DC2335">
        <w:rPr>
          <w:rFonts w:ascii="Calibri" w:hAnsi="Calibri" w:cs="Calibri"/>
          <w:sz w:val="24"/>
          <w:szCs w:val="24"/>
        </w:rPr>
        <w:t xml:space="preserve">. </w:t>
      </w:r>
      <w:r w:rsidR="00F25ACE">
        <w:rPr>
          <w:rFonts w:ascii="Calibri" w:hAnsi="Calibri" w:cs="Calibri"/>
          <w:sz w:val="24"/>
          <w:szCs w:val="24"/>
        </w:rPr>
        <w:t>Whilst musical entertainment was often a feature at dinner part</w:t>
      </w:r>
      <w:r w:rsidR="000B4B17">
        <w:rPr>
          <w:rFonts w:ascii="Calibri" w:hAnsi="Calibri" w:cs="Calibri"/>
          <w:sz w:val="24"/>
          <w:szCs w:val="24"/>
        </w:rPr>
        <w:t>ies</w:t>
      </w:r>
      <w:r w:rsidR="004D5027">
        <w:rPr>
          <w:rFonts w:ascii="Calibri" w:hAnsi="Calibri" w:cs="Calibri"/>
          <w:sz w:val="24"/>
          <w:szCs w:val="24"/>
        </w:rPr>
        <w:t xml:space="preserve">, </w:t>
      </w:r>
      <w:r w:rsidR="00464C96">
        <w:rPr>
          <w:rFonts w:ascii="Calibri" w:hAnsi="Calibri" w:cs="Calibri"/>
          <w:sz w:val="24"/>
          <w:szCs w:val="24"/>
        </w:rPr>
        <w:t>“strepente”</w:t>
      </w:r>
      <w:r w:rsidR="00F564B5">
        <w:rPr>
          <w:rFonts w:ascii="Calibri" w:hAnsi="Calibri" w:cs="Calibri"/>
          <w:sz w:val="24"/>
          <w:szCs w:val="24"/>
        </w:rPr>
        <w:t xml:space="preserve"> suggests to Petronius’ audience that either the quality of the musicians was not </w:t>
      </w:r>
      <w:r w:rsidR="00F15B59">
        <w:rPr>
          <w:rFonts w:ascii="Calibri" w:hAnsi="Calibri" w:cs="Calibri"/>
          <w:sz w:val="24"/>
          <w:szCs w:val="24"/>
        </w:rPr>
        <w:t>particularly good</w:t>
      </w:r>
      <w:r w:rsidR="004A15E1">
        <w:rPr>
          <w:rFonts w:ascii="Calibri" w:hAnsi="Calibri" w:cs="Calibri"/>
          <w:sz w:val="24"/>
          <w:szCs w:val="24"/>
        </w:rPr>
        <w:t>, or that the music was rather overwhelming. This effect is highlighted by the sibilance</w:t>
      </w:r>
      <w:r w:rsidR="0051293A">
        <w:rPr>
          <w:rFonts w:ascii="Calibri" w:hAnsi="Calibri" w:cs="Calibri"/>
          <w:sz w:val="24"/>
          <w:szCs w:val="24"/>
        </w:rPr>
        <w:t>, “</w:t>
      </w:r>
      <w:r w:rsidR="0051293A" w:rsidRPr="00026197">
        <w:rPr>
          <w:rFonts w:ascii="Calibri" w:hAnsi="Calibri" w:cs="Calibri"/>
          <w:sz w:val="24"/>
          <w:szCs w:val="24"/>
        </w:rPr>
        <w:t>servi et symphonia strepente scrutari</w:t>
      </w:r>
      <w:r w:rsidR="0051293A">
        <w:rPr>
          <w:rFonts w:ascii="Calibri" w:hAnsi="Calibri" w:cs="Calibri"/>
          <w:sz w:val="24"/>
          <w:szCs w:val="24"/>
        </w:rPr>
        <w:t>”</w:t>
      </w:r>
      <w:r w:rsidR="00FE7BEE">
        <w:rPr>
          <w:rFonts w:ascii="Calibri" w:hAnsi="Calibri" w:cs="Calibri"/>
          <w:sz w:val="24"/>
          <w:szCs w:val="24"/>
        </w:rPr>
        <w:t xml:space="preserve">, </w:t>
      </w:r>
      <w:r w:rsidR="00DD60DA">
        <w:rPr>
          <w:rFonts w:ascii="Calibri" w:hAnsi="Calibri" w:cs="Calibri"/>
          <w:sz w:val="24"/>
          <w:szCs w:val="24"/>
        </w:rPr>
        <w:t xml:space="preserve">suggesting that the music </w:t>
      </w:r>
      <w:r w:rsidR="00464C96">
        <w:rPr>
          <w:rFonts w:ascii="Calibri" w:hAnsi="Calibri" w:cs="Calibri"/>
          <w:sz w:val="24"/>
          <w:szCs w:val="24"/>
        </w:rPr>
        <w:t xml:space="preserve">perhaps </w:t>
      </w:r>
      <w:r w:rsidR="00DD60DA">
        <w:rPr>
          <w:rFonts w:ascii="Calibri" w:hAnsi="Calibri" w:cs="Calibri"/>
          <w:sz w:val="24"/>
          <w:szCs w:val="24"/>
        </w:rPr>
        <w:t xml:space="preserve">could sound like hissing. </w:t>
      </w:r>
      <w:r w:rsidR="00592FE8">
        <w:rPr>
          <w:rFonts w:ascii="Calibri" w:hAnsi="Calibri" w:cs="Calibri"/>
          <w:sz w:val="24"/>
          <w:szCs w:val="24"/>
        </w:rPr>
        <w:t xml:space="preserve">The later use of “scaenam” </w:t>
      </w:r>
      <w:r w:rsidR="005808E1">
        <w:rPr>
          <w:rFonts w:ascii="Calibri" w:hAnsi="Calibri" w:cs="Calibri"/>
          <w:sz w:val="24"/>
          <w:szCs w:val="24"/>
        </w:rPr>
        <w:t xml:space="preserve">by Petronius </w:t>
      </w:r>
      <w:r w:rsidR="00D9509B">
        <w:rPr>
          <w:rFonts w:ascii="Calibri" w:hAnsi="Calibri" w:cs="Calibri"/>
          <w:sz w:val="24"/>
          <w:szCs w:val="24"/>
        </w:rPr>
        <w:t xml:space="preserve">to describe what Trimalchio turned to view gives the audience the impression of a play unfolding. </w:t>
      </w:r>
      <w:r w:rsidR="007F4D2C">
        <w:rPr>
          <w:rFonts w:ascii="Calibri" w:hAnsi="Calibri" w:cs="Calibri"/>
          <w:sz w:val="24"/>
          <w:szCs w:val="24"/>
        </w:rPr>
        <w:t xml:space="preserve">Roman and Greek drama made use of music throughout their performances and by using “scaenam”, Petronius invites his audience to view Trimalchio’s dinner-party as a play </w:t>
      </w:r>
      <w:r w:rsidR="00464C96">
        <w:rPr>
          <w:rFonts w:ascii="Calibri" w:hAnsi="Calibri" w:cs="Calibri"/>
          <w:sz w:val="24"/>
          <w:szCs w:val="24"/>
        </w:rPr>
        <w:t>or</w:t>
      </w:r>
      <w:r w:rsidR="007F4D2C">
        <w:rPr>
          <w:rFonts w:ascii="Calibri" w:hAnsi="Calibri" w:cs="Calibri"/>
          <w:sz w:val="24"/>
          <w:szCs w:val="24"/>
        </w:rPr>
        <w:t xml:space="preserve"> performance. </w:t>
      </w:r>
      <w:r w:rsidR="00647032">
        <w:rPr>
          <w:rFonts w:ascii="Calibri" w:hAnsi="Calibri" w:cs="Calibri"/>
          <w:sz w:val="24"/>
          <w:szCs w:val="24"/>
        </w:rPr>
        <w:t>This prepares his audience for Trimalchio’s stage-trick with the peahen eggs</w:t>
      </w:r>
      <w:r w:rsidR="005D1D95">
        <w:rPr>
          <w:rFonts w:ascii="Calibri" w:hAnsi="Calibri" w:cs="Calibri"/>
          <w:sz w:val="24"/>
          <w:szCs w:val="24"/>
        </w:rPr>
        <w:t xml:space="preserve"> and sets the stage for the spectacle Trimalchio is about to orchestrate. </w:t>
      </w:r>
      <w:r w:rsidR="00384346">
        <w:rPr>
          <w:rFonts w:ascii="Calibri" w:hAnsi="Calibri" w:cs="Calibri"/>
          <w:sz w:val="24"/>
          <w:szCs w:val="24"/>
        </w:rPr>
        <w:t>It also encourages the audience’s interest, as they feel more knowledgeable than Encolpius</w:t>
      </w:r>
      <w:r w:rsidR="00A17423">
        <w:rPr>
          <w:rFonts w:ascii="Calibri" w:hAnsi="Calibri" w:cs="Calibri"/>
          <w:sz w:val="24"/>
          <w:szCs w:val="24"/>
        </w:rPr>
        <w:t xml:space="preserve">, who misses this cue and </w:t>
      </w:r>
      <w:r w:rsidR="00046875">
        <w:rPr>
          <w:rFonts w:ascii="Calibri" w:hAnsi="Calibri" w:cs="Calibri"/>
          <w:sz w:val="24"/>
          <w:szCs w:val="24"/>
        </w:rPr>
        <w:t xml:space="preserve">gullibly </w:t>
      </w:r>
      <w:r w:rsidR="00A17423">
        <w:rPr>
          <w:rFonts w:ascii="Calibri" w:hAnsi="Calibri" w:cs="Calibri"/>
          <w:sz w:val="24"/>
          <w:szCs w:val="24"/>
        </w:rPr>
        <w:t>believes Trimalchio</w:t>
      </w:r>
      <w:r w:rsidR="00046875">
        <w:rPr>
          <w:rFonts w:ascii="Calibri" w:hAnsi="Calibri" w:cs="Calibri"/>
          <w:sz w:val="24"/>
          <w:szCs w:val="24"/>
        </w:rPr>
        <w:t xml:space="preserve">’s fear that there are already half-formed chicks in the eggs. </w:t>
      </w:r>
      <w:r w:rsidR="001D540F">
        <w:rPr>
          <w:rFonts w:ascii="Calibri" w:hAnsi="Calibri" w:cs="Calibri"/>
          <w:sz w:val="24"/>
          <w:szCs w:val="24"/>
        </w:rPr>
        <w:t xml:space="preserve">Petronius encourages the audience to feel superior with the use of “paene”, as this also forewarns that all is not as it appears to Encolpius </w:t>
      </w:r>
      <w:r w:rsidR="00E92BC9">
        <w:rPr>
          <w:rFonts w:ascii="Calibri" w:hAnsi="Calibri" w:cs="Calibri"/>
          <w:sz w:val="24"/>
          <w:szCs w:val="24"/>
        </w:rPr>
        <w:t xml:space="preserve">and that there is about to be a twist. </w:t>
      </w:r>
    </w:p>
    <w:p w14:paraId="6E86F149" w14:textId="77777777" w:rsidR="00C246ED" w:rsidRDefault="00C246ED" w:rsidP="003E2261">
      <w:pPr>
        <w:jc w:val="both"/>
        <w:rPr>
          <w:rFonts w:ascii="Calibri" w:hAnsi="Calibri" w:cs="Calibri"/>
          <w:sz w:val="24"/>
          <w:szCs w:val="24"/>
        </w:rPr>
      </w:pPr>
    </w:p>
    <w:p w14:paraId="433CE2D6" w14:textId="2EC59A6F" w:rsidR="00544A34" w:rsidRDefault="00C246ED" w:rsidP="003E2261">
      <w:pPr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In chapter 34, the air of theatricality in the meal continues </w:t>
      </w:r>
      <w:r w:rsidR="00154457">
        <w:rPr>
          <w:rFonts w:ascii="Calibri" w:hAnsi="Calibri" w:cs="Calibri"/>
          <w:sz w:val="24"/>
          <w:szCs w:val="24"/>
        </w:rPr>
        <w:t xml:space="preserve">and once again, music is used to </w:t>
      </w:r>
      <w:r w:rsidR="00A1078C">
        <w:rPr>
          <w:rFonts w:ascii="Calibri" w:hAnsi="Calibri" w:cs="Calibri"/>
          <w:sz w:val="24"/>
          <w:szCs w:val="24"/>
        </w:rPr>
        <w:t xml:space="preserve">signal </w:t>
      </w:r>
      <w:r w:rsidR="006410F8">
        <w:rPr>
          <w:rFonts w:ascii="Calibri" w:hAnsi="Calibri" w:cs="Calibri"/>
          <w:sz w:val="24"/>
          <w:szCs w:val="24"/>
        </w:rPr>
        <w:t>that something important is about to happen, “</w:t>
      </w:r>
      <w:r w:rsidR="00727328">
        <w:rPr>
          <w:rFonts w:ascii="Calibri" w:hAnsi="Calibri" w:cs="Calibri"/>
          <w:sz w:val="24"/>
          <w:szCs w:val="24"/>
        </w:rPr>
        <w:t xml:space="preserve">subito signum symphonia datur”. The sibilance is echoed here from the previous chapter to remind Petronius’ audience about the earlier musical sound. </w:t>
      </w:r>
      <w:r w:rsidR="00EB6A28">
        <w:rPr>
          <w:rFonts w:ascii="Calibri" w:hAnsi="Calibri" w:cs="Calibri"/>
          <w:sz w:val="24"/>
          <w:szCs w:val="24"/>
        </w:rPr>
        <w:t xml:space="preserve">The next spectacle does not appear to be planned, however, at least to the narrator Encolpius, as he states that it is “forte” that the </w:t>
      </w:r>
      <w:r w:rsidR="00333EE1">
        <w:rPr>
          <w:rFonts w:ascii="Calibri" w:hAnsi="Calibri" w:cs="Calibri"/>
          <w:sz w:val="24"/>
          <w:szCs w:val="24"/>
        </w:rPr>
        <w:t>side-dish dropped to the floor. There are some suggestions that this may not have been as accidental as it appears to Encolpius</w:t>
      </w:r>
      <w:r w:rsidR="005E35A6">
        <w:rPr>
          <w:rFonts w:ascii="Calibri" w:hAnsi="Calibri" w:cs="Calibri"/>
          <w:sz w:val="24"/>
          <w:szCs w:val="24"/>
        </w:rPr>
        <w:t xml:space="preserve"> and the audience is aware from the incident with the figpecker and the eggs</w:t>
      </w:r>
      <w:r w:rsidR="00E20483">
        <w:rPr>
          <w:rStyle w:val="FootnoteReference"/>
          <w:rFonts w:ascii="Calibri" w:hAnsi="Calibri" w:cs="Calibri"/>
          <w:sz w:val="24"/>
          <w:szCs w:val="24"/>
        </w:rPr>
        <w:footnoteReference w:id="15"/>
      </w:r>
      <w:r w:rsidR="00E20483">
        <w:rPr>
          <w:rFonts w:ascii="Calibri" w:hAnsi="Calibri" w:cs="Calibri"/>
          <w:sz w:val="24"/>
          <w:szCs w:val="24"/>
        </w:rPr>
        <w:t xml:space="preserve"> and the painting of the dog on the wall as he entered</w:t>
      </w:r>
      <w:r w:rsidR="00E20483">
        <w:rPr>
          <w:rStyle w:val="FootnoteReference"/>
          <w:rFonts w:ascii="Calibri" w:hAnsi="Calibri" w:cs="Calibri"/>
          <w:sz w:val="24"/>
          <w:szCs w:val="24"/>
        </w:rPr>
        <w:footnoteReference w:id="16"/>
      </w:r>
      <w:r w:rsidR="00E20483">
        <w:rPr>
          <w:rFonts w:ascii="Calibri" w:hAnsi="Calibri" w:cs="Calibri"/>
          <w:sz w:val="24"/>
          <w:szCs w:val="24"/>
        </w:rPr>
        <w:t xml:space="preserve"> that as a guest, Encolpius was very gullible. </w:t>
      </w:r>
      <w:r w:rsidR="007D58B6">
        <w:rPr>
          <w:rFonts w:ascii="Calibri" w:hAnsi="Calibri" w:cs="Calibri"/>
          <w:sz w:val="24"/>
          <w:szCs w:val="24"/>
        </w:rPr>
        <w:t>Firstly, the musicians gave a “signum”</w:t>
      </w:r>
      <w:r w:rsidR="00107C43">
        <w:rPr>
          <w:rFonts w:ascii="Calibri" w:hAnsi="Calibri" w:cs="Calibri"/>
          <w:sz w:val="24"/>
          <w:szCs w:val="24"/>
        </w:rPr>
        <w:t xml:space="preserve">; although Encolpius believes that it is to the slaves to begin to clear away the dishes, it could also be a sign to begin the next piece of entertainment as </w:t>
      </w:r>
      <w:r w:rsidR="00981A85">
        <w:rPr>
          <w:rFonts w:ascii="Calibri" w:hAnsi="Calibri" w:cs="Calibri"/>
          <w:sz w:val="24"/>
          <w:szCs w:val="24"/>
        </w:rPr>
        <w:t xml:space="preserve">in the prior chapter. Secondly, just as Trimalchio “convertit” in chapter 33 to the scene </w:t>
      </w:r>
      <w:r w:rsidR="00981A85">
        <w:rPr>
          <w:rFonts w:ascii="Calibri" w:hAnsi="Calibri" w:cs="Calibri"/>
          <w:sz w:val="24"/>
          <w:szCs w:val="24"/>
        </w:rPr>
        <w:lastRenderedPageBreak/>
        <w:t xml:space="preserve">playing out, he also </w:t>
      </w:r>
      <w:r w:rsidR="00861C57">
        <w:rPr>
          <w:rFonts w:ascii="Calibri" w:hAnsi="Calibri" w:cs="Calibri"/>
          <w:sz w:val="24"/>
          <w:szCs w:val="24"/>
        </w:rPr>
        <w:t xml:space="preserve">“animadvertit” here to the events. </w:t>
      </w:r>
      <w:r w:rsidR="0065316A">
        <w:rPr>
          <w:rFonts w:ascii="Calibri" w:hAnsi="Calibri" w:cs="Calibri"/>
          <w:sz w:val="24"/>
          <w:szCs w:val="24"/>
        </w:rPr>
        <w:t>In both instances, the verb is promoted in the sentence and draws the audience’s attention</w:t>
      </w:r>
      <w:r w:rsidR="00891F48">
        <w:rPr>
          <w:rFonts w:ascii="Calibri" w:hAnsi="Calibri" w:cs="Calibri"/>
          <w:sz w:val="24"/>
          <w:szCs w:val="24"/>
        </w:rPr>
        <w:t xml:space="preserve">; this similarity suggests that this </w:t>
      </w:r>
      <w:r w:rsidR="00E060C8">
        <w:rPr>
          <w:rFonts w:ascii="Calibri" w:hAnsi="Calibri" w:cs="Calibri"/>
          <w:sz w:val="24"/>
          <w:szCs w:val="24"/>
        </w:rPr>
        <w:t xml:space="preserve">ordering of the dish to be thrown </w:t>
      </w:r>
      <w:r w:rsidR="00DC0C9D">
        <w:rPr>
          <w:rFonts w:ascii="Calibri" w:hAnsi="Calibri" w:cs="Calibri"/>
          <w:sz w:val="24"/>
          <w:szCs w:val="24"/>
        </w:rPr>
        <w:t>to the floor again</w:t>
      </w:r>
      <w:r w:rsidR="00E060C8">
        <w:rPr>
          <w:rFonts w:ascii="Calibri" w:hAnsi="Calibri" w:cs="Calibri"/>
          <w:sz w:val="24"/>
          <w:szCs w:val="24"/>
        </w:rPr>
        <w:t xml:space="preserve"> was yet another way that Trimalchio is aiming to impress his guests over </w:t>
      </w:r>
      <w:r w:rsidR="00DC0C9D">
        <w:rPr>
          <w:rFonts w:ascii="Calibri" w:hAnsi="Calibri" w:cs="Calibri"/>
          <w:sz w:val="24"/>
          <w:szCs w:val="24"/>
        </w:rPr>
        <w:t xml:space="preserve">his incredible amount of wealth. The fact that a “lecticarius” is also on hand straightaway to </w:t>
      </w:r>
      <w:r w:rsidR="008F6A77">
        <w:rPr>
          <w:rFonts w:ascii="Calibri" w:hAnsi="Calibri" w:cs="Calibri"/>
          <w:sz w:val="24"/>
          <w:szCs w:val="24"/>
        </w:rPr>
        <w:t xml:space="preserve">sweep the dish into the rubbish also suggests that this has been planned beforehand, so that Trimalchio’s guests can fully understand </w:t>
      </w:r>
      <w:r w:rsidR="00BF0550">
        <w:rPr>
          <w:rFonts w:ascii="Calibri" w:hAnsi="Calibri" w:cs="Calibri"/>
          <w:sz w:val="24"/>
          <w:szCs w:val="24"/>
        </w:rPr>
        <w:t xml:space="preserve">why he ordered it to be thrown to the floor again and how little value he supposedly puts on a valuable dish because it has touched the floor. </w:t>
      </w:r>
      <w:r w:rsidR="008F36AB">
        <w:rPr>
          <w:rFonts w:ascii="Calibri" w:hAnsi="Calibri" w:cs="Calibri"/>
          <w:sz w:val="24"/>
          <w:szCs w:val="24"/>
        </w:rPr>
        <w:t>The praise of the guests after this and their hands being washed with wine, “laudatus propter elegantias”</w:t>
      </w:r>
      <w:r w:rsidR="00D25177">
        <w:rPr>
          <w:rFonts w:ascii="Calibri" w:hAnsi="Calibri" w:cs="Calibri"/>
          <w:sz w:val="24"/>
          <w:szCs w:val="24"/>
        </w:rPr>
        <w:t>,</w:t>
      </w:r>
      <w:r w:rsidR="007C0C5D">
        <w:rPr>
          <w:rFonts w:ascii="Calibri" w:hAnsi="Calibri" w:cs="Calibri"/>
          <w:sz w:val="24"/>
          <w:szCs w:val="24"/>
        </w:rPr>
        <w:t xml:space="preserve"> also gives the suggestion of Trimalchio as an actor or director and </w:t>
      </w:r>
      <w:r w:rsidR="00DF3DBF">
        <w:rPr>
          <w:rFonts w:ascii="Calibri" w:hAnsi="Calibri" w:cs="Calibri"/>
          <w:sz w:val="24"/>
          <w:szCs w:val="24"/>
        </w:rPr>
        <w:t xml:space="preserve">that each scene he enables should be praised by those experiencing it. </w:t>
      </w:r>
    </w:p>
    <w:p w14:paraId="26308E20" w14:textId="77777777" w:rsidR="00544A34" w:rsidRDefault="00544A34" w:rsidP="003E2261">
      <w:pPr>
        <w:jc w:val="both"/>
        <w:rPr>
          <w:rFonts w:ascii="Calibri" w:hAnsi="Calibri" w:cs="Calibri"/>
          <w:sz w:val="24"/>
          <w:szCs w:val="24"/>
        </w:rPr>
      </w:pPr>
    </w:p>
    <w:p w14:paraId="2EC9F85B" w14:textId="65F6BB6B" w:rsidR="00544A34" w:rsidRDefault="00544A34" w:rsidP="003E2261">
      <w:pPr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Chapter 34 contains</w:t>
      </w:r>
      <w:r w:rsidR="00075099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further </w:t>
      </w:r>
      <w:r w:rsidR="00DD3DDC">
        <w:rPr>
          <w:rFonts w:ascii="Calibri" w:hAnsi="Calibri" w:cs="Calibri"/>
          <w:sz w:val="24"/>
          <w:szCs w:val="24"/>
        </w:rPr>
        <w:t>elements of performance</w:t>
      </w:r>
      <w:r w:rsidR="001E4CC8">
        <w:rPr>
          <w:rFonts w:ascii="Calibri" w:hAnsi="Calibri" w:cs="Calibri"/>
          <w:sz w:val="24"/>
          <w:szCs w:val="24"/>
        </w:rPr>
        <w:t xml:space="preserve"> which continue to make the dinner party feel like an extended tour de force of all manner of entertainment. Firstly</w:t>
      </w:r>
      <w:r w:rsidR="00075099">
        <w:rPr>
          <w:rFonts w:ascii="Calibri" w:hAnsi="Calibri" w:cs="Calibri"/>
          <w:sz w:val="24"/>
          <w:szCs w:val="24"/>
        </w:rPr>
        <w:t xml:space="preserve">, the labelling of the wine jars as </w:t>
      </w:r>
      <w:r w:rsidR="00075099" w:rsidRPr="00026197">
        <w:rPr>
          <w:rFonts w:ascii="Calibri" w:hAnsi="Calibri" w:cs="Calibri"/>
          <w:sz w:val="24"/>
          <w:szCs w:val="24"/>
        </w:rPr>
        <w:t>“Falernum Opimianum annorum centum”</w:t>
      </w:r>
      <w:r w:rsidR="006E1EDF">
        <w:rPr>
          <w:rFonts w:ascii="Calibri" w:hAnsi="Calibri" w:cs="Calibri"/>
          <w:sz w:val="24"/>
          <w:szCs w:val="24"/>
        </w:rPr>
        <w:t xml:space="preserve"> also create the feeling of a performance; although it is known from Horace’s poetry that Falernum is a celebrated vinta</w:t>
      </w:r>
      <w:r w:rsidR="00044DFB">
        <w:rPr>
          <w:rFonts w:ascii="Calibri" w:hAnsi="Calibri" w:cs="Calibri"/>
          <w:sz w:val="24"/>
          <w:szCs w:val="24"/>
        </w:rPr>
        <w:t xml:space="preserve">ge and would be an expensive wine to serve anyway, the fact that is labelled </w:t>
      </w:r>
      <w:r w:rsidR="00A6522E">
        <w:rPr>
          <w:rFonts w:ascii="Calibri" w:hAnsi="Calibri" w:cs="Calibri"/>
          <w:sz w:val="24"/>
          <w:szCs w:val="24"/>
        </w:rPr>
        <w:t>as from the consulship of Opimius, which was in 121 BCE, shows that this is a fake</w:t>
      </w:r>
      <w:r w:rsidR="00493286">
        <w:rPr>
          <w:rFonts w:ascii="Calibri" w:hAnsi="Calibri" w:cs="Calibri"/>
          <w:sz w:val="24"/>
          <w:szCs w:val="24"/>
        </w:rPr>
        <w:t>, as wine that old would not be drinkable. Another way of determining that this is fake is the fact that the label states how old the wine is</w:t>
      </w:r>
      <w:r w:rsidR="002C1C40">
        <w:rPr>
          <w:rFonts w:ascii="Calibri" w:hAnsi="Calibri" w:cs="Calibri"/>
          <w:sz w:val="24"/>
          <w:szCs w:val="24"/>
        </w:rPr>
        <w:t xml:space="preserve">, which could not have been written onto the label at the time of producing the wine. </w:t>
      </w:r>
      <w:r w:rsidR="00D8386A">
        <w:rPr>
          <w:rFonts w:ascii="Calibri" w:hAnsi="Calibri" w:cs="Calibri"/>
          <w:sz w:val="24"/>
          <w:szCs w:val="24"/>
        </w:rPr>
        <w:t>Trimalchio</w:t>
      </w:r>
      <w:r w:rsidR="00DB60EF">
        <w:rPr>
          <w:rFonts w:ascii="Calibri" w:hAnsi="Calibri" w:cs="Calibri"/>
          <w:sz w:val="24"/>
          <w:szCs w:val="24"/>
        </w:rPr>
        <w:t>’s</w:t>
      </w:r>
      <w:r w:rsidR="00D8386A">
        <w:rPr>
          <w:rFonts w:ascii="Calibri" w:hAnsi="Calibri" w:cs="Calibri"/>
          <w:sz w:val="24"/>
          <w:szCs w:val="24"/>
        </w:rPr>
        <w:t xml:space="preserve"> comments after serving the wine about how he had served a lesser vintage to the previous night’s diners</w:t>
      </w:r>
      <w:r w:rsidR="00D70220">
        <w:rPr>
          <w:rFonts w:ascii="Calibri" w:hAnsi="Calibri" w:cs="Calibri"/>
          <w:sz w:val="24"/>
          <w:szCs w:val="24"/>
        </w:rPr>
        <w:t xml:space="preserve">, who he describes </w:t>
      </w:r>
      <w:r w:rsidR="00D70220" w:rsidRPr="00A07986">
        <w:rPr>
          <w:rFonts w:ascii="Calibri" w:hAnsi="Calibri" w:cs="Calibri"/>
          <w:sz w:val="24"/>
          <w:szCs w:val="24"/>
        </w:rPr>
        <w:t xml:space="preserve">as </w:t>
      </w:r>
      <w:r w:rsidR="00A07986" w:rsidRPr="00A07986">
        <w:rPr>
          <w:rFonts w:ascii="Calibri" w:hAnsi="Calibri" w:cs="Calibri"/>
          <w:sz w:val="24"/>
          <w:szCs w:val="24"/>
        </w:rPr>
        <w:t>“</w:t>
      </w:r>
      <w:r w:rsidR="00A07986" w:rsidRPr="00A07986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multo honestiores</w:t>
      </w:r>
      <w:r w:rsidR="00A07986" w:rsidRPr="00A07986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”</w:t>
      </w:r>
      <w:r w:rsidR="00875698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,</w:t>
      </w:r>
      <w:r w:rsidR="00A07986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</w:t>
      </w:r>
      <w:r w:rsidR="00D70220">
        <w:rPr>
          <w:rFonts w:ascii="Calibri" w:hAnsi="Calibri" w:cs="Calibri"/>
          <w:sz w:val="24"/>
          <w:szCs w:val="24"/>
        </w:rPr>
        <w:t>suggests that he knows that these guests are more gullible to accept the label at face value</w:t>
      </w:r>
      <w:r w:rsidR="00875698">
        <w:rPr>
          <w:rFonts w:ascii="Calibri" w:hAnsi="Calibri" w:cs="Calibri"/>
          <w:sz w:val="24"/>
          <w:szCs w:val="24"/>
        </w:rPr>
        <w:t xml:space="preserve">. It also confirms that he knows that this is not a true vintage, as if he believed it was, he would have chosen to use it to impress those of more social and political importance when he had the chance. </w:t>
      </w:r>
    </w:p>
    <w:p w14:paraId="02066AE8" w14:textId="77777777" w:rsidR="00544A34" w:rsidRDefault="00544A34" w:rsidP="003E2261">
      <w:pPr>
        <w:jc w:val="both"/>
        <w:rPr>
          <w:rFonts w:ascii="Calibri" w:hAnsi="Calibri" w:cs="Calibri"/>
          <w:sz w:val="24"/>
          <w:szCs w:val="24"/>
        </w:rPr>
      </w:pPr>
    </w:p>
    <w:p w14:paraId="1B53D2D3" w14:textId="77777777" w:rsidR="007F71C4" w:rsidRDefault="007F71C4" w:rsidP="003E2261">
      <w:pPr>
        <w:jc w:val="both"/>
        <w:rPr>
          <w:rFonts w:ascii="Calibri" w:hAnsi="Calibri" w:cs="Calibri"/>
          <w:sz w:val="24"/>
          <w:szCs w:val="24"/>
        </w:rPr>
      </w:pPr>
    </w:p>
    <w:p w14:paraId="1533F884" w14:textId="77777777" w:rsidR="007F71C4" w:rsidRPr="00026197" w:rsidRDefault="007F71C4" w:rsidP="003E2261">
      <w:pPr>
        <w:jc w:val="both"/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</w:pPr>
    </w:p>
    <w:p w14:paraId="1A2B9DD8" w14:textId="77777777" w:rsidR="00F27D1D" w:rsidRPr="00026197" w:rsidRDefault="00F27D1D" w:rsidP="003E2261">
      <w:pPr>
        <w:jc w:val="both"/>
        <w:rPr>
          <w:rFonts w:ascii="Calibri" w:hAnsi="Calibri" w:cs="Calibri"/>
          <w:color w:val="000000"/>
          <w:shd w:val="clear" w:color="auto" w:fill="FFFFFF"/>
        </w:rPr>
      </w:pPr>
    </w:p>
    <w:p w14:paraId="163F0EBD" w14:textId="77777777" w:rsidR="00322768" w:rsidRPr="00026197" w:rsidRDefault="00322768">
      <w:pPr>
        <w:rPr>
          <w:rFonts w:ascii="Calibri" w:hAnsi="Calibri" w:cs="Calibri"/>
        </w:rPr>
      </w:pPr>
    </w:p>
    <w:p w14:paraId="4AFDFD68" w14:textId="77777777" w:rsidR="00304869" w:rsidRPr="00026197" w:rsidRDefault="00304869">
      <w:pPr>
        <w:rPr>
          <w:rFonts w:ascii="Calibri" w:hAnsi="Calibri" w:cs="Calibri"/>
        </w:rPr>
      </w:pPr>
    </w:p>
    <w:p w14:paraId="2902376A" w14:textId="77777777" w:rsidR="00304869" w:rsidRPr="00026197" w:rsidRDefault="00304869" w:rsidP="00304869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18"/>
          <w:szCs w:val="18"/>
        </w:rPr>
      </w:pPr>
      <w:r w:rsidRPr="00026197">
        <w:rPr>
          <w:rStyle w:val="normaltextrun"/>
          <w:rFonts w:ascii="Calibri" w:eastAsiaTheme="majorEastAsia" w:hAnsi="Calibri" w:cs="Calibri"/>
          <w:b/>
          <w:bCs/>
        </w:rPr>
        <w:t>Bibliography</w:t>
      </w:r>
      <w:r w:rsidRPr="00026197">
        <w:rPr>
          <w:rStyle w:val="eop"/>
          <w:rFonts w:ascii="Calibri" w:eastAsiaTheme="majorEastAsia" w:hAnsi="Calibri" w:cs="Calibri"/>
        </w:rPr>
        <w:t> </w:t>
      </w:r>
    </w:p>
    <w:p w14:paraId="5514A1B1" w14:textId="77777777" w:rsidR="00304869" w:rsidRPr="00026197" w:rsidRDefault="00304869" w:rsidP="00304869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18"/>
          <w:szCs w:val="18"/>
        </w:rPr>
      </w:pPr>
      <w:r w:rsidRPr="00026197">
        <w:rPr>
          <w:rStyle w:val="eop"/>
          <w:rFonts w:ascii="Calibri" w:eastAsiaTheme="majorEastAsia" w:hAnsi="Calibri" w:cs="Calibri"/>
        </w:rPr>
        <w:t> </w:t>
      </w:r>
    </w:p>
    <w:p w14:paraId="138BE862" w14:textId="77777777" w:rsidR="00304869" w:rsidRPr="00026197" w:rsidRDefault="00304869" w:rsidP="00304869">
      <w:pPr>
        <w:pStyle w:val="paragraph"/>
        <w:numPr>
          <w:ilvl w:val="0"/>
          <w:numId w:val="3"/>
        </w:numPr>
        <w:spacing w:before="0" w:beforeAutospacing="0" w:after="0" w:afterAutospacing="0"/>
        <w:textAlignment w:val="baseline"/>
        <w:rPr>
          <w:rFonts w:ascii="Calibri" w:hAnsi="Calibri" w:cs="Calibri"/>
        </w:rPr>
      </w:pPr>
      <w:r w:rsidRPr="00026197">
        <w:rPr>
          <w:rStyle w:val="normaltextrun"/>
          <w:rFonts w:ascii="Calibri" w:eastAsiaTheme="majorEastAsia" w:hAnsi="Calibri" w:cs="Calibri"/>
        </w:rPr>
        <w:t xml:space="preserve">Petronius, </w:t>
      </w:r>
      <w:r w:rsidRPr="00026197">
        <w:rPr>
          <w:rStyle w:val="normaltextrun"/>
          <w:rFonts w:ascii="Calibri" w:eastAsiaTheme="majorEastAsia" w:hAnsi="Calibri" w:cs="Calibri"/>
          <w:i/>
          <w:iCs/>
        </w:rPr>
        <w:t>The Satyricon</w:t>
      </w:r>
      <w:r w:rsidRPr="00026197">
        <w:rPr>
          <w:rStyle w:val="normaltextrun"/>
          <w:rFonts w:ascii="Calibri" w:eastAsiaTheme="majorEastAsia" w:hAnsi="Calibri" w:cs="Calibri"/>
        </w:rPr>
        <w:t>. P. G. Walsh (trans.). 1997. Oxford: Oxford University Press</w:t>
      </w:r>
      <w:r w:rsidRPr="00026197">
        <w:rPr>
          <w:rStyle w:val="eop"/>
          <w:rFonts w:ascii="Calibri" w:eastAsiaTheme="majorEastAsia" w:hAnsi="Calibri" w:cs="Calibri"/>
        </w:rPr>
        <w:t> </w:t>
      </w:r>
    </w:p>
    <w:p w14:paraId="795EAC59" w14:textId="77777777" w:rsidR="00304869" w:rsidRPr="00026197" w:rsidRDefault="00304869" w:rsidP="00304869">
      <w:pPr>
        <w:pStyle w:val="paragraph"/>
        <w:numPr>
          <w:ilvl w:val="0"/>
          <w:numId w:val="3"/>
        </w:numPr>
        <w:spacing w:before="0" w:beforeAutospacing="0" w:after="0" w:afterAutospacing="0"/>
        <w:textAlignment w:val="baseline"/>
        <w:rPr>
          <w:rFonts w:ascii="Calibri" w:hAnsi="Calibri" w:cs="Calibri"/>
        </w:rPr>
      </w:pPr>
      <w:r w:rsidRPr="00026197">
        <w:rPr>
          <w:rStyle w:val="normaltextrun"/>
          <w:rFonts w:ascii="Calibri" w:eastAsiaTheme="majorEastAsia" w:hAnsi="Calibri" w:cs="Calibri"/>
        </w:rPr>
        <w:t xml:space="preserve">Petronius, </w:t>
      </w:r>
      <w:r w:rsidRPr="00026197">
        <w:rPr>
          <w:rStyle w:val="normaltextrun"/>
          <w:rFonts w:ascii="Calibri" w:eastAsiaTheme="majorEastAsia" w:hAnsi="Calibri" w:cs="Calibri"/>
          <w:i/>
          <w:iCs/>
        </w:rPr>
        <w:t>The Satyricon</w:t>
      </w:r>
      <w:r w:rsidRPr="00026197">
        <w:rPr>
          <w:rStyle w:val="normaltextrun"/>
          <w:rFonts w:ascii="Calibri" w:eastAsiaTheme="majorEastAsia" w:hAnsi="Calibri" w:cs="Calibri"/>
        </w:rPr>
        <w:t>. G. Schmeling (trans.). 2020. Cambridge: Harvard University Press</w:t>
      </w:r>
      <w:r w:rsidRPr="00026197">
        <w:rPr>
          <w:rStyle w:val="eop"/>
          <w:rFonts w:ascii="Calibri" w:eastAsiaTheme="majorEastAsia" w:hAnsi="Calibri" w:cs="Calibri"/>
        </w:rPr>
        <w:t> </w:t>
      </w:r>
    </w:p>
    <w:p w14:paraId="4006CDBD" w14:textId="3867C785" w:rsidR="00304869" w:rsidRPr="003F1C5A" w:rsidRDefault="00304869" w:rsidP="00304869">
      <w:pPr>
        <w:pStyle w:val="paragraph"/>
        <w:numPr>
          <w:ilvl w:val="0"/>
          <w:numId w:val="3"/>
        </w:numPr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 w:rsidRPr="00026197">
        <w:rPr>
          <w:rStyle w:val="normaltextrun"/>
          <w:rFonts w:ascii="Calibri" w:eastAsiaTheme="majorEastAsia" w:hAnsi="Calibri" w:cs="Calibri"/>
        </w:rPr>
        <w:t xml:space="preserve">Sedgwick, W. B. (1950) </w:t>
      </w:r>
      <w:r w:rsidRPr="00026197">
        <w:rPr>
          <w:rStyle w:val="normaltextrun"/>
          <w:rFonts w:ascii="Calibri" w:eastAsiaTheme="majorEastAsia" w:hAnsi="Calibri" w:cs="Calibri"/>
          <w:i/>
          <w:iCs/>
        </w:rPr>
        <w:t>The Cena Trimalchionis of Petronius</w:t>
      </w:r>
      <w:r w:rsidRPr="00026197">
        <w:rPr>
          <w:rStyle w:val="normaltextrun"/>
          <w:rFonts w:ascii="Calibri" w:eastAsiaTheme="majorEastAsia" w:hAnsi="Calibri" w:cs="Calibri"/>
        </w:rPr>
        <w:t>. 2</w:t>
      </w:r>
      <w:r w:rsidRPr="00026197">
        <w:rPr>
          <w:rStyle w:val="normaltextrun"/>
          <w:rFonts w:ascii="Calibri" w:eastAsiaTheme="majorEastAsia" w:hAnsi="Calibri" w:cs="Calibri"/>
          <w:sz w:val="19"/>
          <w:szCs w:val="19"/>
          <w:vertAlign w:val="superscript"/>
        </w:rPr>
        <w:t>nd</w:t>
      </w:r>
      <w:r w:rsidRPr="00026197">
        <w:rPr>
          <w:rStyle w:val="normaltextrun"/>
          <w:rFonts w:ascii="Calibri" w:eastAsiaTheme="majorEastAsia" w:hAnsi="Calibri" w:cs="Calibri"/>
        </w:rPr>
        <w:t xml:space="preserve"> edn. Oxford: Oxford University Press</w:t>
      </w:r>
      <w:r w:rsidRPr="00026197">
        <w:rPr>
          <w:rStyle w:val="eop"/>
          <w:rFonts w:ascii="Calibri" w:eastAsiaTheme="majorEastAsia" w:hAnsi="Calibri" w:cs="Calibri"/>
        </w:rPr>
        <w:t> </w:t>
      </w:r>
    </w:p>
    <w:p w14:paraId="0E72BB4F" w14:textId="00573967" w:rsidR="003F1C5A" w:rsidRPr="00026197" w:rsidRDefault="003F1C5A" w:rsidP="00304869">
      <w:pPr>
        <w:pStyle w:val="paragraph"/>
        <w:numPr>
          <w:ilvl w:val="0"/>
          <w:numId w:val="3"/>
        </w:numPr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 xml:space="preserve">Simpson, </w:t>
      </w:r>
      <w:r w:rsidR="002F6CEB">
        <w:rPr>
          <w:rFonts w:ascii="Calibri" w:hAnsi="Calibri" w:cs="Calibri"/>
        </w:rPr>
        <w:t>D. P. (1968)</w:t>
      </w:r>
      <w:r w:rsidR="00C97712">
        <w:rPr>
          <w:rFonts w:ascii="Calibri" w:hAnsi="Calibri" w:cs="Calibri"/>
        </w:rPr>
        <w:t xml:space="preserve"> Cassell’s Latin Dictionary. 5</w:t>
      </w:r>
      <w:r w:rsidR="00C97712" w:rsidRPr="00C97712">
        <w:rPr>
          <w:rFonts w:ascii="Calibri" w:hAnsi="Calibri" w:cs="Calibri"/>
          <w:vertAlign w:val="superscript"/>
        </w:rPr>
        <w:t>th</w:t>
      </w:r>
      <w:r w:rsidR="00C97712">
        <w:rPr>
          <w:rFonts w:ascii="Calibri" w:hAnsi="Calibri" w:cs="Calibri"/>
        </w:rPr>
        <w:t xml:space="preserve"> edn. </w:t>
      </w:r>
      <w:r w:rsidR="00523016">
        <w:rPr>
          <w:rFonts w:ascii="Calibri" w:hAnsi="Calibri" w:cs="Calibri"/>
        </w:rPr>
        <w:t>New York: Wiley Publishing</w:t>
      </w:r>
    </w:p>
    <w:p w14:paraId="1C6CBE6C" w14:textId="678EA256" w:rsidR="00322768" w:rsidRPr="00E24B94" w:rsidRDefault="00322768" w:rsidP="00E24B94">
      <w:pPr>
        <w:spacing w:after="0"/>
        <w:jc w:val="both"/>
        <w:rPr>
          <w:rFonts w:ascii="Calibri" w:hAnsi="Calibri" w:cs="Calibri"/>
          <w:color w:val="0070C0"/>
          <w:sz w:val="24"/>
          <w:szCs w:val="24"/>
        </w:rPr>
      </w:pPr>
      <w:r w:rsidRPr="00026197">
        <w:rPr>
          <w:rFonts w:ascii="Calibri" w:hAnsi="Calibri" w:cs="Calibri"/>
          <w:color w:val="0070C0"/>
          <w:sz w:val="24"/>
          <w:szCs w:val="24"/>
        </w:rPr>
        <w:t xml:space="preserve"> </w:t>
      </w:r>
    </w:p>
    <w:sectPr w:rsidR="00322768" w:rsidRPr="00E24B94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8DB8F3" w14:textId="77777777" w:rsidR="00304869" w:rsidRDefault="00304869" w:rsidP="00304869">
      <w:pPr>
        <w:spacing w:after="0" w:line="240" w:lineRule="auto"/>
      </w:pPr>
      <w:r>
        <w:separator/>
      </w:r>
    </w:p>
  </w:endnote>
  <w:endnote w:type="continuationSeparator" w:id="0">
    <w:p w14:paraId="1B93E159" w14:textId="77777777" w:rsidR="00304869" w:rsidRDefault="00304869" w:rsidP="003048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0ADFD8" w14:textId="77777777" w:rsidR="00304869" w:rsidRDefault="00304869" w:rsidP="00304869">
      <w:pPr>
        <w:spacing w:after="0" w:line="240" w:lineRule="auto"/>
      </w:pPr>
      <w:r>
        <w:separator/>
      </w:r>
    </w:p>
  </w:footnote>
  <w:footnote w:type="continuationSeparator" w:id="0">
    <w:p w14:paraId="738C385C" w14:textId="77777777" w:rsidR="00304869" w:rsidRDefault="00304869" w:rsidP="00304869">
      <w:pPr>
        <w:spacing w:after="0" w:line="240" w:lineRule="auto"/>
      </w:pPr>
      <w:r>
        <w:continuationSeparator/>
      </w:r>
    </w:p>
  </w:footnote>
  <w:footnote w:id="1">
    <w:p w14:paraId="40AFB399" w14:textId="2ABCE961" w:rsidR="00B90E51" w:rsidRDefault="00B90E5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Aptos" w:hAnsi="Aptos"/>
          <w:color w:val="000000"/>
          <w:shd w:val="clear" w:color="auto" w:fill="FFFFFF"/>
        </w:rPr>
        <w:t>Tac. </w:t>
      </w:r>
      <w:r>
        <w:rPr>
          <w:rStyle w:val="normaltextrun"/>
          <w:rFonts w:ascii="Aptos" w:hAnsi="Aptos"/>
          <w:i/>
          <w:iCs/>
          <w:color w:val="000000"/>
          <w:shd w:val="clear" w:color="auto" w:fill="FFFFFF"/>
        </w:rPr>
        <w:t>Ann</w:t>
      </w:r>
      <w:r>
        <w:rPr>
          <w:rStyle w:val="normaltextrun"/>
          <w:rFonts w:ascii="Aptos" w:hAnsi="Aptos"/>
          <w:color w:val="000000"/>
          <w:shd w:val="clear" w:color="auto" w:fill="FFFFFF"/>
        </w:rPr>
        <w:t>. 16.18-19</w:t>
      </w:r>
    </w:p>
  </w:footnote>
  <w:footnote w:id="2">
    <w:p w14:paraId="7B8773F8" w14:textId="47DBB4A7" w:rsidR="00715D1B" w:rsidRDefault="00715D1B">
      <w:pPr>
        <w:pStyle w:val="FootnoteText"/>
      </w:pPr>
      <w:r>
        <w:rPr>
          <w:rStyle w:val="FootnoteReference"/>
        </w:rPr>
        <w:footnoteRef/>
      </w:r>
      <w:r>
        <w:t xml:space="preserve"> Tac. </w:t>
      </w:r>
      <w:r w:rsidRPr="00715D1B">
        <w:rPr>
          <w:i/>
          <w:iCs/>
        </w:rPr>
        <w:t>Ann</w:t>
      </w:r>
      <w:r>
        <w:t>. 16.17</w:t>
      </w:r>
    </w:p>
  </w:footnote>
  <w:footnote w:id="3">
    <w:p w14:paraId="07E863D6" w14:textId="5BE6E5A7" w:rsidR="005C5036" w:rsidRDefault="005C5036">
      <w:pPr>
        <w:pStyle w:val="FootnoteText"/>
      </w:pPr>
      <w:r>
        <w:rPr>
          <w:rStyle w:val="FootnoteReference"/>
        </w:rPr>
        <w:footnoteRef/>
      </w:r>
      <w:r>
        <w:t xml:space="preserve"> Tac. </w:t>
      </w:r>
      <w:r w:rsidRPr="005C5036">
        <w:rPr>
          <w:i/>
          <w:iCs/>
        </w:rPr>
        <w:t>Ann</w:t>
      </w:r>
      <w:r>
        <w:t>. 16.18</w:t>
      </w:r>
    </w:p>
  </w:footnote>
  <w:footnote w:id="4">
    <w:p w14:paraId="3EAE1488" w14:textId="2F57FB8E" w:rsidR="00611CC4" w:rsidRDefault="00611CC4">
      <w:pPr>
        <w:pStyle w:val="FootnoteText"/>
      </w:pPr>
      <w:r>
        <w:rPr>
          <w:rStyle w:val="FootnoteReference"/>
        </w:rPr>
        <w:footnoteRef/>
      </w:r>
      <w:r>
        <w:t xml:space="preserve"> Tac. </w:t>
      </w:r>
      <w:r w:rsidRPr="005C5036">
        <w:rPr>
          <w:i/>
          <w:iCs/>
        </w:rPr>
        <w:t>Ann</w:t>
      </w:r>
      <w:r>
        <w:t>. 16.18</w:t>
      </w:r>
    </w:p>
  </w:footnote>
  <w:footnote w:id="5">
    <w:p w14:paraId="6A035757" w14:textId="3DBB2F2D" w:rsidR="00611CC4" w:rsidRDefault="00611CC4">
      <w:pPr>
        <w:pStyle w:val="FootnoteText"/>
      </w:pPr>
      <w:r>
        <w:rPr>
          <w:rStyle w:val="FootnoteReference"/>
        </w:rPr>
        <w:footnoteRef/>
      </w:r>
      <w:r>
        <w:t xml:space="preserve"> Tac. </w:t>
      </w:r>
      <w:r w:rsidRPr="005C5036">
        <w:rPr>
          <w:i/>
          <w:iCs/>
        </w:rPr>
        <w:t>Ann</w:t>
      </w:r>
      <w:r>
        <w:t>. 16.18</w:t>
      </w:r>
    </w:p>
  </w:footnote>
  <w:footnote w:id="6">
    <w:p w14:paraId="755AD227" w14:textId="318B90EC" w:rsidR="000764F5" w:rsidRDefault="000764F5">
      <w:pPr>
        <w:pStyle w:val="FootnoteText"/>
      </w:pPr>
      <w:r>
        <w:rPr>
          <w:rStyle w:val="FootnoteReference"/>
        </w:rPr>
        <w:footnoteRef/>
      </w:r>
      <w:r>
        <w:t xml:space="preserve"> Plin.</w:t>
      </w:r>
      <w:r w:rsidR="00931AF2">
        <w:t xml:space="preserve"> </w:t>
      </w:r>
      <w:r w:rsidR="00931AF2" w:rsidRPr="00E569A3">
        <w:rPr>
          <w:i/>
          <w:iCs/>
        </w:rPr>
        <w:t>HN</w:t>
      </w:r>
      <w:r w:rsidR="00931AF2">
        <w:t>.</w:t>
      </w:r>
      <w:r>
        <w:t xml:space="preserve"> 37.8</w:t>
      </w:r>
    </w:p>
  </w:footnote>
  <w:footnote w:id="7">
    <w:p w14:paraId="204D2DC7" w14:textId="475C32D0" w:rsidR="00D5183A" w:rsidRDefault="00D518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7581">
        <w:t xml:space="preserve">Parkes, R. (2024) </w:t>
      </w:r>
      <w:r w:rsidR="00016D2D" w:rsidRPr="0072650C">
        <w:rPr>
          <w:i/>
          <w:iCs/>
        </w:rPr>
        <w:t>Literary Allusion</w:t>
      </w:r>
      <w:r w:rsidR="00363B58" w:rsidRPr="0072650C">
        <w:rPr>
          <w:i/>
          <w:iCs/>
        </w:rPr>
        <w:t xml:space="preserve"> Vidcast</w:t>
      </w:r>
      <w:r w:rsidR="00021AE8">
        <w:t xml:space="preserve"> </w:t>
      </w:r>
      <w:r w:rsidR="0072650C">
        <w:t xml:space="preserve">[video]. </w:t>
      </w:r>
      <w:r w:rsidR="00D8127D">
        <w:t xml:space="preserve">Available at: </w:t>
      </w:r>
      <w:hyperlink r:id="rId1" w:history="1">
        <w:r w:rsidR="00D8127D" w:rsidRPr="001C5F8C">
          <w:rPr>
            <w:rStyle w:val="Hyperlink"/>
          </w:rPr>
          <w:t>https://uwtsd.hosted.panopto.com/Panopto/Pages/Viewer.aspx?id=817ae225-e94f-44e7-828c-b10d012903e7</w:t>
        </w:r>
      </w:hyperlink>
      <w:r w:rsidR="00D8127D">
        <w:t xml:space="preserve"> </w:t>
      </w:r>
      <w:r w:rsidR="00B710AB">
        <w:t>(</w:t>
      </w:r>
      <w:r w:rsidR="00D8127D">
        <w:t>A</w:t>
      </w:r>
      <w:r w:rsidR="00B710AB">
        <w:t>ccessed</w:t>
      </w:r>
      <w:r w:rsidR="00D8127D">
        <w:t>: 20</w:t>
      </w:r>
      <w:r w:rsidR="006C2809">
        <w:t xml:space="preserve"> February 2024</w:t>
      </w:r>
      <w:r w:rsidR="00B710AB">
        <w:t>)</w:t>
      </w:r>
      <w:r w:rsidR="006C2809">
        <w:t>.</w:t>
      </w:r>
    </w:p>
  </w:footnote>
  <w:footnote w:id="8">
    <w:p w14:paraId="3390A255" w14:textId="489CD88E" w:rsidR="00F10E8A" w:rsidRDefault="00F10E8A">
      <w:pPr>
        <w:pStyle w:val="FootnoteText"/>
      </w:pPr>
      <w:r>
        <w:rPr>
          <w:rStyle w:val="FootnoteReference"/>
        </w:rPr>
        <w:footnoteRef/>
      </w:r>
      <w:r>
        <w:t xml:space="preserve"> Petr</w:t>
      </w:r>
      <w:r w:rsidR="00330C0C">
        <w:t>on</w:t>
      </w:r>
      <w:r>
        <w:t xml:space="preserve">. </w:t>
      </w:r>
      <w:r w:rsidRPr="00F10E8A">
        <w:rPr>
          <w:i/>
          <w:iCs/>
        </w:rPr>
        <w:t>Sat</w:t>
      </w:r>
      <w:r>
        <w:t>. 32</w:t>
      </w:r>
    </w:p>
  </w:footnote>
  <w:footnote w:id="9">
    <w:p w14:paraId="6259E5A8" w14:textId="00C9DC76" w:rsidR="00905957" w:rsidRDefault="00905957">
      <w:pPr>
        <w:pStyle w:val="FootnoteText"/>
      </w:pPr>
      <w:r>
        <w:rPr>
          <w:rStyle w:val="FootnoteReference"/>
        </w:rPr>
        <w:footnoteRef/>
      </w:r>
      <w:r>
        <w:t xml:space="preserve"> Petr</w:t>
      </w:r>
      <w:r w:rsidR="00330C0C">
        <w:t>on</w:t>
      </w:r>
      <w:r>
        <w:t xml:space="preserve">. </w:t>
      </w:r>
      <w:r w:rsidRPr="00E3536B">
        <w:rPr>
          <w:i/>
          <w:iCs/>
        </w:rPr>
        <w:t>Sat</w:t>
      </w:r>
      <w:r>
        <w:t>. 31</w:t>
      </w:r>
    </w:p>
  </w:footnote>
  <w:footnote w:id="10">
    <w:p w14:paraId="778D0DC7" w14:textId="3F15749C" w:rsidR="00E3536B" w:rsidRDefault="00E3536B">
      <w:pPr>
        <w:pStyle w:val="FootnoteText"/>
      </w:pPr>
      <w:r>
        <w:rPr>
          <w:rStyle w:val="FootnoteReference"/>
        </w:rPr>
        <w:footnoteRef/>
      </w:r>
      <w:r>
        <w:t xml:space="preserve"> Petr</w:t>
      </w:r>
      <w:r w:rsidR="00330C0C">
        <w:t>on</w:t>
      </w:r>
      <w:r>
        <w:t xml:space="preserve">. </w:t>
      </w:r>
      <w:r w:rsidRPr="00E3536B">
        <w:rPr>
          <w:i/>
          <w:iCs/>
        </w:rPr>
        <w:t>Sat</w:t>
      </w:r>
      <w:r>
        <w:t>. 29</w:t>
      </w:r>
    </w:p>
  </w:footnote>
  <w:footnote w:id="11">
    <w:p w14:paraId="08FCF134" w14:textId="10CC17B6" w:rsidR="00B245C8" w:rsidRDefault="00B245C8">
      <w:pPr>
        <w:pStyle w:val="FootnoteText"/>
      </w:pPr>
      <w:r>
        <w:rPr>
          <w:rStyle w:val="FootnoteReference"/>
        </w:rPr>
        <w:footnoteRef/>
      </w:r>
      <w:r>
        <w:t xml:space="preserve"> Petr</w:t>
      </w:r>
      <w:r w:rsidR="00B532EF">
        <w:t>on</w:t>
      </w:r>
      <w:r>
        <w:t xml:space="preserve">. </w:t>
      </w:r>
      <w:r w:rsidRPr="00B245C8">
        <w:rPr>
          <w:i/>
          <w:iCs/>
        </w:rPr>
        <w:t>Sat</w:t>
      </w:r>
      <w:r>
        <w:t>. 28</w:t>
      </w:r>
    </w:p>
  </w:footnote>
  <w:footnote w:id="12">
    <w:p w14:paraId="79E5D2A3" w14:textId="77777777" w:rsidR="00162EF8" w:rsidRDefault="00162EF8" w:rsidP="00162EF8">
      <w:pPr>
        <w:pStyle w:val="FootnoteText"/>
      </w:pPr>
      <w:r>
        <w:rPr>
          <w:rStyle w:val="FootnoteReference"/>
        </w:rPr>
        <w:footnoteRef/>
      </w:r>
      <w:r>
        <w:t xml:space="preserve"> Suet. </w:t>
      </w:r>
      <w:r w:rsidRPr="004261C9">
        <w:rPr>
          <w:i/>
          <w:iCs/>
        </w:rPr>
        <w:t>Tib</w:t>
      </w:r>
      <w:r>
        <w:t>. 34</w:t>
      </w:r>
    </w:p>
  </w:footnote>
  <w:footnote w:id="13">
    <w:p w14:paraId="00CEB540" w14:textId="77777777" w:rsidR="00162EF8" w:rsidRDefault="00162EF8" w:rsidP="00162EF8">
      <w:pPr>
        <w:pStyle w:val="FootnoteText"/>
      </w:pPr>
      <w:r>
        <w:rPr>
          <w:rStyle w:val="FootnoteReference"/>
        </w:rPr>
        <w:footnoteRef/>
      </w:r>
      <w:r>
        <w:t xml:space="preserve"> Suet. </w:t>
      </w:r>
      <w:r w:rsidRPr="004261C9">
        <w:rPr>
          <w:i/>
          <w:iCs/>
        </w:rPr>
        <w:t>Ner</w:t>
      </w:r>
      <w:r>
        <w:t>. 16</w:t>
      </w:r>
    </w:p>
  </w:footnote>
  <w:footnote w:id="14">
    <w:p w14:paraId="5693960C" w14:textId="2FCA8D28" w:rsidR="00864DFC" w:rsidRDefault="00864DFC">
      <w:pPr>
        <w:pStyle w:val="FootnoteText"/>
      </w:pPr>
      <w:r>
        <w:rPr>
          <w:rStyle w:val="FootnoteReference"/>
        </w:rPr>
        <w:footnoteRef/>
      </w:r>
      <w:r>
        <w:t xml:space="preserve"> Petron. </w:t>
      </w:r>
      <w:r w:rsidRPr="00864DFC">
        <w:rPr>
          <w:i/>
          <w:iCs/>
        </w:rPr>
        <w:t>Sat</w:t>
      </w:r>
      <w:r>
        <w:t>. 27</w:t>
      </w:r>
    </w:p>
  </w:footnote>
  <w:footnote w:id="15">
    <w:p w14:paraId="76935FAF" w14:textId="1ADB2743" w:rsidR="00E20483" w:rsidRDefault="00E20483">
      <w:pPr>
        <w:pStyle w:val="FootnoteText"/>
      </w:pPr>
      <w:r>
        <w:rPr>
          <w:rStyle w:val="FootnoteReference"/>
        </w:rPr>
        <w:footnoteRef/>
      </w:r>
      <w:r>
        <w:t xml:space="preserve"> Petron. </w:t>
      </w:r>
      <w:r w:rsidRPr="00E20483">
        <w:rPr>
          <w:i/>
          <w:iCs/>
        </w:rPr>
        <w:t>Sat</w:t>
      </w:r>
      <w:r>
        <w:t>. 33</w:t>
      </w:r>
    </w:p>
  </w:footnote>
  <w:footnote w:id="16">
    <w:p w14:paraId="58C60AEE" w14:textId="26392D43" w:rsidR="00E20483" w:rsidRDefault="00E204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F3FF5">
        <w:t xml:space="preserve">Petron. </w:t>
      </w:r>
      <w:r w:rsidR="00AF3FF5" w:rsidRPr="00AF3FF5">
        <w:rPr>
          <w:i/>
          <w:iCs/>
        </w:rPr>
        <w:t>Sat</w:t>
      </w:r>
      <w:r w:rsidR="00AF3FF5">
        <w:t>. 29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A88C01" w14:textId="3584B04F" w:rsidR="00304869" w:rsidRDefault="00304869">
    <w:pPr>
      <w:pStyle w:val="Header"/>
    </w:pPr>
    <w:r>
      <w:t>Lindsey Cullen</w:t>
    </w:r>
    <w:r>
      <w:tab/>
    </w:r>
    <w:r>
      <w:tab/>
      <w:t>Student no: 2223169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9254B4"/>
    <w:multiLevelType w:val="hybridMultilevel"/>
    <w:tmpl w:val="7FD0C1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9C3169"/>
    <w:multiLevelType w:val="multilevel"/>
    <w:tmpl w:val="6A084F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E1B700A"/>
    <w:multiLevelType w:val="multilevel"/>
    <w:tmpl w:val="EAC89A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29120200">
    <w:abstractNumId w:val="2"/>
  </w:num>
  <w:num w:numId="2" w16cid:durableId="108210754">
    <w:abstractNumId w:val="1"/>
  </w:num>
  <w:num w:numId="3" w16cid:durableId="5557741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2768"/>
    <w:rsid w:val="0000245A"/>
    <w:rsid w:val="0000630C"/>
    <w:rsid w:val="00016D2D"/>
    <w:rsid w:val="00017B36"/>
    <w:rsid w:val="00021AE8"/>
    <w:rsid w:val="00026197"/>
    <w:rsid w:val="0003135B"/>
    <w:rsid w:val="00044DFB"/>
    <w:rsid w:val="00046875"/>
    <w:rsid w:val="00061BD8"/>
    <w:rsid w:val="00075099"/>
    <w:rsid w:val="000764F5"/>
    <w:rsid w:val="0008058C"/>
    <w:rsid w:val="00082EDA"/>
    <w:rsid w:val="000A0F17"/>
    <w:rsid w:val="000A7255"/>
    <w:rsid w:val="000B4B17"/>
    <w:rsid w:val="000C2AA0"/>
    <w:rsid w:val="000D4E4C"/>
    <w:rsid w:val="000D66E4"/>
    <w:rsid w:val="000F4BFD"/>
    <w:rsid w:val="000F746D"/>
    <w:rsid w:val="00107C43"/>
    <w:rsid w:val="00113513"/>
    <w:rsid w:val="00154457"/>
    <w:rsid w:val="00162EF8"/>
    <w:rsid w:val="0016665A"/>
    <w:rsid w:val="0017584F"/>
    <w:rsid w:val="0018063D"/>
    <w:rsid w:val="001B59F8"/>
    <w:rsid w:val="001D540F"/>
    <w:rsid w:val="001D7008"/>
    <w:rsid w:val="001D7988"/>
    <w:rsid w:val="001E1229"/>
    <w:rsid w:val="001E3500"/>
    <w:rsid w:val="001E4CC8"/>
    <w:rsid w:val="001E59F0"/>
    <w:rsid w:val="002033C4"/>
    <w:rsid w:val="00222C26"/>
    <w:rsid w:val="00224FC0"/>
    <w:rsid w:val="0023357D"/>
    <w:rsid w:val="0026430E"/>
    <w:rsid w:val="002B08B9"/>
    <w:rsid w:val="002B0EE6"/>
    <w:rsid w:val="002C11C7"/>
    <w:rsid w:val="002C1C40"/>
    <w:rsid w:val="002C1D17"/>
    <w:rsid w:val="002D28E1"/>
    <w:rsid w:val="002F6CEB"/>
    <w:rsid w:val="0030283E"/>
    <w:rsid w:val="00304869"/>
    <w:rsid w:val="00304C48"/>
    <w:rsid w:val="003079DC"/>
    <w:rsid w:val="00314F2F"/>
    <w:rsid w:val="00322768"/>
    <w:rsid w:val="00330C0C"/>
    <w:rsid w:val="00333EE1"/>
    <w:rsid w:val="003600AC"/>
    <w:rsid w:val="00363B58"/>
    <w:rsid w:val="00384346"/>
    <w:rsid w:val="003925AB"/>
    <w:rsid w:val="003A6F3C"/>
    <w:rsid w:val="003E2261"/>
    <w:rsid w:val="003E4589"/>
    <w:rsid w:val="003F1C5A"/>
    <w:rsid w:val="003F670D"/>
    <w:rsid w:val="00402D45"/>
    <w:rsid w:val="00411F1D"/>
    <w:rsid w:val="004261C9"/>
    <w:rsid w:val="00427E67"/>
    <w:rsid w:val="004314A3"/>
    <w:rsid w:val="004400FC"/>
    <w:rsid w:val="0045177C"/>
    <w:rsid w:val="00464C96"/>
    <w:rsid w:val="00493286"/>
    <w:rsid w:val="004A15E1"/>
    <w:rsid w:val="004A4727"/>
    <w:rsid w:val="004A5265"/>
    <w:rsid w:val="004C6846"/>
    <w:rsid w:val="004D5027"/>
    <w:rsid w:val="004E44B5"/>
    <w:rsid w:val="004E78A2"/>
    <w:rsid w:val="0051293A"/>
    <w:rsid w:val="005221BE"/>
    <w:rsid w:val="00523016"/>
    <w:rsid w:val="00544A34"/>
    <w:rsid w:val="00547955"/>
    <w:rsid w:val="00560DBE"/>
    <w:rsid w:val="00562AD2"/>
    <w:rsid w:val="00572DAE"/>
    <w:rsid w:val="005808E1"/>
    <w:rsid w:val="00580D1E"/>
    <w:rsid w:val="0059216F"/>
    <w:rsid w:val="00592FE8"/>
    <w:rsid w:val="00596412"/>
    <w:rsid w:val="005C5036"/>
    <w:rsid w:val="005C7D2E"/>
    <w:rsid w:val="005D1D95"/>
    <w:rsid w:val="005E35A6"/>
    <w:rsid w:val="00600299"/>
    <w:rsid w:val="00600E5E"/>
    <w:rsid w:val="00611CC4"/>
    <w:rsid w:val="00621F4D"/>
    <w:rsid w:val="006332D9"/>
    <w:rsid w:val="006410F8"/>
    <w:rsid w:val="00647032"/>
    <w:rsid w:val="0065316A"/>
    <w:rsid w:val="00661ACC"/>
    <w:rsid w:val="00695142"/>
    <w:rsid w:val="006A42E4"/>
    <w:rsid w:val="006A62A4"/>
    <w:rsid w:val="006C2809"/>
    <w:rsid w:val="006C69BF"/>
    <w:rsid w:val="006E1EDF"/>
    <w:rsid w:val="006F7CA3"/>
    <w:rsid w:val="007126AF"/>
    <w:rsid w:val="0071379E"/>
    <w:rsid w:val="00715D1B"/>
    <w:rsid w:val="0072650C"/>
    <w:rsid w:val="00727328"/>
    <w:rsid w:val="00740423"/>
    <w:rsid w:val="007426E6"/>
    <w:rsid w:val="00744B2F"/>
    <w:rsid w:val="00753F84"/>
    <w:rsid w:val="00757010"/>
    <w:rsid w:val="007C0208"/>
    <w:rsid w:val="007C0C5D"/>
    <w:rsid w:val="007C5C3A"/>
    <w:rsid w:val="007D0B18"/>
    <w:rsid w:val="007D0B57"/>
    <w:rsid w:val="007D58B6"/>
    <w:rsid w:val="007F4D2C"/>
    <w:rsid w:val="007F71C4"/>
    <w:rsid w:val="0080395C"/>
    <w:rsid w:val="00824C64"/>
    <w:rsid w:val="00826066"/>
    <w:rsid w:val="008437D4"/>
    <w:rsid w:val="00861C57"/>
    <w:rsid w:val="00864DFC"/>
    <w:rsid w:val="00865B8A"/>
    <w:rsid w:val="00875698"/>
    <w:rsid w:val="008874E4"/>
    <w:rsid w:val="00891F48"/>
    <w:rsid w:val="008972DB"/>
    <w:rsid w:val="008D6DBE"/>
    <w:rsid w:val="008E6C90"/>
    <w:rsid w:val="008F36AB"/>
    <w:rsid w:val="008F6A77"/>
    <w:rsid w:val="00905957"/>
    <w:rsid w:val="00915F43"/>
    <w:rsid w:val="00931AF2"/>
    <w:rsid w:val="009365E4"/>
    <w:rsid w:val="00962E16"/>
    <w:rsid w:val="00964571"/>
    <w:rsid w:val="00964BD2"/>
    <w:rsid w:val="0097591E"/>
    <w:rsid w:val="00981A85"/>
    <w:rsid w:val="00982FFF"/>
    <w:rsid w:val="0098376E"/>
    <w:rsid w:val="00994DC2"/>
    <w:rsid w:val="009974AA"/>
    <w:rsid w:val="009A3E6B"/>
    <w:rsid w:val="009A5AFF"/>
    <w:rsid w:val="009B1FD7"/>
    <w:rsid w:val="009B72E5"/>
    <w:rsid w:val="009D10D1"/>
    <w:rsid w:val="009D6FB0"/>
    <w:rsid w:val="009E636D"/>
    <w:rsid w:val="009E7BB3"/>
    <w:rsid w:val="009F3C7F"/>
    <w:rsid w:val="00A07986"/>
    <w:rsid w:val="00A1078C"/>
    <w:rsid w:val="00A17423"/>
    <w:rsid w:val="00A20F6D"/>
    <w:rsid w:val="00A31FDE"/>
    <w:rsid w:val="00A41CEC"/>
    <w:rsid w:val="00A60FD9"/>
    <w:rsid w:val="00A6517E"/>
    <w:rsid w:val="00A6522E"/>
    <w:rsid w:val="00A655FF"/>
    <w:rsid w:val="00A7066B"/>
    <w:rsid w:val="00A96074"/>
    <w:rsid w:val="00A96185"/>
    <w:rsid w:val="00AA1088"/>
    <w:rsid w:val="00AD069B"/>
    <w:rsid w:val="00AF3FF5"/>
    <w:rsid w:val="00B033EF"/>
    <w:rsid w:val="00B10675"/>
    <w:rsid w:val="00B21137"/>
    <w:rsid w:val="00B245C8"/>
    <w:rsid w:val="00B42F01"/>
    <w:rsid w:val="00B532EF"/>
    <w:rsid w:val="00B553CB"/>
    <w:rsid w:val="00B710AB"/>
    <w:rsid w:val="00B74D05"/>
    <w:rsid w:val="00B77763"/>
    <w:rsid w:val="00B90E51"/>
    <w:rsid w:val="00BA3DF3"/>
    <w:rsid w:val="00BB0209"/>
    <w:rsid w:val="00BC217D"/>
    <w:rsid w:val="00BC5F40"/>
    <w:rsid w:val="00BE13FD"/>
    <w:rsid w:val="00BF0550"/>
    <w:rsid w:val="00BF2FB3"/>
    <w:rsid w:val="00C246ED"/>
    <w:rsid w:val="00C34B41"/>
    <w:rsid w:val="00C37581"/>
    <w:rsid w:val="00C619A3"/>
    <w:rsid w:val="00C645E1"/>
    <w:rsid w:val="00C6587A"/>
    <w:rsid w:val="00C661A7"/>
    <w:rsid w:val="00C66C73"/>
    <w:rsid w:val="00C84BD6"/>
    <w:rsid w:val="00C97712"/>
    <w:rsid w:val="00CE02A3"/>
    <w:rsid w:val="00D14284"/>
    <w:rsid w:val="00D25177"/>
    <w:rsid w:val="00D274E9"/>
    <w:rsid w:val="00D408DA"/>
    <w:rsid w:val="00D5183A"/>
    <w:rsid w:val="00D6689D"/>
    <w:rsid w:val="00D70220"/>
    <w:rsid w:val="00D8127D"/>
    <w:rsid w:val="00D83509"/>
    <w:rsid w:val="00D8386A"/>
    <w:rsid w:val="00D85CCF"/>
    <w:rsid w:val="00D9509B"/>
    <w:rsid w:val="00DB51DD"/>
    <w:rsid w:val="00DB60EF"/>
    <w:rsid w:val="00DC0C9D"/>
    <w:rsid w:val="00DC1523"/>
    <w:rsid w:val="00DC2335"/>
    <w:rsid w:val="00DD3DDC"/>
    <w:rsid w:val="00DD60DA"/>
    <w:rsid w:val="00DF3DBF"/>
    <w:rsid w:val="00E05E3A"/>
    <w:rsid w:val="00E060C8"/>
    <w:rsid w:val="00E13A82"/>
    <w:rsid w:val="00E20483"/>
    <w:rsid w:val="00E23152"/>
    <w:rsid w:val="00E24B94"/>
    <w:rsid w:val="00E33CE7"/>
    <w:rsid w:val="00E3536B"/>
    <w:rsid w:val="00E376BA"/>
    <w:rsid w:val="00E521CA"/>
    <w:rsid w:val="00E569A3"/>
    <w:rsid w:val="00E71643"/>
    <w:rsid w:val="00E856CF"/>
    <w:rsid w:val="00E92AD0"/>
    <w:rsid w:val="00E92BC9"/>
    <w:rsid w:val="00E97B39"/>
    <w:rsid w:val="00EA5083"/>
    <w:rsid w:val="00EB6A28"/>
    <w:rsid w:val="00EB7150"/>
    <w:rsid w:val="00EC03F2"/>
    <w:rsid w:val="00F10E8A"/>
    <w:rsid w:val="00F12C39"/>
    <w:rsid w:val="00F15B59"/>
    <w:rsid w:val="00F21CFF"/>
    <w:rsid w:val="00F23C2A"/>
    <w:rsid w:val="00F25ACE"/>
    <w:rsid w:val="00F27D1D"/>
    <w:rsid w:val="00F3074F"/>
    <w:rsid w:val="00F33B6A"/>
    <w:rsid w:val="00F4690F"/>
    <w:rsid w:val="00F476B0"/>
    <w:rsid w:val="00F47A9A"/>
    <w:rsid w:val="00F564B5"/>
    <w:rsid w:val="00F66447"/>
    <w:rsid w:val="00F71F41"/>
    <w:rsid w:val="00F82AFB"/>
    <w:rsid w:val="00FB3C6A"/>
    <w:rsid w:val="00FC2CF5"/>
    <w:rsid w:val="00FD38D8"/>
    <w:rsid w:val="00FD3A28"/>
    <w:rsid w:val="00FE2998"/>
    <w:rsid w:val="00FE4D8C"/>
    <w:rsid w:val="00FE79A9"/>
    <w:rsid w:val="00FE7BEE"/>
    <w:rsid w:val="00FF3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2C516"/>
  <w15:chartTrackingRefBased/>
  <w15:docId w15:val="{72B40A67-60AA-4DBA-8938-1B056E6828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2768"/>
    <w:pPr>
      <w:spacing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227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27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27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27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27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27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27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27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27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27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27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27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27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27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27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27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27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27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27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27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27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27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27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27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27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27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27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27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2768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3048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304869"/>
  </w:style>
  <w:style w:type="character" w:customStyle="1" w:styleId="eop">
    <w:name w:val="eop"/>
    <w:basedOn w:val="DefaultParagraphFont"/>
    <w:rsid w:val="00304869"/>
  </w:style>
  <w:style w:type="paragraph" w:styleId="Header">
    <w:name w:val="header"/>
    <w:basedOn w:val="Normal"/>
    <w:link w:val="HeaderChar"/>
    <w:uiPriority w:val="99"/>
    <w:unhideWhenUsed/>
    <w:rsid w:val="00304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4869"/>
    <w:rPr>
      <w:kern w:val="0"/>
      <w:sz w:val="22"/>
      <w:szCs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04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4869"/>
    <w:rPr>
      <w:kern w:val="0"/>
      <w:sz w:val="22"/>
      <w:szCs w:val="22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90E5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90E51"/>
    <w:rPr>
      <w:kern w:val="0"/>
      <w:sz w:val="20"/>
      <w:szCs w:val="20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B90E5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812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12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247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981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13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567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125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164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0291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uwtsd.hosted.panopto.com/Panopto/Pages/Viewer.aspx?id=817ae225-e94f-44e7-828c-b10d012903e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37f1ae-8227-4d98-9712-32142d774c3b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D5405A9569B149A6290092CFD147F8" ma:contentTypeVersion="14" ma:contentTypeDescription="Create a new document." ma:contentTypeScope="" ma:versionID="2301e5af25462821c49a678f167e3ee9">
  <xsd:schema xmlns:xsd="http://www.w3.org/2001/XMLSchema" xmlns:xs="http://www.w3.org/2001/XMLSchema" xmlns:p="http://schemas.microsoft.com/office/2006/metadata/properties" xmlns:ns3="8037f1ae-8227-4d98-9712-32142d774c3b" xmlns:ns4="6a54e978-cb18-42b6-abb5-328168dae7a5" targetNamespace="http://schemas.microsoft.com/office/2006/metadata/properties" ma:root="true" ma:fieldsID="61bfa6567e1b2c38c7bc47587013095e" ns3:_="" ns4:_="">
    <xsd:import namespace="8037f1ae-8227-4d98-9712-32142d774c3b"/>
    <xsd:import namespace="6a54e978-cb18-42b6-abb5-328168dae7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37f1ae-8227-4d98-9712-32142d774c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54e978-cb18-42b6-abb5-328168dae7a5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D85E22B-6D26-41D6-8A01-152C9BE85A1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8D0FCB2-745D-47F6-90FF-53B62C78980C}">
  <ds:schemaRefs>
    <ds:schemaRef ds:uri="http://schemas.microsoft.com/office/2006/metadata/properties"/>
    <ds:schemaRef ds:uri="http://schemas.microsoft.com/office/2006/documentManagement/types"/>
    <ds:schemaRef ds:uri="http://purl.org/dc/dcmitype/"/>
    <ds:schemaRef ds:uri="6a54e978-cb18-42b6-abb5-328168dae7a5"/>
    <ds:schemaRef ds:uri="http://schemas.openxmlformats.org/package/2006/metadata/core-properties"/>
    <ds:schemaRef ds:uri="http://www.w3.org/XML/1998/namespace"/>
    <ds:schemaRef ds:uri="http://purl.org/dc/elements/1.1/"/>
    <ds:schemaRef ds:uri="http://schemas.microsoft.com/office/infopath/2007/PartnerControls"/>
    <ds:schemaRef ds:uri="8037f1ae-8227-4d98-9712-32142d774c3b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2800010B-EC64-4942-BE90-27CFB1AE794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36D2D0A-FC4C-49AF-8530-03400165A5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37f1ae-8227-4d98-9712-32142d774c3b"/>
    <ds:schemaRef ds:uri="6a54e978-cb18-42b6-abb5-328168dae7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1539</TotalTime>
  <Pages>4</Pages>
  <Words>1793</Words>
  <Characters>10225</Characters>
  <Application>Microsoft Office Word</Application>
  <DocSecurity>0</DocSecurity>
  <Lines>85</Lines>
  <Paragraphs>23</Paragraphs>
  <ScaleCrop>false</ScaleCrop>
  <Company/>
  <LinksUpToDate>false</LinksUpToDate>
  <CharactersWithSpaces>11995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Lindsey Cullen</dc:creator>
  <cp:keywords/>
  <dc:description/>
  <cp:lastModifiedBy>Lindsey Cullen</cp:lastModifiedBy>
  <cp:revision>280</cp:revision>
  <dcterms:created xsi:type="dcterms:W3CDTF">2024-02-22T17:44:00Z</dcterms:created>
  <dcterms:modified xsi:type="dcterms:W3CDTF">2024-02-23T19:59:00Z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0x01010064D5405A9569B149A6290092CFD147F8</vt:lpwstr>
  </property>
</Properties>
</file>