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32EFF" w14:textId="77777777" w:rsidR="00D541A5" w:rsidRPr="00D541A5" w:rsidRDefault="00D541A5" w:rsidP="00D541A5">
      <w:pPr>
        <w:pStyle w:val="Title"/>
        <w:rPr>
          <w:sz w:val="36"/>
          <w:szCs w:val="36"/>
        </w:rPr>
      </w:pPr>
      <w:bookmarkStart w:id="0" w:name="_vnygri88ymec" w:colFirst="0" w:colLast="0"/>
      <w:bookmarkEnd w:id="0"/>
      <w:r w:rsidRPr="00D541A5">
        <w:rPr>
          <w:sz w:val="36"/>
          <w:szCs w:val="36"/>
        </w:rPr>
        <w:t>LCHS4010: Psychology in Health and Social Care</w:t>
      </w:r>
    </w:p>
    <w:p w14:paraId="43DEAA61" w14:textId="77777777" w:rsidR="00D541A5" w:rsidRPr="00D541A5" w:rsidRDefault="00D541A5" w:rsidP="00D541A5">
      <w:pPr>
        <w:jc w:val="center"/>
        <w:rPr>
          <w:b/>
          <w:bCs/>
          <w:sz w:val="36"/>
          <w:szCs w:val="36"/>
        </w:rPr>
      </w:pPr>
      <w:r w:rsidRPr="00D541A5">
        <w:rPr>
          <w:b/>
          <w:bCs/>
          <w:sz w:val="36"/>
          <w:szCs w:val="36"/>
        </w:rPr>
        <w:t>Assignment 2</w:t>
      </w:r>
    </w:p>
    <w:p w14:paraId="503B187D" w14:textId="77777777" w:rsidR="00D541A5" w:rsidRDefault="00D541A5" w:rsidP="00D541A5">
      <w:r>
        <w:br w:type="page"/>
      </w:r>
    </w:p>
    <w:bookmarkStart w:id="1" w:name="_imxl22qd2f48" w:colFirst="0" w:colLast="0" w:displacedByCustomXml="next"/>
    <w:bookmarkEnd w:id="1" w:displacedByCustomXml="next"/>
    <w:sdt>
      <w:sdtPr>
        <w:rPr>
          <w:rFonts w:ascii="Times New Roman" w:eastAsia="Times New Roman" w:hAnsi="Times New Roman" w:cs="Times New Roman"/>
          <w:color w:val="auto"/>
          <w:sz w:val="24"/>
          <w:szCs w:val="24"/>
          <w:lang w:val="en-GB" w:eastAsia="en-IN" w:bidi="bn-IN"/>
        </w:rPr>
        <w:id w:val="1533229284"/>
        <w:docPartObj>
          <w:docPartGallery w:val="Table of Contents"/>
          <w:docPartUnique/>
        </w:docPartObj>
      </w:sdtPr>
      <w:sdtEndPr>
        <w:rPr>
          <w:rFonts w:ascii="Arial" w:eastAsia="Arial" w:hAnsi="Arial" w:cs="Arial"/>
          <w:b/>
          <w:bCs/>
          <w:sz w:val="22"/>
        </w:rPr>
      </w:sdtEndPr>
      <w:sdtContent>
        <w:p w14:paraId="062757AB" w14:textId="77777777" w:rsidR="00D541A5" w:rsidRPr="00D541A5" w:rsidRDefault="00D541A5" w:rsidP="00D541A5">
          <w:pPr>
            <w:pStyle w:val="TOCHeading"/>
            <w:jc w:val="center"/>
            <w:rPr>
              <w:rFonts w:ascii="Arial" w:hAnsi="Arial" w:cs="Arial"/>
              <w:b/>
              <w:bCs/>
              <w:color w:val="auto"/>
              <w:sz w:val="28"/>
              <w:szCs w:val="28"/>
            </w:rPr>
          </w:pPr>
          <w:r w:rsidRPr="00D541A5">
            <w:rPr>
              <w:rFonts w:ascii="Arial" w:hAnsi="Arial" w:cs="Arial"/>
              <w:b/>
              <w:bCs/>
              <w:color w:val="auto"/>
              <w:sz w:val="28"/>
              <w:szCs w:val="28"/>
              <w:lang w:val="en-GB"/>
            </w:rPr>
            <w:t>Table of Contents</w:t>
          </w:r>
        </w:p>
        <w:p w14:paraId="2E5AEFF2" w14:textId="77777777" w:rsidR="00D541A5" w:rsidRDefault="00D541A5" w:rsidP="00D541A5">
          <w:pPr>
            <w:pStyle w:val="TOC1"/>
            <w:tabs>
              <w:tab w:val="right" w:leader="dot" w:pos="9350"/>
            </w:tabs>
            <w:rPr>
              <w:noProof/>
            </w:rPr>
          </w:pPr>
          <w:r>
            <w:rPr>
              <w:lang w:val="en"/>
            </w:rPr>
            <w:fldChar w:fldCharType="begin"/>
          </w:r>
          <w:r>
            <w:instrText xml:space="preserve"> TOC \o "1-3" \h \z \u </w:instrText>
          </w:r>
          <w:r>
            <w:rPr>
              <w:lang w:val="en"/>
            </w:rPr>
            <w:fldChar w:fldCharType="separate"/>
          </w:r>
          <w:hyperlink w:anchor="_Toc216284117" w:history="1">
            <w:r w:rsidRPr="00AE33D6">
              <w:rPr>
                <w:rStyle w:val="Hyperlink"/>
                <w:noProof/>
              </w:rPr>
              <w:t>Introduction</w:t>
            </w:r>
            <w:r>
              <w:rPr>
                <w:noProof/>
                <w:webHidden/>
              </w:rPr>
              <w:tab/>
            </w:r>
            <w:r>
              <w:rPr>
                <w:noProof/>
                <w:webHidden/>
              </w:rPr>
              <w:fldChar w:fldCharType="begin"/>
            </w:r>
            <w:r>
              <w:rPr>
                <w:noProof/>
                <w:webHidden/>
              </w:rPr>
              <w:instrText xml:space="preserve"> PAGEREF _Toc216284117 \h </w:instrText>
            </w:r>
            <w:r>
              <w:rPr>
                <w:noProof/>
                <w:webHidden/>
              </w:rPr>
            </w:r>
            <w:r>
              <w:rPr>
                <w:noProof/>
                <w:webHidden/>
              </w:rPr>
              <w:fldChar w:fldCharType="separate"/>
            </w:r>
            <w:r>
              <w:rPr>
                <w:noProof/>
                <w:webHidden/>
              </w:rPr>
              <w:t>3</w:t>
            </w:r>
            <w:r>
              <w:rPr>
                <w:noProof/>
                <w:webHidden/>
              </w:rPr>
              <w:fldChar w:fldCharType="end"/>
            </w:r>
          </w:hyperlink>
        </w:p>
        <w:p w14:paraId="71B3F2EC" w14:textId="77777777" w:rsidR="00D541A5" w:rsidRDefault="00D541A5" w:rsidP="00D541A5">
          <w:pPr>
            <w:pStyle w:val="TOC1"/>
            <w:tabs>
              <w:tab w:val="right" w:leader="dot" w:pos="9350"/>
            </w:tabs>
            <w:rPr>
              <w:noProof/>
            </w:rPr>
          </w:pPr>
          <w:hyperlink w:anchor="_Toc216284118" w:history="1">
            <w:r w:rsidRPr="00AE33D6">
              <w:rPr>
                <w:rStyle w:val="Hyperlink"/>
                <w:noProof/>
              </w:rPr>
              <w:t>Detailed Overview of Two Theories</w:t>
            </w:r>
            <w:r>
              <w:rPr>
                <w:noProof/>
                <w:webHidden/>
              </w:rPr>
              <w:tab/>
            </w:r>
            <w:r>
              <w:rPr>
                <w:noProof/>
                <w:webHidden/>
              </w:rPr>
              <w:fldChar w:fldCharType="begin"/>
            </w:r>
            <w:r>
              <w:rPr>
                <w:noProof/>
                <w:webHidden/>
              </w:rPr>
              <w:instrText xml:space="preserve"> PAGEREF _Toc216284118 \h </w:instrText>
            </w:r>
            <w:r>
              <w:rPr>
                <w:noProof/>
                <w:webHidden/>
              </w:rPr>
            </w:r>
            <w:r>
              <w:rPr>
                <w:noProof/>
                <w:webHidden/>
              </w:rPr>
              <w:fldChar w:fldCharType="separate"/>
            </w:r>
            <w:r>
              <w:rPr>
                <w:noProof/>
                <w:webHidden/>
              </w:rPr>
              <w:t>3</w:t>
            </w:r>
            <w:r>
              <w:rPr>
                <w:noProof/>
                <w:webHidden/>
              </w:rPr>
              <w:fldChar w:fldCharType="end"/>
            </w:r>
          </w:hyperlink>
        </w:p>
        <w:p w14:paraId="1F7B4A09" w14:textId="77777777" w:rsidR="00D541A5" w:rsidRDefault="00D541A5" w:rsidP="00D541A5">
          <w:pPr>
            <w:pStyle w:val="TOC1"/>
            <w:tabs>
              <w:tab w:val="right" w:leader="dot" w:pos="9350"/>
            </w:tabs>
            <w:rPr>
              <w:noProof/>
            </w:rPr>
          </w:pPr>
          <w:hyperlink w:anchor="_Toc216284119" w:history="1">
            <w:r w:rsidRPr="00AE33D6">
              <w:rPr>
                <w:rStyle w:val="Hyperlink"/>
                <w:noProof/>
              </w:rPr>
              <w:t>Application in the Health and Social Care context</w:t>
            </w:r>
            <w:r>
              <w:rPr>
                <w:noProof/>
                <w:webHidden/>
              </w:rPr>
              <w:tab/>
            </w:r>
            <w:r>
              <w:rPr>
                <w:noProof/>
                <w:webHidden/>
              </w:rPr>
              <w:fldChar w:fldCharType="begin"/>
            </w:r>
            <w:r>
              <w:rPr>
                <w:noProof/>
                <w:webHidden/>
              </w:rPr>
              <w:instrText xml:space="preserve"> PAGEREF _Toc216284119 \h </w:instrText>
            </w:r>
            <w:r>
              <w:rPr>
                <w:noProof/>
                <w:webHidden/>
              </w:rPr>
            </w:r>
            <w:r>
              <w:rPr>
                <w:noProof/>
                <w:webHidden/>
              </w:rPr>
              <w:fldChar w:fldCharType="separate"/>
            </w:r>
            <w:r>
              <w:rPr>
                <w:noProof/>
                <w:webHidden/>
              </w:rPr>
              <w:t>5</w:t>
            </w:r>
            <w:r>
              <w:rPr>
                <w:noProof/>
                <w:webHidden/>
              </w:rPr>
              <w:fldChar w:fldCharType="end"/>
            </w:r>
          </w:hyperlink>
        </w:p>
        <w:p w14:paraId="57D41050" w14:textId="77777777" w:rsidR="00D541A5" w:rsidRDefault="00D541A5" w:rsidP="00D541A5">
          <w:pPr>
            <w:pStyle w:val="TOC1"/>
            <w:tabs>
              <w:tab w:val="right" w:leader="dot" w:pos="9350"/>
            </w:tabs>
            <w:rPr>
              <w:noProof/>
            </w:rPr>
          </w:pPr>
          <w:hyperlink w:anchor="_Toc216284120" w:history="1">
            <w:r w:rsidRPr="00AE33D6">
              <w:rPr>
                <w:rStyle w:val="Hyperlink"/>
                <w:noProof/>
              </w:rPr>
              <w:t>Conclusion</w:t>
            </w:r>
            <w:r>
              <w:rPr>
                <w:noProof/>
                <w:webHidden/>
              </w:rPr>
              <w:tab/>
            </w:r>
            <w:r>
              <w:rPr>
                <w:noProof/>
                <w:webHidden/>
              </w:rPr>
              <w:fldChar w:fldCharType="begin"/>
            </w:r>
            <w:r>
              <w:rPr>
                <w:noProof/>
                <w:webHidden/>
              </w:rPr>
              <w:instrText xml:space="preserve"> PAGEREF _Toc216284120 \h </w:instrText>
            </w:r>
            <w:r>
              <w:rPr>
                <w:noProof/>
                <w:webHidden/>
              </w:rPr>
            </w:r>
            <w:r>
              <w:rPr>
                <w:noProof/>
                <w:webHidden/>
              </w:rPr>
              <w:fldChar w:fldCharType="separate"/>
            </w:r>
            <w:r>
              <w:rPr>
                <w:noProof/>
                <w:webHidden/>
              </w:rPr>
              <w:t>6</w:t>
            </w:r>
            <w:r>
              <w:rPr>
                <w:noProof/>
                <w:webHidden/>
              </w:rPr>
              <w:fldChar w:fldCharType="end"/>
            </w:r>
          </w:hyperlink>
        </w:p>
        <w:p w14:paraId="7D82AD1E" w14:textId="77777777" w:rsidR="00D541A5" w:rsidRDefault="00D541A5" w:rsidP="00D541A5">
          <w:pPr>
            <w:pStyle w:val="TOC1"/>
            <w:tabs>
              <w:tab w:val="right" w:leader="dot" w:pos="9350"/>
            </w:tabs>
            <w:rPr>
              <w:noProof/>
            </w:rPr>
          </w:pPr>
          <w:hyperlink w:anchor="_Toc216284121" w:history="1">
            <w:r w:rsidRPr="00AE33D6">
              <w:rPr>
                <w:rStyle w:val="Hyperlink"/>
                <w:noProof/>
              </w:rPr>
              <w:t>References</w:t>
            </w:r>
            <w:r>
              <w:rPr>
                <w:noProof/>
                <w:webHidden/>
              </w:rPr>
              <w:tab/>
            </w:r>
            <w:r>
              <w:rPr>
                <w:noProof/>
                <w:webHidden/>
              </w:rPr>
              <w:fldChar w:fldCharType="begin"/>
            </w:r>
            <w:r>
              <w:rPr>
                <w:noProof/>
                <w:webHidden/>
              </w:rPr>
              <w:instrText xml:space="preserve"> PAGEREF _Toc216284121 \h </w:instrText>
            </w:r>
            <w:r>
              <w:rPr>
                <w:noProof/>
                <w:webHidden/>
              </w:rPr>
            </w:r>
            <w:r>
              <w:rPr>
                <w:noProof/>
                <w:webHidden/>
              </w:rPr>
              <w:fldChar w:fldCharType="separate"/>
            </w:r>
            <w:r>
              <w:rPr>
                <w:noProof/>
                <w:webHidden/>
              </w:rPr>
              <w:t>7</w:t>
            </w:r>
            <w:r>
              <w:rPr>
                <w:noProof/>
                <w:webHidden/>
              </w:rPr>
              <w:fldChar w:fldCharType="end"/>
            </w:r>
          </w:hyperlink>
        </w:p>
        <w:p w14:paraId="193852DC" w14:textId="77777777" w:rsidR="00D541A5" w:rsidRDefault="00D541A5" w:rsidP="00D541A5">
          <w:r>
            <w:rPr>
              <w:b/>
              <w:bCs/>
            </w:rPr>
            <w:fldChar w:fldCharType="end"/>
          </w:r>
        </w:p>
      </w:sdtContent>
    </w:sdt>
    <w:p w14:paraId="20CF783F" w14:textId="77777777" w:rsidR="00D541A5" w:rsidRDefault="00D541A5" w:rsidP="00D541A5">
      <w:pPr>
        <w:rPr>
          <w:b/>
          <w:bCs/>
          <w:sz w:val="32"/>
          <w:szCs w:val="32"/>
        </w:rPr>
      </w:pPr>
      <w:r>
        <w:br w:type="page"/>
      </w:r>
    </w:p>
    <w:p w14:paraId="5244D6D0" w14:textId="77777777" w:rsidR="00D541A5" w:rsidRDefault="00D541A5" w:rsidP="00D541A5">
      <w:pPr>
        <w:pStyle w:val="Heading1"/>
      </w:pPr>
      <w:bookmarkStart w:id="2" w:name="_Toc216284117"/>
      <w:r>
        <w:lastRenderedPageBreak/>
        <w:t>Introduction</w:t>
      </w:r>
      <w:bookmarkEnd w:id="2"/>
      <w:r>
        <w:t xml:space="preserve"> </w:t>
      </w:r>
    </w:p>
    <w:p w14:paraId="35F1BFCE" w14:textId="77777777" w:rsidR="00D541A5" w:rsidRDefault="00D541A5" w:rsidP="00D541A5">
      <w:r>
        <w:t xml:space="preserve">This report will analyse the health and social care setting for “Old people living in a dementia care home”. In this regard, it will discuss the psychological theories, like the behavioural and the Cognitive Dissonance theory. The psychological theories help to understand the behaviours of individuals so that it is possible for the health and social care employees to provide the people in need with comprehensive support. It also helps to understand the psychological issues experienced by people, especially older individuals for better support. Depending on the characteristics, it will discuss the connection between the theoretical perception and the defined scenario.  </w:t>
      </w:r>
    </w:p>
    <w:p w14:paraId="16581E4D" w14:textId="77777777" w:rsidR="00D541A5" w:rsidRDefault="00D541A5" w:rsidP="00D541A5">
      <w:pPr>
        <w:pStyle w:val="Heading1"/>
      </w:pPr>
      <w:bookmarkStart w:id="3" w:name="_i0wz3q1h0a19" w:colFirst="0" w:colLast="0"/>
      <w:bookmarkStart w:id="4" w:name="_Toc216284118"/>
      <w:bookmarkEnd w:id="3"/>
      <w:r>
        <w:t>Detailed Overview of Two Theories</w:t>
      </w:r>
      <w:bookmarkEnd w:id="4"/>
      <w:r>
        <w:t xml:space="preserve"> </w:t>
      </w:r>
    </w:p>
    <w:p w14:paraId="4D8F28FE" w14:textId="1F550F61" w:rsidR="00D541A5" w:rsidRDefault="00D541A5" w:rsidP="00D541A5">
      <w:pPr>
        <w:rPr>
          <w:b/>
          <w:bCs/>
        </w:rPr>
      </w:pPr>
      <w:r>
        <w:rPr>
          <w:b/>
          <w:bCs/>
        </w:rPr>
        <w:t>Behaviourism</w:t>
      </w:r>
    </w:p>
    <w:p w14:paraId="08247AE2" w14:textId="77777777" w:rsidR="00D541A5" w:rsidRDefault="00D541A5" w:rsidP="00D541A5">
      <w:r>
        <w:t xml:space="preserve">Behaviourism has emerged as the most promising theory in psychology that helps to understand the connection between the external environment of individuals and their behaviours. In that case, Behaviourism theory focuses on proper observation of individual actions then the thoughts (Burhanuddin </w:t>
      </w:r>
      <w:r>
        <w:rPr>
          <w:i/>
          <w:iCs/>
        </w:rPr>
        <w:t>et al</w:t>
      </w:r>
      <w:r>
        <w:t xml:space="preserve">., 2021). Additionally, it considers the responses of people in any action so that it is possible to evaluate their behavioural patterns. The primary characteristics of this theory includes learning through conditioning such as operant and classical conditioning. Based on these types of conditioning, it is possible for individuals to provide proper responses towards any action and evaluate the environmental factors. On the other hand, the behaviourism theory includes the stimulus-response that has been characterised by the predictable response towards the external stimuli. Based on the external stimuli, it is possible to evaluate the laws of learning and influence the individual traits from their surroundings. </w:t>
      </w:r>
    </w:p>
    <w:p w14:paraId="7A8AE513" w14:textId="77777777" w:rsidR="00D541A5" w:rsidRDefault="00D541A5" w:rsidP="00D541A5">
      <w:r>
        <w:t xml:space="preserve">In the context of people older than 65 years it is required to understand their behavioural pattern and the living standard. In that case, self-regulation and regular communication with people more than 65 years old helps to provide them with proper care and support (Moosa </w:t>
      </w:r>
      <w:r>
        <w:rPr>
          <w:i/>
          <w:iCs/>
        </w:rPr>
        <w:t>et al</w:t>
      </w:r>
      <w:r>
        <w:t xml:space="preserve">., 2021). Additionally, it supports understanding their behavioural factors and the experiences that have changed their behaviours. In terms of any mental health issues among the old people the incorporation of the behaviourism theory can help to discover the actual fact behind their challenges. From this perspective, the theory helps to enhance the service efficiency of the health and social Care industry by highlighting the need for understanding the individual perception. In terms of the care service towards the old people, transparent communication works as a primary criterion that can be achieved through comprehensive support of the health and social care sector. Based on the behaviourism theory the quality of support towards the older people can be enhanced. It also helps to understand various aspects that have created mental health issues. </w:t>
      </w:r>
    </w:p>
    <w:p w14:paraId="3D82F3DA" w14:textId="77777777" w:rsidR="00D541A5" w:rsidRDefault="00D541A5" w:rsidP="00D541A5">
      <w:pPr>
        <w:rPr>
          <w:b/>
          <w:bCs/>
        </w:rPr>
      </w:pPr>
      <w:r>
        <w:rPr>
          <w:b/>
          <w:bCs/>
        </w:rPr>
        <w:lastRenderedPageBreak/>
        <w:t>Cognitive Dissonance</w:t>
      </w:r>
    </w:p>
    <w:p w14:paraId="63D1C60A" w14:textId="77777777" w:rsidR="00D541A5" w:rsidRDefault="00D541A5" w:rsidP="00D541A5">
      <w:r>
        <w:t>Cognitive dissonance indicates mental discomfort that individuals can experience while handwriting in conflicting values. In this regard, the cognitive dissonance has undertaken various types of conflicted attitudes and beliefs that can create mental discount among individuals (</w:t>
      </w:r>
      <w:proofErr w:type="spellStart"/>
      <w:r>
        <w:t>Marikyan</w:t>
      </w:r>
      <w:proofErr w:type="spellEnd"/>
      <w:r>
        <w:t xml:space="preserve"> </w:t>
      </w:r>
      <w:r>
        <w:rPr>
          <w:i/>
          <w:iCs/>
        </w:rPr>
        <w:t>et al</w:t>
      </w:r>
      <w:r>
        <w:t xml:space="preserve">., 2023). For example, the smoking behaviour among individuals can be integrated with this ideology as it includes anxiety, guilt and stress. Depending on this aspect, people can experience changes in their beliefs that interrupt their behaviours. On the other side, cognitive dissonance has influenced the health and social Care industry to improve their integration of appropriate communication strategies. This theory indicates the possible reasons behind the alteration of individual behaviour that negatively influences the internal consistency. In terms of the conflict, the incorporation of two opposite ideas including the positive and negative, can create difficulties while maintaining consistency. It creates mental discomfort among individuals that leads to guilt, shame and stress. Overall, this theory has emerged as the potential ideology of changing behaviour among individuals that might have a huge influence on their overall perception. </w:t>
      </w:r>
    </w:p>
    <w:p w14:paraId="01A7514B" w14:textId="77777777" w:rsidR="00D541A5" w:rsidRDefault="00D541A5" w:rsidP="00D541A5">
      <w:r>
        <w:t xml:space="preserve">In terms of people older than 65 years it is required to understand their past experience. In that case the old people are highly sensitive and require effective communication so that it is possible to understand their mental health issues. Additionally, older people need to deal with significant traumas in their families and the past life that might alter their behaviour and make it obvious to evaluate their situation. Depending on this theoretical integration, it is possible to identify the two opposite ideas and encourage the positive perception so that it may improve their thinking process. Apart from that, the focus on the positive values it leads to better connections between the health and social care employees and the individuals that might have a huge influence on the overall care process (Alderwick </w:t>
      </w:r>
      <w:r>
        <w:rPr>
          <w:i/>
          <w:iCs/>
        </w:rPr>
        <w:t>et al</w:t>
      </w:r>
      <w:r>
        <w:t xml:space="preserve">., 2021). From this perspective, it can be stated that by implementing the cognitive dissonance theory, it is possible to understand the psychological condition of old people more than 65 years old. Apart from that it leads to better development of comprehensive ideas for the care treatment so that it may positively improve their lifestyle. </w:t>
      </w:r>
    </w:p>
    <w:p w14:paraId="0AE64DB1" w14:textId="77777777" w:rsidR="00D541A5" w:rsidRDefault="00D541A5" w:rsidP="00D541A5">
      <w:pPr>
        <w:pStyle w:val="Heading1"/>
      </w:pPr>
      <w:bookmarkStart w:id="5" w:name="_ngzh9p6iovhw" w:colFirst="0" w:colLast="0"/>
      <w:bookmarkStart w:id="6" w:name="_Toc216284119"/>
      <w:bookmarkEnd w:id="5"/>
      <w:r>
        <w:t>Application in the Health and Social Care context</w:t>
      </w:r>
      <w:bookmarkEnd w:id="6"/>
      <w:r>
        <w:t xml:space="preserve"> </w:t>
      </w:r>
    </w:p>
    <w:p w14:paraId="403F2F8E" w14:textId="77777777" w:rsidR="00D541A5" w:rsidRDefault="00D541A5" w:rsidP="00D541A5">
      <w:r>
        <w:t xml:space="preserve">In the context of the presented scenario related to the care service towards the older people suffering from dementia. In this regard, a care home environment has been considered that offers efficient support to older people from the age group of 65 or above suffering from dementia. In association with the behaviourism theory, it can be stated that by considering self-regulation, it is possible to control the behaviour of individuals (De la Fuente </w:t>
      </w:r>
      <w:r>
        <w:rPr>
          <w:i/>
          <w:iCs/>
        </w:rPr>
        <w:t>et al</w:t>
      </w:r>
      <w:r>
        <w:t xml:space="preserve">., 2022). Especially for the older people, self-regulation helps to improve mental health and reduce the potential of severe issues. Depending on comprehensive guidance and proper care service </w:t>
      </w:r>
      <w:r>
        <w:lastRenderedPageBreak/>
        <w:t xml:space="preserve">the health and social care sector can treat dementia among older people and enhance the overall mental health dynamics. Apart from that it contributes to better discipline in life that might enhance the living standard of the older people. Dementia has been considered as a mental health condition where people suffer from short-term and long-term memory loss. In order to treat the people suffering from memory loss, the health and social care professionals can try to calm their mind (Tampi and </w:t>
      </w:r>
      <w:proofErr w:type="spellStart"/>
      <w:r>
        <w:t>Jeste</w:t>
      </w:r>
      <w:proofErr w:type="spellEnd"/>
      <w:r>
        <w:t xml:space="preserve">, 2022). Additionally, the behavioural therapy helps to improve the mental health condition of individuals, especially the older people. </w:t>
      </w:r>
    </w:p>
    <w:p w14:paraId="53103F07" w14:textId="77777777" w:rsidR="00D541A5" w:rsidRDefault="00D541A5" w:rsidP="00D541A5">
      <w:r>
        <w:t xml:space="preserve">In terms of the care setting for the old people from dementia, it is required for the health and social care professionals to improve their communication abilities. Depending on the communication abilities it will be possible for the professional to understand their issues and provide them with comprehensive support. It also requires the incorporation of the required regulatory aspects like the Mental Capacity Act 2005, where the health and social care professionals have the authority to make effective decisions on behalf of the people who are unable to make any decision (Legislation.gov.uk, 2025). Based on this regulatory aspect the health and social care professionals might make effective decisions for treating the old individual from dementia by offering them proper treatments. Alongside this, the health and social care professionals might include a scientific approach and observe the behavioural patterns of old people so that they can help them to regain their memories. It also reduces anxiety and stress among people suffering by offering them relevant care support.  </w:t>
      </w:r>
    </w:p>
    <w:p w14:paraId="314EC902" w14:textId="0AC266B0" w:rsidR="00D541A5" w:rsidRDefault="00D541A5" w:rsidP="00D541A5">
      <w:r>
        <w:t>In terms of the cognitive dissonance theory, it can be applied to people from the age group of 65 or above suffering from dementia while treating their issues. It has been identified that people of 65 or above age have most of the emotional sensitivity (</w:t>
      </w:r>
      <w:proofErr w:type="spellStart"/>
      <w:r>
        <w:t>Meckovsky</w:t>
      </w:r>
      <w:proofErr w:type="spellEnd"/>
      <w:r>
        <w:t xml:space="preserve"> </w:t>
      </w:r>
      <w:r>
        <w:rPr>
          <w:i/>
          <w:iCs/>
        </w:rPr>
        <w:t>et al</w:t>
      </w:r>
      <w:r>
        <w:t xml:space="preserve">., 2025). The reason behind the high level of sensitivity dissonance is the focus on emotional well-being. People from the age group of 65 or above have the need towards emotional sensitivity which has made it obvious to ensure their mental well-being. In order to treat people from dementia from the age group of 65 it is required to ensure consistency in the treatment process (Wang </w:t>
      </w:r>
      <w:r>
        <w:rPr>
          <w:i/>
          <w:iCs/>
        </w:rPr>
        <w:t>et al</w:t>
      </w:r>
      <w:r>
        <w:t xml:space="preserve">., 2022). Additionally, the health and social care professionals can encourage healthy living standards and help individuals to overcome their mental health issues. Depending on the healthy lifestyle choice, including healthy dietary habits and regular exercise it is possible to control the emotional fluctuation experienced by people suffering from dementia above the age of 65. </w:t>
      </w:r>
    </w:p>
    <w:p w14:paraId="368226EC" w14:textId="77777777" w:rsidR="00D541A5" w:rsidRDefault="00D541A5" w:rsidP="00D541A5">
      <w:r>
        <w:t xml:space="preserve">Comparatively, it is required for the health and social care professionals to analyse the past experience of the older people with aged of 65 or more to customise the treatment procedure. It will help to understand the medical and family background of the old people suffering from dementia for a better intervention process. Additionally, it will help to understand the reason behind the situation which will work as a potential benefit for the health and social care professionals. Apart from that, the health and social care professionals need to encourage </w:t>
      </w:r>
      <w:r>
        <w:lastRenderedPageBreak/>
        <w:t xml:space="preserve">people above 65 and above to follow the positive directions (Reynolds 3rd </w:t>
      </w:r>
      <w:r>
        <w:rPr>
          <w:i/>
          <w:iCs/>
        </w:rPr>
        <w:t>et al</w:t>
      </w:r>
      <w:r>
        <w:t xml:space="preserve">., 2022). This strategy will encourage the importance of healthy living standards and prevent negative choices. Overall, it will work as a potential benefit for the health and social care sector to improve the mental well-being of people from the age group of 65 and above. </w:t>
      </w:r>
    </w:p>
    <w:p w14:paraId="3A1BF35E" w14:textId="77777777" w:rsidR="00D541A5" w:rsidRDefault="00D541A5" w:rsidP="00D541A5">
      <w:pPr>
        <w:pStyle w:val="Heading1"/>
      </w:pPr>
      <w:bookmarkStart w:id="7" w:name="_7rvr1ky4b79x" w:colFirst="0" w:colLast="0"/>
      <w:bookmarkStart w:id="8" w:name="_Toc216284120"/>
      <w:bookmarkEnd w:id="7"/>
      <w:r>
        <w:t>Conclusion</w:t>
      </w:r>
      <w:bookmarkEnd w:id="8"/>
      <w:r>
        <w:t xml:space="preserve"> </w:t>
      </w:r>
    </w:p>
    <w:p w14:paraId="5D542980" w14:textId="77777777" w:rsidR="00D541A5" w:rsidRDefault="00D541A5" w:rsidP="00D541A5">
      <w:r>
        <w:t xml:space="preserve">In conclusion, the above discussions have integrated the psychological theory including cognitive dissonance and the behaviourism theory that have emerged in the health and social Care industry. Depending on this theoretical aspect it has been recommended that the professionals need to transparently communicate with the suffering people. Additionally, it requires an efficient strategy to manage the mental condition of people by ensuring comprehensive intervention. Based on the strategy, it is possible to enhance the efficiency of the care by considering the mental health condition of the individual from the age group of 65 and above. Overall, communication and analytical skills have been highlighted as the primary requirements for the health and social care professionals in managing the mental health issues of older people. </w:t>
      </w:r>
    </w:p>
    <w:p w14:paraId="00C8F0DD" w14:textId="77777777" w:rsidR="00D541A5" w:rsidRDefault="00D541A5" w:rsidP="00D541A5">
      <w:pPr>
        <w:pStyle w:val="Heading1"/>
      </w:pPr>
      <w:bookmarkStart w:id="9" w:name="_5020lbzeye95" w:colFirst="0" w:colLast="0"/>
      <w:bookmarkEnd w:id="9"/>
      <w:r>
        <w:br w:type="page"/>
      </w:r>
    </w:p>
    <w:p w14:paraId="37CD0E33" w14:textId="77777777" w:rsidR="00D541A5" w:rsidRDefault="00D541A5" w:rsidP="00D541A5">
      <w:pPr>
        <w:pStyle w:val="Heading1"/>
      </w:pPr>
      <w:bookmarkStart w:id="10" w:name="_15vnpm1pi422" w:colFirst="0" w:colLast="0"/>
      <w:bookmarkStart w:id="11" w:name="_Toc216284121"/>
      <w:bookmarkEnd w:id="10"/>
      <w:r>
        <w:lastRenderedPageBreak/>
        <w:t>References</w:t>
      </w:r>
      <w:bookmarkEnd w:id="11"/>
      <w:r>
        <w:t xml:space="preserve"> </w:t>
      </w:r>
    </w:p>
    <w:p w14:paraId="50A6920B" w14:textId="77777777" w:rsidR="00D541A5" w:rsidRDefault="00D541A5" w:rsidP="00D541A5">
      <w:pPr>
        <w:rPr>
          <w:color w:val="222222"/>
          <w:highlight w:val="white"/>
        </w:rPr>
      </w:pPr>
      <w:r>
        <w:rPr>
          <w:color w:val="222222"/>
          <w:highlight w:val="white"/>
        </w:rPr>
        <w:t xml:space="preserve">Alderwick, H., Hutchings, A., Briggs, A. and Mays, N., (2021). The impacts of collaboration between local health care and non-health care organizations and factors shaping how they work: a systematic review of reviews. </w:t>
      </w:r>
      <w:r>
        <w:rPr>
          <w:i/>
          <w:iCs/>
          <w:color w:val="222222"/>
          <w:highlight w:val="white"/>
        </w:rPr>
        <w:t>BMC public health</w:t>
      </w:r>
      <w:r>
        <w:rPr>
          <w:color w:val="222222"/>
          <w:highlight w:val="white"/>
        </w:rPr>
        <w:t xml:space="preserve">, </w:t>
      </w:r>
      <w:r>
        <w:rPr>
          <w:i/>
          <w:iCs/>
          <w:color w:val="222222"/>
          <w:highlight w:val="white"/>
        </w:rPr>
        <w:t>21</w:t>
      </w:r>
      <w:r>
        <w:rPr>
          <w:color w:val="222222"/>
          <w:highlight w:val="white"/>
        </w:rPr>
        <w:t>(1), p.753.</w:t>
      </w:r>
    </w:p>
    <w:p w14:paraId="213D9B4C" w14:textId="77777777" w:rsidR="00D541A5" w:rsidRDefault="00D541A5" w:rsidP="00D541A5">
      <w:pPr>
        <w:rPr>
          <w:color w:val="222222"/>
          <w:highlight w:val="white"/>
        </w:rPr>
      </w:pPr>
      <w:r>
        <w:rPr>
          <w:color w:val="222222"/>
          <w:highlight w:val="white"/>
        </w:rPr>
        <w:t xml:space="preserve">Burhanuddin, N.A.N., Ahmad, N.A., Said, R.R. and </w:t>
      </w:r>
      <w:proofErr w:type="spellStart"/>
      <w:r>
        <w:rPr>
          <w:color w:val="222222"/>
          <w:highlight w:val="white"/>
        </w:rPr>
        <w:t>Asimiran</w:t>
      </w:r>
      <w:proofErr w:type="spellEnd"/>
      <w:r>
        <w:rPr>
          <w:color w:val="222222"/>
          <w:highlight w:val="white"/>
        </w:rPr>
        <w:t xml:space="preserve">, S., (2021). Learning theories: Views from behaviourism theory and constructivism theory. </w:t>
      </w:r>
      <w:r>
        <w:rPr>
          <w:i/>
          <w:iCs/>
          <w:color w:val="222222"/>
          <w:highlight w:val="white"/>
        </w:rPr>
        <w:t>International Journal of Academic Research in Progressive Education and Development</w:t>
      </w:r>
      <w:r>
        <w:rPr>
          <w:color w:val="222222"/>
          <w:highlight w:val="white"/>
        </w:rPr>
        <w:t xml:space="preserve">, </w:t>
      </w:r>
      <w:r>
        <w:rPr>
          <w:i/>
          <w:iCs/>
          <w:color w:val="222222"/>
          <w:highlight w:val="white"/>
        </w:rPr>
        <w:t>10</w:t>
      </w:r>
      <w:r>
        <w:rPr>
          <w:color w:val="222222"/>
          <w:highlight w:val="white"/>
        </w:rPr>
        <w:t>(1), pp.85-98.</w:t>
      </w:r>
    </w:p>
    <w:p w14:paraId="537B6A48" w14:textId="77777777" w:rsidR="00D541A5" w:rsidRDefault="00D541A5" w:rsidP="00D541A5">
      <w:pPr>
        <w:rPr>
          <w:color w:val="222222"/>
          <w:highlight w:val="white"/>
        </w:rPr>
      </w:pPr>
      <w:r>
        <w:rPr>
          <w:color w:val="222222"/>
          <w:highlight w:val="white"/>
        </w:rPr>
        <w:t xml:space="preserve">De la Fuente, J., Martínez-Vicente, J.M., Santos, F.H., Sander, P., Fadda, S., </w:t>
      </w:r>
      <w:proofErr w:type="spellStart"/>
      <w:r>
        <w:rPr>
          <w:color w:val="222222"/>
          <w:highlight w:val="white"/>
        </w:rPr>
        <w:t>Karagiannopoulou</w:t>
      </w:r>
      <w:proofErr w:type="spellEnd"/>
      <w:r>
        <w:rPr>
          <w:color w:val="222222"/>
          <w:highlight w:val="white"/>
        </w:rPr>
        <w:t xml:space="preserve">, E., </w:t>
      </w:r>
      <w:proofErr w:type="spellStart"/>
      <w:r>
        <w:rPr>
          <w:color w:val="222222"/>
          <w:highlight w:val="white"/>
        </w:rPr>
        <w:t>Boruchovitch</w:t>
      </w:r>
      <w:proofErr w:type="spellEnd"/>
      <w:r>
        <w:rPr>
          <w:color w:val="222222"/>
          <w:highlight w:val="white"/>
        </w:rPr>
        <w:t xml:space="preserve">, E. and Kauffman, D.F., (2022). Advances on self-regulation models: A new research agenda through the SR vs ER </w:t>
      </w:r>
      <w:proofErr w:type="spellStart"/>
      <w:r>
        <w:rPr>
          <w:color w:val="222222"/>
          <w:highlight w:val="white"/>
        </w:rPr>
        <w:t>behavior</w:t>
      </w:r>
      <w:proofErr w:type="spellEnd"/>
      <w:r>
        <w:rPr>
          <w:color w:val="222222"/>
          <w:highlight w:val="white"/>
        </w:rPr>
        <w:t xml:space="preserve"> theory in different psychology contexts. </w:t>
      </w:r>
      <w:r>
        <w:rPr>
          <w:i/>
          <w:iCs/>
          <w:color w:val="222222"/>
          <w:highlight w:val="white"/>
        </w:rPr>
        <w:t>Frontiers in Psychology</w:t>
      </w:r>
      <w:r>
        <w:rPr>
          <w:color w:val="222222"/>
          <w:highlight w:val="white"/>
        </w:rPr>
        <w:t xml:space="preserve">, </w:t>
      </w:r>
      <w:r>
        <w:rPr>
          <w:i/>
          <w:iCs/>
          <w:color w:val="222222"/>
          <w:highlight w:val="white"/>
        </w:rPr>
        <w:t>13</w:t>
      </w:r>
      <w:r>
        <w:rPr>
          <w:color w:val="222222"/>
          <w:highlight w:val="white"/>
        </w:rPr>
        <w:t>, p.861493.</w:t>
      </w:r>
    </w:p>
    <w:p w14:paraId="40A9246C" w14:textId="77777777" w:rsidR="00D541A5" w:rsidRDefault="00D541A5" w:rsidP="00D541A5">
      <w:pPr>
        <w:rPr>
          <w:color w:val="222222"/>
          <w:highlight w:val="white"/>
        </w:rPr>
      </w:pPr>
      <w:r>
        <w:rPr>
          <w:color w:val="222222"/>
          <w:highlight w:val="white"/>
        </w:rPr>
        <w:t xml:space="preserve">Legislation.gov.uk. (2025). </w:t>
      </w:r>
      <w:r>
        <w:rPr>
          <w:i/>
          <w:iCs/>
          <w:color w:val="222222"/>
          <w:highlight w:val="white"/>
        </w:rPr>
        <w:t>Mental Capacity Act 2005</w:t>
      </w:r>
      <w:r>
        <w:rPr>
          <w:color w:val="222222"/>
          <w:highlight w:val="white"/>
        </w:rPr>
        <w:t>. [online] Available at: https://www.legislation.gov.uk/ukpga/2005/9/contents [Accessed 10 Dec. 2025].</w:t>
      </w:r>
    </w:p>
    <w:p w14:paraId="33E71C07" w14:textId="77777777" w:rsidR="00D541A5" w:rsidRDefault="00D541A5" w:rsidP="00D541A5">
      <w:pPr>
        <w:rPr>
          <w:color w:val="222222"/>
          <w:highlight w:val="white"/>
        </w:rPr>
      </w:pPr>
      <w:proofErr w:type="spellStart"/>
      <w:r>
        <w:rPr>
          <w:color w:val="222222"/>
          <w:highlight w:val="white"/>
        </w:rPr>
        <w:t>Marikyan</w:t>
      </w:r>
      <w:proofErr w:type="spellEnd"/>
      <w:r>
        <w:rPr>
          <w:color w:val="222222"/>
          <w:highlight w:val="white"/>
        </w:rPr>
        <w:t xml:space="preserve">, D., </w:t>
      </w:r>
      <w:proofErr w:type="spellStart"/>
      <w:r>
        <w:rPr>
          <w:color w:val="222222"/>
          <w:highlight w:val="white"/>
        </w:rPr>
        <w:t>Papagiannidis</w:t>
      </w:r>
      <w:proofErr w:type="spellEnd"/>
      <w:r>
        <w:rPr>
          <w:color w:val="222222"/>
          <w:highlight w:val="white"/>
        </w:rPr>
        <w:t xml:space="preserve">, S. and </w:t>
      </w:r>
      <w:proofErr w:type="spellStart"/>
      <w:r>
        <w:rPr>
          <w:color w:val="222222"/>
          <w:highlight w:val="white"/>
        </w:rPr>
        <w:t>Alamanos</w:t>
      </w:r>
      <w:proofErr w:type="spellEnd"/>
      <w:r>
        <w:rPr>
          <w:color w:val="222222"/>
          <w:highlight w:val="white"/>
        </w:rPr>
        <w:t xml:space="preserve">, E., (2023). Cognitive dissonance in technology adoption: A study of smart home users. </w:t>
      </w:r>
      <w:r>
        <w:rPr>
          <w:i/>
          <w:iCs/>
          <w:color w:val="222222"/>
          <w:highlight w:val="white"/>
        </w:rPr>
        <w:t>Information Systems Frontiers</w:t>
      </w:r>
      <w:r>
        <w:rPr>
          <w:color w:val="222222"/>
          <w:highlight w:val="white"/>
        </w:rPr>
        <w:t xml:space="preserve">, </w:t>
      </w:r>
      <w:r>
        <w:rPr>
          <w:i/>
          <w:iCs/>
          <w:color w:val="222222"/>
          <w:highlight w:val="white"/>
        </w:rPr>
        <w:t>25</w:t>
      </w:r>
      <w:r>
        <w:rPr>
          <w:color w:val="222222"/>
          <w:highlight w:val="white"/>
        </w:rPr>
        <w:t>(3), pp.1101-1123.</w:t>
      </w:r>
    </w:p>
    <w:p w14:paraId="442AF563" w14:textId="77777777" w:rsidR="00D541A5" w:rsidRDefault="00D541A5" w:rsidP="00D541A5">
      <w:pPr>
        <w:rPr>
          <w:color w:val="222222"/>
          <w:highlight w:val="white"/>
        </w:rPr>
      </w:pPr>
      <w:r>
        <w:rPr>
          <w:color w:val="222222"/>
          <w:highlight w:val="white"/>
        </w:rPr>
        <w:t>‌</w:t>
      </w:r>
      <w:proofErr w:type="spellStart"/>
      <w:r>
        <w:rPr>
          <w:color w:val="222222"/>
          <w:highlight w:val="white"/>
        </w:rPr>
        <w:t>Meckovsky</w:t>
      </w:r>
      <w:proofErr w:type="spellEnd"/>
      <w:r>
        <w:rPr>
          <w:color w:val="222222"/>
          <w:highlight w:val="white"/>
        </w:rPr>
        <w:t xml:space="preserve">, F., Novak, L., Meier, Z., Tavel, P. and </w:t>
      </w:r>
      <w:proofErr w:type="spellStart"/>
      <w:r>
        <w:rPr>
          <w:color w:val="222222"/>
          <w:highlight w:val="white"/>
        </w:rPr>
        <w:t>Malinakova</w:t>
      </w:r>
      <w:proofErr w:type="spellEnd"/>
      <w:r>
        <w:rPr>
          <w:color w:val="222222"/>
          <w:highlight w:val="white"/>
        </w:rPr>
        <w:t xml:space="preserve">, K., (2025). Highly sensitive persons feel more emotionally lonely than the general population. </w:t>
      </w:r>
      <w:r>
        <w:rPr>
          <w:i/>
          <w:iCs/>
          <w:color w:val="222222"/>
          <w:highlight w:val="white"/>
        </w:rPr>
        <w:t>Scientific Reports</w:t>
      </w:r>
      <w:r>
        <w:rPr>
          <w:color w:val="222222"/>
          <w:highlight w:val="white"/>
        </w:rPr>
        <w:t xml:space="preserve">, </w:t>
      </w:r>
      <w:r>
        <w:rPr>
          <w:i/>
          <w:iCs/>
          <w:color w:val="222222"/>
          <w:highlight w:val="white"/>
        </w:rPr>
        <w:t>15</w:t>
      </w:r>
      <w:r>
        <w:rPr>
          <w:color w:val="222222"/>
          <w:highlight w:val="white"/>
        </w:rPr>
        <w:t>(1), p.2707.</w:t>
      </w:r>
    </w:p>
    <w:p w14:paraId="3F149D53" w14:textId="77777777" w:rsidR="00D541A5" w:rsidRDefault="00D541A5" w:rsidP="00D541A5">
      <w:pPr>
        <w:rPr>
          <w:color w:val="222222"/>
          <w:highlight w:val="white"/>
        </w:rPr>
      </w:pPr>
      <w:r>
        <w:rPr>
          <w:color w:val="222222"/>
          <w:highlight w:val="white"/>
        </w:rPr>
        <w:t xml:space="preserve">Moosa, A.S., Leng, N.S.Y., Kum, C.L. and Tan, N.C., (2021). A qualitative research study on the illness perception of chronic pruritus in older Asian adults based on the Common‐Sense Model of self‐regulation. </w:t>
      </w:r>
      <w:r>
        <w:rPr>
          <w:i/>
          <w:iCs/>
          <w:color w:val="222222"/>
          <w:highlight w:val="white"/>
        </w:rPr>
        <w:t>Health Expectations</w:t>
      </w:r>
      <w:r>
        <w:rPr>
          <w:color w:val="222222"/>
          <w:highlight w:val="white"/>
        </w:rPr>
        <w:t xml:space="preserve">, </w:t>
      </w:r>
      <w:r>
        <w:rPr>
          <w:i/>
          <w:iCs/>
          <w:color w:val="222222"/>
          <w:highlight w:val="white"/>
        </w:rPr>
        <w:t>24</w:t>
      </w:r>
      <w:r>
        <w:rPr>
          <w:color w:val="222222"/>
          <w:highlight w:val="white"/>
        </w:rPr>
        <w:t>(5), pp.1801-1811.</w:t>
      </w:r>
    </w:p>
    <w:p w14:paraId="14E44223" w14:textId="77777777" w:rsidR="00D541A5" w:rsidRDefault="00D541A5" w:rsidP="00D541A5">
      <w:pPr>
        <w:rPr>
          <w:color w:val="222222"/>
          <w:highlight w:val="white"/>
        </w:rPr>
      </w:pPr>
      <w:r>
        <w:rPr>
          <w:color w:val="222222"/>
          <w:highlight w:val="white"/>
        </w:rPr>
        <w:t xml:space="preserve">Reynolds 3rd, C.F., Jeste, D.V., Sachdev, P.S. and Blazer, D.G., (2022). Mental health care for older adults: recent advances and new directions in clinical practice and research. </w:t>
      </w:r>
      <w:r>
        <w:rPr>
          <w:i/>
          <w:iCs/>
          <w:color w:val="222222"/>
          <w:highlight w:val="white"/>
        </w:rPr>
        <w:t>World Psychiatry</w:t>
      </w:r>
      <w:r>
        <w:rPr>
          <w:color w:val="222222"/>
          <w:highlight w:val="white"/>
        </w:rPr>
        <w:t xml:space="preserve">, </w:t>
      </w:r>
      <w:r>
        <w:rPr>
          <w:i/>
          <w:iCs/>
          <w:color w:val="222222"/>
          <w:highlight w:val="white"/>
        </w:rPr>
        <w:t>21</w:t>
      </w:r>
      <w:r>
        <w:rPr>
          <w:color w:val="222222"/>
          <w:highlight w:val="white"/>
        </w:rPr>
        <w:t>(3), pp.336-363.</w:t>
      </w:r>
    </w:p>
    <w:p w14:paraId="13C9E90C" w14:textId="77777777" w:rsidR="00D541A5" w:rsidRDefault="00D541A5" w:rsidP="00D541A5">
      <w:pPr>
        <w:rPr>
          <w:color w:val="222222"/>
          <w:highlight w:val="white"/>
        </w:rPr>
      </w:pPr>
      <w:r>
        <w:rPr>
          <w:color w:val="222222"/>
          <w:highlight w:val="white"/>
        </w:rPr>
        <w:t xml:space="preserve">Tampi, R.R. and </w:t>
      </w:r>
      <w:proofErr w:type="spellStart"/>
      <w:r>
        <w:rPr>
          <w:color w:val="222222"/>
          <w:highlight w:val="white"/>
        </w:rPr>
        <w:t>Jeste</w:t>
      </w:r>
      <w:proofErr w:type="spellEnd"/>
      <w:r>
        <w:rPr>
          <w:color w:val="222222"/>
          <w:highlight w:val="white"/>
        </w:rPr>
        <w:t xml:space="preserve">, D.V., (2022). Dementia is more than memory loss: neuropsychiatric symptoms of dementia and their nonpharmacological and pharmacological management. </w:t>
      </w:r>
      <w:r>
        <w:rPr>
          <w:i/>
          <w:iCs/>
          <w:color w:val="222222"/>
          <w:highlight w:val="white"/>
        </w:rPr>
        <w:t>American Journal of Psychiatry</w:t>
      </w:r>
      <w:r>
        <w:rPr>
          <w:color w:val="222222"/>
          <w:highlight w:val="white"/>
        </w:rPr>
        <w:t xml:space="preserve">, </w:t>
      </w:r>
      <w:r>
        <w:rPr>
          <w:i/>
          <w:iCs/>
          <w:color w:val="222222"/>
          <w:highlight w:val="white"/>
        </w:rPr>
        <w:t>179</w:t>
      </w:r>
      <w:r>
        <w:rPr>
          <w:color w:val="222222"/>
          <w:highlight w:val="white"/>
        </w:rPr>
        <w:t>(8), pp.528-543.</w:t>
      </w:r>
    </w:p>
    <w:p w14:paraId="43FE2AE8" w14:textId="77777777" w:rsidR="00D541A5" w:rsidRDefault="00D541A5" w:rsidP="00D541A5">
      <w:pPr>
        <w:rPr>
          <w:color w:val="222222"/>
          <w:highlight w:val="white"/>
        </w:rPr>
      </w:pPr>
      <w:r>
        <w:rPr>
          <w:color w:val="222222"/>
          <w:highlight w:val="white"/>
        </w:rPr>
        <w:t xml:space="preserve">Wang, C., Song, P. and Niu, Y., (2022). The management of dementia worldwide: a review on policy practices, clinical guidelines, end-of-life care, and challenge along with aging population. </w:t>
      </w:r>
      <w:r>
        <w:rPr>
          <w:i/>
          <w:iCs/>
          <w:color w:val="222222"/>
          <w:highlight w:val="white"/>
        </w:rPr>
        <w:t>Bioscience trends</w:t>
      </w:r>
      <w:r>
        <w:rPr>
          <w:color w:val="222222"/>
          <w:highlight w:val="white"/>
        </w:rPr>
        <w:t xml:space="preserve">, </w:t>
      </w:r>
      <w:r>
        <w:rPr>
          <w:i/>
          <w:iCs/>
          <w:color w:val="222222"/>
          <w:highlight w:val="white"/>
        </w:rPr>
        <w:t>16</w:t>
      </w:r>
      <w:r>
        <w:rPr>
          <w:color w:val="222222"/>
          <w:highlight w:val="white"/>
        </w:rPr>
        <w:t>(2), pp.119-129.</w:t>
      </w:r>
    </w:p>
    <w:p w14:paraId="08C0CCF1" w14:textId="77777777" w:rsidR="00D541A5" w:rsidRDefault="00D541A5" w:rsidP="00D541A5">
      <w:pPr>
        <w:rPr>
          <w:color w:val="222222"/>
          <w:sz w:val="20"/>
          <w:szCs w:val="20"/>
          <w:highlight w:val="white"/>
        </w:rPr>
      </w:pPr>
    </w:p>
    <w:p w14:paraId="0496298A" w14:textId="6C08D26C" w:rsidR="000A4FB7" w:rsidRPr="00D541A5" w:rsidRDefault="000A4FB7" w:rsidP="00D541A5"/>
    <w:sectPr w:rsidR="000A4FB7" w:rsidRPr="00D541A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79407" w14:textId="77777777" w:rsidR="001A49E0" w:rsidRDefault="001A49E0">
      <w:r>
        <w:separator/>
      </w:r>
    </w:p>
  </w:endnote>
  <w:endnote w:type="continuationSeparator" w:id="0">
    <w:p w14:paraId="0A7BDCBD" w14:textId="77777777" w:rsidR="001A49E0" w:rsidRDefault="001A49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23606408-0614-413C-94E0-BA1B15B67FD5}"/>
  </w:font>
  <w:font w:name="Calibri">
    <w:panose1 w:val="020F0502020204030204"/>
    <w:charset w:val="00"/>
    <w:family w:val="swiss"/>
    <w:pitch w:val="variable"/>
    <w:sig w:usb0="E4002EFF" w:usb1="C200247B" w:usb2="00000009" w:usb3="00000000" w:csb0="000001FF" w:csb1="00000000"/>
    <w:embedRegular r:id="rId2" w:fontKey="{7F439DCA-12AB-47D8-8C9B-71177C052D15}"/>
  </w:font>
  <w:font w:name="Vrinda">
    <w:panose1 w:val="00000400000000000000"/>
    <w:charset w:val="00"/>
    <w:family w:val="swiss"/>
    <w:pitch w:val="variable"/>
    <w:sig w:usb0="00010003" w:usb1="00000000" w:usb2="00000000" w:usb3="00000000" w:csb0="00000001" w:csb1="00000000"/>
    <w:embedRegular r:id="rId3" w:fontKey="{373DBA55-C92C-49FE-AEEF-D2D617D75ED5}"/>
  </w:font>
  <w:font w:name="Cambria">
    <w:panose1 w:val="02040503050406030204"/>
    <w:charset w:val="00"/>
    <w:family w:val="roman"/>
    <w:pitch w:val="variable"/>
    <w:sig w:usb0="E00006FF" w:usb1="420024FF" w:usb2="02000000" w:usb3="00000000" w:csb0="0000019F" w:csb1="00000000"/>
    <w:embedRegular r:id="rId4" w:fontKey="{EBD7C192-5526-4F1B-AEC6-653AD80097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3C995" w14:textId="77777777" w:rsidR="009916F5" w:rsidRDefault="009916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03F217" w14:textId="36227961" w:rsidR="00A3706A" w:rsidRDefault="004469A2">
    <w:pPr>
      <w:pBdr>
        <w:top w:val="nil"/>
        <w:left w:val="nil"/>
        <w:bottom w:val="nil"/>
        <w:right w:val="nil"/>
        <w:between w:val="nil"/>
      </w:pBdr>
      <w:tabs>
        <w:tab w:val="center" w:pos="4513"/>
        <w:tab w:val="right" w:pos="9026"/>
      </w:tabs>
      <w:jc w:val="right"/>
      <w:rPr>
        <w:rFonts w:ascii="Calibri" w:eastAsia="Calibri" w:hAnsi="Calibri" w:cs="Calibri"/>
        <w:color w:val="000000"/>
        <w:szCs w:val="22"/>
      </w:rPr>
    </w:pPr>
    <w:r>
      <w:rPr>
        <w:rFonts w:ascii="Calibri" w:eastAsia="Calibri" w:hAnsi="Calibri" w:cs="Calibri"/>
        <w:szCs w:val="22"/>
      </w:rPr>
      <w:fldChar w:fldCharType="begin"/>
    </w:r>
    <w:r>
      <w:rPr>
        <w:rFonts w:ascii="Calibri" w:eastAsia="Calibri" w:hAnsi="Calibri" w:cs="Calibri"/>
        <w:szCs w:val="22"/>
      </w:rPr>
      <w:instrText>PAGE</w:instrText>
    </w:r>
    <w:r>
      <w:rPr>
        <w:rFonts w:ascii="Calibri" w:eastAsia="Calibri" w:hAnsi="Calibri" w:cs="Calibri"/>
        <w:szCs w:val="22"/>
      </w:rPr>
      <w:fldChar w:fldCharType="separate"/>
    </w:r>
    <w:r w:rsidR="00900650">
      <w:rPr>
        <w:rFonts w:ascii="Calibri" w:eastAsia="Calibri" w:hAnsi="Calibri" w:cs="Calibri"/>
        <w:noProof/>
        <w:szCs w:val="22"/>
      </w:rPr>
      <w:t>1</w:t>
    </w:r>
    <w:r>
      <w:rPr>
        <w:rFonts w:ascii="Calibri" w:eastAsia="Calibri" w:hAnsi="Calibri" w:cs="Calibri"/>
        <w:szCs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46F41A" w14:textId="77777777" w:rsidR="00A3706A" w:rsidRDefault="00A3706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95F3F" w14:textId="77777777" w:rsidR="001A49E0" w:rsidRDefault="001A49E0">
      <w:r>
        <w:separator/>
      </w:r>
    </w:p>
  </w:footnote>
  <w:footnote w:type="continuationSeparator" w:id="0">
    <w:p w14:paraId="5B75A7A8" w14:textId="77777777" w:rsidR="001A49E0" w:rsidRDefault="001A49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C381FD" w14:textId="77777777" w:rsidR="009916F5" w:rsidRDefault="009916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8DDDF" w14:textId="77777777" w:rsidR="009916F5" w:rsidRDefault="009916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46141F" w14:textId="77777777" w:rsidR="009916F5" w:rsidRDefault="009916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3761C"/>
    <w:multiLevelType w:val="multilevel"/>
    <w:tmpl w:val="E52C7C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8C5CF0"/>
    <w:multiLevelType w:val="multilevel"/>
    <w:tmpl w:val="402C68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BC63F8"/>
    <w:multiLevelType w:val="multilevel"/>
    <w:tmpl w:val="EDD810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440EF8"/>
    <w:multiLevelType w:val="multilevel"/>
    <w:tmpl w:val="0450CE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2A94C4F"/>
    <w:multiLevelType w:val="multilevel"/>
    <w:tmpl w:val="95DC8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0211A0"/>
    <w:multiLevelType w:val="multilevel"/>
    <w:tmpl w:val="C80C1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56A5798"/>
    <w:multiLevelType w:val="multilevel"/>
    <w:tmpl w:val="4D94A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691065C"/>
    <w:multiLevelType w:val="multilevel"/>
    <w:tmpl w:val="32BA87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3E90849"/>
    <w:multiLevelType w:val="multilevel"/>
    <w:tmpl w:val="0BE82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442546"/>
    <w:multiLevelType w:val="multilevel"/>
    <w:tmpl w:val="5F0003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516179C"/>
    <w:multiLevelType w:val="multilevel"/>
    <w:tmpl w:val="C3E005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F610CAC"/>
    <w:multiLevelType w:val="multilevel"/>
    <w:tmpl w:val="A3FC8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45B7A5D"/>
    <w:multiLevelType w:val="multilevel"/>
    <w:tmpl w:val="2D1E5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C683A8F"/>
    <w:multiLevelType w:val="multilevel"/>
    <w:tmpl w:val="676C0D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49C726C"/>
    <w:multiLevelType w:val="multilevel"/>
    <w:tmpl w:val="BA1EB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5234B2D"/>
    <w:multiLevelType w:val="multilevel"/>
    <w:tmpl w:val="994A5A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6AE76E0"/>
    <w:multiLevelType w:val="multilevel"/>
    <w:tmpl w:val="6C3CB9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88A3689"/>
    <w:multiLevelType w:val="multilevel"/>
    <w:tmpl w:val="A4DE80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36D5B0F"/>
    <w:multiLevelType w:val="multilevel"/>
    <w:tmpl w:val="1B2484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3AC6AFC"/>
    <w:multiLevelType w:val="multilevel"/>
    <w:tmpl w:val="4C8C2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A2A64C9"/>
    <w:multiLevelType w:val="multilevel"/>
    <w:tmpl w:val="727691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B12409D"/>
    <w:multiLevelType w:val="multilevel"/>
    <w:tmpl w:val="ED8243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D0A3D4D"/>
    <w:multiLevelType w:val="multilevel"/>
    <w:tmpl w:val="F83CB4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5331016">
    <w:abstractNumId w:val="1"/>
  </w:num>
  <w:num w:numId="2" w16cid:durableId="1287812037">
    <w:abstractNumId w:val="14"/>
  </w:num>
  <w:num w:numId="3" w16cid:durableId="718550893">
    <w:abstractNumId w:val="22"/>
  </w:num>
  <w:num w:numId="4" w16cid:durableId="1491016941">
    <w:abstractNumId w:val="12"/>
  </w:num>
  <w:num w:numId="5" w16cid:durableId="1355618748">
    <w:abstractNumId w:val="10"/>
  </w:num>
  <w:num w:numId="6" w16cid:durableId="2124767506">
    <w:abstractNumId w:val="21"/>
  </w:num>
  <w:num w:numId="7" w16cid:durableId="1243836701">
    <w:abstractNumId w:val="9"/>
  </w:num>
  <w:num w:numId="8" w16cid:durableId="688021278">
    <w:abstractNumId w:val="19"/>
  </w:num>
  <w:num w:numId="9" w16cid:durableId="1196651365">
    <w:abstractNumId w:val="15"/>
  </w:num>
  <w:num w:numId="10" w16cid:durableId="1545826134">
    <w:abstractNumId w:val="3"/>
  </w:num>
  <w:num w:numId="11" w16cid:durableId="237788547">
    <w:abstractNumId w:val="13"/>
  </w:num>
  <w:num w:numId="12" w16cid:durableId="533273680">
    <w:abstractNumId w:val="20"/>
  </w:num>
  <w:num w:numId="13" w16cid:durableId="1012337437">
    <w:abstractNumId w:val="17"/>
  </w:num>
  <w:num w:numId="14" w16cid:durableId="716589990">
    <w:abstractNumId w:val="4"/>
  </w:num>
  <w:num w:numId="15" w16cid:durableId="1040202072">
    <w:abstractNumId w:val="11"/>
  </w:num>
  <w:num w:numId="16" w16cid:durableId="2097509750">
    <w:abstractNumId w:val="8"/>
  </w:num>
  <w:num w:numId="17" w16cid:durableId="533081318">
    <w:abstractNumId w:val="18"/>
  </w:num>
  <w:num w:numId="18" w16cid:durableId="404958644">
    <w:abstractNumId w:val="6"/>
  </w:num>
  <w:num w:numId="19" w16cid:durableId="458764354">
    <w:abstractNumId w:val="5"/>
  </w:num>
  <w:num w:numId="20" w16cid:durableId="377438924">
    <w:abstractNumId w:val="0"/>
  </w:num>
  <w:num w:numId="21" w16cid:durableId="1120537944">
    <w:abstractNumId w:val="16"/>
  </w:num>
  <w:num w:numId="22" w16cid:durableId="316110182">
    <w:abstractNumId w:val="2"/>
  </w:num>
  <w:num w:numId="23" w16cid:durableId="821446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706A"/>
    <w:rsid w:val="00005E8A"/>
    <w:rsid w:val="000A4FB7"/>
    <w:rsid w:val="001245B1"/>
    <w:rsid w:val="001A49E0"/>
    <w:rsid w:val="001D0D76"/>
    <w:rsid w:val="001E09FB"/>
    <w:rsid w:val="00305744"/>
    <w:rsid w:val="003341B1"/>
    <w:rsid w:val="003B0031"/>
    <w:rsid w:val="004469A2"/>
    <w:rsid w:val="00590CE8"/>
    <w:rsid w:val="0060781B"/>
    <w:rsid w:val="0068271F"/>
    <w:rsid w:val="007F23D7"/>
    <w:rsid w:val="00846287"/>
    <w:rsid w:val="008906CB"/>
    <w:rsid w:val="00900650"/>
    <w:rsid w:val="00920F87"/>
    <w:rsid w:val="009916F5"/>
    <w:rsid w:val="00A3706A"/>
    <w:rsid w:val="00A90813"/>
    <w:rsid w:val="00A93666"/>
    <w:rsid w:val="00AC3084"/>
    <w:rsid w:val="00B32E35"/>
    <w:rsid w:val="00B50FB9"/>
    <w:rsid w:val="00BB579B"/>
    <w:rsid w:val="00C05C65"/>
    <w:rsid w:val="00C108E8"/>
    <w:rsid w:val="00C12A52"/>
    <w:rsid w:val="00D541A5"/>
    <w:rsid w:val="00D64906"/>
    <w:rsid w:val="00EF42C7"/>
    <w:rsid w:val="00F8387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973296"/>
  <w15:docId w15:val="{6D2A853C-8484-4F44-AE04-90DEDDF0C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bn-IN"/>
      </w:rPr>
    </w:rPrDefault>
    <w:pPrDefault>
      <w:pPr>
        <w:tabs>
          <w:tab w:val="left" w:pos="1712"/>
        </w:tabs>
        <w:jc w:val="both"/>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541A5"/>
    <w:pPr>
      <w:spacing w:line="360" w:lineRule="auto"/>
    </w:pPr>
    <w:rPr>
      <w:sz w:val="22"/>
    </w:rPr>
  </w:style>
  <w:style w:type="paragraph" w:styleId="Heading1">
    <w:name w:val="heading 1"/>
    <w:basedOn w:val="Normal"/>
    <w:next w:val="Normal"/>
    <w:uiPriority w:val="9"/>
    <w:qFormat/>
    <w:pPr>
      <w:keepNext/>
      <w:keepLines/>
      <w:outlineLvl w:val="0"/>
    </w:pPr>
    <w:rPr>
      <w:b/>
      <w:bCs/>
      <w:sz w:val="32"/>
      <w:szCs w:val="32"/>
    </w:rPr>
  </w:style>
  <w:style w:type="paragraph" w:styleId="Heading2">
    <w:name w:val="heading 2"/>
    <w:basedOn w:val="Normal"/>
    <w:next w:val="Normal"/>
    <w:uiPriority w:val="9"/>
    <w:unhideWhenUsed/>
    <w:qFormat/>
    <w:rsid w:val="00D64906"/>
    <w:pPr>
      <w:keepNext/>
      <w:keepLines/>
      <w:outlineLvl w:val="1"/>
    </w:pPr>
    <w:rPr>
      <w:rFonts w:ascii="Times New Roman" w:hAnsi="Times New Roman"/>
      <w:b/>
      <w:bCs/>
      <w:sz w:val="28"/>
      <w:szCs w:val="28"/>
    </w:rPr>
  </w:style>
  <w:style w:type="paragraph" w:styleId="Heading3">
    <w:name w:val="heading 3"/>
    <w:basedOn w:val="Normal"/>
    <w:next w:val="Normal"/>
    <w:uiPriority w:val="9"/>
    <w:unhideWhenUsed/>
    <w:qFormat/>
    <w:rsid w:val="00D64906"/>
    <w:pPr>
      <w:keepNext/>
      <w:keepLines/>
      <w:outlineLvl w:val="2"/>
    </w:pPr>
    <w:rPr>
      <w:rFonts w:ascii="Times New Roman" w:hAnsi="Times New Roman"/>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1">
    <w:name w:val="toc 1"/>
    <w:basedOn w:val="Normal"/>
    <w:next w:val="Normal"/>
    <w:autoRedefine/>
    <w:uiPriority w:val="39"/>
    <w:unhideWhenUsed/>
    <w:rsid w:val="00900650"/>
    <w:pPr>
      <w:tabs>
        <w:tab w:val="clear" w:pos="1712"/>
      </w:tabs>
      <w:spacing w:after="100"/>
    </w:pPr>
    <w:rPr>
      <w:szCs w:val="30"/>
    </w:rPr>
  </w:style>
  <w:style w:type="paragraph" w:styleId="TOC2">
    <w:name w:val="toc 2"/>
    <w:basedOn w:val="Normal"/>
    <w:next w:val="Normal"/>
    <w:autoRedefine/>
    <w:uiPriority w:val="39"/>
    <w:unhideWhenUsed/>
    <w:rsid w:val="00900650"/>
    <w:pPr>
      <w:tabs>
        <w:tab w:val="clear" w:pos="1712"/>
      </w:tabs>
      <w:spacing w:after="100"/>
      <w:ind w:left="240"/>
    </w:pPr>
    <w:rPr>
      <w:szCs w:val="30"/>
    </w:rPr>
  </w:style>
  <w:style w:type="character" w:styleId="Hyperlink">
    <w:name w:val="Hyperlink"/>
    <w:basedOn w:val="DefaultParagraphFont"/>
    <w:uiPriority w:val="99"/>
    <w:unhideWhenUsed/>
    <w:rsid w:val="00900650"/>
    <w:rPr>
      <w:color w:val="0000FF" w:themeColor="hyperlink"/>
      <w:u w:val="single"/>
    </w:rPr>
  </w:style>
  <w:style w:type="paragraph" w:styleId="TOCHeading">
    <w:name w:val="TOC Heading"/>
    <w:basedOn w:val="Heading1"/>
    <w:next w:val="Normal"/>
    <w:uiPriority w:val="39"/>
    <w:unhideWhenUsed/>
    <w:qFormat/>
    <w:rsid w:val="00C05C65"/>
    <w:pPr>
      <w:tabs>
        <w:tab w:val="clear" w:pos="1712"/>
      </w:tabs>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bidi="ar-SA"/>
    </w:rPr>
  </w:style>
  <w:style w:type="paragraph" w:styleId="TOC3">
    <w:name w:val="toc 3"/>
    <w:basedOn w:val="Normal"/>
    <w:next w:val="Normal"/>
    <w:autoRedefine/>
    <w:uiPriority w:val="39"/>
    <w:unhideWhenUsed/>
    <w:rsid w:val="00C05C65"/>
    <w:pPr>
      <w:tabs>
        <w:tab w:val="clear" w:pos="1712"/>
      </w:tabs>
      <w:spacing w:after="100"/>
      <w:ind w:left="480"/>
    </w:pPr>
    <w:rPr>
      <w:szCs w:val="30"/>
    </w:rPr>
  </w:style>
  <w:style w:type="paragraph" w:styleId="Header">
    <w:name w:val="header"/>
    <w:basedOn w:val="Normal"/>
    <w:link w:val="HeaderChar"/>
    <w:uiPriority w:val="99"/>
    <w:unhideWhenUsed/>
    <w:rsid w:val="009916F5"/>
    <w:pPr>
      <w:tabs>
        <w:tab w:val="clear" w:pos="1712"/>
        <w:tab w:val="center" w:pos="4513"/>
        <w:tab w:val="right" w:pos="9026"/>
      </w:tabs>
    </w:pPr>
    <w:rPr>
      <w:szCs w:val="30"/>
    </w:rPr>
  </w:style>
  <w:style w:type="character" w:customStyle="1" w:styleId="HeaderChar">
    <w:name w:val="Header Char"/>
    <w:basedOn w:val="DefaultParagraphFont"/>
    <w:link w:val="Header"/>
    <w:uiPriority w:val="99"/>
    <w:rsid w:val="009916F5"/>
    <w:rPr>
      <w:szCs w:val="30"/>
    </w:rPr>
  </w:style>
  <w:style w:type="paragraph" w:styleId="Footer">
    <w:name w:val="footer"/>
    <w:basedOn w:val="Normal"/>
    <w:link w:val="FooterChar"/>
    <w:uiPriority w:val="99"/>
    <w:unhideWhenUsed/>
    <w:rsid w:val="009916F5"/>
    <w:pPr>
      <w:tabs>
        <w:tab w:val="clear" w:pos="1712"/>
        <w:tab w:val="center" w:pos="4513"/>
        <w:tab w:val="right" w:pos="9026"/>
      </w:tabs>
    </w:pPr>
    <w:rPr>
      <w:szCs w:val="30"/>
    </w:rPr>
  </w:style>
  <w:style w:type="character" w:customStyle="1" w:styleId="FooterChar">
    <w:name w:val="Footer Char"/>
    <w:basedOn w:val="DefaultParagraphFont"/>
    <w:link w:val="Footer"/>
    <w:uiPriority w:val="99"/>
    <w:rsid w:val="009916F5"/>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C7042-1E11-4B18-9C44-7AA944295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2001</Words>
  <Characters>11407</Characters>
  <Application>Microsoft Office Word</Application>
  <DocSecurity>0</DocSecurity>
  <Lines>95</Lines>
  <Paragraphs>26</Paragraphs>
  <ScaleCrop>false</ScaleCrop>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Opoku</dc:creator>
  <cp:lastModifiedBy>Felicity Opoku</cp:lastModifiedBy>
  <cp:revision>2</cp:revision>
  <dcterms:created xsi:type="dcterms:W3CDTF">2025-12-15T08:56:00Z</dcterms:created>
  <dcterms:modified xsi:type="dcterms:W3CDTF">2025-12-15T08:56:00Z</dcterms:modified>
</cp:coreProperties>
</file>